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410F3" w14:textId="41FC38D9" w:rsidR="00AB21F8" w:rsidRPr="00E7418B" w:rsidRDefault="003A11CD" w:rsidP="00E7418B">
      <w:pPr>
        <w:jc w:val="center"/>
        <w:rPr>
          <w:rFonts w:cs="Arial"/>
          <w:b/>
          <w:bCs/>
          <w:color w:val="000000" w:themeColor="text1"/>
          <w:szCs w:val="24"/>
        </w:rPr>
      </w:pPr>
      <w:bookmarkStart w:id="0" w:name="_Hlk216893119"/>
      <w:bookmarkEnd w:id="0"/>
      <w:r w:rsidRPr="00E7418B">
        <w:rPr>
          <w:rFonts w:eastAsia="Aptos" w:cs="Arial"/>
          <w:b/>
          <w:bCs/>
          <w:szCs w:val="24"/>
        </w:rPr>
        <w:drawing>
          <wp:inline distT="0" distB="0" distL="0" distR="0" wp14:anchorId="041DB6C0" wp14:editId="4D4BBEC4">
            <wp:extent cx="3717418" cy="1486966"/>
            <wp:effectExtent l="0" t="0" r="3810"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3211" cy="1529283"/>
                    </a:xfrm>
                    <a:prstGeom prst="rect">
                      <a:avLst/>
                    </a:prstGeom>
                    <a:noFill/>
                  </pic:spPr>
                </pic:pic>
              </a:graphicData>
            </a:graphic>
          </wp:inline>
        </w:drawing>
      </w:r>
    </w:p>
    <w:p w14:paraId="0C3806E6" w14:textId="77777777" w:rsidR="003A11CD" w:rsidRPr="00E7418B" w:rsidRDefault="003A11CD" w:rsidP="00E7418B">
      <w:pPr>
        <w:jc w:val="center"/>
        <w:rPr>
          <w:rFonts w:cs="Arial"/>
          <w:b/>
          <w:bCs/>
          <w:color w:val="000000" w:themeColor="text1"/>
          <w:szCs w:val="24"/>
        </w:rPr>
      </w:pPr>
    </w:p>
    <w:p w14:paraId="3C450797" w14:textId="77777777" w:rsidR="003A11CD" w:rsidRPr="00E7418B" w:rsidRDefault="003A11CD" w:rsidP="00E7418B">
      <w:pPr>
        <w:jc w:val="center"/>
        <w:rPr>
          <w:rFonts w:cs="Arial"/>
          <w:b/>
          <w:bCs/>
          <w:color w:val="000000" w:themeColor="text1"/>
          <w:szCs w:val="24"/>
        </w:rPr>
      </w:pPr>
    </w:p>
    <w:p w14:paraId="3D0B6942" w14:textId="77777777" w:rsidR="003A11CD" w:rsidRPr="00E7418B" w:rsidRDefault="003A11CD" w:rsidP="00E7418B">
      <w:pPr>
        <w:jc w:val="center"/>
        <w:rPr>
          <w:rFonts w:cs="Arial"/>
          <w:b/>
          <w:bCs/>
          <w:color w:val="000000" w:themeColor="text1"/>
          <w:szCs w:val="24"/>
        </w:rPr>
      </w:pPr>
    </w:p>
    <w:p w14:paraId="25D50812" w14:textId="77777777" w:rsidR="003A11CD" w:rsidRPr="00E7418B" w:rsidRDefault="003A11CD" w:rsidP="00E7418B">
      <w:pPr>
        <w:spacing w:after="0"/>
        <w:jc w:val="center"/>
        <w:rPr>
          <w:rFonts w:eastAsia="Aptos" w:cs="Arial"/>
          <w:b/>
          <w:bCs/>
          <w:szCs w:val="24"/>
        </w:rPr>
      </w:pPr>
      <w:r w:rsidRPr="00E7418B">
        <w:rPr>
          <w:rFonts w:eastAsia="Aptos" w:cs="Arial"/>
          <w:b/>
          <w:bCs/>
          <w:szCs w:val="24"/>
        </w:rPr>
        <w:t>Student Name: Md Mohaiminul islam Bappy</w:t>
      </w:r>
    </w:p>
    <w:p w14:paraId="78A35F65" w14:textId="77777777" w:rsidR="003A11CD" w:rsidRPr="00E7418B" w:rsidRDefault="003A11CD" w:rsidP="00E7418B">
      <w:pPr>
        <w:spacing w:after="0"/>
        <w:jc w:val="center"/>
        <w:rPr>
          <w:rFonts w:eastAsia="Aptos" w:cs="Arial"/>
          <w:b/>
          <w:bCs/>
          <w:szCs w:val="24"/>
        </w:rPr>
      </w:pPr>
    </w:p>
    <w:p w14:paraId="2E8FA31F" w14:textId="77777777" w:rsidR="003A11CD" w:rsidRPr="00E7418B" w:rsidRDefault="003A11CD" w:rsidP="00E7418B">
      <w:pPr>
        <w:spacing w:after="0"/>
        <w:jc w:val="center"/>
        <w:rPr>
          <w:rFonts w:eastAsia="Aptos" w:cs="Arial"/>
          <w:b/>
          <w:bCs/>
          <w:szCs w:val="24"/>
        </w:rPr>
      </w:pPr>
      <w:r w:rsidRPr="00E7418B">
        <w:rPr>
          <w:rFonts w:eastAsia="Aptos" w:cs="Arial"/>
          <w:b/>
          <w:bCs/>
          <w:szCs w:val="24"/>
        </w:rPr>
        <w:t>Student ID: 2431568</w:t>
      </w:r>
    </w:p>
    <w:p w14:paraId="5771B8A6" w14:textId="77777777" w:rsidR="003A11CD" w:rsidRPr="00E7418B" w:rsidRDefault="003A11CD" w:rsidP="00E7418B">
      <w:pPr>
        <w:spacing w:after="0"/>
        <w:jc w:val="center"/>
        <w:rPr>
          <w:rFonts w:eastAsia="Aptos" w:cs="Arial"/>
          <w:b/>
          <w:bCs/>
          <w:szCs w:val="24"/>
        </w:rPr>
      </w:pPr>
    </w:p>
    <w:p w14:paraId="40C590B8" w14:textId="77777777" w:rsidR="003A11CD" w:rsidRPr="00E7418B" w:rsidRDefault="003A11CD" w:rsidP="00E7418B">
      <w:pPr>
        <w:spacing w:after="0"/>
        <w:jc w:val="center"/>
        <w:rPr>
          <w:rFonts w:eastAsia="Aptos" w:cs="Arial"/>
          <w:b/>
          <w:bCs/>
          <w:szCs w:val="24"/>
        </w:rPr>
      </w:pPr>
    </w:p>
    <w:p w14:paraId="764DC991" w14:textId="28F03D4E" w:rsidR="003A11CD" w:rsidRPr="00E7418B" w:rsidRDefault="003A11CD" w:rsidP="00E7418B">
      <w:pPr>
        <w:spacing w:after="0"/>
        <w:jc w:val="center"/>
        <w:rPr>
          <w:rFonts w:eastAsia="Aptos" w:cs="Arial"/>
          <w:b/>
          <w:bCs/>
          <w:szCs w:val="24"/>
        </w:rPr>
      </w:pPr>
      <w:r w:rsidRPr="00E7418B">
        <w:rPr>
          <w:rFonts w:eastAsia="Aptos" w:cs="Arial"/>
          <w:b/>
          <w:bCs/>
          <w:szCs w:val="24"/>
        </w:rPr>
        <w:t>Module Name: Financial Management</w:t>
      </w:r>
    </w:p>
    <w:p w14:paraId="213AC101" w14:textId="77777777" w:rsidR="003A11CD" w:rsidRPr="00E7418B" w:rsidRDefault="003A11CD" w:rsidP="00E7418B">
      <w:pPr>
        <w:spacing w:after="0"/>
        <w:jc w:val="center"/>
        <w:rPr>
          <w:rFonts w:eastAsia="Aptos" w:cs="Arial"/>
          <w:b/>
          <w:bCs/>
          <w:szCs w:val="24"/>
        </w:rPr>
      </w:pPr>
    </w:p>
    <w:p w14:paraId="660B0A78" w14:textId="5310645B" w:rsidR="003A11CD" w:rsidRPr="00E7418B" w:rsidRDefault="003A11CD" w:rsidP="00E7418B">
      <w:pPr>
        <w:spacing w:after="0"/>
        <w:jc w:val="center"/>
        <w:rPr>
          <w:rFonts w:eastAsia="Aptos" w:cs="Arial"/>
          <w:b/>
          <w:bCs/>
          <w:szCs w:val="24"/>
        </w:rPr>
      </w:pPr>
      <w:r w:rsidRPr="00E7418B">
        <w:rPr>
          <w:rFonts w:eastAsia="Aptos" w:cs="Arial"/>
          <w:b/>
          <w:bCs/>
          <w:szCs w:val="24"/>
        </w:rPr>
        <w:t xml:space="preserve">Module Code: </w:t>
      </w:r>
      <w:r w:rsidRPr="00E7418B">
        <w:rPr>
          <w:rFonts w:cs="Arial"/>
          <w:b/>
          <w:bCs/>
          <w:color w:val="000000" w:themeColor="text1"/>
          <w:szCs w:val="24"/>
        </w:rPr>
        <w:t>LCMB7002</w:t>
      </w:r>
    </w:p>
    <w:p w14:paraId="509D85E5" w14:textId="77777777" w:rsidR="003A11CD" w:rsidRPr="00E7418B" w:rsidRDefault="003A11CD" w:rsidP="00E7418B">
      <w:pPr>
        <w:spacing w:after="0"/>
        <w:rPr>
          <w:rFonts w:eastAsia="Aptos" w:cs="Arial"/>
          <w:b/>
          <w:bCs/>
          <w:szCs w:val="24"/>
        </w:rPr>
      </w:pPr>
    </w:p>
    <w:p w14:paraId="46267609" w14:textId="77777777" w:rsidR="003A11CD" w:rsidRPr="00E7418B" w:rsidRDefault="003A11CD" w:rsidP="00E7418B">
      <w:pPr>
        <w:spacing w:after="0"/>
        <w:jc w:val="center"/>
        <w:rPr>
          <w:rFonts w:eastAsia="Aptos" w:cs="Arial"/>
          <w:b/>
          <w:bCs/>
          <w:szCs w:val="24"/>
        </w:rPr>
      </w:pPr>
    </w:p>
    <w:p w14:paraId="4C8B1AEC" w14:textId="058B1E7C" w:rsidR="003A11CD" w:rsidRPr="00E7418B" w:rsidRDefault="003A11CD" w:rsidP="00E7418B">
      <w:pPr>
        <w:spacing w:after="0"/>
        <w:jc w:val="center"/>
        <w:rPr>
          <w:rFonts w:eastAsia="Aptos" w:cs="Arial"/>
          <w:b/>
          <w:bCs/>
          <w:szCs w:val="24"/>
        </w:rPr>
      </w:pPr>
      <w:r w:rsidRPr="00E7418B">
        <w:rPr>
          <w:rFonts w:eastAsia="Aptos" w:cs="Arial"/>
          <w:b/>
          <w:bCs/>
          <w:szCs w:val="24"/>
        </w:rPr>
        <w:t xml:space="preserve">Lecturer’s Name: </w:t>
      </w:r>
      <w:r w:rsidR="00FA7D76">
        <w:rPr>
          <w:rFonts w:eastAsia="Aptos" w:cs="Arial"/>
          <w:b/>
          <w:bCs/>
          <w:szCs w:val="24"/>
        </w:rPr>
        <w:t xml:space="preserve">Dr </w:t>
      </w:r>
      <w:r w:rsidRPr="00E7418B">
        <w:rPr>
          <w:rFonts w:cs="Arial"/>
          <w:b/>
          <w:bCs/>
          <w:color w:val="000000" w:themeColor="text1"/>
          <w:szCs w:val="24"/>
        </w:rPr>
        <w:t>Shengfeng Mei</w:t>
      </w:r>
    </w:p>
    <w:p w14:paraId="0F94BFE8" w14:textId="77777777" w:rsidR="003A11CD" w:rsidRPr="00E7418B" w:rsidRDefault="003A11CD" w:rsidP="00E7418B">
      <w:pPr>
        <w:spacing w:after="0"/>
        <w:rPr>
          <w:rFonts w:eastAsia="Aptos" w:cs="Arial"/>
          <w:b/>
          <w:bCs/>
          <w:szCs w:val="24"/>
        </w:rPr>
      </w:pPr>
    </w:p>
    <w:p w14:paraId="14637BB6" w14:textId="77777777" w:rsidR="003A11CD" w:rsidRPr="00E7418B" w:rsidRDefault="003A11CD" w:rsidP="00E7418B">
      <w:pPr>
        <w:spacing w:after="0"/>
        <w:jc w:val="center"/>
        <w:rPr>
          <w:rFonts w:eastAsia="Aptos" w:cs="Arial"/>
          <w:b/>
          <w:bCs/>
          <w:szCs w:val="24"/>
        </w:rPr>
      </w:pPr>
    </w:p>
    <w:p w14:paraId="478DBFE5" w14:textId="34F63558" w:rsidR="003A11CD" w:rsidRPr="00E7418B" w:rsidRDefault="003A11CD" w:rsidP="00E7418B">
      <w:pPr>
        <w:spacing w:after="0"/>
        <w:jc w:val="center"/>
        <w:rPr>
          <w:rFonts w:eastAsia="Aptos" w:cs="Arial"/>
          <w:b/>
          <w:bCs/>
          <w:szCs w:val="24"/>
        </w:rPr>
      </w:pPr>
      <w:r w:rsidRPr="00E7418B">
        <w:rPr>
          <w:rFonts w:eastAsia="Aptos" w:cs="Arial"/>
          <w:b/>
          <w:bCs/>
          <w:szCs w:val="24"/>
        </w:rPr>
        <w:t xml:space="preserve">Submission Date: </w:t>
      </w:r>
      <w:r w:rsidR="00BD007C" w:rsidRPr="00E7418B">
        <w:rPr>
          <w:rFonts w:eastAsia="Aptos" w:cs="Arial"/>
          <w:b/>
          <w:bCs/>
          <w:szCs w:val="24"/>
        </w:rPr>
        <w:t>22</w:t>
      </w:r>
      <w:r w:rsidRPr="00E7418B">
        <w:rPr>
          <w:rFonts w:eastAsia="Aptos" w:cs="Arial"/>
          <w:b/>
          <w:bCs/>
          <w:szCs w:val="24"/>
        </w:rPr>
        <w:t>.1</w:t>
      </w:r>
      <w:r w:rsidR="00BD007C" w:rsidRPr="00E7418B">
        <w:rPr>
          <w:rFonts w:eastAsia="Aptos" w:cs="Arial"/>
          <w:b/>
          <w:bCs/>
          <w:szCs w:val="24"/>
        </w:rPr>
        <w:t>2</w:t>
      </w:r>
      <w:r w:rsidRPr="00E7418B">
        <w:rPr>
          <w:rFonts w:eastAsia="Aptos" w:cs="Arial"/>
          <w:b/>
          <w:bCs/>
          <w:szCs w:val="24"/>
        </w:rPr>
        <w:t>.25</w:t>
      </w:r>
    </w:p>
    <w:p w14:paraId="58C7A08E" w14:textId="77777777" w:rsidR="003A11CD" w:rsidRPr="00E7418B" w:rsidRDefault="003A11CD" w:rsidP="00E7418B">
      <w:pPr>
        <w:jc w:val="center"/>
        <w:rPr>
          <w:rFonts w:cs="Arial"/>
          <w:color w:val="000000" w:themeColor="text1"/>
          <w:szCs w:val="24"/>
        </w:rPr>
      </w:pPr>
    </w:p>
    <w:p w14:paraId="2EEAF16D" w14:textId="77777777" w:rsidR="00AB21F8" w:rsidRPr="00E7418B" w:rsidRDefault="00AB21F8" w:rsidP="00E7418B">
      <w:pPr>
        <w:jc w:val="center"/>
        <w:rPr>
          <w:rFonts w:cs="Arial"/>
          <w:color w:val="000000" w:themeColor="text1"/>
          <w:szCs w:val="24"/>
        </w:rPr>
      </w:pPr>
    </w:p>
    <w:p w14:paraId="022ED7AA" w14:textId="77777777" w:rsidR="00AB21F8" w:rsidRPr="00E7418B" w:rsidRDefault="00AB21F8" w:rsidP="00E7418B">
      <w:pPr>
        <w:rPr>
          <w:rFonts w:cs="Arial"/>
          <w:color w:val="000000" w:themeColor="text1"/>
          <w:szCs w:val="24"/>
        </w:rPr>
      </w:pPr>
    </w:p>
    <w:p w14:paraId="5A145678" w14:textId="77777777" w:rsidR="00AB21F8" w:rsidRPr="00E7418B" w:rsidRDefault="00AB21F8" w:rsidP="00E7418B">
      <w:pPr>
        <w:rPr>
          <w:rFonts w:cs="Arial"/>
          <w:color w:val="000000" w:themeColor="text1"/>
          <w:szCs w:val="24"/>
        </w:rPr>
      </w:pPr>
    </w:p>
    <w:p w14:paraId="21BE42B4" w14:textId="575B2695" w:rsidR="00AB21F8" w:rsidRPr="00E7418B" w:rsidRDefault="00AB21F8" w:rsidP="00E7418B">
      <w:pPr>
        <w:jc w:val="left"/>
        <w:rPr>
          <w:rFonts w:cs="Arial"/>
          <w:color w:val="000000" w:themeColor="text1"/>
          <w:szCs w:val="24"/>
        </w:rPr>
      </w:pPr>
    </w:p>
    <w:p w14:paraId="4BFE21EF" w14:textId="77777777" w:rsidR="003A11CD" w:rsidRPr="00E7418B" w:rsidRDefault="003A11CD" w:rsidP="00E7418B">
      <w:pPr>
        <w:jc w:val="left"/>
        <w:rPr>
          <w:rFonts w:cs="Arial"/>
          <w:color w:val="000000" w:themeColor="text1"/>
          <w:szCs w:val="24"/>
        </w:rPr>
      </w:pPr>
    </w:p>
    <w:sdt>
      <w:sdtPr>
        <w:rPr>
          <w:rFonts w:ascii="Arial" w:eastAsiaTheme="minorHAnsi" w:hAnsi="Arial" w:cs="Arial"/>
          <w:noProof/>
          <w:color w:val="000000" w:themeColor="text1"/>
          <w:sz w:val="24"/>
          <w:szCs w:val="24"/>
          <w:lang w:val="en-GB"/>
        </w:rPr>
        <w:id w:val="1034852122"/>
        <w:docPartObj>
          <w:docPartGallery w:val="Table of Contents"/>
          <w:docPartUnique/>
        </w:docPartObj>
      </w:sdtPr>
      <w:sdtEndPr>
        <w:rPr>
          <w:b/>
          <w:bCs/>
        </w:rPr>
      </w:sdtEndPr>
      <w:sdtContent>
        <w:p w14:paraId="4212FF5B" w14:textId="6DDB18ED" w:rsidR="003A11CD" w:rsidRPr="00E7418B" w:rsidRDefault="000A4728" w:rsidP="00E7418B">
          <w:pPr>
            <w:pStyle w:val="TOCHeading"/>
            <w:spacing w:line="360" w:lineRule="auto"/>
            <w:rPr>
              <w:rFonts w:ascii="Arial" w:hAnsi="Arial" w:cs="Arial"/>
              <w:color w:val="000000" w:themeColor="text1"/>
              <w:sz w:val="24"/>
              <w:szCs w:val="24"/>
            </w:rPr>
          </w:pPr>
          <w:r w:rsidRPr="00E7418B">
            <w:rPr>
              <w:rFonts w:ascii="Arial" w:hAnsi="Arial" w:cs="Arial"/>
              <w:color w:val="000000" w:themeColor="text1"/>
              <w:sz w:val="24"/>
              <w:szCs w:val="24"/>
            </w:rPr>
            <w:t>Table of Contents</w:t>
          </w:r>
        </w:p>
        <w:p w14:paraId="12A0F811" w14:textId="2209D385" w:rsidR="00264AC2" w:rsidRDefault="000A4728">
          <w:pPr>
            <w:pStyle w:val="TOC1"/>
            <w:tabs>
              <w:tab w:val="right" w:leader="dot" w:pos="9350"/>
            </w:tabs>
            <w:rPr>
              <w:rFonts w:asciiTheme="minorHAnsi" w:eastAsiaTheme="minorEastAsia" w:hAnsiTheme="minorHAnsi"/>
              <w:kern w:val="2"/>
              <w:szCs w:val="24"/>
              <w:lang w:eastAsia="en-GB"/>
              <w14:ligatures w14:val="standardContextual"/>
            </w:rPr>
          </w:pPr>
          <w:r w:rsidRPr="00E7418B">
            <w:rPr>
              <w:rFonts w:cs="Arial"/>
              <w:color w:val="000000" w:themeColor="text1"/>
              <w:szCs w:val="24"/>
            </w:rPr>
            <w:fldChar w:fldCharType="begin"/>
          </w:r>
          <w:r w:rsidRPr="00E7418B">
            <w:rPr>
              <w:rFonts w:cs="Arial"/>
              <w:color w:val="000000" w:themeColor="text1"/>
              <w:szCs w:val="24"/>
            </w:rPr>
            <w:instrText xml:space="preserve"> TOC \o "1-3" \h \z \u </w:instrText>
          </w:r>
          <w:r w:rsidRPr="00E7418B">
            <w:rPr>
              <w:rFonts w:cs="Arial"/>
              <w:color w:val="000000" w:themeColor="text1"/>
              <w:szCs w:val="24"/>
            </w:rPr>
            <w:fldChar w:fldCharType="separate"/>
          </w:r>
          <w:hyperlink w:anchor="_Toc217162959" w:history="1">
            <w:r w:rsidR="00264AC2" w:rsidRPr="00933F70">
              <w:rPr>
                <w:rStyle w:val="Hyperlink"/>
                <w:rFonts w:cs="Arial"/>
                <w:b/>
                <w:bCs/>
              </w:rPr>
              <w:t>Introduction:</w:t>
            </w:r>
            <w:r w:rsidR="00264AC2">
              <w:rPr>
                <w:webHidden/>
              </w:rPr>
              <w:tab/>
            </w:r>
            <w:r w:rsidR="00264AC2">
              <w:rPr>
                <w:webHidden/>
              </w:rPr>
              <w:fldChar w:fldCharType="begin"/>
            </w:r>
            <w:r w:rsidR="00264AC2">
              <w:rPr>
                <w:webHidden/>
              </w:rPr>
              <w:instrText xml:space="preserve"> PAGEREF _Toc217162959 \h </w:instrText>
            </w:r>
            <w:r w:rsidR="00264AC2">
              <w:rPr>
                <w:webHidden/>
              </w:rPr>
            </w:r>
            <w:r w:rsidR="00264AC2">
              <w:rPr>
                <w:webHidden/>
              </w:rPr>
              <w:fldChar w:fldCharType="separate"/>
            </w:r>
            <w:r w:rsidR="00264AC2">
              <w:rPr>
                <w:webHidden/>
              </w:rPr>
              <w:t>4</w:t>
            </w:r>
            <w:r w:rsidR="00264AC2">
              <w:rPr>
                <w:webHidden/>
              </w:rPr>
              <w:fldChar w:fldCharType="end"/>
            </w:r>
          </w:hyperlink>
        </w:p>
        <w:p w14:paraId="44596F8E" w14:textId="3799EC33"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60" w:history="1">
            <w:r w:rsidRPr="00933F70">
              <w:rPr>
                <w:rStyle w:val="Hyperlink"/>
                <w:rFonts w:cs="Arial"/>
                <w:b/>
                <w:bCs/>
              </w:rPr>
              <w:t>Analysis of Financial Statements</w:t>
            </w:r>
            <w:r>
              <w:rPr>
                <w:webHidden/>
              </w:rPr>
              <w:tab/>
            </w:r>
            <w:r>
              <w:rPr>
                <w:webHidden/>
              </w:rPr>
              <w:fldChar w:fldCharType="begin"/>
            </w:r>
            <w:r>
              <w:rPr>
                <w:webHidden/>
              </w:rPr>
              <w:instrText xml:space="preserve"> PAGEREF _Toc217162960 \h </w:instrText>
            </w:r>
            <w:r>
              <w:rPr>
                <w:webHidden/>
              </w:rPr>
            </w:r>
            <w:r>
              <w:rPr>
                <w:webHidden/>
              </w:rPr>
              <w:fldChar w:fldCharType="separate"/>
            </w:r>
            <w:r>
              <w:rPr>
                <w:webHidden/>
              </w:rPr>
              <w:t>4</w:t>
            </w:r>
            <w:r>
              <w:rPr>
                <w:webHidden/>
              </w:rPr>
              <w:fldChar w:fldCharType="end"/>
            </w:r>
          </w:hyperlink>
        </w:p>
        <w:p w14:paraId="36196A16" w14:textId="5B9636F9"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61" w:history="1">
            <w:r w:rsidRPr="00933F70">
              <w:rPr>
                <w:rStyle w:val="Hyperlink"/>
                <w:rFonts w:cs="Arial"/>
                <w:b/>
                <w:bCs/>
              </w:rPr>
              <w:t>Full Ratio Analysis of GE</w:t>
            </w:r>
            <w:r>
              <w:rPr>
                <w:webHidden/>
              </w:rPr>
              <w:tab/>
            </w:r>
            <w:r>
              <w:rPr>
                <w:webHidden/>
              </w:rPr>
              <w:fldChar w:fldCharType="begin"/>
            </w:r>
            <w:r>
              <w:rPr>
                <w:webHidden/>
              </w:rPr>
              <w:instrText xml:space="preserve"> PAGEREF _Toc217162961 \h </w:instrText>
            </w:r>
            <w:r>
              <w:rPr>
                <w:webHidden/>
              </w:rPr>
            </w:r>
            <w:r>
              <w:rPr>
                <w:webHidden/>
              </w:rPr>
              <w:fldChar w:fldCharType="separate"/>
            </w:r>
            <w:r>
              <w:rPr>
                <w:webHidden/>
              </w:rPr>
              <w:t>5</w:t>
            </w:r>
            <w:r>
              <w:rPr>
                <w:webHidden/>
              </w:rPr>
              <w:fldChar w:fldCharType="end"/>
            </w:r>
          </w:hyperlink>
        </w:p>
        <w:p w14:paraId="08079D1F" w14:textId="0AF3B3E7"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62" w:history="1">
            <w:r w:rsidRPr="00933F70">
              <w:rPr>
                <w:rStyle w:val="Hyperlink"/>
                <w:rFonts w:cs="Arial"/>
                <w:b/>
                <w:bCs/>
              </w:rPr>
              <w:t>Profitability Ratios</w:t>
            </w:r>
            <w:r>
              <w:rPr>
                <w:webHidden/>
              </w:rPr>
              <w:tab/>
            </w:r>
            <w:r>
              <w:rPr>
                <w:webHidden/>
              </w:rPr>
              <w:fldChar w:fldCharType="begin"/>
            </w:r>
            <w:r>
              <w:rPr>
                <w:webHidden/>
              </w:rPr>
              <w:instrText xml:space="preserve"> PAGEREF _Toc217162962 \h </w:instrText>
            </w:r>
            <w:r>
              <w:rPr>
                <w:webHidden/>
              </w:rPr>
            </w:r>
            <w:r>
              <w:rPr>
                <w:webHidden/>
              </w:rPr>
              <w:fldChar w:fldCharType="separate"/>
            </w:r>
            <w:r>
              <w:rPr>
                <w:webHidden/>
              </w:rPr>
              <w:t>5</w:t>
            </w:r>
            <w:r>
              <w:rPr>
                <w:webHidden/>
              </w:rPr>
              <w:fldChar w:fldCharType="end"/>
            </w:r>
          </w:hyperlink>
        </w:p>
        <w:p w14:paraId="27235A8C" w14:textId="1097C5F9"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63" w:history="1">
            <w:r w:rsidRPr="00933F70">
              <w:rPr>
                <w:rStyle w:val="Hyperlink"/>
                <w:rFonts w:cs="Arial"/>
              </w:rPr>
              <w:t>Liquidity Ratios</w:t>
            </w:r>
            <w:r>
              <w:rPr>
                <w:webHidden/>
              </w:rPr>
              <w:tab/>
            </w:r>
            <w:r>
              <w:rPr>
                <w:webHidden/>
              </w:rPr>
              <w:fldChar w:fldCharType="begin"/>
            </w:r>
            <w:r>
              <w:rPr>
                <w:webHidden/>
              </w:rPr>
              <w:instrText xml:space="preserve"> PAGEREF _Toc217162963 \h </w:instrText>
            </w:r>
            <w:r>
              <w:rPr>
                <w:webHidden/>
              </w:rPr>
            </w:r>
            <w:r>
              <w:rPr>
                <w:webHidden/>
              </w:rPr>
              <w:fldChar w:fldCharType="separate"/>
            </w:r>
            <w:r>
              <w:rPr>
                <w:webHidden/>
              </w:rPr>
              <w:t>8</w:t>
            </w:r>
            <w:r>
              <w:rPr>
                <w:webHidden/>
              </w:rPr>
              <w:fldChar w:fldCharType="end"/>
            </w:r>
          </w:hyperlink>
        </w:p>
        <w:p w14:paraId="12556DC0" w14:textId="78E3D56C"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64" w:history="1">
            <w:r w:rsidRPr="00933F70">
              <w:rPr>
                <w:rStyle w:val="Hyperlink"/>
                <w:rFonts w:cs="Arial"/>
                <w:b/>
                <w:bCs/>
              </w:rPr>
              <w:t>Efficiency Ratios</w:t>
            </w:r>
            <w:r>
              <w:rPr>
                <w:webHidden/>
              </w:rPr>
              <w:tab/>
            </w:r>
            <w:r>
              <w:rPr>
                <w:webHidden/>
              </w:rPr>
              <w:fldChar w:fldCharType="begin"/>
            </w:r>
            <w:r>
              <w:rPr>
                <w:webHidden/>
              </w:rPr>
              <w:instrText xml:space="preserve"> PAGEREF _Toc217162964 \h </w:instrText>
            </w:r>
            <w:r>
              <w:rPr>
                <w:webHidden/>
              </w:rPr>
            </w:r>
            <w:r>
              <w:rPr>
                <w:webHidden/>
              </w:rPr>
              <w:fldChar w:fldCharType="separate"/>
            </w:r>
            <w:r>
              <w:rPr>
                <w:webHidden/>
              </w:rPr>
              <w:t>9</w:t>
            </w:r>
            <w:r>
              <w:rPr>
                <w:webHidden/>
              </w:rPr>
              <w:fldChar w:fldCharType="end"/>
            </w:r>
          </w:hyperlink>
        </w:p>
        <w:p w14:paraId="72601DC3" w14:textId="52BB371B"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65" w:history="1">
            <w:r w:rsidRPr="00933F70">
              <w:rPr>
                <w:rStyle w:val="Hyperlink"/>
                <w:rFonts w:cs="Arial"/>
                <w:b/>
                <w:bCs/>
              </w:rPr>
              <w:t>Gearing Ratios</w:t>
            </w:r>
            <w:r>
              <w:rPr>
                <w:webHidden/>
              </w:rPr>
              <w:tab/>
            </w:r>
            <w:r>
              <w:rPr>
                <w:webHidden/>
              </w:rPr>
              <w:fldChar w:fldCharType="begin"/>
            </w:r>
            <w:r>
              <w:rPr>
                <w:webHidden/>
              </w:rPr>
              <w:instrText xml:space="preserve"> PAGEREF _Toc217162965 \h </w:instrText>
            </w:r>
            <w:r>
              <w:rPr>
                <w:webHidden/>
              </w:rPr>
            </w:r>
            <w:r>
              <w:rPr>
                <w:webHidden/>
              </w:rPr>
              <w:fldChar w:fldCharType="separate"/>
            </w:r>
            <w:r>
              <w:rPr>
                <w:webHidden/>
              </w:rPr>
              <w:t>12</w:t>
            </w:r>
            <w:r>
              <w:rPr>
                <w:webHidden/>
              </w:rPr>
              <w:fldChar w:fldCharType="end"/>
            </w:r>
          </w:hyperlink>
        </w:p>
        <w:p w14:paraId="6C62B8D3" w14:textId="2BE243CF"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66" w:history="1">
            <w:r w:rsidRPr="00933F70">
              <w:rPr>
                <w:rStyle w:val="Hyperlink"/>
                <w:rFonts w:cs="Arial"/>
              </w:rPr>
              <w:t>Investment Ratios</w:t>
            </w:r>
            <w:r>
              <w:rPr>
                <w:webHidden/>
              </w:rPr>
              <w:tab/>
            </w:r>
            <w:r>
              <w:rPr>
                <w:webHidden/>
              </w:rPr>
              <w:fldChar w:fldCharType="begin"/>
            </w:r>
            <w:r>
              <w:rPr>
                <w:webHidden/>
              </w:rPr>
              <w:instrText xml:space="preserve"> PAGEREF _Toc217162966 \h </w:instrText>
            </w:r>
            <w:r>
              <w:rPr>
                <w:webHidden/>
              </w:rPr>
            </w:r>
            <w:r>
              <w:rPr>
                <w:webHidden/>
              </w:rPr>
              <w:fldChar w:fldCharType="separate"/>
            </w:r>
            <w:r>
              <w:rPr>
                <w:webHidden/>
              </w:rPr>
              <w:t>13</w:t>
            </w:r>
            <w:r>
              <w:rPr>
                <w:webHidden/>
              </w:rPr>
              <w:fldChar w:fldCharType="end"/>
            </w:r>
          </w:hyperlink>
        </w:p>
        <w:p w14:paraId="22596194" w14:textId="78250719"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67" w:history="1">
            <w:r w:rsidRPr="00933F70">
              <w:rPr>
                <w:rStyle w:val="Hyperlink"/>
                <w:rFonts w:cs="Arial"/>
              </w:rPr>
              <w:t>Cash Flow-Based Assessment</w:t>
            </w:r>
            <w:r>
              <w:rPr>
                <w:webHidden/>
              </w:rPr>
              <w:tab/>
            </w:r>
            <w:r>
              <w:rPr>
                <w:webHidden/>
              </w:rPr>
              <w:fldChar w:fldCharType="begin"/>
            </w:r>
            <w:r>
              <w:rPr>
                <w:webHidden/>
              </w:rPr>
              <w:instrText xml:space="preserve"> PAGEREF _Toc217162967 \h </w:instrText>
            </w:r>
            <w:r>
              <w:rPr>
                <w:webHidden/>
              </w:rPr>
            </w:r>
            <w:r>
              <w:rPr>
                <w:webHidden/>
              </w:rPr>
              <w:fldChar w:fldCharType="separate"/>
            </w:r>
            <w:r>
              <w:rPr>
                <w:webHidden/>
              </w:rPr>
              <w:t>13</w:t>
            </w:r>
            <w:r>
              <w:rPr>
                <w:webHidden/>
              </w:rPr>
              <w:fldChar w:fldCharType="end"/>
            </w:r>
          </w:hyperlink>
        </w:p>
        <w:p w14:paraId="5A012608" w14:textId="4F5A7490"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68" w:history="1">
            <w:r w:rsidRPr="00933F70">
              <w:rPr>
                <w:rStyle w:val="Hyperlink"/>
                <w:rFonts w:eastAsia="Times New Roman" w:cs="Arial"/>
                <w:b/>
                <w:bCs/>
                <w:lang w:eastAsia="en-GB"/>
              </w:rPr>
              <w:t>Corporate Failure Analysis (Altman Z-Score)</w:t>
            </w:r>
            <w:r>
              <w:rPr>
                <w:webHidden/>
              </w:rPr>
              <w:tab/>
            </w:r>
            <w:r>
              <w:rPr>
                <w:webHidden/>
              </w:rPr>
              <w:fldChar w:fldCharType="begin"/>
            </w:r>
            <w:r>
              <w:rPr>
                <w:webHidden/>
              </w:rPr>
              <w:instrText xml:space="preserve"> PAGEREF _Toc217162968 \h </w:instrText>
            </w:r>
            <w:r>
              <w:rPr>
                <w:webHidden/>
              </w:rPr>
            </w:r>
            <w:r>
              <w:rPr>
                <w:webHidden/>
              </w:rPr>
              <w:fldChar w:fldCharType="separate"/>
            </w:r>
            <w:r>
              <w:rPr>
                <w:webHidden/>
              </w:rPr>
              <w:t>15</w:t>
            </w:r>
            <w:r>
              <w:rPr>
                <w:webHidden/>
              </w:rPr>
              <w:fldChar w:fldCharType="end"/>
            </w:r>
          </w:hyperlink>
        </w:p>
        <w:p w14:paraId="791CF4BE" w14:textId="32DFA75F"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69" w:history="1">
            <w:r w:rsidRPr="00933F70">
              <w:rPr>
                <w:rStyle w:val="Hyperlink"/>
                <w:rFonts w:cs="Arial"/>
                <w:b/>
                <w:bCs/>
              </w:rPr>
              <w:t>Cash Operating Cycle</w:t>
            </w:r>
            <w:r>
              <w:rPr>
                <w:webHidden/>
              </w:rPr>
              <w:tab/>
            </w:r>
            <w:r>
              <w:rPr>
                <w:webHidden/>
              </w:rPr>
              <w:fldChar w:fldCharType="begin"/>
            </w:r>
            <w:r>
              <w:rPr>
                <w:webHidden/>
              </w:rPr>
              <w:instrText xml:space="preserve"> PAGEREF _Toc217162969 \h </w:instrText>
            </w:r>
            <w:r>
              <w:rPr>
                <w:webHidden/>
              </w:rPr>
            </w:r>
            <w:r>
              <w:rPr>
                <w:webHidden/>
              </w:rPr>
              <w:fldChar w:fldCharType="separate"/>
            </w:r>
            <w:r>
              <w:rPr>
                <w:webHidden/>
              </w:rPr>
              <w:t>16</w:t>
            </w:r>
            <w:r>
              <w:rPr>
                <w:webHidden/>
              </w:rPr>
              <w:fldChar w:fldCharType="end"/>
            </w:r>
          </w:hyperlink>
        </w:p>
        <w:p w14:paraId="66E6162E" w14:textId="1D8E3FBF"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70" w:history="1">
            <w:r w:rsidRPr="00933F70">
              <w:rPr>
                <w:rStyle w:val="Hyperlink"/>
                <w:rFonts w:eastAsia="Times New Roman" w:cs="Arial"/>
                <w:b/>
                <w:bCs/>
                <w:lang w:eastAsia="en-GB"/>
              </w:rPr>
              <w:t>Diagnosis of Working Capital Problems and Recommendations</w:t>
            </w:r>
            <w:r>
              <w:rPr>
                <w:webHidden/>
              </w:rPr>
              <w:tab/>
            </w:r>
            <w:r>
              <w:rPr>
                <w:webHidden/>
              </w:rPr>
              <w:fldChar w:fldCharType="begin"/>
            </w:r>
            <w:r>
              <w:rPr>
                <w:webHidden/>
              </w:rPr>
              <w:instrText xml:space="preserve"> PAGEREF _Toc217162970 \h </w:instrText>
            </w:r>
            <w:r>
              <w:rPr>
                <w:webHidden/>
              </w:rPr>
            </w:r>
            <w:r>
              <w:rPr>
                <w:webHidden/>
              </w:rPr>
              <w:fldChar w:fldCharType="separate"/>
            </w:r>
            <w:r>
              <w:rPr>
                <w:webHidden/>
              </w:rPr>
              <w:t>18</w:t>
            </w:r>
            <w:r>
              <w:rPr>
                <w:webHidden/>
              </w:rPr>
              <w:fldChar w:fldCharType="end"/>
            </w:r>
          </w:hyperlink>
        </w:p>
        <w:p w14:paraId="23EDD7FA" w14:textId="5866703D"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71" w:history="1">
            <w:r w:rsidRPr="00933F70">
              <w:rPr>
                <w:rStyle w:val="Hyperlink"/>
                <w:rFonts w:eastAsia="Times New Roman" w:cs="Arial"/>
                <w:b/>
                <w:bCs/>
                <w:lang w:eastAsia="en-GB"/>
              </w:rPr>
              <w:t>Comparison of Short-Term and Long-Term Financing Options</w:t>
            </w:r>
            <w:r>
              <w:rPr>
                <w:webHidden/>
              </w:rPr>
              <w:tab/>
            </w:r>
            <w:r>
              <w:rPr>
                <w:webHidden/>
              </w:rPr>
              <w:fldChar w:fldCharType="begin"/>
            </w:r>
            <w:r>
              <w:rPr>
                <w:webHidden/>
              </w:rPr>
              <w:instrText xml:space="preserve"> PAGEREF _Toc217162971 \h </w:instrText>
            </w:r>
            <w:r>
              <w:rPr>
                <w:webHidden/>
              </w:rPr>
            </w:r>
            <w:r>
              <w:rPr>
                <w:webHidden/>
              </w:rPr>
              <w:fldChar w:fldCharType="separate"/>
            </w:r>
            <w:r>
              <w:rPr>
                <w:webHidden/>
              </w:rPr>
              <w:t>20</w:t>
            </w:r>
            <w:r>
              <w:rPr>
                <w:webHidden/>
              </w:rPr>
              <w:fldChar w:fldCharType="end"/>
            </w:r>
          </w:hyperlink>
        </w:p>
        <w:p w14:paraId="76834F8F" w14:textId="4DC81416" w:rsidR="00264AC2" w:rsidRDefault="00264AC2">
          <w:pPr>
            <w:pStyle w:val="TOC1"/>
            <w:tabs>
              <w:tab w:val="right" w:leader="dot" w:pos="9350"/>
            </w:tabs>
            <w:rPr>
              <w:rFonts w:asciiTheme="minorHAnsi" w:eastAsiaTheme="minorEastAsia" w:hAnsiTheme="minorHAnsi"/>
              <w:kern w:val="2"/>
              <w:szCs w:val="24"/>
              <w:lang w:eastAsia="en-GB"/>
              <w14:ligatures w14:val="standardContextual"/>
            </w:rPr>
          </w:pPr>
          <w:hyperlink w:anchor="_Toc217162972" w:history="1">
            <w:r w:rsidRPr="00933F70">
              <w:rPr>
                <w:rStyle w:val="Hyperlink"/>
                <w:rFonts w:cs="Arial"/>
                <w:b/>
                <w:bCs/>
              </w:rPr>
              <w:t>Strategic Financial Restructuring Plan</w:t>
            </w:r>
            <w:r>
              <w:rPr>
                <w:webHidden/>
              </w:rPr>
              <w:tab/>
            </w:r>
            <w:r>
              <w:rPr>
                <w:webHidden/>
              </w:rPr>
              <w:fldChar w:fldCharType="begin"/>
            </w:r>
            <w:r>
              <w:rPr>
                <w:webHidden/>
              </w:rPr>
              <w:instrText xml:space="preserve"> PAGEREF _Toc217162972 \h </w:instrText>
            </w:r>
            <w:r>
              <w:rPr>
                <w:webHidden/>
              </w:rPr>
            </w:r>
            <w:r>
              <w:rPr>
                <w:webHidden/>
              </w:rPr>
              <w:fldChar w:fldCharType="separate"/>
            </w:r>
            <w:r>
              <w:rPr>
                <w:webHidden/>
              </w:rPr>
              <w:t>20</w:t>
            </w:r>
            <w:r>
              <w:rPr>
                <w:webHidden/>
              </w:rPr>
              <w:fldChar w:fldCharType="end"/>
            </w:r>
          </w:hyperlink>
        </w:p>
        <w:p w14:paraId="26901491" w14:textId="0C1E8E23"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73" w:history="1">
            <w:r w:rsidRPr="00933F70">
              <w:rPr>
                <w:rStyle w:val="Hyperlink"/>
                <w:rFonts w:cs="Arial"/>
                <w:b/>
                <w:bCs/>
              </w:rPr>
              <w:t>Restructuring Options</w:t>
            </w:r>
            <w:r>
              <w:rPr>
                <w:webHidden/>
              </w:rPr>
              <w:tab/>
            </w:r>
            <w:r>
              <w:rPr>
                <w:webHidden/>
              </w:rPr>
              <w:fldChar w:fldCharType="begin"/>
            </w:r>
            <w:r>
              <w:rPr>
                <w:webHidden/>
              </w:rPr>
              <w:instrText xml:space="preserve"> PAGEREF _Toc217162973 \h </w:instrText>
            </w:r>
            <w:r>
              <w:rPr>
                <w:webHidden/>
              </w:rPr>
            </w:r>
            <w:r>
              <w:rPr>
                <w:webHidden/>
              </w:rPr>
              <w:fldChar w:fldCharType="separate"/>
            </w:r>
            <w:r>
              <w:rPr>
                <w:webHidden/>
              </w:rPr>
              <w:t>21</w:t>
            </w:r>
            <w:r>
              <w:rPr>
                <w:webHidden/>
              </w:rPr>
              <w:fldChar w:fldCharType="end"/>
            </w:r>
          </w:hyperlink>
        </w:p>
        <w:p w14:paraId="0071BCA5" w14:textId="21E7F3FD"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74" w:history="1">
            <w:r w:rsidRPr="00933F70">
              <w:rPr>
                <w:rStyle w:val="Hyperlink"/>
                <w:rFonts w:cs="Arial"/>
                <w:b/>
                <w:bCs/>
              </w:rPr>
              <w:t>Divestiture of Non-Core Assets</w:t>
            </w:r>
            <w:r>
              <w:rPr>
                <w:webHidden/>
              </w:rPr>
              <w:tab/>
            </w:r>
            <w:r>
              <w:rPr>
                <w:webHidden/>
              </w:rPr>
              <w:fldChar w:fldCharType="begin"/>
            </w:r>
            <w:r>
              <w:rPr>
                <w:webHidden/>
              </w:rPr>
              <w:instrText xml:space="preserve"> PAGEREF _Toc217162974 \h </w:instrText>
            </w:r>
            <w:r>
              <w:rPr>
                <w:webHidden/>
              </w:rPr>
            </w:r>
            <w:r>
              <w:rPr>
                <w:webHidden/>
              </w:rPr>
              <w:fldChar w:fldCharType="separate"/>
            </w:r>
            <w:r>
              <w:rPr>
                <w:webHidden/>
              </w:rPr>
              <w:t>21</w:t>
            </w:r>
            <w:r>
              <w:rPr>
                <w:webHidden/>
              </w:rPr>
              <w:fldChar w:fldCharType="end"/>
            </w:r>
          </w:hyperlink>
        </w:p>
        <w:p w14:paraId="265EC1BC" w14:textId="2D2B9ACA"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75" w:history="1">
            <w:r w:rsidRPr="00933F70">
              <w:rPr>
                <w:rStyle w:val="Hyperlink"/>
                <w:rFonts w:cs="Arial"/>
                <w:b/>
                <w:bCs/>
              </w:rPr>
              <w:t>Debt Restructuring &amp; Equity Injection</w:t>
            </w:r>
            <w:r>
              <w:rPr>
                <w:webHidden/>
              </w:rPr>
              <w:tab/>
            </w:r>
            <w:r>
              <w:rPr>
                <w:webHidden/>
              </w:rPr>
              <w:fldChar w:fldCharType="begin"/>
            </w:r>
            <w:r>
              <w:rPr>
                <w:webHidden/>
              </w:rPr>
              <w:instrText xml:space="preserve"> PAGEREF _Toc217162975 \h </w:instrText>
            </w:r>
            <w:r>
              <w:rPr>
                <w:webHidden/>
              </w:rPr>
            </w:r>
            <w:r>
              <w:rPr>
                <w:webHidden/>
              </w:rPr>
              <w:fldChar w:fldCharType="separate"/>
            </w:r>
            <w:r>
              <w:rPr>
                <w:webHidden/>
              </w:rPr>
              <w:t>21</w:t>
            </w:r>
            <w:r>
              <w:rPr>
                <w:webHidden/>
              </w:rPr>
              <w:fldChar w:fldCharType="end"/>
            </w:r>
          </w:hyperlink>
        </w:p>
        <w:p w14:paraId="1C3B2131" w14:textId="6C929D09" w:rsidR="00264AC2" w:rsidRDefault="00264AC2">
          <w:pPr>
            <w:pStyle w:val="TOC3"/>
            <w:tabs>
              <w:tab w:val="right" w:leader="dot" w:pos="9350"/>
            </w:tabs>
            <w:rPr>
              <w:rFonts w:asciiTheme="minorHAnsi" w:eastAsiaTheme="minorEastAsia" w:hAnsiTheme="minorHAnsi"/>
              <w:kern w:val="2"/>
              <w:szCs w:val="24"/>
              <w:lang w:eastAsia="en-GB"/>
              <w14:ligatures w14:val="standardContextual"/>
            </w:rPr>
          </w:pPr>
          <w:hyperlink w:anchor="_Toc217162976" w:history="1">
            <w:r w:rsidRPr="00933F70">
              <w:rPr>
                <w:rStyle w:val="Hyperlink"/>
                <w:rFonts w:cs="Arial"/>
                <w:b/>
                <w:bCs/>
              </w:rPr>
              <w:t>Operational Restructuring</w:t>
            </w:r>
            <w:r>
              <w:rPr>
                <w:webHidden/>
              </w:rPr>
              <w:tab/>
            </w:r>
            <w:r>
              <w:rPr>
                <w:webHidden/>
              </w:rPr>
              <w:fldChar w:fldCharType="begin"/>
            </w:r>
            <w:r>
              <w:rPr>
                <w:webHidden/>
              </w:rPr>
              <w:instrText xml:space="preserve"> PAGEREF _Toc217162976 \h </w:instrText>
            </w:r>
            <w:r>
              <w:rPr>
                <w:webHidden/>
              </w:rPr>
            </w:r>
            <w:r>
              <w:rPr>
                <w:webHidden/>
              </w:rPr>
              <w:fldChar w:fldCharType="separate"/>
            </w:r>
            <w:r>
              <w:rPr>
                <w:webHidden/>
              </w:rPr>
              <w:t>22</w:t>
            </w:r>
            <w:r>
              <w:rPr>
                <w:webHidden/>
              </w:rPr>
              <w:fldChar w:fldCharType="end"/>
            </w:r>
          </w:hyperlink>
        </w:p>
        <w:p w14:paraId="23751641" w14:textId="2CA37AF8"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77" w:history="1">
            <w:r w:rsidRPr="00933F70">
              <w:rPr>
                <w:rStyle w:val="Hyperlink"/>
                <w:rFonts w:cs="Arial"/>
                <w:b/>
                <w:bCs/>
              </w:rPr>
              <w:t>International and Ethical Considerations</w:t>
            </w:r>
            <w:r>
              <w:rPr>
                <w:webHidden/>
              </w:rPr>
              <w:tab/>
            </w:r>
            <w:r>
              <w:rPr>
                <w:webHidden/>
              </w:rPr>
              <w:fldChar w:fldCharType="begin"/>
            </w:r>
            <w:r>
              <w:rPr>
                <w:webHidden/>
              </w:rPr>
              <w:instrText xml:space="preserve"> PAGEREF _Toc217162977 \h </w:instrText>
            </w:r>
            <w:r>
              <w:rPr>
                <w:webHidden/>
              </w:rPr>
            </w:r>
            <w:r>
              <w:rPr>
                <w:webHidden/>
              </w:rPr>
              <w:fldChar w:fldCharType="separate"/>
            </w:r>
            <w:r>
              <w:rPr>
                <w:webHidden/>
              </w:rPr>
              <w:t>23</w:t>
            </w:r>
            <w:r>
              <w:rPr>
                <w:webHidden/>
              </w:rPr>
              <w:fldChar w:fldCharType="end"/>
            </w:r>
          </w:hyperlink>
        </w:p>
        <w:p w14:paraId="5DE37558" w14:textId="2AE472E3"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78" w:history="1">
            <w:r w:rsidRPr="00933F70">
              <w:rPr>
                <w:rStyle w:val="Hyperlink"/>
                <w:rFonts w:cs="Arial"/>
                <w:b/>
                <w:bCs/>
              </w:rPr>
              <w:t>Accounting Rate of Return (ARR)</w:t>
            </w:r>
            <w:r>
              <w:rPr>
                <w:webHidden/>
              </w:rPr>
              <w:tab/>
            </w:r>
            <w:r>
              <w:rPr>
                <w:webHidden/>
              </w:rPr>
              <w:fldChar w:fldCharType="begin"/>
            </w:r>
            <w:r>
              <w:rPr>
                <w:webHidden/>
              </w:rPr>
              <w:instrText xml:space="preserve"> PAGEREF _Toc217162978 \h </w:instrText>
            </w:r>
            <w:r>
              <w:rPr>
                <w:webHidden/>
              </w:rPr>
            </w:r>
            <w:r>
              <w:rPr>
                <w:webHidden/>
              </w:rPr>
              <w:fldChar w:fldCharType="separate"/>
            </w:r>
            <w:r>
              <w:rPr>
                <w:webHidden/>
              </w:rPr>
              <w:t>25</w:t>
            </w:r>
            <w:r>
              <w:rPr>
                <w:webHidden/>
              </w:rPr>
              <w:fldChar w:fldCharType="end"/>
            </w:r>
          </w:hyperlink>
        </w:p>
        <w:p w14:paraId="7A199C3A" w14:textId="524A5923"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79" w:history="1">
            <w:r w:rsidRPr="00933F70">
              <w:rPr>
                <w:rStyle w:val="Hyperlink"/>
                <w:rFonts w:cs="Arial"/>
                <w:b/>
                <w:bCs/>
              </w:rPr>
              <w:t>Net Present Value (NPV)</w:t>
            </w:r>
            <w:r>
              <w:rPr>
                <w:webHidden/>
              </w:rPr>
              <w:tab/>
            </w:r>
            <w:r>
              <w:rPr>
                <w:webHidden/>
              </w:rPr>
              <w:fldChar w:fldCharType="begin"/>
            </w:r>
            <w:r>
              <w:rPr>
                <w:webHidden/>
              </w:rPr>
              <w:instrText xml:space="preserve"> PAGEREF _Toc217162979 \h </w:instrText>
            </w:r>
            <w:r>
              <w:rPr>
                <w:webHidden/>
              </w:rPr>
            </w:r>
            <w:r>
              <w:rPr>
                <w:webHidden/>
              </w:rPr>
              <w:fldChar w:fldCharType="separate"/>
            </w:r>
            <w:r>
              <w:rPr>
                <w:webHidden/>
              </w:rPr>
              <w:t>26</w:t>
            </w:r>
            <w:r>
              <w:rPr>
                <w:webHidden/>
              </w:rPr>
              <w:fldChar w:fldCharType="end"/>
            </w:r>
          </w:hyperlink>
        </w:p>
        <w:p w14:paraId="438B4AD7" w14:textId="0A8CED67"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80" w:history="1">
            <w:r w:rsidRPr="00933F70">
              <w:rPr>
                <w:rStyle w:val="Hyperlink"/>
                <w:rFonts w:cs="Arial"/>
                <w:b/>
                <w:bCs/>
              </w:rPr>
              <w:t>Profitability Index (PI)</w:t>
            </w:r>
            <w:r>
              <w:rPr>
                <w:webHidden/>
              </w:rPr>
              <w:tab/>
            </w:r>
            <w:r>
              <w:rPr>
                <w:webHidden/>
              </w:rPr>
              <w:fldChar w:fldCharType="begin"/>
            </w:r>
            <w:r>
              <w:rPr>
                <w:webHidden/>
              </w:rPr>
              <w:instrText xml:space="preserve"> PAGEREF _Toc217162980 \h </w:instrText>
            </w:r>
            <w:r>
              <w:rPr>
                <w:webHidden/>
              </w:rPr>
            </w:r>
            <w:r>
              <w:rPr>
                <w:webHidden/>
              </w:rPr>
              <w:fldChar w:fldCharType="separate"/>
            </w:r>
            <w:r>
              <w:rPr>
                <w:webHidden/>
              </w:rPr>
              <w:t>26</w:t>
            </w:r>
            <w:r>
              <w:rPr>
                <w:webHidden/>
              </w:rPr>
              <w:fldChar w:fldCharType="end"/>
            </w:r>
          </w:hyperlink>
        </w:p>
        <w:p w14:paraId="51C2F7FD" w14:textId="4A379929"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81" w:history="1">
            <w:r w:rsidRPr="00933F70">
              <w:rPr>
                <w:rStyle w:val="Hyperlink"/>
                <w:rFonts w:cs="Arial"/>
                <w:b/>
                <w:bCs/>
              </w:rPr>
              <w:t>Internal Rate of Return (IRR)</w:t>
            </w:r>
            <w:r>
              <w:rPr>
                <w:webHidden/>
              </w:rPr>
              <w:tab/>
            </w:r>
            <w:r>
              <w:rPr>
                <w:webHidden/>
              </w:rPr>
              <w:fldChar w:fldCharType="begin"/>
            </w:r>
            <w:r>
              <w:rPr>
                <w:webHidden/>
              </w:rPr>
              <w:instrText xml:space="preserve"> PAGEREF _Toc217162981 \h </w:instrText>
            </w:r>
            <w:r>
              <w:rPr>
                <w:webHidden/>
              </w:rPr>
            </w:r>
            <w:r>
              <w:rPr>
                <w:webHidden/>
              </w:rPr>
              <w:fldChar w:fldCharType="separate"/>
            </w:r>
            <w:r>
              <w:rPr>
                <w:webHidden/>
              </w:rPr>
              <w:t>27</w:t>
            </w:r>
            <w:r>
              <w:rPr>
                <w:webHidden/>
              </w:rPr>
              <w:fldChar w:fldCharType="end"/>
            </w:r>
          </w:hyperlink>
        </w:p>
        <w:p w14:paraId="3FB0959A" w14:textId="3E1425CD"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82" w:history="1">
            <w:r w:rsidRPr="00933F70">
              <w:rPr>
                <w:rStyle w:val="Hyperlink"/>
                <w:rFonts w:cs="Arial"/>
                <w:b/>
                <w:bCs/>
              </w:rPr>
              <w:t>Results Summary &amp; Final Investment Recommendation:</w:t>
            </w:r>
            <w:r>
              <w:rPr>
                <w:webHidden/>
              </w:rPr>
              <w:tab/>
            </w:r>
            <w:r>
              <w:rPr>
                <w:webHidden/>
              </w:rPr>
              <w:fldChar w:fldCharType="begin"/>
            </w:r>
            <w:r>
              <w:rPr>
                <w:webHidden/>
              </w:rPr>
              <w:instrText xml:space="preserve"> PAGEREF _Toc217162982 \h </w:instrText>
            </w:r>
            <w:r>
              <w:rPr>
                <w:webHidden/>
              </w:rPr>
            </w:r>
            <w:r>
              <w:rPr>
                <w:webHidden/>
              </w:rPr>
              <w:fldChar w:fldCharType="separate"/>
            </w:r>
            <w:r>
              <w:rPr>
                <w:webHidden/>
              </w:rPr>
              <w:t>28</w:t>
            </w:r>
            <w:r>
              <w:rPr>
                <w:webHidden/>
              </w:rPr>
              <w:fldChar w:fldCharType="end"/>
            </w:r>
          </w:hyperlink>
        </w:p>
        <w:p w14:paraId="746815F9" w14:textId="2A4D7F24" w:rsidR="00264AC2" w:rsidRDefault="00264AC2">
          <w:pPr>
            <w:pStyle w:val="TOC1"/>
            <w:tabs>
              <w:tab w:val="right" w:leader="dot" w:pos="9350"/>
            </w:tabs>
            <w:rPr>
              <w:rFonts w:asciiTheme="minorHAnsi" w:eastAsiaTheme="minorEastAsia" w:hAnsiTheme="minorHAnsi"/>
              <w:kern w:val="2"/>
              <w:szCs w:val="24"/>
              <w:lang w:eastAsia="en-GB"/>
              <w14:ligatures w14:val="standardContextual"/>
            </w:rPr>
          </w:pPr>
          <w:hyperlink w:anchor="_Toc217162983" w:history="1">
            <w:r w:rsidRPr="00933F70">
              <w:rPr>
                <w:rStyle w:val="Hyperlink"/>
                <w:rFonts w:cs="Arial"/>
                <w:b/>
                <w:bCs/>
              </w:rPr>
              <w:t>Conclusion</w:t>
            </w:r>
            <w:r>
              <w:rPr>
                <w:webHidden/>
              </w:rPr>
              <w:tab/>
            </w:r>
            <w:r>
              <w:rPr>
                <w:webHidden/>
              </w:rPr>
              <w:fldChar w:fldCharType="begin"/>
            </w:r>
            <w:r>
              <w:rPr>
                <w:webHidden/>
              </w:rPr>
              <w:instrText xml:space="preserve"> PAGEREF _Toc217162983 \h </w:instrText>
            </w:r>
            <w:r>
              <w:rPr>
                <w:webHidden/>
              </w:rPr>
            </w:r>
            <w:r>
              <w:rPr>
                <w:webHidden/>
              </w:rPr>
              <w:fldChar w:fldCharType="separate"/>
            </w:r>
            <w:r>
              <w:rPr>
                <w:webHidden/>
              </w:rPr>
              <w:t>29</w:t>
            </w:r>
            <w:r>
              <w:rPr>
                <w:webHidden/>
              </w:rPr>
              <w:fldChar w:fldCharType="end"/>
            </w:r>
          </w:hyperlink>
        </w:p>
        <w:p w14:paraId="581FFA46" w14:textId="51CEC681" w:rsidR="00264AC2" w:rsidRDefault="00264AC2">
          <w:pPr>
            <w:pStyle w:val="TOC1"/>
            <w:tabs>
              <w:tab w:val="right" w:leader="dot" w:pos="9350"/>
            </w:tabs>
            <w:rPr>
              <w:rFonts w:asciiTheme="minorHAnsi" w:eastAsiaTheme="minorEastAsia" w:hAnsiTheme="minorHAnsi"/>
              <w:kern w:val="2"/>
              <w:szCs w:val="24"/>
              <w:lang w:eastAsia="en-GB"/>
              <w14:ligatures w14:val="standardContextual"/>
            </w:rPr>
          </w:pPr>
          <w:hyperlink w:anchor="_Toc217162984" w:history="1">
            <w:r w:rsidRPr="00933F70">
              <w:rPr>
                <w:rStyle w:val="Hyperlink"/>
                <w:rFonts w:cs="Arial"/>
                <w:b/>
                <w:bCs/>
                <w:lang w:val="en-US"/>
              </w:rPr>
              <w:t>Reference List:</w:t>
            </w:r>
            <w:r>
              <w:rPr>
                <w:webHidden/>
              </w:rPr>
              <w:tab/>
            </w:r>
            <w:r>
              <w:rPr>
                <w:webHidden/>
              </w:rPr>
              <w:fldChar w:fldCharType="begin"/>
            </w:r>
            <w:r>
              <w:rPr>
                <w:webHidden/>
              </w:rPr>
              <w:instrText xml:space="preserve"> PAGEREF _Toc217162984 \h </w:instrText>
            </w:r>
            <w:r>
              <w:rPr>
                <w:webHidden/>
              </w:rPr>
            </w:r>
            <w:r>
              <w:rPr>
                <w:webHidden/>
              </w:rPr>
              <w:fldChar w:fldCharType="separate"/>
            </w:r>
            <w:r>
              <w:rPr>
                <w:webHidden/>
              </w:rPr>
              <w:t>30</w:t>
            </w:r>
            <w:r>
              <w:rPr>
                <w:webHidden/>
              </w:rPr>
              <w:fldChar w:fldCharType="end"/>
            </w:r>
          </w:hyperlink>
        </w:p>
        <w:p w14:paraId="5DD14331" w14:textId="59EEFA2A" w:rsidR="00264AC2" w:rsidRDefault="00264AC2">
          <w:pPr>
            <w:pStyle w:val="TOC1"/>
            <w:tabs>
              <w:tab w:val="right" w:leader="dot" w:pos="9350"/>
            </w:tabs>
            <w:rPr>
              <w:rFonts w:asciiTheme="minorHAnsi" w:eastAsiaTheme="minorEastAsia" w:hAnsiTheme="minorHAnsi"/>
              <w:kern w:val="2"/>
              <w:szCs w:val="24"/>
              <w:lang w:eastAsia="en-GB"/>
              <w14:ligatures w14:val="standardContextual"/>
            </w:rPr>
          </w:pPr>
          <w:hyperlink w:anchor="_Toc217162985" w:history="1">
            <w:r w:rsidRPr="00933F70">
              <w:rPr>
                <w:rStyle w:val="Hyperlink"/>
                <w:rFonts w:cs="Arial"/>
                <w:b/>
                <w:bCs/>
              </w:rPr>
              <w:t>Appendices:</w:t>
            </w:r>
            <w:r>
              <w:rPr>
                <w:webHidden/>
              </w:rPr>
              <w:tab/>
            </w:r>
            <w:r>
              <w:rPr>
                <w:webHidden/>
              </w:rPr>
              <w:fldChar w:fldCharType="begin"/>
            </w:r>
            <w:r>
              <w:rPr>
                <w:webHidden/>
              </w:rPr>
              <w:instrText xml:space="preserve"> PAGEREF _Toc217162985 \h </w:instrText>
            </w:r>
            <w:r>
              <w:rPr>
                <w:webHidden/>
              </w:rPr>
            </w:r>
            <w:r>
              <w:rPr>
                <w:webHidden/>
              </w:rPr>
              <w:fldChar w:fldCharType="separate"/>
            </w:r>
            <w:r>
              <w:rPr>
                <w:webHidden/>
              </w:rPr>
              <w:t>32</w:t>
            </w:r>
            <w:r>
              <w:rPr>
                <w:webHidden/>
              </w:rPr>
              <w:fldChar w:fldCharType="end"/>
            </w:r>
          </w:hyperlink>
        </w:p>
        <w:p w14:paraId="400BA0FE" w14:textId="5CF8E63F"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86" w:history="1">
            <w:r w:rsidRPr="00933F70">
              <w:rPr>
                <w:rStyle w:val="Hyperlink"/>
                <w:rFonts w:cs="Arial"/>
                <w:b/>
                <w:bCs/>
              </w:rPr>
              <w:t>Ratio Analysis of GE</w:t>
            </w:r>
            <w:r>
              <w:rPr>
                <w:webHidden/>
              </w:rPr>
              <w:tab/>
            </w:r>
            <w:r>
              <w:rPr>
                <w:webHidden/>
              </w:rPr>
              <w:fldChar w:fldCharType="begin"/>
            </w:r>
            <w:r>
              <w:rPr>
                <w:webHidden/>
              </w:rPr>
              <w:instrText xml:space="preserve"> PAGEREF _Toc217162986 \h </w:instrText>
            </w:r>
            <w:r>
              <w:rPr>
                <w:webHidden/>
              </w:rPr>
            </w:r>
            <w:r>
              <w:rPr>
                <w:webHidden/>
              </w:rPr>
              <w:fldChar w:fldCharType="separate"/>
            </w:r>
            <w:r>
              <w:rPr>
                <w:webHidden/>
              </w:rPr>
              <w:t>32</w:t>
            </w:r>
            <w:r>
              <w:rPr>
                <w:webHidden/>
              </w:rPr>
              <w:fldChar w:fldCharType="end"/>
            </w:r>
          </w:hyperlink>
        </w:p>
        <w:p w14:paraId="192C0339" w14:textId="214671E5"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87" w:history="1">
            <w:r w:rsidRPr="00933F70">
              <w:rPr>
                <w:rStyle w:val="Hyperlink"/>
                <w:rFonts w:eastAsia="Times New Roman" w:cs="Arial"/>
                <w:b/>
                <w:bCs/>
                <w:lang w:eastAsia="en-GB"/>
              </w:rPr>
              <w:t>Altman Z-Score</w:t>
            </w:r>
            <w:r>
              <w:rPr>
                <w:webHidden/>
              </w:rPr>
              <w:tab/>
            </w:r>
            <w:r>
              <w:rPr>
                <w:webHidden/>
              </w:rPr>
              <w:fldChar w:fldCharType="begin"/>
            </w:r>
            <w:r>
              <w:rPr>
                <w:webHidden/>
              </w:rPr>
              <w:instrText xml:space="preserve"> PAGEREF _Toc217162987 \h </w:instrText>
            </w:r>
            <w:r>
              <w:rPr>
                <w:webHidden/>
              </w:rPr>
            </w:r>
            <w:r>
              <w:rPr>
                <w:webHidden/>
              </w:rPr>
              <w:fldChar w:fldCharType="separate"/>
            </w:r>
            <w:r>
              <w:rPr>
                <w:webHidden/>
              </w:rPr>
              <w:t>37</w:t>
            </w:r>
            <w:r>
              <w:rPr>
                <w:webHidden/>
              </w:rPr>
              <w:fldChar w:fldCharType="end"/>
            </w:r>
          </w:hyperlink>
        </w:p>
        <w:p w14:paraId="4884581B" w14:textId="669FDE04" w:rsidR="00264AC2" w:rsidRDefault="00264AC2">
          <w:pPr>
            <w:pStyle w:val="TOC2"/>
            <w:tabs>
              <w:tab w:val="right" w:leader="dot" w:pos="9350"/>
            </w:tabs>
            <w:rPr>
              <w:rFonts w:asciiTheme="minorHAnsi" w:eastAsiaTheme="minorEastAsia" w:hAnsiTheme="minorHAnsi"/>
              <w:kern w:val="2"/>
              <w:szCs w:val="24"/>
              <w:lang w:eastAsia="en-GB"/>
              <w14:ligatures w14:val="standardContextual"/>
            </w:rPr>
          </w:pPr>
          <w:hyperlink w:anchor="_Toc217162988" w:history="1">
            <w:r w:rsidRPr="00933F70">
              <w:rPr>
                <w:rStyle w:val="Hyperlink"/>
                <w:rFonts w:cs="Arial"/>
                <w:b/>
                <w:bCs/>
                <w:lang w:val="en-US"/>
              </w:rPr>
              <w:t>Investment Appraisal</w:t>
            </w:r>
            <w:r>
              <w:rPr>
                <w:webHidden/>
              </w:rPr>
              <w:tab/>
            </w:r>
            <w:r>
              <w:rPr>
                <w:webHidden/>
              </w:rPr>
              <w:fldChar w:fldCharType="begin"/>
            </w:r>
            <w:r>
              <w:rPr>
                <w:webHidden/>
              </w:rPr>
              <w:instrText xml:space="preserve"> PAGEREF _Toc217162988 \h </w:instrText>
            </w:r>
            <w:r>
              <w:rPr>
                <w:webHidden/>
              </w:rPr>
            </w:r>
            <w:r>
              <w:rPr>
                <w:webHidden/>
              </w:rPr>
              <w:fldChar w:fldCharType="separate"/>
            </w:r>
            <w:r>
              <w:rPr>
                <w:webHidden/>
              </w:rPr>
              <w:t>38</w:t>
            </w:r>
            <w:r>
              <w:rPr>
                <w:webHidden/>
              </w:rPr>
              <w:fldChar w:fldCharType="end"/>
            </w:r>
          </w:hyperlink>
        </w:p>
        <w:p w14:paraId="0938C508" w14:textId="1834D8B5" w:rsidR="000A4728" w:rsidRPr="00E7418B" w:rsidRDefault="000A4728" w:rsidP="00E7418B">
          <w:pPr>
            <w:rPr>
              <w:rFonts w:cs="Arial"/>
              <w:color w:val="000000" w:themeColor="text1"/>
              <w:szCs w:val="24"/>
            </w:rPr>
          </w:pPr>
          <w:r w:rsidRPr="00E7418B">
            <w:rPr>
              <w:rFonts w:cs="Arial"/>
              <w:color w:val="000000" w:themeColor="text1"/>
              <w:szCs w:val="24"/>
            </w:rPr>
            <w:fldChar w:fldCharType="end"/>
          </w:r>
        </w:p>
      </w:sdtContent>
    </w:sdt>
    <w:p w14:paraId="61EB84DE" w14:textId="2CDAFC8F" w:rsidR="00AB21F8" w:rsidRPr="00E7418B" w:rsidRDefault="00AB21F8" w:rsidP="00E7418B">
      <w:pPr>
        <w:rPr>
          <w:rFonts w:eastAsiaTheme="majorEastAsia" w:cs="Arial"/>
          <w:color w:val="000000" w:themeColor="text1"/>
          <w:szCs w:val="24"/>
        </w:rPr>
      </w:pPr>
      <w:r w:rsidRPr="00E7418B">
        <w:rPr>
          <w:rFonts w:cs="Arial"/>
          <w:color w:val="000000" w:themeColor="text1"/>
          <w:szCs w:val="24"/>
        </w:rPr>
        <w:br/>
      </w:r>
      <w:r w:rsidRPr="00E7418B">
        <w:rPr>
          <w:rFonts w:cs="Arial"/>
          <w:color w:val="000000" w:themeColor="text1"/>
          <w:szCs w:val="24"/>
        </w:rPr>
        <w:br w:type="page"/>
      </w:r>
    </w:p>
    <w:p w14:paraId="235524FF" w14:textId="373B221A" w:rsidR="00526D2A" w:rsidRPr="00E7418B" w:rsidRDefault="00526D2A" w:rsidP="00E7418B">
      <w:pPr>
        <w:pStyle w:val="Heading1"/>
        <w:rPr>
          <w:rFonts w:ascii="Arial" w:hAnsi="Arial" w:cs="Arial"/>
          <w:b/>
          <w:bCs/>
          <w:color w:val="000000" w:themeColor="text1"/>
          <w:sz w:val="24"/>
          <w:szCs w:val="24"/>
        </w:rPr>
      </w:pPr>
      <w:bookmarkStart w:id="1" w:name="_Toc217162959"/>
      <w:r w:rsidRPr="00E7418B">
        <w:rPr>
          <w:rFonts w:ascii="Arial" w:hAnsi="Arial" w:cs="Arial"/>
          <w:b/>
          <w:bCs/>
          <w:color w:val="000000" w:themeColor="text1"/>
          <w:sz w:val="24"/>
          <w:szCs w:val="24"/>
        </w:rPr>
        <w:t>Introduction:</w:t>
      </w:r>
      <w:bookmarkEnd w:id="1"/>
    </w:p>
    <w:p w14:paraId="14791724"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General Electronics is a multinational electronics company. It used to have a good market position. The decline in performance has been evident in recent years. This report will evaluate its performance within a period of five years. The decline in revenue between 2020 and 2024 was enormous. Revenue fell from £614.7bn in 2020. It dropped to £394.9bn by 2024. There was an increase in operating losses in 2023 and 2024. In 2023, the company reported a tremendous £49bn impairment. Cash flow has fallen to a drastic level. GE has become a creditor of short-term credit. The report aimed at finding out the underlying issues. It expounds the ways and reasons why the position of the firm has been undermined. It will determine the causes of this financial downfall. It also evaluates the problem of working capital. It then outlines a strategic restructuring initiative in order to stabilise it. It also analyses three major investment projects. This involves the entire capital budgeting procedures. Collectively, these passages create a precise and viable plan that would enable GE to recover. </w:t>
      </w:r>
    </w:p>
    <w:p w14:paraId="44F0A220" w14:textId="24A4B3B8" w:rsidR="00526D2A" w:rsidRPr="00E7418B" w:rsidRDefault="00526D2A" w:rsidP="00E7418B">
      <w:pPr>
        <w:rPr>
          <w:rFonts w:cs="Arial"/>
          <w:color w:val="000000" w:themeColor="text1"/>
          <w:szCs w:val="24"/>
        </w:rPr>
      </w:pPr>
      <w:r w:rsidRPr="00E7418B">
        <w:rPr>
          <w:rFonts w:cs="Arial"/>
          <w:b/>
          <w:bCs/>
          <w:color w:val="000000" w:themeColor="text1"/>
          <w:szCs w:val="24"/>
        </w:rPr>
        <w:t>Financial Health Check</w:t>
      </w:r>
    </w:p>
    <w:p w14:paraId="5E887DE4" w14:textId="77777777" w:rsidR="00526D2A" w:rsidRPr="00E7418B" w:rsidRDefault="00526D2A" w:rsidP="00E7418B">
      <w:pPr>
        <w:pStyle w:val="Heading2"/>
        <w:rPr>
          <w:rFonts w:ascii="Arial" w:hAnsi="Arial" w:cs="Arial"/>
          <w:b/>
          <w:bCs/>
          <w:color w:val="000000" w:themeColor="text1"/>
          <w:sz w:val="24"/>
          <w:szCs w:val="24"/>
        </w:rPr>
      </w:pPr>
      <w:bookmarkStart w:id="2" w:name="_Toc217162960"/>
      <w:r w:rsidRPr="00E7418B">
        <w:rPr>
          <w:rFonts w:ascii="Arial" w:hAnsi="Arial" w:cs="Arial"/>
          <w:b/>
          <w:bCs/>
          <w:color w:val="000000" w:themeColor="text1"/>
          <w:sz w:val="24"/>
          <w:szCs w:val="24"/>
        </w:rPr>
        <w:t>Analysis of Financial Statements</w:t>
      </w:r>
      <w:bookmarkEnd w:id="2"/>
      <w:r w:rsidRPr="00E7418B">
        <w:rPr>
          <w:rFonts w:ascii="Arial" w:hAnsi="Arial" w:cs="Arial"/>
          <w:b/>
          <w:bCs/>
          <w:color w:val="000000" w:themeColor="text1"/>
          <w:sz w:val="24"/>
          <w:szCs w:val="24"/>
        </w:rPr>
        <w:t xml:space="preserve"> </w:t>
      </w:r>
    </w:p>
    <w:p w14:paraId="35526C9E" w14:textId="77777777" w:rsidR="00526D2A" w:rsidRPr="00E7418B" w:rsidRDefault="00526D2A" w:rsidP="00E7418B">
      <w:pPr>
        <w:rPr>
          <w:rFonts w:cs="Arial"/>
          <w:b/>
          <w:bCs/>
          <w:color w:val="000000" w:themeColor="text1"/>
          <w:szCs w:val="24"/>
        </w:rPr>
      </w:pPr>
      <w:r w:rsidRPr="00E7418B">
        <w:rPr>
          <w:rFonts w:cs="Arial"/>
          <w:b/>
          <w:bCs/>
          <w:color w:val="000000" w:themeColor="text1"/>
          <w:szCs w:val="24"/>
        </w:rPr>
        <w:t>Income Statement</w:t>
      </w:r>
    </w:p>
    <w:p w14:paraId="361DCC9B" w14:textId="7F1F1F70" w:rsidR="00526D2A" w:rsidRPr="00762F5F" w:rsidRDefault="00526D2A" w:rsidP="00E7418B">
      <w:pPr>
        <w:rPr>
          <w:rFonts w:cs="Arial"/>
          <w:color w:val="000000" w:themeColor="text1"/>
          <w:szCs w:val="24"/>
        </w:rPr>
      </w:pPr>
      <w:r w:rsidRPr="00762F5F">
        <w:rPr>
          <w:rFonts w:cs="Arial"/>
          <w:color w:val="000000" w:themeColor="text1"/>
          <w:szCs w:val="24"/>
        </w:rPr>
        <w:t>Sales have been decreasing over the past five years. The trend is declining when compared to the yearly trend since 2020. In 2020, the amount of sales decreased to £614.7bn and in 2024, it dropped to £394.9bn. This is a five-year decline of 36%. It exhibits a decrease in demand and a pressure in the market.</w:t>
      </w:r>
      <w:r w:rsidR="00762F5F" w:rsidRPr="00762F5F">
        <w:rPr>
          <w:rFonts w:cs="Arial"/>
          <w:color w:val="000000" w:themeColor="text1"/>
          <w:szCs w:val="24"/>
        </w:rPr>
        <w:t>Additionally,</w:t>
      </w:r>
      <w:r w:rsidR="00762F5F">
        <w:rPr>
          <w:rFonts w:cs="Arial"/>
          <w:color w:val="000000" w:themeColor="text1"/>
          <w:szCs w:val="24"/>
        </w:rPr>
        <w:t xml:space="preserve"> </w:t>
      </w:r>
      <w:r w:rsidR="00762F5F" w:rsidRPr="00762F5F">
        <w:rPr>
          <w:rFonts w:cs="Arial"/>
          <w:color w:val="000000" w:themeColor="text1"/>
          <w:szCs w:val="24"/>
        </w:rPr>
        <w:t>the cost of sales in declining albeit slowly.However the</w:t>
      </w:r>
      <w:r w:rsidR="00762F5F">
        <w:rPr>
          <w:rFonts w:cs="Arial"/>
          <w:color w:val="000000" w:themeColor="text1"/>
          <w:szCs w:val="24"/>
        </w:rPr>
        <w:t xml:space="preserve"> </w:t>
      </w:r>
      <w:r w:rsidR="00762F5F" w:rsidRPr="00762F5F">
        <w:rPr>
          <w:rFonts w:cs="Arial"/>
          <w:color w:val="000000" w:themeColor="text1"/>
          <w:szCs w:val="24"/>
        </w:rPr>
        <w:t>gross profit declined more sharply.</w:t>
      </w:r>
      <w:r w:rsidR="00762F5F">
        <w:rPr>
          <w:rFonts w:cs="Arial"/>
          <w:color w:val="000000" w:themeColor="text1"/>
          <w:szCs w:val="24"/>
        </w:rPr>
        <w:t xml:space="preserve"> </w:t>
      </w:r>
      <w:r w:rsidR="00762F5F" w:rsidRPr="00762F5F">
        <w:rPr>
          <w:rFonts w:cs="Arial"/>
          <w:color w:val="000000" w:themeColor="text1"/>
          <w:szCs w:val="24"/>
        </w:rPr>
        <w:t xml:space="preserve">Additionally,operating income shifted to a loss.In 2020 the business made </w:t>
      </w:r>
      <w:r w:rsidRPr="00762F5F">
        <w:rPr>
          <w:rFonts w:cs="Arial"/>
          <w:color w:val="000000" w:themeColor="text1"/>
          <w:szCs w:val="24"/>
        </w:rPr>
        <w:t>£37</w:t>
      </w:r>
      <w:r w:rsidR="00762F5F" w:rsidRPr="00762F5F">
        <w:rPr>
          <w:rFonts w:cs="Arial"/>
          <w:color w:val="000000" w:themeColor="text1"/>
          <w:szCs w:val="24"/>
        </w:rPr>
        <w:t xml:space="preserve"> billion.However,it declared losses in 2023 and 2024.The 2023 results had a significant event.</w:t>
      </w:r>
      <w:r w:rsidRPr="00762F5F">
        <w:rPr>
          <w:rFonts w:cs="Arial"/>
          <w:color w:val="000000" w:themeColor="text1"/>
          <w:szCs w:val="24"/>
        </w:rPr>
        <w:t>GE</w:t>
      </w:r>
      <w:r w:rsidR="00762F5F" w:rsidRPr="00762F5F">
        <w:rPr>
          <w:rFonts w:cs="Arial"/>
          <w:color w:val="000000" w:themeColor="text1"/>
          <w:szCs w:val="24"/>
        </w:rPr>
        <w:t xml:space="preserve"> suffered a significant </w:t>
      </w:r>
      <w:r w:rsidRPr="00762F5F">
        <w:rPr>
          <w:rFonts w:cs="Arial"/>
          <w:color w:val="000000" w:themeColor="text1"/>
          <w:szCs w:val="24"/>
        </w:rPr>
        <w:t>£49</w:t>
      </w:r>
      <w:r w:rsidR="00762F5F" w:rsidRPr="00762F5F">
        <w:rPr>
          <w:rFonts w:cs="Arial"/>
          <w:color w:val="000000" w:themeColor="text1"/>
          <w:szCs w:val="24"/>
        </w:rPr>
        <w:t xml:space="preserve"> billion impairment</w:t>
      </w:r>
      <w:r w:rsidRPr="00762F5F">
        <w:rPr>
          <w:rFonts w:cs="Arial"/>
          <w:color w:val="000000" w:themeColor="text1"/>
          <w:szCs w:val="24"/>
        </w:rPr>
        <w:t xml:space="preserve">. This aggravated the final performance. Profit was transformed by the consistent losses. The losses </w:t>
      </w:r>
      <w:r w:rsidR="008B7FA6" w:rsidRPr="00762F5F">
        <w:rPr>
          <w:rFonts w:cs="Arial"/>
          <w:color w:val="000000" w:themeColor="text1"/>
          <w:szCs w:val="24"/>
        </w:rPr>
        <w:t>indicate that the business can no longer cover its costs.</w:t>
      </w:r>
    </w:p>
    <w:p w14:paraId="7B2BD71E" w14:textId="77777777" w:rsidR="00E7418B" w:rsidRPr="00E7418B" w:rsidRDefault="00E7418B" w:rsidP="00E7418B">
      <w:pPr>
        <w:rPr>
          <w:rFonts w:cs="Arial"/>
          <w:color w:val="000000" w:themeColor="text1"/>
          <w:szCs w:val="24"/>
        </w:rPr>
      </w:pPr>
    </w:p>
    <w:p w14:paraId="38D9DD48" w14:textId="77777777" w:rsidR="00E7418B" w:rsidRPr="00E7418B" w:rsidRDefault="00E7418B" w:rsidP="00E7418B">
      <w:pPr>
        <w:rPr>
          <w:rFonts w:cs="Arial"/>
          <w:color w:val="000000" w:themeColor="text1"/>
          <w:szCs w:val="24"/>
        </w:rPr>
      </w:pPr>
    </w:p>
    <w:p w14:paraId="303F1CAB" w14:textId="77777777" w:rsidR="00526D2A" w:rsidRPr="00E7418B" w:rsidRDefault="00526D2A" w:rsidP="00E7418B">
      <w:pPr>
        <w:rPr>
          <w:rFonts w:cs="Arial"/>
          <w:b/>
          <w:color w:val="000000" w:themeColor="text1"/>
          <w:szCs w:val="24"/>
        </w:rPr>
      </w:pPr>
      <w:r w:rsidRPr="00E7418B">
        <w:rPr>
          <w:rFonts w:cs="Arial"/>
          <w:b/>
          <w:color w:val="000000" w:themeColor="text1"/>
          <w:szCs w:val="24"/>
        </w:rPr>
        <w:t>Balance Sheet</w:t>
      </w:r>
    </w:p>
    <w:p w14:paraId="003B951B" w14:textId="77777777" w:rsidR="00526D2A" w:rsidRPr="00E7418B" w:rsidRDefault="00526D2A" w:rsidP="00E7418B">
      <w:pPr>
        <w:rPr>
          <w:rFonts w:cs="Arial"/>
          <w:color w:val="000000" w:themeColor="text1"/>
          <w:szCs w:val="24"/>
        </w:rPr>
      </w:pPr>
      <w:r w:rsidRPr="00E7418B">
        <w:rPr>
          <w:rFonts w:cs="Arial"/>
          <w:color w:val="000000" w:themeColor="text1"/>
          <w:szCs w:val="24"/>
        </w:rPr>
        <w:t>The financial position of GE got weaker every year. There is an evident decline in current assets. The cash decreased to £26bn as compared to £57bn in 2020. Balances of accounts receivable stood still. This implies a sluggish collection or poor credit policies. Total assets are reducing at a high speed. These went down to approximately £510 billion to £323 billion. It represents taking impairment, selling of assets and poor investment. The value of equity has been highly degenerated. This represents shareholder loss of long-term value.</w:t>
      </w:r>
    </w:p>
    <w:p w14:paraId="08D3DD24" w14:textId="77777777" w:rsidR="00526D2A" w:rsidRPr="00E7418B" w:rsidRDefault="00526D2A" w:rsidP="00E7418B">
      <w:pPr>
        <w:rPr>
          <w:rFonts w:cs="Arial"/>
          <w:b/>
          <w:color w:val="000000" w:themeColor="text1"/>
          <w:szCs w:val="24"/>
        </w:rPr>
      </w:pPr>
      <w:r w:rsidRPr="00E7418B">
        <w:rPr>
          <w:rFonts w:cs="Arial"/>
          <w:b/>
          <w:color w:val="000000" w:themeColor="text1"/>
          <w:szCs w:val="24"/>
        </w:rPr>
        <w:t>Cash Flow</w:t>
      </w:r>
    </w:p>
    <w:p w14:paraId="42D767A0" w14:textId="77777777" w:rsidR="00526D2A" w:rsidRPr="00E7418B" w:rsidRDefault="00526D2A" w:rsidP="00E7418B">
      <w:pPr>
        <w:rPr>
          <w:rFonts w:cs="Arial"/>
          <w:color w:val="000000" w:themeColor="text1"/>
          <w:szCs w:val="24"/>
        </w:rPr>
      </w:pPr>
      <w:r w:rsidRPr="00E7418B">
        <w:rPr>
          <w:rFonts w:cs="Arial"/>
          <w:color w:val="000000" w:themeColor="text1"/>
          <w:szCs w:val="24"/>
        </w:rPr>
        <w:t>There is an interesting trend in the cash flow information. Profits have no connection with operating cash flow. Here, there is a difference between profit and cash. Cash flow remained positive in all years of operation. However, profit was -2023 and -2024. Store movement has a significant impact on the cash flow. The capital expenditure decreased as well. GE minimised on new asset investment. This may harm future growth. The corporation is one that hugely relies on credit lines. Their other use of cash was to purchase treasury stocks. The cash flow direction is, in general, stressed and poorly planned with an increasing funding risk.</w:t>
      </w:r>
    </w:p>
    <w:p w14:paraId="5CAF3A28" w14:textId="77777777" w:rsidR="00526D2A" w:rsidRPr="00E7418B" w:rsidRDefault="00526D2A" w:rsidP="00E7418B">
      <w:pPr>
        <w:pStyle w:val="Heading2"/>
        <w:rPr>
          <w:rFonts w:ascii="Arial" w:hAnsi="Arial" w:cs="Arial"/>
          <w:b/>
          <w:bCs/>
          <w:color w:val="000000" w:themeColor="text1"/>
          <w:sz w:val="24"/>
          <w:szCs w:val="24"/>
        </w:rPr>
      </w:pPr>
      <w:bookmarkStart w:id="3" w:name="_Toc217162961"/>
      <w:r w:rsidRPr="00E7418B">
        <w:rPr>
          <w:rFonts w:ascii="Arial" w:hAnsi="Arial" w:cs="Arial"/>
          <w:b/>
          <w:bCs/>
          <w:color w:val="000000" w:themeColor="text1"/>
          <w:sz w:val="24"/>
          <w:szCs w:val="24"/>
        </w:rPr>
        <w:t>Full Ratio Analysis of GE</w:t>
      </w:r>
      <w:bookmarkEnd w:id="3"/>
    </w:p>
    <w:p w14:paraId="495707AB" w14:textId="77777777" w:rsidR="00526D2A" w:rsidRPr="00E7418B" w:rsidRDefault="00526D2A" w:rsidP="00E7418B">
      <w:pPr>
        <w:pStyle w:val="Heading3"/>
        <w:rPr>
          <w:rFonts w:ascii="Arial" w:hAnsi="Arial" w:cs="Arial"/>
          <w:b/>
          <w:bCs/>
          <w:color w:val="000000" w:themeColor="text1"/>
        </w:rPr>
      </w:pPr>
      <w:bookmarkStart w:id="4" w:name="_Toc217162962"/>
      <w:r w:rsidRPr="00E7418B">
        <w:rPr>
          <w:rFonts w:ascii="Arial" w:hAnsi="Arial" w:cs="Arial"/>
          <w:b/>
          <w:bCs/>
          <w:color w:val="000000" w:themeColor="text1"/>
        </w:rPr>
        <w:t>Profitability Ratios</w:t>
      </w:r>
      <w:bookmarkEnd w:id="4"/>
      <w:r w:rsidRPr="00E7418B">
        <w:rPr>
          <w:rFonts w:ascii="Arial" w:hAnsi="Arial" w:cs="Arial"/>
          <w:b/>
          <w:bCs/>
          <w:color w:val="000000" w:themeColor="text1"/>
        </w:rPr>
        <w:t xml:space="preserve"> </w:t>
      </w:r>
    </w:p>
    <w:p w14:paraId="2ACDFD9E" w14:textId="77777777" w:rsidR="00526D2A" w:rsidRPr="00E7418B" w:rsidRDefault="00526D2A" w:rsidP="00E7418B">
      <w:pPr>
        <w:rPr>
          <w:rFonts w:cs="Arial"/>
          <w:color w:val="000000" w:themeColor="text1"/>
          <w:szCs w:val="24"/>
        </w:rPr>
      </w:pPr>
      <w:r w:rsidRPr="00E7418B">
        <w:rPr>
          <w:rFonts w:cs="Arial"/>
          <w:color w:val="000000" w:themeColor="text1"/>
          <w:szCs w:val="24"/>
        </w:rPr>
        <w:t>Profitability ratios depict the ability of GE to convert sales and assets into profit. They demonstrate efficiency in the transformation of sales to profit</w:t>
      </w:r>
      <w:r w:rsidR="00AB21F8" w:rsidRPr="00E7418B">
        <w:rPr>
          <w:rFonts w:cs="Arial"/>
          <w:color w:val="000000" w:themeColor="text1"/>
          <w:szCs w:val="24"/>
        </w:rPr>
        <w:t xml:space="preserve"> (Rashid, 2021)</w:t>
      </w:r>
      <w:r w:rsidRPr="00E7418B">
        <w:rPr>
          <w:rFonts w:cs="Arial"/>
          <w:color w:val="000000" w:themeColor="text1"/>
          <w:szCs w:val="24"/>
        </w:rPr>
        <w:t xml:space="preserve">. </w:t>
      </w:r>
    </w:p>
    <w:p w14:paraId="3B876FB7" w14:textId="77777777" w:rsidR="00526D2A" w:rsidRPr="00E7418B" w:rsidRDefault="00526D2A" w:rsidP="00E7418B">
      <w:pPr>
        <w:rPr>
          <w:rFonts w:cs="Arial"/>
          <w:b/>
          <w:color w:val="000000" w:themeColor="text1"/>
          <w:szCs w:val="24"/>
        </w:rPr>
      </w:pPr>
      <w:r w:rsidRPr="00E7418B">
        <w:rPr>
          <w:rFonts w:cs="Arial"/>
          <w:b/>
          <w:color w:val="000000" w:themeColor="text1"/>
          <w:szCs w:val="24"/>
        </w:rPr>
        <w:t xml:space="preserve">1. Gross Profit Margin (GPM) </w:t>
      </w:r>
    </w:p>
    <w:p w14:paraId="55D586BC"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(Gross Profit / Net Sales) x 100.</w:t>
      </w:r>
    </w:p>
    <w:p w14:paraId="7B9ED088" w14:textId="77777777" w:rsidR="00AB21F8" w:rsidRPr="00E7418B" w:rsidRDefault="00526D2A" w:rsidP="00E7418B">
      <w:pPr>
        <w:rPr>
          <w:rFonts w:cs="Arial"/>
          <w:color w:val="000000" w:themeColor="text1"/>
          <w:szCs w:val="24"/>
        </w:rPr>
      </w:pPr>
      <w:r w:rsidRPr="00E7418B">
        <w:rPr>
          <w:rFonts w:cs="Arial"/>
          <w:color w:val="000000" w:themeColor="text1"/>
          <w:szCs w:val="24"/>
        </w:rPr>
        <w:t>The Gross Profit Margin muscle between 2020 and 2024 is, respectively, 28.67%, 28.76%, 28.06%, 23.20% and 28.87%. Calculation in the Appendix. The margin remained solid until 2022. It fell sharply in 2023. This decline is an indicator of core cost issues</w:t>
      </w:r>
      <w:r w:rsidR="00AB21F8" w:rsidRPr="00E7418B">
        <w:rPr>
          <w:rFonts w:cs="Arial"/>
          <w:color w:val="000000" w:themeColor="text1"/>
          <w:szCs w:val="24"/>
        </w:rPr>
        <w:t xml:space="preserve"> </w:t>
      </w:r>
      <w:r w:rsidR="00AB21F8" w:rsidRPr="00E7418B">
        <w:rPr>
          <w:rFonts w:cs="Arial"/>
          <w:color w:val="000000" w:themeColor="text1"/>
          <w:szCs w:val="24"/>
          <w:lang w:eastAsia="en-GB"/>
        </w:rPr>
        <w:t>(Sardar &amp; Singh, 2023)</w:t>
      </w:r>
      <w:r w:rsidRPr="00E7418B">
        <w:rPr>
          <w:rFonts w:cs="Arial"/>
          <w:color w:val="000000" w:themeColor="text1"/>
          <w:szCs w:val="24"/>
        </w:rPr>
        <w:t>. The cost pressure and weak pricing are more evident this fall. Prices did not decrease as quickly as sales. This caused margin erosion. It recovered slightly to 28.87% in 2024. However, in general, there is erratic cost management.</w:t>
      </w:r>
    </w:p>
    <w:p w14:paraId="16B2E360" w14:textId="77777777" w:rsidR="00526D2A" w:rsidRPr="00E7418B" w:rsidRDefault="00526D2A" w:rsidP="00E7418B">
      <w:pPr>
        <w:rPr>
          <w:rFonts w:cs="Arial"/>
          <w:b/>
          <w:color w:val="000000" w:themeColor="text1"/>
          <w:szCs w:val="24"/>
        </w:rPr>
      </w:pPr>
      <w:r w:rsidRPr="00E7418B">
        <w:rPr>
          <w:rFonts w:cs="Arial"/>
          <w:b/>
          <w:color w:val="000000" w:themeColor="text1"/>
          <w:szCs w:val="24"/>
        </w:rPr>
        <w:t xml:space="preserve">2. Operating Profit Margin (OPM) </w:t>
      </w:r>
    </w:p>
    <w:p w14:paraId="67C997FD"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(Operating Income / Net Sales) × 100.</w:t>
      </w:r>
    </w:p>
    <w:p w14:paraId="3BD8B501"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Operating Profit Margin of GE for the past five years are, </w:t>
      </w:r>
    </w:p>
    <w:tbl>
      <w:tblPr>
        <w:tblStyle w:val="TableGrid"/>
        <w:tblW w:w="0" w:type="auto"/>
        <w:tblInd w:w="2875" w:type="dxa"/>
        <w:tblLook w:val="04A0" w:firstRow="1" w:lastRow="0" w:firstColumn="1" w:lastColumn="0" w:noHBand="0" w:noVBand="1"/>
      </w:tblPr>
      <w:tblGrid>
        <w:gridCol w:w="1800"/>
        <w:gridCol w:w="1530"/>
      </w:tblGrid>
      <w:tr w:rsidR="003A11CD" w:rsidRPr="00E7418B" w14:paraId="69376192" w14:textId="77777777" w:rsidTr="00A1650A">
        <w:tc>
          <w:tcPr>
            <w:tcW w:w="1800" w:type="dxa"/>
          </w:tcPr>
          <w:p w14:paraId="03A4B704"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1530" w:type="dxa"/>
          </w:tcPr>
          <w:p w14:paraId="610DCB26" w14:textId="4C5A0C57" w:rsidR="00526D2A" w:rsidRPr="00E7418B" w:rsidRDefault="00526D2A" w:rsidP="00E7418B">
            <w:pPr>
              <w:jc w:val="center"/>
              <w:rPr>
                <w:rFonts w:cs="Arial"/>
                <w:color w:val="000000" w:themeColor="text1"/>
                <w:szCs w:val="24"/>
              </w:rPr>
            </w:pPr>
            <w:r w:rsidRPr="00E7418B">
              <w:rPr>
                <w:rFonts w:cs="Arial"/>
                <w:color w:val="000000" w:themeColor="text1"/>
                <w:szCs w:val="24"/>
              </w:rPr>
              <w:t>OPM</w:t>
            </w:r>
          </w:p>
        </w:tc>
      </w:tr>
      <w:tr w:rsidR="003A11CD" w:rsidRPr="00E7418B" w14:paraId="49C976DE" w14:textId="77777777" w:rsidTr="00A1650A">
        <w:tc>
          <w:tcPr>
            <w:tcW w:w="1800" w:type="dxa"/>
          </w:tcPr>
          <w:p w14:paraId="0CA7060B"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1530" w:type="dxa"/>
          </w:tcPr>
          <w:p w14:paraId="7E9F8BF7" w14:textId="2C598F00" w:rsidR="00526D2A" w:rsidRPr="00E7418B" w:rsidRDefault="00526D2A" w:rsidP="00E7418B">
            <w:pPr>
              <w:jc w:val="center"/>
              <w:rPr>
                <w:rFonts w:cs="Arial"/>
                <w:color w:val="000000" w:themeColor="text1"/>
                <w:szCs w:val="24"/>
              </w:rPr>
            </w:pPr>
            <w:r w:rsidRPr="00E7418B">
              <w:rPr>
                <w:rFonts w:cs="Arial"/>
                <w:color w:val="000000" w:themeColor="text1"/>
                <w:szCs w:val="24"/>
              </w:rPr>
              <w:t>6.06%</w:t>
            </w:r>
          </w:p>
        </w:tc>
      </w:tr>
      <w:tr w:rsidR="003A11CD" w:rsidRPr="00E7418B" w14:paraId="4166119F" w14:textId="77777777" w:rsidTr="00A1650A">
        <w:tc>
          <w:tcPr>
            <w:tcW w:w="1800" w:type="dxa"/>
          </w:tcPr>
          <w:p w14:paraId="50E2115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1530" w:type="dxa"/>
          </w:tcPr>
          <w:p w14:paraId="0BBF3522" w14:textId="7959A11E" w:rsidR="00526D2A" w:rsidRPr="00E7418B" w:rsidRDefault="00526D2A" w:rsidP="00E7418B">
            <w:pPr>
              <w:jc w:val="center"/>
              <w:rPr>
                <w:rFonts w:cs="Arial"/>
                <w:color w:val="000000" w:themeColor="text1"/>
                <w:szCs w:val="24"/>
              </w:rPr>
            </w:pPr>
            <w:r w:rsidRPr="00E7418B">
              <w:rPr>
                <w:rFonts w:cs="Arial"/>
                <w:color w:val="000000" w:themeColor="text1"/>
                <w:szCs w:val="24"/>
              </w:rPr>
              <w:t>3.87%</w:t>
            </w:r>
          </w:p>
        </w:tc>
      </w:tr>
      <w:tr w:rsidR="003A11CD" w:rsidRPr="00E7418B" w14:paraId="2D0128B8" w14:textId="77777777" w:rsidTr="00A1650A">
        <w:tc>
          <w:tcPr>
            <w:tcW w:w="1800" w:type="dxa"/>
          </w:tcPr>
          <w:p w14:paraId="03BEEA6A"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1530" w:type="dxa"/>
          </w:tcPr>
          <w:p w14:paraId="4E339C54" w14:textId="1C34921B" w:rsidR="00526D2A" w:rsidRPr="00E7418B" w:rsidRDefault="00526D2A" w:rsidP="00E7418B">
            <w:pPr>
              <w:jc w:val="center"/>
              <w:rPr>
                <w:rFonts w:cs="Arial"/>
                <w:color w:val="000000" w:themeColor="text1"/>
                <w:szCs w:val="24"/>
              </w:rPr>
            </w:pPr>
            <w:r w:rsidRPr="00E7418B">
              <w:rPr>
                <w:rFonts w:cs="Arial"/>
                <w:color w:val="000000" w:themeColor="text1"/>
                <w:szCs w:val="24"/>
              </w:rPr>
              <w:t>2.68%</w:t>
            </w:r>
          </w:p>
        </w:tc>
      </w:tr>
      <w:tr w:rsidR="003A11CD" w:rsidRPr="00E7418B" w14:paraId="588A92D5" w14:textId="77777777" w:rsidTr="00A1650A">
        <w:tc>
          <w:tcPr>
            <w:tcW w:w="1800" w:type="dxa"/>
          </w:tcPr>
          <w:p w14:paraId="2083EB65"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1530" w:type="dxa"/>
          </w:tcPr>
          <w:p w14:paraId="7FEA3F47" w14:textId="5021C0FC" w:rsidR="00526D2A" w:rsidRPr="00E7418B" w:rsidRDefault="00526D2A" w:rsidP="00E7418B">
            <w:pPr>
              <w:jc w:val="center"/>
              <w:rPr>
                <w:rFonts w:cs="Arial"/>
                <w:color w:val="000000" w:themeColor="text1"/>
                <w:szCs w:val="24"/>
              </w:rPr>
            </w:pPr>
            <w:r w:rsidRPr="00E7418B">
              <w:rPr>
                <w:rFonts w:cs="Arial"/>
                <w:color w:val="000000" w:themeColor="text1"/>
                <w:szCs w:val="24"/>
              </w:rPr>
              <w:t>–20.29%</w:t>
            </w:r>
          </w:p>
        </w:tc>
      </w:tr>
      <w:tr w:rsidR="003A11CD" w:rsidRPr="00E7418B" w14:paraId="79E60081" w14:textId="77777777" w:rsidTr="00A1650A">
        <w:tc>
          <w:tcPr>
            <w:tcW w:w="1800" w:type="dxa"/>
          </w:tcPr>
          <w:p w14:paraId="572FE1F3"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1530" w:type="dxa"/>
          </w:tcPr>
          <w:p w14:paraId="62FC08AF" w14:textId="39F556F1" w:rsidR="00526D2A" w:rsidRPr="00E7418B" w:rsidRDefault="00526D2A" w:rsidP="00E7418B">
            <w:pPr>
              <w:jc w:val="center"/>
              <w:rPr>
                <w:rFonts w:cs="Arial"/>
                <w:color w:val="000000" w:themeColor="text1"/>
                <w:szCs w:val="24"/>
              </w:rPr>
            </w:pPr>
            <w:r w:rsidRPr="00E7418B">
              <w:rPr>
                <w:rFonts w:cs="Arial"/>
                <w:color w:val="000000" w:themeColor="text1"/>
                <w:szCs w:val="24"/>
              </w:rPr>
              <w:t>–3.87%</w:t>
            </w:r>
          </w:p>
        </w:tc>
      </w:tr>
    </w:tbl>
    <w:p w14:paraId="07AE5A64"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performance of the operation dropped annually. In 2023, the margin went deep into huge losses. It shows the impairment of £49bn. This was more than 20% of the sales value lost. The 2024 margin is still negative. The cost of operation increased at a higher rate than the sales. It portrays bad cost management and operations. This demonstrates a great inefficiency. GE is not able to meet sales out of core expenses. </w:t>
      </w:r>
    </w:p>
    <w:p w14:paraId="46CE55AA" w14:textId="77777777" w:rsidR="00526D2A" w:rsidRPr="00E7418B" w:rsidRDefault="00526D2A" w:rsidP="00E7418B">
      <w:pPr>
        <w:rPr>
          <w:rFonts w:cs="Arial"/>
          <w:b/>
          <w:color w:val="000000" w:themeColor="text1"/>
          <w:szCs w:val="24"/>
        </w:rPr>
      </w:pPr>
      <w:r w:rsidRPr="00E7418B">
        <w:rPr>
          <w:rFonts w:cs="Arial"/>
          <w:b/>
          <w:color w:val="000000" w:themeColor="text1"/>
          <w:szCs w:val="24"/>
        </w:rPr>
        <w:t>3. Net Profit Margin (NPM)</w:t>
      </w:r>
    </w:p>
    <w:p w14:paraId="74B94275"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Income / Net Sales) × 100.</w:t>
      </w:r>
    </w:p>
    <w:p w14:paraId="02376B55"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Net Profit Margin of GE for the past five years are, </w:t>
      </w:r>
    </w:p>
    <w:tbl>
      <w:tblPr>
        <w:tblStyle w:val="TableGrid"/>
        <w:tblW w:w="0" w:type="auto"/>
        <w:tblInd w:w="2605" w:type="dxa"/>
        <w:tblLook w:val="04A0" w:firstRow="1" w:lastRow="0" w:firstColumn="1" w:lastColumn="0" w:noHBand="0" w:noVBand="1"/>
      </w:tblPr>
      <w:tblGrid>
        <w:gridCol w:w="2070"/>
        <w:gridCol w:w="1980"/>
      </w:tblGrid>
      <w:tr w:rsidR="003A11CD" w:rsidRPr="00E7418B" w14:paraId="5FD3F2C4" w14:textId="77777777" w:rsidTr="00526D2A">
        <w:tc>
          <w:tcPr>
            <w:tcW w:w="2070" w:type="dxa"/>
          </w:tcPr>
          <w:p w14:paraId="231D53DA"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1980" w:type="dxa"/>
          </w:tcPr>
          <w:p w14:paraId="37269FF9"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NPM</w:t>
            </w:r>
          </w:p>
        </w:tc>
      </w:tr>
      <w:tr w:rsidR="003A11CD" w:rsidRPr="00E7418B" w14:paraId="5D1B1CE3" w14:textId="77777777" w:rsidTr="00526D2A">
        <w:tc>
          <w:tcPr>
            <w:tcW w:w="2070" w:type="dxa"/>
          </w:tcPr>
          <w:p w14:paraId="611524D7"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1980" w:type="dxa"/>
          </w:tcPr>
          <w:p w14:paraId="03332B91" w14:textId="14153BC3" w:rsidR="00526D2A" w:rsidRPr="00E7418B" w:rsidRDefault="00526D2A" w:rsidP="00E7418B">
            <w:pPr>
              <w:jc w:val="center"/>
              <w:rPr>
                <w:rFonts w:cs="Arial"/>
                <w:color w:val="000000" w:themeColor="text1"/>
                <w:szCs w:val="24"/>
              </w:rPr>
            </w:pPr>
            <w:r w:rsidRPr="00E7418B">
              <w:rPr>
                <w:rFonts w:cs="Arial"/>
                <w:color w:val="000000" w:themeColor="text1"/>
                <w:szCs w:val="24"/>
              </w:rPr>
              <w:t>6.28%</w:t>
            </w:r>
          </w:p>
        </w:tc>
      </w:tr>
      <w:tr w:rsidR="003A11CD" w:rsidRPr="00E7418B" w14:paraId="2D2C383E" w14:textId="77777777" w:rsidTr="00526D2A">
        <w:tc>
          <w:tcPr>
            <w:tcW w:w="2070" w:type="dxa"/>
          </w:tcPr>
          <w:p w14:paraId="743007A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1980" w:type="dxa"/>
          </w:tcPr>
          <w:p w14:paraId="71A39F89" w14:textId="0DA26403" w:rsidR="00526D2A" w:rsidRPr="00E7418B" w:rsidRDefault="00526D2A" w:rsidP="00E7418B">
            <w:pPr>
              <w:jc w:val="center"/>
              <w:rPr>
                <w:rFonts w:cs="Arial"/>
                <w:color w:val="000000" w:themeColor="text1"/>
                <w:szCs w:val="24"/>
              </w:rPr>
            </w:pPr>
            <w:r w:rsidRPr="00E7418B">
              <w:rPr>
                <w:rFonts w:cs="Arial"/>
                <w:color w:val="000000" w:themeColor="text1"/>
                <w:szCs w:val="24"/>
              </w:rPr>
              <w:t>0.88%</w:t>
            </w:r>
          </w:p>
        </w:tc>
      </w:tr>
      <w:tr w:rsidR="003A11CD" w:rsidRPr="00E7418B" w14:paraId="7F9851A9" w14:textId="77777777" w:rsidTr="00526D2A">
        <w:tc>
          <w:tcPr>
            <w:tcW w:w="2070" w:type="dxa"/>
          </w:tcPr>
          <w:p w14:paraId="1476648A"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1980" w:type="dxa"/>
          </w:tcPr>
          <w:p w14:paraId="1CFBB696" w14:textId="29E37519" w:rsidR="00526D2A" w:rsidRPr="00E7418B" w:rsidRDefault="00526D2A" w:rsidP="00E7418B">
            <w:pPr>
              <w:jc w:val="center"/>
              <w:rPr>
                <w:rFonts w:cs="Arial"/>
                <w:color w:val="000000" w:themeColor="text1"/>
                <w:szCs w:val="24"/>
              </w:rPr>
            </w:pPr>
            <w:r w:rsidRPr="00E7418B">
              <w:rPr>
                <w:rFonts w:cs="Arial"/>
                <w:color w:val="000000" w:themeColor="text1"/>
                <w:szCs w:val="24"/>
              </w:rPr>
              <w:t>0.07%</w:t>
            </w:r>
          </w:p>
        </w:tc>
      </w:tr>
      <w:tr w:rsidR="003A11CD" w:rsidRPr="00E7418B" w14:paraId="079046DC" w14:textId="77777777" w:rsidTr="00526D2A">
        <w:tc>
          <w:tcPr>
            <w:tcW w:w="2070" w:type="dxa"/>
          </w:tcPr>
          <w:p w14:paraId="1181B0F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1980" w:type="dxa"/>
          </w:tcPr>
          <w:p w14:paraId="376DBA49" w14:textId="161007CB" w:rsidR="00526D2A" w:rsidRPr="00E7418B" w:rsidRDefault="00526D2A" w:rsidP="00E7418B">
            <w:pPr>
              <w:jc w:val="center"/>
              <w:rPr>
                <w:rFonts w:cs="Arial"/>
                <w:color w:val="000000" w:themeColor="text1"/>
                <w:szCs w:val="24"/>
              </w:rPr>
            </w:pPr>
            <w:r w:rsidRPr="00E7418B">
              <w:rPr>
                <w:rFonts w:cs="Arial"/>
                <w:color w:val="000000" w:themeColor="text1"/>
                <w:szCs w:val="24"/>
              </w:rPr>
              <w:t>–23.36%</w:t>
            </w:r>
          </w:p>
        </w:tc>
      </w:tr>
      <w:tr w:rsidR="003A11CD" w:rsidRPr="00E7418B" w14:paraId="016CFF35" w14:textId="77777777" w:rsidTr="00526D2A">
        <w:tc>
          <w:tcPr>
            <w:tcW w:w="2070" w:type="dxa"/>
          </w:tcPr>
          <w:p w14:paraId="44FB0C36"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1980" w:type="dxa"/>
          </w:tcPr>
          <w:p w14:paraId="6E10467C" w14:textId="0007A3B5" w:rsidR="00526D2A" w:rsidRPr="00E7418B" w:rsidRDefault="00526D2A" w:rsidP="00E7418B">
            <w:pPr>
              <w:jc w:val="center"/>
              <w:rPr>
                <w:rFonts w:cs="Arial"/>
                <w:color w:val="000000" w:themeColor="text1"/>
                <w:szCs w:val="24"/>
              </w:rPr>
            </w:pPr>
            <w:r w:rsidRPr="00E7418B">
              <w:rPr>
                <w:rFonts w:cs="Arial"/>
                <w:color w:val="000000" w:themeColor="text1"/>
                <w:szCs w:val="24"/>
              </w:rPr>
              <w:t>–6.09%</w:t>
            </w:r>
          </w:p>
        </w:tc>
      </w:tr>
    </w:tbl>
    <w:p w14:paraId="4D8746FB" w14:textId="77777777" w:rsidR="00AB21F8" w:rsidRPr="00E7418B" w:rsidRDefault="00526D2A" w:rsidP="00E7418B">
      <w:pPr>
        <w:rPr>
          <w:rFonts w:cs="Arial"/>
          <w:color w:val="000000" w:themeColor="text1"/>
          <w:szCs w:val="24"/>
        </w:rPr>
      </w:pPr>
      <w:r w:rsidRPr="00E7418B">
        <w:rPr>
          <w:rFonts w:cs="Arial"/>
          <w:color w:val="000000" w:themeColor="text1"/>
          <w:szCs w:val="24"/>
        </w:rPr>
        <w:t>The trend shows a decline in net profit. GE changed the situation from profit to loss. The 2023 loss is catastrophic. This is an indication of impairments, poor sales and poor cost control. There are two years of negative net income. This is an indicator of long-term solvency problems</w:t>
      </w:r>
      <w:r w:rsidR="00AB21F8" w:rsidRPr="00E7418B">
        <w:rPr>
          <w:rFonts w:cs="Arial"/>
          <w:color w:val="000000" w:themeColor="text1"/>
          <w:szCs w:val="24"/>
        </w:rPr>
        <w:t xml:space="preserve"> </w:t>
      </w:r>
      <w:r w:rsidR="00AB21F8" w:rsidRPr="00E7418B">
        <w:rPr>
          <w:rFonts w:cs="Arial"/>
          <w:color w:val="000000" w:themeColor="text1"/>
          <w:szCs w:val="24"/>
          <w:lang w:eastAsia="en-GB"/>
        </w:rPr>
        <w:t>(Taebi, Zeinali &amp; Beytollahi, 2022)</w:t>
      </w:r>
      <w:r w:rsidRPr="00E7418B">
        <w:rPr>
          <w:rFonts w:cs="Arial"/>
          <w:color w:val="000000" w:themeColor="text1"/>
          <w:szCs w:val="24"/>
        </w:rPr>
        <w:t xml:space="preserve">. This kills the shareholder value. Continuous losses in the margins weaken financial soundness and damage investor confidence. It is also a threat to the going concern of the firm. </w:t>
      </w:r>
    </w:p>
    <w:p w14:paraId="59BAE3E6" w14:textId="77777777" w:rsidR="00526D2A" w:rsidRPr="00E7418B" w:rsidRDefault="00526D2A" w:rsidP="00E7418B">
      <w:pPr>
        <w:rPr>
          <w:rFonts w:cs="Arial"/>
          <w:b/>
          <w:color w:val="000000" w:themeColor="text1"/>
          <w:szCs w:val="24"/>
        </w:rPr>
      </w:pPr>
      <w:r w:rsidRPr="00E7418B">
        <w:rPr>
          <w:rFonts w:cs="Arial"/>
          <w:b/>
          <w:color w:val="000000" w:themeColor="text1"/>
          <w:szCs w:val="24"/>
        </w:rPr>
        <w:t>4. Return on Assets (ROA)</w:t>
      </w:r>
    </w:p>
    <w:p w14:paraId="71C5D641"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Income / Total Assets) × 100.</w:t>
      </w:r>
    </w:p>
    <w:p w14:paraId="4DB96470"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Return on Assets (ROA) of GE for the past five years is, </w:t>
      </w:r>
    </w:p>
    <w:tbl>
      <w:tblPr>
        <w:tblStyle w:val="TableGrid"/>
        <w:tblW w:w="0" w:type="auto"/>
        <w:tblInd w:w="3055" w:type="dxa"/>
        <w:tblLook w:val="04A0" w:firstRow="1" w:lastRow="0" w:firstColumn="1" w:lastColumn="0" w:noHBand="0" w:noVBand="1"/>
      </w:tblPr>
      <w:tblGrid>
        <w:gridCol w:w="1620"/>
        <w:gridCol w:w="1800"/>
      </w:tblGrid>
      <w:tr w:rsidR="003A11CD" w:rsidRPr="00E7418B" w14:paraId="060F9950" w14:textId="77777777" w:rsidTr="00526D2A">
        <w:tc>
          <w:tcPr>
            <w:tcW w:w="1620" w:type="dxa"/>
          </w:tcPr>
          <w:p w14:paraId="5C4EFB05"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1800" w:type="dxa"/>
          </w:tcPr>
          <w:p w14:paraId="5D00E2F4"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ROA</w:t>
            </w:r>
          </w:p>
        </w:tc>
      </w:tr>
      <w:tr w:rsidR="003A11CD" w:rsidRPr="00E7418B" w14:paraId="1E3B0260" w14:textId="77777777" w:rsidTr="00526D2A">
        <w:tc>
          <w:tcPr>
            <w:tcW w:w="1620" w:type="dxa"/>
          </w:tcPr>
          <w:p w14:paraId="1F795068"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1800" w:type="dxa"/>
          </w:tcPr>
          <w:p w14:paraId="0C0E5E0E" w14:textId="40529CEB" w:rsidR="00526D2A" w:rsidRPr="00E7418B" w:rsidRDefault="00526D2A" w:rsidP="00E7418B">
            <w:pPr>
              <w:jc w:val="center"/>
              <w:rPr>
                <w:rFonts w:cs="Arial"/>
                <w:color w:val="000000" w:themeColor="text1"/>
                <w:szCs w:val="24"/>
              </w:rPr>
            </w:pPr>
            <w:r w:rsidRPr="00E7418B">
              <w:rPr>
                <w:rFonts w:cs="Arial"/>
                <w:color w:val="000000" w:themeColor="text1"/>
                <w:szCs w:val="24"/>
              </w:rPr>
              <w:t>7.56%</w:t>
            </w:r>
          </w:p>
        </w:tc>
      </w:tr>
      <w:tr w:rsidR="003A11CD" w:rsidRPr="00E7418B" w14:paraId="5F6A9332" w14:textId="77777777" w:rsidTr="00526D2A">
        <w:tc>
          <w:tcPr>
            <w:tcW w:w="1620" w:type="dxa"/>
          </w:tcPr>
          <w:p w14:paraId="58D6D4B2"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1800" w:type="dxa"/>
          </w:tcPr>
          <w:p w14:paraId="44AA96DE" w14:textId="3C5AB664" w:rsidR="00526D2A" w:rsidRPr="00E7418B" w:rsidRDefault="00526D2A" w:rsidP="00E7418B">
            <w:pPr>
              <w:jc w:val="center"/>
              <w:rPr>
                <w:rFonts w:cs="Arial"/>
                <w:color w:val="000000" w:themeColor="text1"/>
                <w:szCs w:val="24"/>
              </w:rPr>
            </w:pPr>
            <w:r w:rsidRPr="00E7418B">
              <w:rPr>
                <w:rFonts w:cs="Arial"/>
                <w:color w:val="000000" w:themeColor="text1"/>
                <w:szCs w:val="24"/>
              </w:rPr>
              <w:t>1.04%</w:t>
            </w:r>
          </w:p>
        </w:tc>
      </w:tr>
      <w:tr w:rsidR="003A11CD" w:rsidRPr="00E7418B" w14:paraId="3B9418E6" w14:textId="77777777" w:rsidTr="00526D2A">
        <w:tc>
          <w:tcPr>
            <w:tcW w:w="1620" w:type="dxa"/>
          </w:tcPr>
          <w:p w14:paraId="169DC91F"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1800" w:type="dxa"/>
          </w:tcPr>
          <w:p w14:paraId="3E396994" w14:textId="7F13FE0E" w:rsidR="00526D2A" w:rsidRPr="00E7418B" w:rsidRDefault="00526D2A" w:rsidP="00E7418B">
            <w:pPr>
              <w:jc w:val="center"/>
              <w:rPr>
                <w:rFonts w:cs="Arial"/>
                <w:color w:val="000000" w:themeColor="text1"/>
                <w:szCs w:val="24"/>
              </w:rPr>
            </w:pPr>
            <w:r w:rsidRPr="00E7418B">
              <w:rPr>
                <w:rFonts w:cs="Arial"/>
                <w:color w:val="000000" w:themeColor="text1"/>
                <w:szCs w:val="24"/>
              </w:rPr>
              <w:t>0.08%</w:t>
            </w:r>
          </w:p>
        </w:tc>
      </w:tr>
      <w:tr w:rsidR="003A11CD" w:rsidRPr="00E7418B" w14:paraId="6745CD4C" w14:textId="77777777" w:rsidTr="00526D2A">
        <w:tc>
          <w:tcPr>
            <w:tcW w:w="1620" w:type="dxa"/>
          </w:tcPr>
          <w:p w14:paraId="3B8C09F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1800" w:type="dxa"/>
          </w:tcPr>
          <w:p w14:paraId="06683855" w14:textId="3D065639" w:rsidR="00526D2A" w:rsidRPr="00E7418B" w:rsidRDefault="00526D2A" w:rsidP="00E7418B">
            <w:pPr>
              <w:jc w:val="center"/>
              <w:rPr>
                <w:rFonts w:cs="Arial"/>
                <w:color w:val="000000" w:themeColor="text1"/>
                <w:szCs w:val="24"/>
              </w:rPr>
            </w:pPr>
            <w:r w:rsidRPr="00E7418B">
              <w:rPr>
                <w:rFonts w:cs="Arial"/>
                <w:color w:val="000000" w:themeColor="text1"/>
                <w:szCs w:val="24"/>
              </w:rPr>
              <w:t>–27.60%</w:t>
            </w:r>
          </w:p>
        </w:tc>
      </w:tr>
      <w:tr w:rsidR="009C2B17" w:rsidRPr="00E7418B" w14:paraId="1FBEEAD6" w14:textId="77777777" w:rsidTr="00526D2A">
        <w:tc>
          <w:tcPr>
            <w:tcW w:w="1620" w:type="dxa"/>
          </w:tcPr>
          <w:p w14:paraId="7BE1D43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1800" w:type="dxa"/>
          </w:tcPr>
          <w:p w14:paraId="2196581C" w14:textId="37269B34" w:rsidR="00526D2A" w:rsidRPr="00E7418B" w:rsidRDefault="00526D2A" w:rsidP="00E7418B">
            <w:pPr>
              <w:jc w:val="center"/>
              <w:rPr>
                <w:rFonts w:cs="Arial"/>
                <w:color w:val="000000" w:themeColor="text1"/>
                <w:szCs w:val="24"/>
              </w:rPr>
            </w:pPr>
            <w:r w:rsidRPr="00E7418B">
              <w:rPr>
                <w:rFonts w:cs="Arial"/>
                <w:color w:val="000000" w:themeColor="text1"/>
                <w:szCs w:val="24"/>
              </w:rPr>
              <w:t>–7.43%</w:t>
            </w:r>
          </w:p>
        </w:tc>
      </w:tr>
    </w:tbl>
    <w:p w14:paraId="1996EEF8" w14:textId="77777777" w:rsidR="00526D2A" w:rsidRPr="00E7418B" w:rsidRDefault="00526D2A" w:rsidP="00E7418B">
      <w:pPr>
        <w:rPr>
          <w:rFonts w:cs="Arial"/>
          <w:color w:val="000000" w:themeColor="text1"/>
          <w:szCs w:val="24"/>
        </w:rPr>
      </w:pPr>
      <w:r w:rsidRPr="00E7418B">
        <w:rPr>
          <w:rFonts w:cs="Arial"/>
          <w:color w:val="000000" w:themeColor="text1"/>
          <w:szCs w:val="24"/>
        </w:rPr>
        <w:t>ROA demonstrates the efficiency of GE in utilising its assets. Since 2023, the ratio has been witnessing an unpleasant negative trend. There is unhealthy usage of assets, as divulged by the fall of 7.56% to negative results. GE is unable to make returns out of its assets. The big impairment is associated with the fall of 2023. The use of the asset base is inefficient. The negative ROA implies that the assets are not producing value. The productivity of assets has been a failure.</w:t>
      </w:r>
    </w:p>
    <w:p w14:paraId="4E5A639B" w14:textId="77777777" w:rsidR="00526D2A" w:rsidRPr="00E7418B" w:rsidRDefault="00526D2A" w:rsidP="00E7418B">
      <w:pPr>
        <w:rPr>
          <w:rFonts w:cs="Arial"/>
          <w:b/>
          <w:color w:val="000000" w:themeColor="text1"/>
          <w:szCs w:val="24"/>
        </w:rPr>
      </w:pPr>
      <w:r w:rsidRPr="00E7418B">
        <w:rPr>
          <w:rFonts w:cs="Arial"/>
          <w:b/>
          <w:color w:val="000000" w:themeColor="text1"/>
          <w:szCs w:val="24"/>
        </w:rPr>
        <w:t>5. Return on Equity (ROE)</w:t>
      </w:r>
    </w:p>
    <w:p w14:paraId="7CABFE08"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Income / Total Shareholders' Equity) × 100.</w:t>
      </w:r>
    </w:p>
    <w:p w14:paraId="6D3D791B"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Return on Equity (ROE) of GE for the past five years are, </w:t>
      </w:r>
    </w:p>
    <w:tbl>
      <w:tblPr>
        <w:tblStyle w:val="TableGrid"/>
        <w:tblW w:w="0" w:type="auto"/>
        <w:tblInd w:w="2785" w:type="dxa"/>
        <w:tblLook w:val="04A0" w:firstRow="1" w:lastRow="0" w:firstColumn="1" w:lastColumn="0" w:noHBand="0" w:noVBand="1"/>
      </w:tblPr>
      <w:tblGrid>
        <w:gridCol w:w="1890"/>
        <w:gridCol w:w="1530"/>
      </w:tblGrid>
      <w:tr w:rsidR="003A11CD" w:rsidRPr="00E7418B" w14:paraId="0F5BC2E9" w14:textId="77777777" w:rsidTr="00A1650A">
        <w:tc>
          <w:tcPr>
            <w:tcW w:w="1890" w:type="dxa"/>
          </w:tcPr>
          <w:p w14:paraId="6A5BF8EB" w14:textId="77777777" w:rsidR="00526D2A" w:rsidRPr="00E7418B" w:rsidRDefault="00526D2A" w:rsidP="00E7418B">
            <w:pPr>
              <w:rPr>
                <w:rFonts w:cs="Arial"/>
                <w:color w:val="000000" w:themeColor="text1"/>
                <w:szCs w:val="24"/>
              </w:rPr>
            </w:pPr>
            <w:r w:rsidRPr="00E7418B">
              <w:rPr>
                <w:rFonts w:cs="Arial"/>
                <w:color w:val="000000" w:themeColor="text1"/>
                <w:szCs w:val="24"/>
              </w:rPr>
              <w:t>Year</w:t>
            </w:r>
          </w:p>
        </w:tc>
        <w:tc>
          <w:tcPr>
            <w:tcW w:w="1530" w:type="dxa"/>
          </w:tcPr>
          <w:p w14:paraId="65692FCD" w14:textId="77777777" w:rsidR="00526D2A" w:rsidRPr="00E7418B" w:rsidRDefault="00526D2A" w:rsidP="00E7418B">
            <w:pPr>
              <w:rPr>
                <w:rFonts w:cs="Arial"/>
                <w:color w:val="000000" w:themeColor="text1"/>
                <w:szCs w:val="24"/>
              </w:rPr>
            </w:pPr>
            <w:r w:rsidRPr="00E7418B">
              <w:rPr>
                <w:rFonts w:cs="Arial"/>
                <w:color w:val="000000" w:themeColor="text1"/>
                <w:szCs w:val="24"/>
              </w:rPr>
              <w:t>ROE</w:t>
            </w:r>
          </w:p>
        </w:tc>
      </w:tr>
      <w:tr w:rsidR="003A11CD" w:rsidRPr="00E7418B" w14:paraId="53CDB641" w14:textId="77777777" w:rsidTr="00A1650A">
        <w:tc>
          <w:tcPr>
            <w:tcW w:w="1890" w:type="dxa"/>
          </w:tcPr>
          <w:p w14:paraId="4E512CA6" w14:textId="77777777" w:rsidR="00526D2A" w:rsidRPr="00E7418B" w:rsidRDefault="00526D2A" w:rsidP="00E7418B">
            <w:pPr>
              <w:rPr>
                <w:rFonts w:cs="Arial"/>
                <w:color w:val="000000" w:themeColor="text1"/>
                <w:szCs w:val="24"/>
              </w:rPr>
            </w:pPr>
            <w:r w:rsidRPr="00E7418B">
              <w:rPr>
                <w:rFonts w:cs="Arial"/>
                <w:color w:val="000000" w:themeColor="text1"/>
                <w:szCs w:val="24"/>
              </w:rPr>
              <w:t>2020</w:t>
            </w:r>
          </w:p>
        </w:tc>
        <w:tc>
          <w:tcPr>
            <w:tcW w:w="1530" w:type="dxa"/>
          </w:tcPr>
          <w:p w14:paraId="1B2ACB80"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12.31%</w:t>
            </w:r>
          </w:p>
        </w:tc>
      </w:tr>
      <w:tr w:rsidR="003A11CD" w:rsidRPr="00E7418B" w14:paraId="2DABAA12" w14:textId="77777777" w:rsidTr="00A1650A">
        <w:tc>
          <w:tcPr>
            <w:tcW w:w="1890" w:type="dxa"/>
          </w:tcPr>
          <w:p w14:paraId="15D5C3C4" w14:textId="77777777" w:rsidR="00526D2A" w:rsidRPr="00E7418B" w:rsidRDefault="00526D2A" w:rsidP="00E7418B">
            <w:pPr>
              <w:rPr>
                <w:rFonts w:cs="Arial"/>
                <w:color w:val="000000" w:themeColor="text1"/>
                <w:szCs w:val="24"/>
              </w:rPr>
            </w:pPr>
            <w:r w:rsidRPr="00E7418B">
              <w:rPr>
                <w:rFonts w:cs="Arial"/>
                <w:color w:val="000000" w:themeColor="text1"/>
                <w:szCs w:val="24"/>
              </w:rPr>
              <w:t>2021</w:t>
            </w:r>
          </w:p>
        </w:tc>
        <w:tc>
          <w:tcPr>
            <w:tcW w:w="1530" w:type="dxa"/>
          </w:tcPr>
          <w:p w14:paraId="44C3FC1C"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1.92%</w:t>
            </w:r>
          </w:p>
        </w:tc>
      </w:tr>
      <w:tr w:rsidR="003A11CD" w:rsidRPr="00E7418B" w14:paraId="529A0C86" w14:textId="77777777" w:rsidTr="00A1650A">
        <w:tc>
          <w:tcPr>
            <w:tcW w:w="1890" w:type="dxa"/>
          </w:tcPr>
          <w:p w14:paraId="2DA83D98" w14:textId="77777777" w:rsidR="00526D2A" w:rsidRPr="00E7418B" w:rsidRDefault="00526D2A" w:rsidP="00E7418B">
            <w:pPr>
              <w:rPr>
                <w:rFonts w:cs="Arial"/>
                <w:color w:val="000000" w:themeColor="text1"/>
                <w:szCs w:val="24"/>
              </w:rPr>
            </w:pPr>
            <w:r w:rsidRPr="00E7418B">
              <w:rPr>
                <w:rFonts w:cs="Arial"/>
                <w:color w:val="000000" w:themeColor="text1"/>
                <w:szCs w:val="24"/>
              </w:rPr>
              <w:t>2022</w:t>
            </w:r>
          </w:p>
        </w:tc>
        <w:tc>
          <w:tcPr>
            <w:tcW w:w="1530" w:type="dxa"/>
          </w:tcPr>
          <w:p w14:paraId="2A4FCDE1"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0.15%</w:t>
            </w:r>
          </w:p>
        </w:tc>
      </w:tr>
      <w:tr w:rsidR="003A11CD" w:rsidRPr="00E7418B" w14:paraId="492F35D6" w14:textId="77777777" w:rsidTr="00A1650A">
        <w:tc>
          <w:tcPr>
            <w:tcW w:w="1890" w:type="dxa"/>
          </w:tcPr>
          <w:p w14:paraId="7ADF5E12" w14:textId="77777777" w:rsidR="00526D2A" w:rsidRPr="00E7418B" w:rsidRDefault="00526D2A" w:rsidP="00E7418B">
            <w:pPr>
              <w:rPr>
                <w:rFonts w:cs="Arial"/>
                <w:color w:val="000000" w:themeColor="text1"/>
                <w:szCs w:val="24"/>
              </w:rPr>
            </w:pPr>
            <w:r w:rsidRPr="00E7418B">
              <w:rPr>
                <w:rFonts w:cs="Arial"/>
                <w:color w:val="000000" w:themeColor="text1"/>
                <w:szCs w:val="24"/>
              </w:rPr>
              <w:t>2023</w:t>
            </w:r>
          </w:p>
        </w:tc>
        <w:tc>
          <w:tcPr>
            <w:tcW w:w="1530" w:type="dxa"/>
          </w:tcPr>
          <w:p w14:paraId="6628E03B"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–54.91%</w:t>
            </w:r>
          </w:p>
        </w:tc>
      </w:tr>
      <w:tr w:rsidR="003A11CD" w:rsidRPr="00E7418B" w14:paraId="57C224EB" w14:textId="77777777" w:rsidTr="00A1650A">
        <w:tc>
          <w:tcPr>
            <w:tcW w:w="1890" w:type="dxa"/>
          </w:tcPr>
          <w:p w14:paraId="33313CFE" w14:textId="77777777" w:rsidR="00526D2A" w:rsidRPr="00E7418B" w:rsidRDefault="00526D2A" w:rsidP="00E7418B">
            <w:pPr>
              <w:rPr>
                <w:rFonts w:cs="Arial"/>
                <w:color w:val="000000" w:themeColor="text1"/>
                <w:szCs w:val="24"/>
              </w:rPr>
            </w:pPr>
            <w:r w:rsidRPr="00E7418B">
              <w:rPr>
                <w:rFonts w:cs="Arial"/>
                <w:color w:val="000000" w:themeColor="text1"/>
                <w:szCs w:val="24"/>
              </w:rPr>
              <w:t>2024</w:t>
            </w:r>
          </w:p>
        </w:tc>
        <w:tc>
          <w:tcPr>
            <w:tcW w:w="1530" w:type="dxa"/>
          </w:tcPr>
          <w:p w14:paraId="02FDA57C"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 –15.69%</w:t>
            </w:r>
          </w:p>
        </w:tc>
      </w:tr>
    </w:tbl>
    <w:p w14:paraId="4E0F1EEB" w14:textId="77777777" w:rsidR="006D7A65" w:rsidRPr="00E7418B" w:rsidRDefault="00526D2A" w:rsidP="00E7418B">
      <w:pPr>
        <w:rPr>
          <w:rFonts w:cs="Arial"/>
          <w:color w:val="000000" w:themeColor="text1"/>
          <w:szCs w:val="24"/>
        </w:rPr>
      </w:pPr>
      <w:r w:rsidRPr="00E7418B">
        <w:rPr>
          <w:rFonts w:cs="Arial"/>
          <w:color w:val="000000" w:themeColor="text1"/>
          <w:szCs w:val="24"/>
        </w:rPr>
        <w:t>ROE is essential to shareholders. It demonstrates shareholder returns. It has colla£ed. Shareholders' value was destroyed by the losses. Revenue decline fueled this. ROE was strong in 2020 with 12.31%. It then fell off a cliff. The 2023 figure is catastrophic (-54.91%). Declining stock and excessive losses enhance risks in the long run.</w:t>
      </w:r>
    </w:p>
    <w:p w14:paraId="3521FC28" w14:textId="77777777" w:rsidR="00526D2A" w:rsidRPr="00E7418B" w:rsidRDefault="00526D2A" w:rsidP="00E7418B">
      <w:pPr>
        <w:pStyle w:val="Heading3"/>
        <w:rPr>
          <w:rFonts w:ascii="Arial" w:hAnsi="Arial" w:cs="Arial"/>
          <w:color w:val="000000" w:themeColor="text1"/>
        </w:rPr>
      </w:pPr>
      <w:bookmarkStart w:id="5" w:name="_Toc217162963"/>
      <w:r w:rsidRPr="00E7418B">
        <w:rPr>
          <w:rFonts w:ascii="Arial" w:hAnsi="Arial" w:cs="Arial"/>
          <w:color w:val="000000" w:themeColor="text1"/>
        </w:rPr>
        <w:t>Liquidity Ratios</w:t>
      </w:r>
      <w:bookmarkEnd w:id="5"/>
    </w:p>
    <w:p w14:paraId="73D35BC0" w14:textId="5BE71B4B" w:rsidR="00AB21F8" w:rsidRPr="00E7418B" w:rsidRDefault="00526D2A" w:rsidP="00E7418B">
      <w:pPr>
        <w:rPr>
          <w:rFonts w:cs="Arial"/>
          <w:color w:val="000000" w:themeColor="text1"/>
          <w:szCs w:val="24"/>
        </w:rPr>
      </w:pPr>
      <w:r w:rsidRPr="00E7418B">
        <w:rPr>
          <w:rFonts w:cs="Arial"/>
          <w:color w:val="000000" w:themeColor="text1"/>
          <w:szCs w:val="24"/>
        </w:rPr>
        <w:t xml:space="preserve">These ratios are </w:t>
      </w:r>
      <w:r w:rsidR="00232C2C">
        <w:rPr>
          <w:rFonts w:cs="Arial"/>
          <w:color w:val="000000" w:themeColor="text1"/>
          <w:szCs w:val="24"/>
        </w:rPr>
        <w:t>helpful in determining</w:t>
      </w:r>
      <w:r w:rsidRPr="00E7418B">
        <w:rPr>
          <w:rFonts w:cs="Arial"/>
          <w:color w:val="000000" w:themeColor="text1"/>
          <w:szCs w:val="24"/>
        </w:rPr>
        <w:t xml:space="preserve"> whether a </w:t>
      </w:r>
      <w:r w:rsidR="00232C2C">
        <w:rPr>
          <w:rFonts w:cs="Arial"/>
          <w:color w:val="000000" w:themeColor="text1"/>
          <w:szCs w:val="24"/>
        </w:rPr>
        <w:t>business can pay off its long</w:t>
      </w:r>
      <w:r w:rsidRPr="00E7418B">
        <w:rPr>
          <w:rFonts w:cs="Arial"/>
          <w:color w:val="000000" w:themeColor="text1"/>
          <w:szCs w:val="24"/>
        </w:rPr>
        <w:t>-term debt</w:t>
      </w:r>
      <w:r w:rsidR="00AB21F8" w:rsidRPr="00E7418B">
        <w:rPr>
          <w:rFonts w:cs="Arial"/>
          <w:color w:val="000000" w:themeColor="text1"/>
          <w:szCs w:val="24"/>
        </w:rPr>
        <w:t xml:space="preserve"> </w:t>
      </w:r>
      <w:r w:rsidR="00AB21F8" w:rsidRPr="00E7418B">
        <w:rPr>
          <w:rFonts w:cs="Arial"/>
          <w:color w:val="000000" w:themeColor="text1"/>
          <w:szCs w:val="24"/>
          <w:lang w:eastAsia="en-GB"/>
        </w:rPr>
        <w:t>(Kumar, 2019)</w:t>
      </w:r>
      <w:r w:rsidRPr="00E7418B">
        <w:rPr>
          <w:rFonts w:cs="Arial"/>
          <w:color w:val="000000" w:themeColor="text1"/>
          <w:szCs w:val="24"/>
        </w:rPr>
        <w:t>. They also indicate cash and credit line dependability.</w:t>
      </w:r>
    </w:p>
    <w:p w14:paraId="0E73D10F" w14:textId="77777777" w:rsidR="00526D2A" w:rsidRPr="00E7418B" w:rsidRDefault="00526D2A" w:rsidP="00E7418B">
      <w:pPr>
        <w:rPr>
          <w:rFonts w:cs="Arial"/>
          <w:b/>
          <w:color w:val="000000" w:themeColor="text1"/>
          <w:szCs w:val="24"/>
        </w:rPr>
      </w:pPr>
      <w:r w:rsidRPr="00E7418B">
        <w:rPr>
          <w:rFonts w:cs="Arial"/>
          <w:b/>
          <w:color w:val="000000" w:themeColor="text1"/>
          <w:szCs w:val="24"/>
        </w:rPr>
        <w:t>1. Current Ratio</w:t>
      </w:r>
    </w:p>
    <w:p w14:paraId="0C27ED1E"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Current Assets ÷ Current Liabilities.</w:t>
      </w:r>
    </w:p>
    <w:p w14:paraId="72C04201" w14:textId="77777777" w:rsidR="00526D2A" w:rsidRPr="00E7418B" w:rsidRDefault="00526D2A" w:rsidP="00E7418B">
      <w:pPr>
        <w:rPr>
          <w:rFonts w:cs="Arial"/>
          <w:color w:val="000000" w:themeColor="text1"/>
          <w:szCs w:val="24"/>
        </w:rPr>
      </w:pPr>
      <w:r w:rsidRPr="00E7418B">
        <w:rPr>
          <w:rFonts w:cs="Arial"/>
          <w:color w:val="000000" w:themeColor="text1"/>
          <w:szCs w:val="24"/>
        </w:rPr>
        <w:t>The Current Ratio of GE for the past five years is,</w:t>
      </w:r>
    </w:p>
    <w:p w14:paraId="54B123B6" w14:textId="77777777" w:rsidR="00526D2A" w:rsidRPr="00E7418B" w:rsidRDefault="00526D2A" w:rsidP="00E7418B">
      <w:pPr>
        <w:pStyle w:val="NormalWeb"/>
        <w:spacing w:line="360" w:lineRule="auto"/>
        <w:jc w:val="center"/>
        <w:rPr>
          <w:rFonts w:ascii="Arial" w:hAnsi="Arial" w:cs="Arial"/>
          <w:color w:val="000000" w:themeColor="text1"/>
        </w:rPr>
      </w:pPr>
      <w:r w:rsidRPr="00E7418B">
        <w:rPr>
          <w:rFonts w:ascii="Arial" w:hAnsi="Arial" w:cs="Arial"/>
          <w:noProof/>
          <w:color w:val="000000" w:themeColor="text1"/>
        </w:rPr>
        <w:drawing>
          <wp:inline distT="0" distB="0" distL="0" distR="0" wp14:anchorId="04A194C8" wp14:editId="23DAB249">
            <wp:extent cx="3360013" cy="2105637"/>
            <wp:effectExtent l="0" t="0" r="18415" b="158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B3E6FE" w14:textId="77777777" w:rsidR="00526D2A" w:rsidRDefault="00526D2A" w:rsidP="00E7418B">
      <w:pPr>
        <w:rPr>
          <w:rFonts w:cs="Arial"/>
          <w:color w:val="000000" w:themeColor="text1"/>
          <w:szCs w:val="24"/>
        </w:rPr>
      </w:pPr>
      <w:r w:rsidRPr="00E7418B">
        <w:rPr>
          <w:rFonts w:cs="Arial"/>
          <w:color w:val="000000" w:themeColor="text1"/>
          <w:szCs w:val="24"/>
        </w:rPr>
        <w:t>This is an extremely downward trend that has been ongoing since 2020. In this fall, the capacity to finance the short-term debts is less. Even a ratio of above 1 will provide short-run cover. Current liabilities are marginally higher than the current assets. It is analysed that short-term credit lines are extensively utilised by GE. The shrinking participation indicates increased liquidity danger.</w:t>
      </w:r>
    </w:p>
    <w:p w14:paraId="757D0330" w14:textId="77777777" w:rsidR="00E7418B" w:rsidRDefault="00E7418B" w:rsidP="00E7418B">
      <w:pPr>
        <w:rPr>
          <w:rFonts w:cs="Arial"/>
          <w:color w:val="000000" w:themeColor="text1"/>
          <w:szCs w:val="24"/>
        </w:rPr>
      </w:pPr>
    </w:p>
    <w:p w14:paraId="3550EDA8" w14:textId="77777777" w:rsidR="00E7418B" w:rsidRDefault="00E7418B" w:rsidP="00E7418B">
      <w:pPr>
        <w:rPr>
          <w:rFonts w:cs="Arial"/>
          <w:color w:val="000000" w:themeColor="text1"/>
          <w:szCs w:val="24"/>
        </w:rPr>
      </w:pPr>
    </w:p>
    <w:p w14:paraId="0B8ADE01" w14:textId="77777777" w:rsidR="00E7418B" w:rsidRPr="00E7418B" w:rsidRDefault="00E7418B" w:rsidP="00E7418B">
      <w:pPr>
        <w:rPr>
          <w:rFonts w:cs="Arial"/>
          <w:color w:val="000000" w:themeColor="text1"/>
          <w:szCs w:val="24"/>
        </w:rPr>
      </w:pPr>
    </w:p>
    <w:p w14:paraId="52B16B00" w14:textId="77777777" w:rsidR="00526D2A" w:rsidRPr="00E7418B" w:rsidRDefault="00526D2A" w:rsidP="00E7418B">
      <w:pPr>
        <w:rPr>
          <w:rFonts w:cs="Arial"/>
          <w:b/>
          <w:color w:val="000000" w:themeColor="text1"/>
          <w:szCs w:val="24"/>
        </w:rPr>
      </w:pPr>
      <w:r w:rsidRPr="00E7418B">
        <w:rPr>
          <w:rFonts w:cs="Arial"/>
          <w:b/>
          <w:color w:val="000000" w:themeColor="text1"/>
          <w:szCs w:val="24"/>
        </w:rPr>
        <w:t>2. Quick Ratio</w:t>
      </w:r>
    </w:p>
    <w:p w14:paraId="7B62B8D6"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(Current Assets – Inventory) ÷ Current Liabilities</w:t>
      </w:r>
    </w:p>
    <w:p w14:paraId="1559E1C8" w14:textId="77777777" w:rsidR="00526D2A" w:rsidRPr="00E7418B" w:rsidRDefault="00526D2A" w:rsidP="00E7418B">
      <w:pPr>
        <w:rPr>
          <w:rFonts w:cs="Arial"/>
          <w:color w:val="000000" w:themeColor="text1"/>
          <w:szCs w:val="24"/>
        </w:rPr>
      </w:pPr>
      <w:r w:rsidRPr="00E7418B">
        <w:rPr>
          <w:rFonts w:cs="Arial"/>
          <w:color w:val="000000" w:themeColor="text1"/>
          <w:szCs w:val="24"/>
        </w:rPr>
        <w:t>The Quick Ratio of GE for the past five years are,</w:t>
      </w:r>
    </w:p>
    <w:p w14:paraId="4CB7CFCD" w14:textId="6973969D" w:rsidR="00526D2A" w:rsidRPr="00E7418B" w:rsidRDefault="00526D2A" w:rsidP="00E7418B">
      <w:pPr>
        <w:pStyle w:val="NormalWeb"/>
        <w:spacing w:line="360" w:lineRule="auto"/>
        <w:jc w:val="center"/>
        <w:rPr>
          <w:rFonts w:ascii="Arial" w:hAnsi="Arial" w:cs="Arial"/>
          <w:color w:val="000000" w:themeColor="text1"/>
        </w:rPr>
      </w:pPr>
      <w:r w:rsidRPr="00E7418B">
        <w:rPr>
          <w:rFonts w:ascii="Arial" w:hAnsi="Arial" w:cs="Arial"/>
          <w:noProof/>
          <w:color w:val="000000" w:themeColor="text1"/>
        </w:rPr>
        <w:drawing>
          <wp:inline distT="0" distB="0" distL="0" distR="0" wp14:anchorId="29EAC6A0" wp14:editId="541115A4">
            <wp:extent cx="3444671" cy="2164360"/>
            <wp:effectExtent l="0" t="0" r="1016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ABB73A" w14:textId="77777777" w:rsidR="00526D2A" w:rsidRPr="00E7418B" w:rsidRDefault="00526D2A" w:rsidP="00E7418B">
      <w:pPr>
        <w:rPr>
          <w:rFonts w:cs="Arial"/>
          <w:color w:val="000000" w:themeColor="text1"/>
          <w:szCs w:val="24"/>
        </w:rPr>
      </w:pPr>
      <w:r w:rsidRPr="00E7418B">
        <w:rPr>
          <w:rFonts w:cs="Arial"/>
          <w:color w:val="000000" w:themeColor="text1"/>
          <w:szCs w:val="24"/>
        </w:rPr>
        <w:t xml:space="preserve">The quick ratio fell below 1 in 2021 and 2022. GE is dependent on borrowing from outside. This is a critical weakness. This implied that the company was unable to make quick payments of debts without selling stock. It rose slightly in 2023 and 2024. It has been attained through a significant decrease in the number of inventories. The short-term cash risk is still high. </w:t>
      </w:r>
    </w:p>
    <w:p w14:paraId="50A0F80C" w14:textId="77777777" w:rsidR="00526D2A" w:rsidRPr="00E7418B" w:rsidRDefault="00526D2A" w:rsidP="00E7418B">
      <w:pPr>
        <w:pStyle w:val="Heading3"/>
        <w:rPr>
          <w:rFonts w:ascii="Arial" w:hAnsi="Arial" w:cs="Arial"/>
          <w:b/>
          <w:bCs/>
          <w:color w:val="000000" w:themeColor="text1"/>
        </w:rPr>
      </w:pPr>
      <w:bookmarkStart w:id="6" w:name="_Toc217162964"/>
      <w:r w:rsidRPr="00E7418B">
        <w:rPr>
          <w:rFonts w:ascii="Arial" w:hAnsi="Arial" w:cs="Arial"/>
          <w:b/>
          <w:bCs/>
          <w:color w:val="000000" w:themeColor="text1"/>
        </w:rPr>
        <w:t>Efficiency Ratios</w:t>
      </w:r>
      <w:bookmarkEnd w:id="6"/>
    </w:p>
    <w:p w14:paraId="4A58C53E" w14:textId="77777777" w:rsidR="00AB21F8" w:rsidRPr="00E7418B" w:rsidRDefault="00526D2A" w:rsidP="00E7418B">
      <w:pPr>
        <w:rPr>
          <w:rFonts w:cs="Arial"/>
          <w:color w:val="000000" w:themeColor="text1"/>
          <w:szCs w:val="24"/>
        </w:rPr>
      </w:pPr>
      <w:r w:rsidRPr="00E7418B">
        <w:rPr>
          <w:rFonts w:cs="Arial"/>
          <w:color w:val="000000" w:themeColor="text1"/>
          <w:szCs w:val="24"/>
        </w:rPr>
        <w:t>These ratios determine the efficiency of GE in the use of its assets. They include operational efficiency and cash cycle performance</w:t>
      </w:r>
      <w:r w:rsidR="00AB21F8" w:rsidRPr="00E7418B">
        <w:rPr>
          <w:rFonts w:cs="Arial"/>
          <w:color w:val="000000" w:themeColor="text1"/>
          <w:szCs w:val="24"/>
        </w:rPr>
        <w:t xml:space="preserve"> </w:t>
      </w:r>
      <w:r w:rsidR="00AB21F8" w:rsidRPr="00E7418B">
        <w:rPr>
          <w:rFonts w:cs="Arial"/>
          <w:color w:val="000000" w:themeColor="text1"/>
          <w:szCs w:val="24"/>
          <w:lang w:eastAsia="en-GB"/>
        </w:rPr>
        <w:t>(Rashid, 2021)</w:t>
      </w:r>
      <w:r w:rsidRPr="00E7418B">
        <w:rPr>
          <w:rFonts w:cs="Arial"/>
          <w:color w:val="000000" w:themeColor="text1"/>
          <w:szCs w:val="24"/>
        </w:rPr>
        <w:t>.</w:t>
      </w:r>
    </w:p>
    <w:p w14:paraId="4A93B00B" w14:textId="77777777" w:rsidR="00526D2A" w:rsidRPr="00E7418B" w:rsidRDefault="00526D2A" w:rsidP="00E7418B">
      <w:pPr>
        <w:rPr>
          <w:rFonts w:cs="Arial"/>
          <w:b/>
          <w:color w:val="000000" w:themeColor="text1"/>
          <w:szCs w:val="24"/>
        </w:rPr>
      </w:pPr>
      <w:r w:rsidRPr="00E7418B">
        <w:rPr>
          <w:rFonts w:cs="Arial"/>
          <w:b/>
          <w:color w:val="000000" w:themeColor="text1"/>
          <w:szCs w:val="24"/>
        </w:rPr>
        <w:t>1. Inventory Turnover</w:t>
      </w:r>
    </w:p>
    <w:p w14:paraId="1ED56BA4"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Cost of Sales ÷ Average Inventory</w:t>
      </w:r>
    </w:p>
    <w:p w14:paraId="7C8F3DA7" w14:textId="77777777" w:rsidR="00526D2A" w:rsidRPr="00E7418B" w:rsidRDefault="00526D2A" w:rsidP="00E7418B">
      <w:pPr>
        <w:rPr>
          <w:rFonts w:cs="Arial"/>
          <w:color w:val="000000" w:themeColor="text1"/>
          <w:szCs w:val="24"/>
        </w:rPr>
      </w:pPr>
      <w:r w:rsidRPr="00E7418B">
        <w:rPr>
          <w:rFonts w:cs="Arial"/>
          <w:color w:val="000000" w:themeColor="text1"/>
          <w:szCs w:val="24"/>
        </w:rPr>
        <w:t>The Inventory Turnover of GE for the past five years is,</w:t>
      </w:r>
    </w:p>
    <w:p w14:paraId="1E3D3006" w14:textId="77777777" w:rsidR="00526D2A" w:rsidRPr="00E7418B" w:rsidRDefault="00526D2A" w:rsidP="00E7418B">
      <w:pPr>
        <w:pStyle w:val="NormalWeb"/>
        <w:spacing w:line="360" w:lineRule="auto"/>
        <w:jc w:val="center"/>
        <w:rPr>
          <w:rFonts w:ascii="Arial" w:hAnsi="Arial" w:cs="Arial"/>
          <w:color w:val="000000" w:themeColor="text1"/>
        </w:rPr>
      </w:pPr>
      <w:r w:rsidRPr="00E7418B">
        <w:rPr>
          <w:rFonts w:ascii="Arial" w:hAnsi="Arial" w:cs="Arial"/>
          <w:noProof/>
          <w:color w:val="000000" w:themeColor="text1"/>
        </w:rPr>
        <w:drawing>
          <wp:inline distT="0" distB="0" distL="0" distR="0" wp14:anchorId="65AFFAAD" wp14:editId="24AE66E8">
            <wp:extent cx="3536950" cy="2305050"/>
            <wp:effectExtent l="0" t="0" r="635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680F80" w14:textId="77777777" w:rsidR="00526D2A" w:rsidRPr="00E7418B" w:rsidRDefault="00526D2A" w:rsidP="00E7418B">
      <w:pPr>
        <w:rPr>
          <w:rFonts w:cs="Arial"/>
          <w:color w:val="000000" w:themeColor="text1"/>
          <w:szCs w:val="24"/>
        </w:rPr>
      </w:pPr>
      <w:r w:rsidRPr="00E7418B">
        <w:rPr>
          <w:rFonts w:cs="Arial"/>
          <w:color w:val="000000" w:themeColor="text1"/>
          <w:szCs w:val="24"/>
        </w:rPr>
        <w:t>Turnover fell sharply in 2022. This occurred as the stock had increased to £140bn. It validates the existence of massive inventory accumulation. Goods were not selling. The ratio improved in 2023 and 2024. Nevertheless, it was a result of huge sales.</w:t>
      </w:r>
    </w:p>
    <w:p w14:paraId="2F27799E" w14:textId="77777777" w:rsidR="00526D2A" w:rsidRPr="00E7418B" w:rsidRDefault="00526D2A" w:rsidP="00E7418B">
      <w:pPr>
        <w:rPr>
          <w:rFonts w:cs="Arial"/>
          <w:b/>
          <w:color w:val="000000" w:themeColor="text1"/>
          <w:szCs w:val="24"/>
        </w:rPr>
      </w:pPr>
      <w:r w:rsidRPr="00E7418B">
        <w:rPr>
          <w:rFonts w:cs="Arial"/>
          <w:b/>
          <w:color w:val="000000" w:themeColor="text1"/>
          <w:szCs w:val="24"/>
        </w:rPr>
        <w:t>2. Receivables Turnover</w:t>
      </w:r>
    </w:p>
    <w:p w14:paraId="18716D41"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Sales ÷ Accounts Receivable)</w:t>
      </w:r>
    </w:p>
    <w:p w14:paraId="5C5AE48B" w14:textId="3B55ABEA" w:rsidR="009C2B17" w:rsidRPr="00E7418B" w:rsidRDefault="00526D2A" w:rsidP="00E7418B">
      <w:pPr>
        <w:rPr>
          <w:rFonts w:cs="Arial"/>
          <w:color w:val="000000" w:themeColor="text1"/>
          <w:szCs w:val="24"/>
        </w:rPr>
      </w:pPr>
      <w:r w:rsidRPr="00E7418B">
        <w:rPr>
          <w:rFonts w:cs="Arial"/>
          <w:color w:val="000000" w:themeColor="text1"/>
          <w:szCs w:val="24"/>
        </w:rPr>
        <w:t>The</w:t>
      </w:r>
      <w:r w:rsidR="00232C2C">
        <w:rPr>
          <w:rFonts w:cs="Arial"/>
          <w:color w:val="000000" w:themeColor="text1"/>
          <w:szCs w:val="24"/>
        </w:rPr>
        <w:t xml:space="preserve"> accounts</w:t>
      </w:r>
      <w:r w:rsidRPr="00E7418B">
        <w:rPr>
          <w:rFonts w:cs="Arial"/>
          <w:color w:val="000000" w:themeColor="text1"/>
          <w:szCs w:val="24"/>
        </w:rPr>
        <w:t xml:space="preserve"> Receivables Turnover</w:t>
      </w:r>
      <w:r w:rsidR="00232C2C">
        <w:rPr>
          <w:rFonts w:cs="Arial"/>
          <w:color w:val="000000" w:themeColor="text1"/>
          <w:szCs w:val="24"/>
        </w:rPr>
        <w:t xml:space="preserve"> </w:t>
      </w:r>
      <w:r w:rsidRPr="00E7418B">
        <w:rPr>
          <w:rFonts w:cs="Arial"/>
          <w:color w:val="000000" w:themeColor="text1"/>
          <w:szCs w:val="24"/>
        </w:rPr>
        <w:t xml:space="preserve"> of GE for the past five years is,</w:t>
      </w:r>
    </w:p>
    <w:tbl>
      <w:tblPr>
        <w:tblStyle w:val="TableGrid"/>
        <w:tblW w:w="0" w:type="auto"/>
        <w:jc w:val="center"/>
        <w:tblLook w:val="04A0" w:firstRow="1" w:lastRow="0" w:firstColumn="1" w:lastColumn="0" w:noHBand="0" w:noVBand="1"/>
      </w:tblPr>
      <w:tblGrid>
        <w:gridCol w:w="1710"/>
        <w:gridCol w:w="2425"/>
      </w:tblGrid>
      <w:tr w:rsidR="003A11CD" w:rsidRPr="00E7418B" w14:paraId="6E6F05B2" w14:textId="77777777" w:rsidTr="009C2B17">
        <w:trPr>
          <w:trHeight w:val="557"/>
          <w:jc w:val="center"/>
        </w:trPr>
        <w:tc>
          <w:tcPr>
            <w:tcW w:w="1710" w:type="dxa"/>
          </w:tcPr>
          <w:p w14:paraId="0B2867A4"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2425" w:type="dxa"/>
          </w:tcPr>
          <w:p w14:paraId="281CA83D" w14:textId="45822AED" w:rsidR="00526D2A" w:rsidRPr="00E7418B" w:rsidRDefault="00526D2A" w:rsidP="00E7418B">
            <w:pPr>
              <w:jc w:val="center"/>
              <w:rPr>
                <w:rFonts w:cs="Arial"/>
                <w:color w:val="000000" w:themeColor="text1"/>
                <w:szCs w:val="24"/>
              </w:rPr>
            </w:pPr>
            <w:r w:rsidRPr="00E7418B">
              <w:rPr>
                <w:rFonts w:cs="Arial"/>
                <w:color w:val="000000" w:themeColor="text1"/>
                <w:szCs w:val="24"/>
              </w:rPr>
              <w:t>Receivables Turnover</w:t>
            </w:r>
          </w:p>
        </w:tc>
      </w:tr>
      <w:tr w:rsidR="003A11CD" w:rsidRPr="00E7418B" w14:paraId="1FD718CB" w14:textId="77777777" w:rsidTr="00A1650A">
        <w:trPr>
          <w:trHeight w:val="244"/>
          <w:jc w:val="center"/>
        </w:trPr>
        <w:tc>
          <w:tcPr>
            <w:tcW w:w="1710" w:type="dxa"/>
          </w:tcPr>
          <w:p w14:paraId="343A803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2425" w:type="dxa"/>
          </w:tcPr>
          <w:p w14:paraId="43549B50" w14:textId="2DB59F90" w:rsidR="00526D2A" w:rsidRPr="00E7418B" w:rsidRDefault="00526D2A" w:rsidP="00E7418B">
            <w:pPr>
              <w:jc w:val="center"/>
              <w:rPr>
                <w:rFonts w:cs="Arial"/>
                <w:color w:val="000000" w:themeColor="text1"/>
                <w:szCs w:val="24"/>
              </w:rPr>
            </w:pPr>
            <w:r w:rsidRPr="00E7418B">
              <w:rPr>
                <w:rFonts w:cs="Arial"/>
                <w:color w:val="000000" w:themeColor="text1"/>
                <w:szCs w:val="24"/>
              </w:rPr>
              <w:t>4.75</w:t>
            </w:r>
          </w:p>
        </w:tc>
      </w:tr>
      <w:tr w:rsidR="003A11CD" w:rsidRPr="00E7418B" w14:paraId="5B379DA0" w14:textId="77777777" w:rsidTr="00A1650A">
        <w:trPr>
          <w:trHeight w:val="253"/>
          <w:jc w:val="center"/>
        </w:trPr>
        <w:tc>
          <w:tcPr>
            <w:tcW w:w="1710" w:type="dxa"/>
          </w:tcPr>
          <w:p w14:paraId="19DED739"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2425" w:type="dxa"/>
          </w:tcPr>
          <w:p w14:paraId="14F37762" w14:textId="2BB72C82" w:rsidR="00526D2A" w:rsidRPr="00E7418B" w:rsidRDefault="00526D2A" w:rsidP="00E7418B">
            <w:pPr>
              <w:jc w:val="center"/>
              <w:rPr>
                <w:rFonts w:cs="Arial"/>
                <w:color w:val="000000" w:themeColor="text1"/>
                <w:szCs w:val="24"/>
              </w:rPr>
            </w:pPr>
            <w:r w:rsidRPr="00E7418B">
              <w:rPr>
                <w:rFonts w:cs="Arial"/>
                <w:color w:val="000000" w:themeColor="text1"/>
                <w:szCs w:val="24"/>
              </w:rPr>
              <w:t>4.66</w:t>
            </w:r>
          </w:p>
        </w:tc>
      </w:tr>
      <w:tr w:rsidR="003A11CD" w:rsidRPr="00E7418B" w14:paraId="387510DA" w14:textId="77777777" w:rsidTr="00A1650A">
        <w:trPr>
          <w:trHeight w:val="244"/>
          <w:jc w:val="center"/>
        </w:trPr>
        <w:tc>
          <w:tcPr>
            <w:tcW w:w="1710" w:type="dxa"/>
          </w:tcPr>
          <w:p w14:paraId="7FA6F7B6"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2425" w:type="dxa"/>
          </w:tcPr>
          <w:p w14:paraId="4379F33C" w14:textId="2D333EDC" w:rsidR="00526D2A" w:rsidRPr="00E7418B" w:rsidRDefault="00526D2A" w:rsidP="00E7418B">
            <w:pPr>
              <w:jc w:val="center"/>
              <w:rPr>
                <w:rFonts w:cs="Arial"/>
                <w:color w:val="000000" w:themeColor="text1"/>
                <w:szCs w:val="24"/>
              </w:rPr>
            </w:pPr>
            <w:r w:rsidRPr="00E7418B">
              <w:rPr>
                <w:rFonts w:cs="Arial"/>
                <w:color w:val="000000" w:themeColor="text1"/>
                <w:szCs w:val="24"/>
              </w:rPr>
              <w:t>4.83</w:t>
            </w:r>
          </w:p>
        </w:tc>
      </w:tr>
      <w:tr w:rsidR="003A11CD" w:rsidRPr="00E7418B" w14:paraId="75E5878C" w14:textId="77777777" w:rsidTr="00A1650A">
        <w:trPr>
          <w:trHeight w:val="253"/>
          <w:jc w:val="center"/>
        </w:trPr>
        <w:tc>
          <w:tcPr>
            <w:tcW w:w="1710" w:type="dxa"/>
          </w:tcPr>
          <w:p w14:paraId="7E143CA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2425" w:type="dxa"/>
          </w:tcPr>
          <w:p w14:paraId="6968D5F8" w14:textId="21FF4A47" w:rsidR="00526D2A" w:rsidRPr="00E7418B" w:rsidRDefault="00526D2A" w:rsidP="00E7418B">
            <w:pPr>
              <w:jc w:val="center"/>
              <w:rPr>
                <w:rFonts w:cs="Arial"/>
                <w:color w:val="000000" w:themeColor="text1"/>
                <w:szCs w:val="24"/>
              </w:rPr>
            </w:pPr>
            <w:r w:rsidRPr="00E7418B">
              <w:rPr>
                <w:rFonts w:cs="Arial"/>
                <w:color w:val="000000" w:themeColor="text1"/>
                <w:szCs w:val="24"/>
              </w:rPr>
              <w:t>3.73</w:t>
            </w:r>
          </w:p>
        </w:tc>
      </w:tr>
      <w:tr w:rsidR="003A11CD" w:rsidRPr="00E7418B" w14:paraId="3338A9F3" w14:textId="77777777" w:rsidTr="00A1650A">
        <w:trPr>
          <w:trHeight w:val="253"/>
          <w:jc w:val="center"/>
        </w:trPr>
        <w:tc>
          <w:tcPr>
            <w:tcW w:w="1710" w:type="dxa"/>
          </w:tcPr>
          <w:p w14:paraId="018DFAC0"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2425" w:type="dxa"/>
          </w:tcPr>
          <w:p w14:paraId="3ED95903" w14:textId="59D13CCA" w:rsidR="00526D2A" w:rsidRPr="00E7418B" w:rsidRDefault="00526D2A" w:rsidP="00E7418B">
            <w:pPr>
              <w:jc w:val="center"/>
              <w:rPr>
                <w:rFonts w:cs="Arial"/>
                <w:color w:val="000000" w:themeColor="text1"/>
                <w:szCs w:val="24"/>
              </w:rPr>
            </w:pPr>
            <w:r w:rsidRPr="00E7418B">
              <w:rPr>
                <w:rFonts w:cs="Arial"/>
                <w:color w:val="000000" w:themeColor="text1"/>
                <w:szCs w:val="24"/>
              </w:rPr>
              <w:t>3.46</w:t>
            </w:r>
          </w:p>
        </w:tc>
      </w:tr>
    </w:tbl>
    <w:p w14:paraId="1FDC96C3" w14:textId="77777777" w:rsidR="00526D2A" w:rsidRDefault="00526D2A" w:rsidP="00E7418B">
      <w:pPr>
        <w:rPr>
          <w:rFonts w:cs="Arial"/>
          <w:color w:val="000000" w:themeColor="text1"/>
          <w:szCs w:val="24"/>
        </w:rPr>
      </w:pPr>
      <w:r w:rsidRPr="00E7418B">
        <w:rPr>
          <w:rFonts w:cs="Arial"/>
          <w:color w:val="000000" w:themeColor="text1"/>
          <w:szCs w:val="24"/>
        </w:rPr>
        <w:t>Early years were stable in terms of receivables. Turnover dropped sharply from 2022 to 2024. Receivables remained high amid a declining level of sales. This implies that the collection is getting slower. During the fall of GE, customers can make their payments late. Cash is held up in unpaid invoices.</w:t>
      </w:r>
    </w:p>
    <w:p w14:paraId="7E22F070" w14:textId="77777777" w:rsidR="00E7418B" w:rsidRDefault="00E7418B" w:rsidP="00E7418B">
      <w:pPr>
        <w:rPr>
          <w:rFonts w:cs="Arial"/>
          <w:color w:val="000000" w:themeColor="text1"/>
          <w:szCs w:val="24"/>
        </w:rPr>
      </w:pPr>
    </w:p>
    <w:p w14:paraId="43BCA6AE" w14:textId="77777777" w:rsidR="00E7418B" w:rsidRPr="00E7418B" w:rsidRDefault="00E7418B" w:rsidP="00E7418B">
      <w:pPr>
        <w:rPr>
          <w:rFonts w:cs="Arial"/>
          <w:color w:val="000000" w:themeColor="text1"/>
          <w:szCs w:val="24"/>
        </w:rPr>
      </w:pPr>
    </w:p>
    <w:p w14:paraId="6C907541" w14:textId="77777777" w:rsidR="00526D2A" w:rsidRPr="00E7418B" w:rsidRDefault="00526D2A" w:rsidP="00E7418B">
      <w:pPr>
        <w:pStyle w:val="NormalWeb"/>
        <w:spacing w:line="360" w:lineRule="auto"/>
        <w:rPr>
          <w:rFonts w:ascii="Arial" w:hAnsi="Arial" w:cs="Arial"/>
          <w:b/>
          <w:color w:val="000000" w:themeColor="text1"/>
        </w:rPr>
      </w:pPr>
      <w:r w:rsidRPr="00E7418B">
        <w:rPr>
          <w:rFonts w:ascii="Arial" w:hAnsi="Arial" w:cs="Arial"/>
          <w:b/>
          <w:color w:val="000000" w:themeColor="text1"/>
        </w:rPr>
        <w:t>3. Payables Turnover</w:t>
      </w:r>
    </w:p>
    <w:p w14:paraId="7CEF2436"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Cost of Sales ÷ Accounts Payable</w:t>
      </w:r>
    </w:p>
    <w:p w14:paraId="7D4D3781" w14:textId="77777777" w:rsidR="00526D2A" w:rsidRPr="00E7418B" w:rsidRDefault="00526D2A" w:rsidP="00E7418B">
      <w:pPr>
        <w:rPr>
          <w:rFonts w:cs="Arial"/>
          <w:color w:val="000000" w:themeColor="text1"/>
          <w:szCs w:val="24"/>
        </w:rPr>
      </w:pPr>
      <w:r w:rsidRPr="00E7418B">
        <w:rPr>
          <w:rFonts w:cs="Arial"/>
          <w:color w:val="000000" w:themeColor="text1"/>
          <w:szCs w:val="24"/>
        </w:rPr>
        <w:t>The Payables Turnover of GE for the past five years is,</w:t>
      </w:r>
    </w:p>
    <w:tbl>
      <w:tblPr>
        <w:tblStyle w:val="TableGrid"/>
        <w:tblW w:w="0" w:type="auto"/>
        <w:jc w:val="center"/>
        <w:tblLook w:val="04A0" w:firstRow="1" w:lastRow="0" w:firstColumn="1" w:lastColumn="0" w:noHBand="0" w:noVBand="1"/>
      </w:tblPr>
      <w:tblGrid>
        <w:gridCol w:w="2210"/>
        <w:gridCol w:w="2210"/>
      </w:tblGrid>
      <w:tr w:rsidR="003A11CD" w:rsidRPr="00E7418B" w14:paraId="79CB5017" w14:textId="77777777" w:rsidTr="00A1650A">
        <w:trPr>
          <w:trHeight w:val="253"/>
          <w:jc w:val="center"/>
        </w:trPr>
        <w:tc>
          <w:tcPr>
            <w:tcW w:w="2210" w:type="dxa"/>
          </w:tcPr>
          <w:p w14:paraId="165754DD"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2210" w:type="dxa"/>
          </w:tcPr>
          <w:p w14:paraId="2F5F65A6" w14:textId="7E9DBAFF" w:rsidR="00526D2A" w:rsidRPr="00E7418B" w:rsidRDefault="00526D2A" w:rsidP="00E7418B">
            <w:pPr>
              <w:jc w:val="center"/>
              <w:rPr>
                <w:rFonts w:cs="Arial"/>
                <w:color w:val="000000" w:themeColor="text1"/>
                <w:szCs w:val="24"/>
              </w:rPr>
            </w:pPr>
            <w:r w:rsidRPr="00E7418B">
              <w:rPr>
                <w:rFonts w:cs="Arial"/>
                <w:color w:val="000000" w:themeColor="text1"/>
                <w:szCs w:val="24"/>
              </w:rPr>
              <w:t>Payables Turnover</w:t>
            </w:r>
          </w:p>
        </w:tc>
      </w:tr>
      <w:tr w:rsidR="003A11CD" w:rsidRPr="00E7418B" w14:paraId="07C00200" w14:textId="77777777" w:rsidTr="00A1650A">
        <w:trPr>
          <w:trHeight w:val="244"/>
          <w:jc w:val="center"/>
        </w:trPr>
        <w:tc>
          <w:tcPr>
            <w:tcW w:w="2210" w:type="dxa"/>
          </w:tcPr>
          <w:p w14:paraId="07CC8AC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2210" w:type="dxa"/>
          </w:tcPr>
          <w:p w14:paraId="4CF5AB78" w14:textId="041BCC71" w:rsidR="00526D2A" w:rsidRPr="00E7418B" w:rsidRDefault="00526D2A" w:rsidP="00E7418B">
            <w:pPr>
              <w:jc w:val="center"/>
              <w:rPr>
                <w:rFonts w:cs="Arial"/>
                <w:color w:val="000000" w:themeColor="text1"/>
                <w:szCs w:val="24"/>
              </w:rPr>
            </w:pPr>
            <w:r w:rsidRPr="00E7418B">
              <w:rPr>
                <w:rFonts w:cs="Arial"/>
                <w:color w:val="000000" w:themeColor="text1"/>
                <w:szCs w:val="24"/>
              </w:rPr>
              <w:t>5.27</w:t>
            </w:r>
          </w:p>
        </w:tc>
      </w:tr>
      <w:tr w:rsidR="003A11CD" w:rsidRPr="00E7418B" w14:paraId="74556E77" w14:textId="77777777" w:rsidTr="00A1650A">
        <w:trPr>
          <w:trHeight w:val="253"/>
          <w:jc w:val="center"/>
        </w:trPr>
        <w:tc>
          <w:tcPr>
            <w:tcW w:w="2210" w:type="dxa"/>
          </w:tcPr>
          <w:p w14:paraId="6C196096"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2210" w:type="dxa"/>
          </w:tcPr>
          <w:p w14:paraId="249B493D" w14:textId="397EABA5" w:rsidR="00526D2A" w:rsidRPr="00E7418B" w:rsidRDefault="00526D2A" w:rsidP="00E7418B">
            <w:pPr>
              <w:jc w:val="center"/>
              <w:rPr>
                <w:rFonts w:cs="Arial"/>
                <w:color w:val="000000" w:themeColor="text1"/>
                <w:szCs w:val="24"/>
              </w:rPr>
            </w:pPr>
            <w:r w:rsidRPr="00E7418B">
              <w:rPr>
                <w:rFonts w:cs="Arial"/>
                <w:color w:val="000000" w:themeColor="text1"/>
                <w:szCs w:val="24"/>
              </w:rPr>
              <w:t>4.63</w:t>
            </w:r>
          </w:p>
        </w:tc>
      </w:tr>
      <w:tr w:rsidR="003A11CD" w:rsidRPr="00E7418B" w14:paraId="5B82F30A" w14:textId="77777777" w:rsidTr="00A1650A">
        <w:trPr>
          <w:trHeight w:val="244"/>
          <w:jc w:val="center"/>
        </w:trPr>
        <w:tc>
          <w:tcPr>
            <w:tcW w:w="2210" w:type="dxa"/>
          </w:tcPr>
          <w:p w14:paraId="0C7BCC1C"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2210" w:type="dxa"/>
          </w:tcPr>
          <w:p w14:paraId="045211D6" w14:textId="4B8BB34E" w:rsidR="00526D2A" w:rsidRPr="00E7418B" w:rsidRDefault="00526D2A" w:rsidP="00E7418B">
            <w:pPr>
              <w:jc w:val="center"/>
              <w:rPr>
                <w:rFonts w:cs="Arial"/>
                <w:color w:val="000000" w:themeColor="text1"/>
                <w:szCs w:val="24"/>
              </w:rPr>
            </w:pPr>
            <w:r w:rsidRPr="00E7418B">
              <w:rPr>
                <w:rFonts w:cs="Arial"/>
                <w:color w:val="000000" w:themeColor="text1"/>
                <w:szCs w:val="24"/>
              </w:rPr>
              <w:t>5.47</w:t>
            </w:r>
          </w:p>
        </w:tc>
      </w:tr>
      <w:tr w:rsidR="003A11CD" w:rsidRPr="00E7418B" w14:paraId="556728EC" w14:textId="77777777" w:rsidTr="00A1650A">
        <w:trPr>
          <w:trHeight w:val="253"/>
          <w:jc w:val="center"/>
        </w:trPr>
        <w:tc>
          <w:tcPr>
            <w:tcW w:w="2210" w:type="dxa"/>
          </w:tcPr>
          <w:p w14:paraId="49B2BE98"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2210" w:type="dxa"/>
          </w:tcPr>
          <w:p w14:paraId="69469FA3" w14:textId="496A936C" w:rsidR="00526D2A" w:rsidRPr="00E7418B" w:rsidRDefault="00526D2A" w:rsidP="00E7418B">
            <w:pPr>
              <w:jc w:val="center"/>
              <w:rPr>
                <w:rFonts w:cs="Arial"/>
                <w:color w:val="000000" w:themeColor="text1"/>
                <w:szCs w:val="24"/>
              </w:rPr>
            </w:pPr>
            <w:r w:rsidRPr="00E7418B">
              <w:rPr>
                <w:rFonts w:cs="Arial"/>
                <w:color w:val="000000" w:themeColor="text1"/>
                <w:szCs w:val="24"/>
              </w:rPr>
              <w:t>5.66</w:t>
            </w:r>
          </w:p>
        </w:tc>
      </w:tr>
      <w:tr w:rsidR="003A11CD" w:rsidRPr="00E7418B" w14:paraId="4166717D" w14:textId="77777777" w:rsidTr="00A1650A">
        <w:trPr>
          <w:trHeight w:val="253"/>
          <w:jc w:val="center"/>
        </w:trPr>
        <w:tc>
          <w:tcPr>
            <w:tcW w:w="2210" w:type="dxa"/>
          </w:tcPr>
          <w:p w14:paraId="7199D779"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2210" w:type="dxa"/>
          </w:tcPr>
          <w:p w14:paraId="35EC32D2" w14:textId="18A67924" w:rsidR="00526D2A" w:rsidRPr="00E7418B" w:rsidRDefault="00526D2A" w:rsidP="00E7418B">
            <w:pPr>
              <w:jc w:val="center"/>
              <w:rPr>
                <w:rFonts w:cs="Arial"/>
                <w:color w:val="000000" w:themeColor="text1"/>
                <w:szCs w:val="24"/>
              </w:rPr>
            </w:pPr>
            <w:r w:rsidRPr="00E7418B">
              <w:rPr>
                <w:rFonts w:cs="Arial"/>
                <w:color w:val="000000" w:themeColor="text1"/>
                <w:szCs w:val="24"/>
              </w:rPr>
              <w:t>3.90</w:t>
            </w:r>
          </w:p>
        </w:tc>
      </w:tr>
    </w:tbl>
    <w:p w14:paraId="121CA207" w14:textId="77777777" w:rsidR="00526D2A" w:rsidRPr="00E7418B" w:rsidRDefault="00526D2A" w:rsidP="00E7418B">
      <w:pPr>
        <w:rPr>
          <w:rFonts w:cs="Arial"/>
          <w:color w:val="000000" w:themeColor="text1"/>
          <w:szCs w:val="24"/>
        </w:rPr>
      </w:pPr>
      <w:r w:rsidRPr="00E7418B">
        <w:rPr>
          <w:rFonts w:cs="Arial"/>
          <w:color w:val="000000" w:themeColor="text1"/>
          <w:szCs w:val="24"/>
        </w:rPr>
        <w:t>The ratio decreased in 2024. GE paid faster in 2022 and 2023. Cash stress was elevated by fast payments. A high turnover means GE is paying suppliers quickly. This instability implies shifting payment patterns. The 2024 fall enhances the preservation of cash. This may be a strength tactic, but this may as well depict weak supplier relationship.</w:t>
      </w:r>
    </w:p>
    <w:p w14:paraId="6F80A34F" w14:textId="77777777" w:rsidR="00526D2A" w:rsidRPr="00E7418B" w:rsidRDefault="00526D2A" w:rsidP="00E7418B">
      <w:pPr>
        <w:rPr>
          <w:rFonts w:cs="Arial"/>
          <w:b/>
          <w:color w:val="000000" w:themeColor="text1"/>
          <w:szCs w:val="24"/>
        </w:rPr>
      </w:pPr>
      <w:r w:rsidRPr="00E7418B">
        <w:rPr>
          <w:rFonts w:cs="Arial"/>
          <w:b/>
          <w:color w:val="000000" w:themeColor="text1"/>
          <w:szCs w:val="24"/>
        </w:rPr>
        <w:t>4. Total Asset Turnover</w:t>
      </w:r>
    </w:p>
    <w:p w14:paraId="3505F374" w14:textId="77777777" w:rsidR="00526D2A" w:rsidRPr="00E7418B" w:rsidRDefault="00526D2A" w:rsidP="00E7418B">
      <w:pPr>
        <w:rPr>
          <w:rFonts w:cs="Arial"/>
          <w:color w:val="000000" w:themeColor="text1"/>
          <w:szCs w:val="24"/>
        </w:rPr>
      </w:pPr>
      <w:r w:rsidRPr="00E7418B">
        <w:rPr>
          <w:rFonts w:cs="Arial"/>
          <w:b/>
          <w:bCs/>
          <w:color w:val="000000" w:themeColor="text1"/>
          <w:szCs w:val="24"/>
        </w:rPr>
        <w:t>Formula:</w:t>
      </w:r>
      <w:r w:rsidRPr="00E7418B">
        <w:rPr>
          <w:rFonts w:cs="Arial"/>
          <w:color w:val="000000" w:themeColor="text1"/>
          <w:szCs w:val="24"/>
        </w:rPr>
        <w:t xml:space="preserve"> Net Sales ÷ Total Assets</w:t>
      </w:r>
    </w:p>
    <w:p w14:paraId="4059763E" w14:textId="77777777" w:rsidR="00526D2A" w:rsidRPr="00E7418B" w:rsidRDefault="00526D2A" w:rsidP="00E7418B">
      <w:pPr>
        <w:rPr>
          <w:rFonts w:cs="Arial"/>
          <w:color w:val="000000" w:themeColor="text1"/>
          <w:szCs w:val="24"/>
        </w:rPr>
      </w:pPr>
      <w:r w:rsidRPr="00E7418B">
        <w:rPr>
          <w:rFonts w:cs="Arial"/>
          <w:color w:val="000000" w:themeColor="text1"/>
          <w:szCs w:val="24"/>
        </w:rPr>
        <w:t>The Total Asset Turnover of GE for the past five years is,</w:t>
      </w:r>
    </w:p>
    <w:tbl>
      <w:tblPr>
        <w:tblStyle w:val="TableGrid"/>
        <w:tblW w:w="0" w:type="auto"/>
        <w:jc w:val="center"/>
        <w:tblLook w:val="04A0" w:firstRow="1" w:lastRow="0" w:firstColumn="1" w:lastColumn="0" w:noHBand="0" w:noVBand="1"/>
      </w:tblPr>
      <w:tblGrid>
        <w:gridCol w:w="2440"/>
        <w:gridCol w:w="2440"/>
      </w:tblGrid>
      <w:tr w:rsidR="003A11CD" w:rsidRPr="00E7418B" w14:paraId="0E74A009" w14:textId="77777777" w:rsidTr="00A1650A">
        <w:trPr>
          <w:trHeight w:val="253"/>
          <w:jc w:val="center"/>
        </w:trPr>
        <w:tc>
          <w:tcPr>
            <w:tcW w:w="2440" w:type="dxa"/>
          </w:tcPr>
          <w:p w14:paraId="4319FED7"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Year</w:t>
            </w:r>
          </w:p>
        </w:tc>
        <w:tc>
          <w:tcPr>
            <w:tcW w:w="2440" w:type="dxa"/>
          </w:tcPr>
          <w:p w14:paraId="57526189" w14:textId="53185936" w:rsidR="00526D2A" w:rsidRPr="00E7418B" w:rsidRDefault="00526D2A" w:rsidP="00E7418B">
            <w:pPr>
              <w:jc w:val="center"/>
              <w:rPr>
                <w:rFonts w:cs="Arial"/>
                <w:color w:val="000000" w:themeColor="text1"/>
                <w:szCs w:val="24"/>
              </w:rPr>
            </w:pPr>
            <w:r w:rsidRPr="00E7418B">
              <w:rPr>
                <w:rFonts w:cs="Arial"/>
                <w:color w:val="000000" w:themeColor="text1"/>
                <w:szCs w:val="24"/>
              </w:rPr>
              <w:t>Total Asset Turnover</w:t>
            </w:r>
          </w:p>
        </w:tc>
      </w:tr>
      <w:tr w:rsidR="003A11CD" w:rsidRPr="00E7418B" w14:paraId="039C2881" w14:textId="77777777" w:rsidTr="00A1650A">
        <w:trPr>
          <w:trHeight w:val="244"/>
          <w:jc w:val="center"/>
        </w:trPr>
        <w:tc>
          <w:tcPr>
            <w:tcW w:w="2440" w:type="dxa"/>
          </w:tcPr>
          <w:p w14:paraId="2B2C35E3"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2020</w:t>
            </w:r>
          </w:p>
        </w:tc>
        <w:tc>
          <w:tcPr>
            <w:tcW w:w="2440" w:type="dxa"/>
          </w:tcPr>
          <w:p w14:paraId="5A1C1D48" w14:textId="68234F85" w:rsidR="00526D2A" w:rsidRPr="00E7418B" w:rsidRDefault="00526D2A" w:rsidP="00E7418B">
            <w:pPr>
              <w:jc w:val="center"/>
              <w:rPr>
                <w:rFonts w:cs="Arial"/>
                <w:color w:val="000000" w:themeColor="text1"/>
                <w:szCs w:val="24"/>
              </w:rPr>
            </w:pPr>
            <w:r w:rsidRPr="00E7418B">
              <w:rPr>
                <w:rFonts w:cs="Arial"/>
                <w:color w:val="000000" w:themeColor="text1"/>
                <w:szCs w:val="24"/>
              </w:rPr>
              <w:t>1.20</w:t>
            </w:r>
          </w:p>
        </w:tc>
      </w:tr>
      <w:tr w:rsidR="003A11CD" w:rsidRPr="00E7418B" w14:paraId="2FAB886A" w14:textId="77777777" w:rsidTr="00A1650A">
        <w:trPr>
          <w:trHeight w:val="253"/>
          <w:jc w:val="center"/>
        </w:trPr>
        <w:tc>
          <w:tcPr>
            <w:tcW w:w="2440" w:type="dxa"/>
          </w:tcPr>
          <w:p w14:paraId="18CA8C12"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2021</w:t>
            </w:r>
          </w:p>
        </w:tc>
        <w:tc>
          <w:tcPr>
            <w:tcW w:w="2440" w:type="dxa"/>
          </w:tcPr>
          <w:p w14:paraId="2D6C52A6" w14:textId="2DAE9887" w:rsidR="00526D2A" w:rsidRPr="00E7418B" w:rsidRDefault="00526D2A" w:rsidP="00E7418B">
            <w:pPr>
              <w:jc w:val="center"/>
              <w:rPr>
                <w:rFonts w:cs="Arial"/>
                <w:color w:val="000000" w:themeColor="text1"/>
                <w:szCs w:val="24"/>
              </w:rPr>
            </w:pPr>
            <w:r w:rsidRPr="00E7418B">
              <w:rPr>
                <w:rFonts w:cs="Arial"/>
                <w:color w:val="000000" w:themeColor="text1"/>
                <w:szCs w:val="24"/>
              </w:rPr>
              <w:t>1.18</w:t>
            </w:r>
          </w:p>
        </w:tc>
      </w:tr>
      <w:tr w:rsidR="003A11CD" w:rsidRPr="00E7418B" w14:paraId="264093E2" w14:textId="77777777" w:rsidTr="00A1650A">
        <w:trPr>
          <w:trHeight w:val="244"/>
          <w:jc w:val="center"/>
        </w:trPr>
        <w:tc>
          <w:tcPr>
            <w:tcW w:w="2440" w:type="dxa"/>
          </w:tcPr>
          <w:p w14:paraId="629D29BD"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2022</w:t>
            </w:r>
          </w:p>
        </w:tc>
        <w:tc>
          <w:tcPr>
            <w:tcW w:w="2440" w:type="dxa"/>
          </w:tcPr>
          <w:p w14:paraId="425732B1" w14:textId="1E1E4C82" w:rsidR="00526D2A" w:rsidRPr="00E7418B" w:rsidRDefault="00526D2A" w:rsidP="00E7418B">
            <w:pPr>
              <w:jc w:val="center"/>
              <w:rPr>
                <w:rFonts w:cs="Arial"/>
                <w:color w:val="000000" w:themeColor="text1"/>
                <w:szCs w:val="24"/>
              </w:rPr>
            </w:pPr>
            <w:r w:rsidRPr="00E7418B">
              <w:rPr>
                <w:rFonts w:cs="Arial"/>
                <w:color w:val="000000" w:themeColor="text1"/>
                <w:szCs w:val="24"/>
              </w:rPr>
              <w:t>1.08</w:t>
            </w:r>
          </w:p>
        </w:tc>
      </w:tr>
      <w:tr w:rsidR="003A11CD" w:rsidRPr="00E7418B" w14:paraId="39C8C8AA" w14:textId="77777777" w:rsidTr="00A1650A">
        <w:trPr>
          <w:trHeight w:val="253"/>
          <w:jc w:val="center"/>
        </w:trPr>
        <w:tc>
          <w:tcPr>
            <w:tcW w:w="2440" w:type="dxa"/>
          </w:tcPr>
          <w:p w14:paraId="167607F1"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2023</w:t>
            </w:r>
          </w:p>
        </w:tc>
        <w:tc>
          <w:tcPr>
            <w:tcW w:w="2440" w:type="dxa"/>
          </w:tcPr>
          <w:p w14:paraId="491B5CED" w14:textId="0B69EC6C" w:rsidR="00526D2A" w:rsidRPr="00E7418B" w:rsidRDefault="00526D2A" w:rsidP="00E7418B">
            <w:pPr>
              <w:jc w:val="center"/>
              <w:rPr>
                <w:rFonts w:cs="Arial"/>
                <w:color w:val="000000" w:themeColor="text1"/>
                <w:szCs w:val="24"/>
              </w:rPr>
            </w:pPr>
            <w:r w:rsidRPr="00E7418B">
              <w:rPr>
                <w:rFonts w:cs="Arial"/>
                <w:color w:val="000000" w:themeColor="text1"/>
                <w:szCs w:val="24"/>
              </w:rPr>
              <w:t>1.18</w:t>
            </w:r>
          </w:p>
        </w:tc>
      </w:tr>
      <w:tr w:rsidR="003A11CD" w:rsidRPr="00E7418B" w14:paraId="4D9B59D7" w14:textId="77777777" w:rsidTr="00A1650A">
        <w:trPr>
          <w:trHeight w:val="253"/>
          <w:jc w:val="center"/>
        </w:trPr>
        <w:tc>
          <w:tcPr>
            <w:tcW w:w="2440" w:type="dxa"/>
          </w:tcPr>
          <w:p w14:paraId="66C6F00E" w14:textId="77777777" w:rsidR="00526D2A" w:rsidRPr="00E7418B" w:rsidRDefault="00526D2A" w:rsidP="00E7418B">
            <w:pPr>
              <w:jc w:val="center"/>
              <w:rPr>
                <w:rFonts w:cs="Arial"/>
                <w:color w:val="000000" w:themeColor="text1"/>
                <w:szCs w:val="24"/>
              </w:rPr>
            </w:pPr>
            <w:r w:rsidRPr="00E7418B">
              <w:rPr>
                <w:rFonts w:cs="Arial"/>
                <w:color w:val="000000" w:themeColor="text1"/>
                <w:szCs w:val="24"/>
              </w:rPr>
              <w:t>2024</w:t>
            </w:r>
          </w:p>
        </w:tc>
        <w:tc>
          <w:tcPr>
            <w:tcW w:w="2440" w:type="dxa"/>
          </w:tcPr>
          <w:p w14:paraId="78F4422B" w14:textId="799FB2DD" w:rsidR="00526D2A" w:rsidRPr="00E7418B" w:rsidRDefault="00526D2A" w:rsidP="00E7418B">
            <w:pPr>
              <w:jc w:val="center"/>
              <w:rPr>
                <w:rFonts w:cs="Arial"/>
                <w:color w:val="000000" w:themeColor="text1"/>
                <w:szCs w:val="24"/>
              </w:rPr>
            </w:pPr>
            <w:r w:rsidRPr="00E7418B">
              <w:rPr>
                <w:rFonts w:cs="Arial"/>
                <w:color w:val="000000" w:themeColor="text1"/>
                <w:szCs w:val="24"/>
              </w:rPr>
              <w:t>1.22</w:t>
            </w:r>
          </w:p>
        </w:tc>
      </w:tr>
    </w:tbl>
    <w:p w14:paraId="5BD26E70" w14:textId="3C597420" w:rsidR="00526D2A" w:rsidRPr="00E7418B" w:rsidRDefault="00526D2A" w:rsidP="00E7418B">
      <w:pPr>
        <w:rPr>
          <w:rFonts w:cs="Arial"/>
          <w:color w:val="000000" w:themeColor="text1"/>
          <w:szCs w:val="24"/>
        </w:rPr>
      </w:pPr>
      <w:r w:rsidRPr="00E7418B">
        <w:rPr>
          <w:rFonts w:cs="Arial"/>
          <w:color w:val="000000" w:themeColor="text1"/>
          <w:szCs w:val="24"/>
        </w:rPr>
        <w:t xml:space="preserve">Total asset turnover remains stable at around 1.2. It has gotten better in 2023 and 2024 due to the decline in assets. This rise is not a strength. It increased due to the writing down of assets (impairment) </w:t>
      </w:r>
      <w:r w:rsidR="00232C2C">
        <w:rPr>
          <w:rFonts w:cs="Arial"/>
          <w:color w:val="000000" w:themeColor="text1"/>
          <w:szCs w:val="24"/>
        </w:rPr>
        <w:t xml:space="preserve">exceeding </w:t>
      </w:r>
      <w:r w:rsidRPr="00E7418B">
        <w:rPr>
          <w:rFonts w:cs="Arial"/>
          <w:color w:val="000000" w:themeColor="text1"/>
          <w:szCs w:val="24"/>
        </w:rPr>
        <w:t xml:space="preserve">the decrease </w:t>
      </w:r>
      <w:r w:rsidR="00232C2C">
        <w:rPr>
          <w:rFonts w:cs="Arial"/>
          <w:color w:val="000000" w:themeColor="text1"/>
          <w:szCs w:val="24"/>
        </w:rPr>
        <w:t xml:space="preserve">within </w:t>
      </w:r>
      <w:r w:rsidRPr="00E7418B">
        <w:rPr>
          <w:rFonts w:cs="Arial"/>
          <w:color w:val="000000" w:themeColor="text1"/>
          <w:szCs w:val="24"/>
        </w:rPr>
        <w:t>sales. This is improved by reducing the assets rather than increasing sales.</w:t>
      </w:r>
    </w:p>
    <w:p w14:paraId="32E396A8" w14:textId="77777777" w:rsidR="00526D2A" w:rsidRPr="00E7418B" w:rsidRDefault="00526D2A" w:rsidP="00E7418B">
      <w:pPr>
        <w:pStyle w:val="Heading3"/>
        <w:rPr>
          <w:rFonts w:ascii="Arial" w:hAnsi="Arial" w:cs="Arial"/>
          <w:b/>
          <w:bCs/>
          <w:color w:val="000000" w:themeColor="text1"/>
        </w:rPr>
      </w:pPr>
      <w:bookmarkStart w:id="7" w:name="_Toc217162965"/>
      <w:r w:rsidRPr="00E7418B">
        <w:rPr>
          <w:rFonts w:ascii="Arial" w:hAnsi="Arial" w:cs="Arial"/>
          <w:b/>
          <w:bCs/>
          <w:color w:val="000000" w:themeColor="text1"/>
        </w:rPr>
        <w:t>Gearing Ratios</w:t>
      </w:r>
      <w:bookmarkEnd w:id="7"/>
    </w:p>
    <w:p w14:paraId="601767F2" w14:textId="77777777" w:rsidR="00526D2A" w:rsidRPr="00E7418B" w:rsidRDefault="00526D2A" w:rsidP="00E7418B">
      <w:pPr>
        <w:rPr>
          <w:rFonts w:cs="Arial"/>
          <w:color w:val="000000" w:themeColor="text1"/>
          <w:szCs w:val="24"/>
        </w:rPr>
      </w:pPr>
      <w:r w:rsidRPr="00E7418B">
        <w:rPr>
          <w:rFonts w:cs="Arial"/>
          <w:color w:val="000000" w:themeColor="text1"/>
          <w:szCs w:val="24"/>
        </w:rPr>
        <w:t>Gearing ratios are used to measure financial structure and risk in the long run</w:t>
      </w:r>
      <w:r w:rsidR="00AB21F8" w:rsidRPr="00E7418B">
        <w:rPr>
          <w:rFonts w:cs="Arial"/>
          <w:color w:val="000000" w:themeColor="text1"/>
          <w:szCs w:val="24"/>
        </w:rPr>
        <w:t xml:space="preserve"> </w:t>
      </w:r>
      <w:r w:rsidR="00AB21F8" w:rsidRPr="00E7418B">
        <w:rPr>
          <w:rFonts w:cs="Arial"/>
          <w:color w:val="000000" w:themeColor="text1"/>
          <w:szCs w:val="24"/>
          <w:lang w:eastAsia="en-GB"/>
        </w:rPr>
        <w:t>(Taebi, Zeinali &amp; Beytollahi, 2022)</w:t>
      </w:r>
      <w:r w:rsidRPr="00E7418B">
        <w:rPr>
          <w:rFonts w:cs="Arial"/>
          <w:color w:val="000000" w:themeColor="text1"/>
          <w:szCs w:val="24"/>
        </w:rPr>
        <w:t>. They gauge the debt pressure, the safety of interest, and the solvency.</w:t>
      </w:r>
    </w:p>
    <w:p w14:paraId="7CFBA29A"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1. Debt-to-Equity Ratio</w:t>
      </w:r>
    </w:p>
    <w:p w14:paraId="5C99D92B"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Total Liabilities ÷ Total Equity</w:t>
      </w:r>
    </w:p>
    <w:p w14:paraId="152D1DC4" w14:textId="77777777" w:rsidR="00526D2A" w:rsidRPr="00E7418B" w:rsidRDefault="00526D2A" w:rsidP="00E7418B">
      <w:pPr>
        <w:rPr>
          <w:rFonts w:cs="Arial"/>
          <w:color w:val="000000" w:themeColor="text1"/>
          <w:szCs w:val="24"/>
          <w:lang w:eastAsia="en-GB"/>
        </w:rPr>
      </w:pPr>
      <w:r w:rsidRPr="00E7418B">
        <w:rPr>
          <w:rFonts w:cs="Arial"/>
          <w:color w:val="000000" w:themeColor="text1"/>
          <w:szCs w:val="24"/>
          <w:lang w:eastAsia="en-GB"/>
        </w:rPr>
        <w:t>The Debt-to-Equity Ratio of GE for the past five years is,</w:t>
      </w:r>
    </w:p>
    <w:tbl>
      <w:tblPr>
        <w:tblStyle w:val="TableGrid"/>
        <w:tblW w:w="0" w:type="auto"/>
        <w:jc w:val="center"/>
        <w:tblLook w:val="04A0" w:firstRow="1" w:lastRow="0" w:firstColumn="1" w:lastColumn="0" w:noHBand="0" w:noVBand="1"/>
      </w:tblPr>
      <w:tblGrid>
        <w:gridCol w:w="2397"/>
        <w:gridCol w:w="2397"/>
      </w:tblGrid>
      <w:tr w:rsidR="003A11CD" w:rsidRPr="00E7418B" w14:paraId="53F1C6AE" w14:textId="77777777" w:rsidTr="00A1650A">
        <w:trPr>
          <w:trHeight w:val="262"/>
          <w:jc w:val="center"/>
        </w:trPr>
        <w:tc>
          <w:tcPr>
            <w:tcW w:w="2397" w:type="dxa"/>
          </w:tcPr>
          <w:p w14:paraId="7EDBA531"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397" w:type="dxa"/>
          </w:tcPr>
          <w:p w14:paraId="4B5D4375" w14:textId="4EB683B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Debt-to-Equity Ratio</w:t>
            </w:r>
          </w:p>
        </w:tc>
      </w:tr>
      <w:tr w:rsidR="003A11CD" w:rsidRPr="00E7418B" w14:paraId="014A5E7E" w14:textId="77777777" w:rsidTr="00A1650A">
        <w:trPr>
          <w:trHeight w:val="262"/>
          <w:jc w:val="center"/>
        </w:trPr>
        <w:tc>
          <w:tcPr>
            <w:tcW w:w="2397" w:type="dxa"/>
          </w:tcPr>
          <w:p w14:paraId="7D5FDF9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2397" w:type="dxa"/>
          </w:tcPr>
          <w:p w14:paraId="6212AB81" w14:textId="4AE7D5A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0.63</w:t>
            </w:r>
          </w:p>
        </w:tc>
      </w:tr>
      <w:tr w:rsidR="003A11CD" w:rsidRPr="00E7418B" w14:paraId="47779909" w14:textId="77777777" w:rsidTr="00A1650A">
        <w:trPr>
          <w:trHeight w:val="251"/>
          <w:jc w:val="center"/>
        </w:trPr>
        <w:tc>
          <w:tcPr>
            <w:tcW w:w="2397" w:type="dxa"/>
          </w:tcPr>
          <w:p w14:paraId="1D17A719"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2397" w:type="dxa"/>
          </w:tcPr>
          <w:p w14:paraId="2F721AB7" w14:textId="3AFD31A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0.85</w:t>
            </w:r>
          </w:p>
        </w:tc>
      </w:tr>
      <w:tr w:rsidR="003A11CD" w:rsidRPr="00E7418B" w14:paraId="6626887B" w14:textId="77777777" w:rsidTr="00A1650A">
        <w:trPr>
          <w:trHeight w:val="262"/>
          <w:jc w:val="center"/>
        </w:trPr>
        <w:tc>
          <w:tcPr>
            <w:tcW w:w="2397" w:type="dxa"/>
          </w:tcPr>
          <w:p w14:paraId="5236D974"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2397" w:type="dxa"/>
          </w:tcPr>
          <w:p w14:paraId="1D411DF2" w14:textId="1E66AB69"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0.88</w:t>
            </w:r>
          </w:p>
        </w:tc>
      </w:tr>
      <w:tr w:rsidR="003A11CD" w:rsidRPr="00E7418B" w14:paraId="4FD9B387" w14:textId="77777777" w:rsidTr="00A1650A">
        <w:trPr>
          <w:trHeight w:val="262"/>
          <w:jc w:val="center"/>
        </w:trPr>
        <w:tc>
          <w:tcPr>
            <w:tcW w:w="2397" w:type="dxa"/>
          </w:tcPr>
          <w:p w14:paraId="6F4EC008" w14:textId="63CAA985"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2397" w:type="dxa"/>
          </w:tcPr>
          <w:p w14:paraId="3B29DB95" w14:textId="70D62D01"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0.99</w:t>
            </w:r>
          </w:p>
        </w:tc>
      </w:tr>
      <w:tr w:rsidR="003A11CD" w:rsidRPr="00E7418B" w14:paraId="41E832F8" w14:textId="77777777" w:rsidTr="00A1650A">
        <w:trPr>
          <w:trHeight w:val="262"/>
          <w:jc w:val="center"/>
        </w:trPr>
        <w:tc>
          <w:tcPr>
            <w:tcW w:w="2397" w:type="dxa"/>
          </w:tcPr>
          <w:p w14:paraId="6DC9180F"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2397" w:type="dxa"/>
          </w:tcPr>
          <w:p w14:paraId="56ACE55E" w14:textId="63896976"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1.11</w:t>
            </w:r>
          </w:p>
        </w:tc>
      </w:tr>
    </w:tbl>
    <w:p w14:paraId="03F83C8C" w14:textId="77777777" w:rsidR="00526D2A" w:rsidRPr="00E7418B" w:rsidRDefault="00526D2A" w:rsidP="00E7418B">
      <w:pPr>
        <w:rPr>
          <w:rFonts w:cs="Arial"/>
          <w:color w:val="000000" w:themeColor="text1"/>
          <w:szCs w:val="24"/>
        </w:rPr>
      </w:pPr>
      <w:r w:rsidRPr="00E7418B">
        <w:rPr>
          <w:rFonts w:cs="Arial"/>
          <w:color w:val="000000" w:themeColor="text1"/>
          <w:szCs w:val="24"/>
        </w:rPr>
        <w:t>The ratio increased dramatically following 2022. Equity has declined to a lower position than debt. This increase is primarily attributed to a decline in equity, but not an increase in liabilities. It is one of the weaknesses, particularly when 51% of the equity was lost. GE has become more of a debt than an equity. It also lowers the confidence of investors.</w:t>
      </w:r>
    </w:p>
    <w:p w14:paraId="65378247"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2. Interest Coverage Ratio</w:t>
      </w:r>
    </w:p>
    <w:p w14:paraId="1D8DB935"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Operating Income ÷ Interest Expense</w:t>
      </w:r>
    </w:p>
    <w:tbl>
      <w:tblPr>
        <w:tblStyle w:val="TableGrid"/>
        <w:tblW w:w="0" w:type="auto"/>
        <w:tblInd w:w="2785" w:type="dxa"/>
        <w:tblLook w:val="04A0" w:firstRow="1" w:lastRow="0" w:firstColumn="1" w:lastColumn="0" w:noHBand="0" w:noVBand="1"/>
      </w:tblPr>
      <w:tblGrid>
        <w:gridCol w:w="1133"/>
        <w:gridCol w:w="2803"/>
      </w:tblGrid>
      <w:tr w:rsidR="003A11CD" w:rsidRPr="00E7418B" w14:paraId="5930F605" w14:textId="77777777" w:rsidTr="00A1650A">
        <w:trPr>
          <w:trHeight w:val="260"/>
        </w:trPr>
        <w:tc>
          <w:tcPr>
            <w:tcW w:w="1133" w:type="dxa"/>
          </w:tcPr>
          <w:p w14:paraId="6106F0C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803" w:type="dxa"/>
          </w:tcPr>
          <w:p w14:paraId="625104C5" w14:textId="4B15F7A9"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Interest Coverage Ratio</w:t>
            </w:r>
          </w:p>
        </w:tc>
      </w:tr>
      <w:tr w:rsidR="003A11CD" w:rsidRPr="00E7418B" w14:paraId="4BBB5A4F" w14:textId="77777777" w:rsidTr="00A1650A">
        <w:trPr>
          <w:trHeight w:val="260"/>
        </w:trPr>
        <w:tc>
          <w:tcPr>
            <w:tcW w:w="1133" w:type="dxa"/>
          </w:tcPr>
          <w:p w14:paraId="465B12B4" w14:textId="1057B1C1"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w:t>
            </w:r>
            <w:r w:rsidR="00232C2C">
              <w:rPr>
                <w:rFonts w:cs="Arial"/>
                <w:color w:val="000000" w:themeColor="text1"/>
                <w:szCs w:val="24"/>
                <w:lang w:eastAsia="en-GB"/>
              </w:rPr>
              <w:t>020</w:t>
            </w:r>
          </w:p>
        </w:tc>
        <w:tc>
          <w:tcPr>
            <w:tcW w:w="2803" w:type="dxa"/>
          </w:tcPr>
          <w:p w14:paraId="2EE96B05" w14:textId="38457C34"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26.21</w:t>
            </w:r>
          </w:p>
        </w:tc>
      </w:tr>
      <w:tr w:rsidR="003A11CD" w:rsidRPr="00E7418B" w14:paraId="61D6F4C2" w14:textId="77777777" w:rsidTr="00A1650A">
        <w:trPr>
          <w:trHeight w:val="249"/>
        </w:trPr>
        <w:tc>
          <w:tcPr>
            <w:tcW w:w="1133" w:type="dxa"/>
          </w:tcPr>
          <w:p w14:paraId="6D846B14" w14:textId="0188755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w:t>
            </w:r>
            <w:r w:rsidR="00232C2C">
              <w:rPr>
                <w:rFonts w:cs="Arial"/>
                <w:color w:val="000000" w:themeColor="text1"/>
                <w:szCs w:val="24"/>
                <w:lang w:eastAsia="en-GB"/>
              </w:rPr>
              <w:t>021</w:t>
            </w:r>
          </w:p>
        </w:tc>
        <w:tc>
          <w:tcPr>
            <w:tcW w:w="2803" w:type="dxa"/>
          </w:tcPr>
          <w:p w14:paraId="0C0CCB11" w14:textId="54326F4A"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41.08</w:t>
            </w:r>
          </w:p>
        </w:tc>
      </w:tr>
      <w:tr w:rsidR="003A11CD" w:rsidRPr="00E7418B" w14:paraId="3A9E5219" w14:textId="77777777" w:rsidTr="00A1650A">
        <w:trPr>
          <w:trHeight w:val="260"/>
        </w:trPr>
        <w:tc>
          <w:tcPr>
            <w:tcW w:w="1133" w:type="dxa"/>
          </w:tcPr>
          <w:p w14:paraId="0E78AF6A" w14:textId="4D4A34C0" w:rsidR="00526D2A" w:rsidRPr="00E7418B" w:rsidRDefault="00232C2C" w:rsidP="00E7418B">
            <w:pPr>
              <w:jc w:val="center"/>
              <w:rPr>
                <w:rFonts w:cs="Arial"/>
                <w:color w:val="000000" w:themeColor="text1"/>
                <w:szCs w:val="24"/>
                <w:lang w:eastAsia="en-GB"/>
              </w:rPr>
            </w:pPr>
            <w:r>
              <w:rPr>
                <w:rFonts w:cs="Arial"/>
                <w:color w:val="000000" w:themeColor="text1"/>
                <w:szCs w:val="24"/>
                <w:lang w:eastAsia="en-GB"/>
              </w:rPr>
              <w:t>2022</w:t>
            </w:r>
          </w:p>
        </w:tc>
        <w:tc>
          <w:tcPr>
            <w:tcW w:w="2803" w:type="dxa"/>
          </w:tcPr>
          <w:p w14:paraId="46EE2F6D" w14:textId="09406F6A"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6.61</w:t>
            </w:r>
          </w:p>
        </w:tc>
      </w:tr>
      <w:tr w:rsidR="003A11CD" w:rsidRPr="00E7418B" w14:paraId="52C9822A" w14:textId="77777777" w:rsidTr="00A1650A">
        <w:trPr>
          <w:trHeight w:val="260"/>
        </w:trPr>
        <w:tc>
          <w:tcPr>
            <w:tcW w:w="1133" w:type="dxa"/>
          </w:tcPr>
          <w:p w14:paraId="66C05954" w14:textId="78748929" w:rsidR="00526D2A" w:rsidRPr="00E7418B" w:rsidRDefault="00232C2C" w:rsidP="00E7418B">
            <w:pPr>
              <w:jc w:val="center"/>
              <w:rPr>
                <w:rFonts w:cs="Arial"/>
                <w:color w:val="000000" w:themeColor="text1"/>
                <w:szCs w:val="24"/>
                <w:lang w:eastAsia="en-GB"/>
              </w:rPr>
            </w:pPr>
            <w:r>
              <w:rPr>
                <w:rFonts w:cs="Arial"/>
                <w:color w:val="000000" w:themeColor="text1"/>
                <w:szCs w:val="24"/>
                <w:lang w:eastAsia="en-GB"/>
              </w:rPr>
              <w:t>2023</w:t>
            </w:r>
          </w:p>
        </w:tc>
        <w:tc>
          <w:tcPr>
            <w:tcW w:w="2803" w:type="dxa"/>
          </w:tcPr>
          <w:p w14:paraId="7C2FD9F5" w14:textId="7782DF18" w:rsidR="00526D2A" w:rsidRPr="00E7418B" w:rsidRDefault="00232C2C" w:rsidP="00232C2C">
            <w:pPr>
              <w:jc w:val="center"/>
              <w:rPr>
                <w:rFonts w:cs="Arial"/>
                <w:color w:val="000000" w:themeColor="text1"/>
                <w:szCs w:val="24"/>
                <w:lang w:eastAsia="en-GB"/>
              </w:rPr>
            </w:pPr>
            <w:r>
              <w:rPr>
                <w:rFonts w:cs="Arial"/>
                <w:color w:val="000000" w:themeColor="text1"/>
                <w:szCs w:val="24"/>
                <w:lang w:eastAsia="en-GB"/>
              </w:rPr>
              <w:t>-19.69</w:t>
            </w:r>
          </w:p>
        </w:tc>
      </w:tr>
      <w:tr w:rsidR="009C2B17" w:rsidRPr="00E7418B" w14:paraId="29A9CF5B" w14:textId="77777777" w:rsidTr="00A1650A">
        <w:trPr>
          <w:trHeight w:val="260"/>
        </w:trPr>
        <w:tc>
          <w:tcPr>
            <w:tcW w:w="1133" w:type="dxa"/>
          </w:tcPr>
          <w:p w14:paraId="17937055" w14:textId="78181911" w:rsidR="00526D2A" w:rsidRPr="00E7418B" w:rsidRDefault="00232C2C" w:rsidP="00E7418B">
            <w:pPr>
              <w:jc w:val="center"/>
              <w:rPr>
                <w:rFonts w:cs="Arial"/>
                <w:color w:val="000000" w:themeColor="text1"/>
                <w:szCs w:val="24"/>
                <w:lang w:eastAsia="en-GB"/>
              </w:rPr>
            </w:pPr>
            <w:r>
              <w:rPr>
                <w:rFonts w:cs="Arial"/>
                <w:color w:val="000000" w:themeColor="text1"/>
                <w:szCs w:val="24"/>
                <w:lang w:eastAsia="en-GB"/>
              </w:rPr>
              <w:t>2024</w:t>
            </w:r>
          </w:p>
        </w:tc>
        <w:tc>
          <w:tcPr>
            <w:tcW w:w="2803" w:type="dxa"/>
          </w:tcPr>
          <w:p w14:paraId="0E493603" w14:textId="3E056682" w:rsidR="00526D2A" w:rsidRPr="00232C2C" w:rsidRDefault="00232C2C" w:rsidP="00232C2C">
            <w:pPr>
              <w:pStyle w:val="ListParagraph"/>
              <w:ind w:left="1080"/>
              <w:rPr>
                <w:rFonts w:cs="Arial"/>
                <w:color w:val="000000" w:themeColor="text1"/>
                <w:szCs w:val="24"/>
                <w:lang w:eastAsia="en-GB"/>
              </w:rPr>
            </w:pPr>
            <w:r>
              <w:rPr>
                <w:rFonts w:cs="Arial"/>
                <w:color w:val="000000" w:themeColor="text1"/>
                <w:szCs w:val="24"/>
                <w:lang w:eastAsia="en-GB"/>
              </w:rPr>
              <w:t>-</w:t>
            </w:r>
            <w:r w:rsidRPr="00232C2C">
              <w:rPr>
                <w:rFonts w:cs="Arial"/>
                <w:color w:val="000000" w:themeColor="text1"/>
                <w:szCs w:val="24"/>
                <w:lang w:eastAsia="en-GB"/>
              </w:rPr>
              <w:t>4.55</w:t>
            </w:r>
          </w:p>
        </w:tc>
      </w:tr>
    </w:tbl>
    <w:p w14:paraId="67097FFA" w14:textId="77777777" w:rsidR="00526D2A" w:rsidRPr="00E7418B" w:rsidRDefault="00526D2A" w:rsidP="00E7418B">
      <w:pPr>
        <w:rPr>
          <w:rFonts w:cs="Arial"/>
          <w:color w:val="000000" w:themeColor="text1"/>
          <w:szCs w:val="24"/>
        </w:rPr>
      </w:pPr>
      <w:r w:rsidRPr="00E7418B">
        <w:rPr>
          <w:rFonts w:cs="Arial"/>
          <w:color w:val="000000" w:themeColor="text1"/>
          <w:szCs w:val="24"/>
        </w:rPr>
        <w:t>The ratio became negative in 2023. Negative ratio portrays that GE is unable to meet interests. This is a major risk. It should employ cash funds or take a loan to make payments.</w:t>
      </w:r>
    </w:p>
    <w:p w14:paraId="727F77B4"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3. Long-Term Debt Ratio</w:t>
      </w:r>
    </w:p>
    <w:p w14:paraId="1F202516"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Long-Term Liabilities ÷ Total Assets</w:t>
      </w:r>
    </w:p>
    <w:tbl>
      <w:tblPr>
        <w:tblStyle w:val="TableGrid"/>
        <w:tblW w:w="0" w:type="auto"/>
        <w:jc w:val="center"/>
        <w:tblLook w:val="04A0" w:firstRow="1" w:lastRow="0" w:firstColumn="1" w:lastColumn="0" w:noHBand="0" w:noVBand="1"/>
      </w:tblPr>
      <w:tblGrid>
        <w:gridCol w:w="2427"/>
        <w:gridCol w:w="2427"/>
      </w:tblGrid>
      <w:tr w:rsidR="003A11CD" w:rsidRPr="00E7418B" w14:paraId="69782898" w14:textId="77777777" w:rsidTr="00A1650A">
        <w:trPr>
          <w:trHeight w:val="254"/>
          <w:jc w:val="center"/>
        </w:trPr>
        <w:tc>
          <w:tcPr>
            <w:tcW w:w="2427" w:type="dxa"/>
          </w:tcPr>
          <w:p w14:paraId="2F3B77AA"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427" w:type="dxa"/>
          </w:tcPr>
          <w:p w14:paraId="176A70DA" w14:textId="34A9866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 xml:space="preserve">Long-Term </w:t>
            </w:r>
            <w:r w:rsidR="00232C2C">
              <w:rPr>
                <w:rFonts w:cs="Arial"/>
                <w:color w:val="000000" w:themeColor="text1"/>
                <w:szCs w:val="24"/>
                <w:lang w:eastAsia="en-GB"/>
              </w:rPr>
              <w:t xml:space="preserve">leverage </w:t>
            </w:r>
            <w:r w:rsidRPr="00E7418B">
              <w:rPr>
                <w:rFonts w:cs="Arial"/>
                <w:color w:val="000000" w:themeColor="text1"/>
                <w:szCs w:val="24"/>
                <w:lang w:eastAsia="en-GB"/>
              </w:rPr>
              <w:t>Ratio</w:t>
            </w:r>
          </w:p>
        </w:tc>
      </w:tr>
      <w:tr w:rsidR="003A11CD" w:rsidRPr="00E7418B" w14:paraId="4DE44B1E" w14:textId="77777777" w:rsidTr="00A1650A">
        <w:trPr>
          <w:trHeight w:val="254"/>
          <w:jc w:val="center"/>
        </w:trPr>
        <w:tc>
          <w:tcPr>
            <w:tcW w:w="2427" w:type="dxa"/>
          </w:tcPr>
          <w:p w14:paraId="41BA4169"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2427" w:type="dxa"/>
          </w:tcPr>
          <w:p w14:paraId="216C2C18" w14:textId="1040C58F"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0.03</w:t>
            </w:r>
          </w:p>
        </w:tc>
      </w:tr>
      <w:tr w:rsidR="003A11CD" w:rsidRPr="00E7418B" w14:paraId="0DDFEC7D" w14:textId="77777777" w:rsidTr="00A1650A">
        <w:trPr>
          <w:trHeight w:val="243"/>
          <w:jc w:val="center"/>
        </w:trPr>
        <w:tc>
          <w:tcPr>
            <w:tcW w:w="2427" w:type="dxa"/>
          </w:tcPr>
          <w:p w14:paraId="4A2292CB"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2427" w:type="dxa"/>
          </w:tcPr>
          <w:p w14:paraId="2B6647DE" w14:textId="1FE7C56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0.03</w:t>
            </w:r>
          </w:p>
        </w:tc>
      </w:tr>
      <w:tr w:rsidR="003A11CD" w:rsidRPr="00E7418B" w14:paraId="5BE9FB27" w14:textId="77777777" w:rsidTr="00A1650A">
        <w:trPr>
          <w:trHeight w:val="254"/>
          <w:jc w:val="center"/>
        </w:trPr>
        <w:tc>
          <w:tcPr>
            <w:tcW w:w="2427" w:type="dxa"/>
          </w:tcPr>
          <w:p w14:paraId="62802CE8"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2427" w:type="dxa"/>
          </w:tcPr>
          <w:p w14:paraId="6A47B4A5" w14:textId="198C108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0.04</w:t>
            </w:r>
          </w:p>
        </w:tc>
      </w:tr>
      <w:tr w:rsidR="003A11CD" w:rsidRPr="00E7418B" w14:paraId="19956BA2" w14:textId="77777777" w:rsidTr="00A1650A">
        <w:trPr>
          <w:trHeight w:val="254"/>
          <w:jc w:val="center"/>
        </w:trPr>
        <w:tc>
          <w:tcPr>
            <w:tcW w:w="2427" w:type="dxa"/>
          </w:tcPr>
          <w:p w14:paraId="3A54DF82"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2427" w:type="dxa"/>
          </w:tcPr>
          <w:p w14:paraId="650F5DFC" w14:textId="2D63C3CC"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0.04</w:t>
            </w:r>
          </w:p>
        </w:tc>
      </w:tr>
      <w:tr w:rsidR="009C2B17" w:rsidRPr="00E7418B" w14:paraId="7C8C81B9" w14:textId="77777777" w:rsidTr="00A1650A">
        <w:trPr>
          <w:trHeight w:val="254"/>
          <w:jc w:val="center"/>
        </w:trPr>
        <w:tc>
          <w:tcPr>
            <w:tcW w:w="2427" w:type="dxa"/>
          </w:tcPr>
          <w:p w14:paraId="144EEC96"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2427" w:type="dxa"/>
          </w:tcPr>
          <w:p w14:paraId="32D6FBF4" w14:textId="675B230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0.04</w:t>
            </w:r>
          </w:p>
        </w:tc>
      </w:tr>
    </w:tbl>
    <w:p w14:paraId="35599E5A" w14:textId="77777777" w:rsidR="00526D2A" w:rsidRPr="00E7418B" w:rsidRDefault="00526D2A" w:rsidP="00E7418B">
      <w:pPr>
        <w:rPr>
          <w:rFonts w:cs="Arial"/>
          <w:color w:val="000000" w:themeColor="text1"/>
          <w:szCs w:val="24"/>
        </w:rPr>
      </w:pPr>
    </w:p>
    <w:p w14:paraId="4A1CBE2F" w14:textId="77777777" w:rsidR="00526D2A" w:rsidRPr="00E7418B" w:rsidRDefault="00526D2A" w:rsidP="00E7418B">
      <w:pPr>
        <w:rPr>
          <w:rFonts w:cs="Arial"/>
          <w:color w:val="000000" w:themeColor="text1"/>
          <w:szCs w:val="24"/>
        </w:rPr>
      </w:pPr>
      <w:r w:rsidRPr="00E7418B">
        <w:rPr>
          <w:rFonts w:cs="Arial"/>
          <w:color w:val="000000" w:themeColor="text1"/>
          <w:szCs w:val="24"/>
        </w:rPr>
        <w:t>The gross debt ratio remained at 3-4%. In 2024, the ratio declined due to the decrease in assets and debts. GE uses the short-term debt (credit lines) as opposed to the long-term debt. It leads to over-dependence on short-term debt, which raises the risk of cash flow.</w:t>
      </w:r>
    </w:p>
    <w:p w14:paraId="4BB8E299" w14:textId="77777777" w:rsidR="00526D2A" w:rsidRPr="00E7418B" w:rsidRDefault="00526D2A" w:rsidP="00E7418B">
      <w:pPr>
        <w:pStyle w:val="Heading3"/>
        <w:rPr>
          <w:rFonts w:ascii="Arial" w:hAnsi="Arial" w:cs="Arial"/>
          <w:color w:val="000000" w:themeColor="text1"/>
        </w:rPr>
      </w:pPr>
      <w:bookmarkStart w:id="8" w:name="_Toc217162966"/>
      <w:r w:rsidRPr="00E7418B">
        <w:rPr>
          <w:rFonts w:ascii="Arial" w:hAnsi="Arial" w:cs="Arial"/>
          <w:color w:val="000000" w:themeColor="text1"/>
        </w:rPr>
        <w:t>Investment Ratios</w:t>
      </w:r>
      <w:bookmarkEnd w:id="8"/>
    </w:p>
    <w:p w14:paraId="0ED9D30A" w14:textId="77777777" w:rsidR="00526D2A" w:rsidRPr="00E7418B" w:rsidRDefault="00526D2A" w:rsidP="00E7418B">
      <w:pPr>
        <w:rPr>
          <w:rFonts w:cs="Arial"/>
          <w:color w:val="000000" w:themeColor="text1"/>
          <w:szCs w:val="24"/>
        </w:rPr>
      </w:pPr>
      <w:r w:rsidRPr="00E7418B">
        <w:rPr>
          <w:rFonts w:cs="Arial"/>
          <w:color w:val="000000" w:themeColor="text1"/>
          <w:szCs w:val="24"/>
        </w:rPr>
        <w:t>Such ratios are the measures of returns to equity investors or shareholders</w:t>
      </w:r>
      <w:r w:rsidR="00AB21F8" w:rsidRPr="00E7418B">
        <w:rPr>
          <w:rFonts w:cs="Arial"/>
          <w:color w:val="000000" w:themeColor="text1"/>
          <w:szCs w:val="24"/>
        </w:rPr>
        <w:t xml:space="preserve"> </w:t>
      </w:r>
      <w:r w:rsidR="00AB21F8" w:rsidRPr="00E7418B">
        <w:rPr>
          <w:rFonts w:cs="Arial"/>
          <w:color w:val="000000" w:themeColor="text1"/>
          <w:szCs w:val="24"/>
          <w:lang w:eastAsia="en-GB"/>
        </w:rPr>
        <w:t>(Sardar &amp; Singh, 2023)</w:t>
      </w:r>
      <w:r w:rsidRPr="00E7418B">
        <w:rPr>
          <w:rFonts w:cs="Arial"/>
          <w:color w:val="000000" w:themeColor="text1"/>
          <w:szCs w:val="24"/>
        </w:rPr>
        <w:t>. They influence the confidence in the market and capital cost.</w:t>
      </w:r>
    </w:p>
    <w:p w14:paraId="5581D6BC" w14:textId="77777777" w:rsidR="00526D2A" w:rsidRPr="00E7418B" w:rsidRDefault="00526D2A" w:rsidP="00E7418B">
      <w:pPr>
        <w:rPr>
          <w:rFonts w:cs="Arial"/>
          <w:b/>
          <w:color w:val="000000" w:themeColor="text1"/>
          <w:szCs w:val="24"/>
        </w:rPr>
      </w:pPr>
      <w:r w:rsidRPr="00E7418B">
        <w:rPr>
          <w:rFonts w:cs="Arial"/>
          <w:b/>
          <w:color w:val="000000" w:themeColor="text1"/>
          <w:szCs w:val="24"/>
        </w:rPr>
        <w:t>1. Earnings Per Share (EPS)</w:t>
      </w:r>
    </w:p>
    <w:p w14:paraId="7117DBA9" w14:textId="77777777" w:rsidR="00526D2A" w:rsidRPr="00E7418B" w:rsidRDefault="00526D2A" w:rsidP="00E7418B">
      <w:pPr>
        <w:rPr>
          <w:rFonts w:cs="Arial"/>
          <w:color w:val="000000" w:themeColor="text1"/>
          <w:szCs w:val="24"/>
        </w:rPr>
      </w:pPr>
      <w:r w:rsidRPr="00E7418B">
        <w:rPr>
          <w:rFonts w:cs="Arial"/>
          <w:color w:val="000000" w:themeColor="text1"/>
          <w:szCs w:val="24"/>
        </w:rPr>
        <w:t>GE shows the following past five (2020-2024) years E£, which are £2.78, £0.39, £0.03, -£7.64 and -£1.85. It made a transition from high profit to heavy loss. A demerit EPS will decrease investor confidence. It increases perceived risk. Negative or low EPS also increases the cost of equity of the firm.</w:t>
      </w:r>
    </w:p>
    <w:p w14:paraId="3B52DBC7" w14:textId="77777777" w:rsidR="00526D2A" w:rsidRPr="00E7418B" w:rsidRDefault="00526D2A" w:rsidP="00E7418B">
      <w:pPr>
        <w:pStyle w:val="Heading3"/>
        <w:rPr>
          <w:rFonts w:ascii="Arial" w:hAnsi="Arial" w:cs="Arial"/>
          <w:color w:val="000000" w:themeColor="text1"/>
        </w:rPr>
      </w:pPr>
      <w:bookmarkStart w:id="9" w:name="_Toc217162967"/>
      <w:r w:rsidRPr="00E7418B">
        <w:rPr>
          <w:rFonts w:ascii="Arial" w:hAnsi="Arial" w:cs="Arial"/>
          <w:color w:val="000000" w:themeColor="text1"/>
        </w:rPr>
        <w:t>Cash Flow-Based Assessment</w:t>
      </w:r>
      <w:bookmarkEnd w:id="9"/>
      <w:r w:rsidRPr="00E7418B">
        <w:rPr>
          <w:rFonts w:ascii="Arial" w:hAnsi="Arial" w:cs="Arial"/>
          <w:color w:val="000000" w:themeColor="text1"/>
        </w:rPr>
        <w:t xml:space="preserve"> </w:t>
      </w:r>
    </w:p>
    <w:p w14:paraId="74C64505" w14:textId="77777777" w:rsidR="00526D2A" w:rsidRDefault="00526D2A" w:rsidP="00E7418B">
      <w:pPr>
        <w:rPr>
          <w:rFonts w:cs="Arial"/>
          <w:color w:val="000000" w:themeColor="text1"/>
          <w:szCs w:val="24"/>
        </w:rPr>
      </w:pPr>
      <w:r w:rsidRPr="00E7418B">
        <w:rPr>
          <w:rFonts w:cs="Arial"/>
          <w:color w:val="000000" w:themeColor="text1"/>
          <w:szCs w:val="24"/>
        </w:rPr>
        <w:t xml:space="preserve">Cash flow is essential for the survival of the company. The cash flow analysis involves examining GE in generating and utilising cash. It also depicts the level of GE funding for its activities and investments. </w:t>
      </w:r>
    </w:p>
    <w:p w14:paraId="17D18160" w14:textId="77777777" w:rsidR="00E7418B" w:rsidRDefault="00E7418B" w:rsidP="00E7418B">
      <w:pPr>
        <w:rPr>
          <w:rFonts w:cs="Arial"/>
          <w:color w:val="000000" w:themeColor="text1"/>
          <w:szCs w:val="24"/>
        </w:rPr>
      </w:pPr>
    </w:p>
    <w:p w14:paraId="1B772CC3" w14:textId="77777777" w:rsidR="00E7418B" w:rsidRPr="00E7418B" w:rsidRDefault="00E7418B" w:rsidP="00E7418B">
      <w:pPr>
        <w:rPr>
          <w:rFonts w:cs="Arial"/>
          <w:color w:val="000000" w:themeColor="text1"/>
          <w:szCs w:val="24"/>
        </w:rPr>
      </w:pPr>
    </w:p>
    <w:p w14:paraId="7552C7F3" w14:textId="77777777" w:rsidR="00526D2A" w:rsidRPr="00E7418B" w:rsidRDefault="00526D2A" w:rsidP="00E7418B">
      <w:pPr>
        <w:rPr>
          <w:rFonts w:cs="Arial"/>
          <w:b/>
          <w:color w:val="000000" w:themeColor="text1"/>
          <w:szCs w:val="24"/>
        </w:rPr>
      </w:pPr>
      <w:r w:rsidRPr="00E7418B">
        <w:rPr>
          <w:rFonts w:cs="Arial"/>
          <w:b/>
          <w:color w:val="000000" w:themeColor="text1"/>
          <w:szCs w:val="24"/>
        </w:rPr>
        <w:t>1. Operating Cash Flow Adequacy</w:t>
      </w:r>
    </w:p>
    <w:p w14:paraId="03CDAE24" w14:textId="77777777" w:rsidR="00526D2A" w:rsidRPr="00E7418B" w:rsidRDefault="00526D2A" w:rsidP="00E7418B">
      <w:pPr>
        <w:rPr>
          <w:rFonts w:cs="Arial"/>
          <w:color w:val="000000" w:themeColor="text1"/>
          <w:szCs w:val="24"/>
        </w:rPr>
      </w:pPr>
      <w:r w:rsidRPr="00E7418B">
        <w:rPr>
          <w:rFonts w:cs="Arial"/>
          <w:color w:val="000000" w:themeColor="text1"/>
          <w:szCs w:val="24"/>
        </w:rPr>
        <w:t>Cash flow operating remained positive annually. This is vital towards survival. The operating Cash Flow or net cash used during the operating activities of GE in the last five (2020-2024) years stands respectively at £73,392m, £40,283m, £10,926m, £25,190m and £14,822m. Weaker business activity is indicated in this decline. OCF declined 80% from 2020. Not enough to grow and pay the debt. It also indicates that GE is no longer in a position to sustain its operations.</w:t>
      </w:r>
    </w:p>
    <w:p w14:paraId="049E4E1C"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2. Capital Expenditure Trends</w:t>
      </w:r>
    </w:p>
    <w:tbl>
      <w:tblPr>
        <w:tblStyle w:val="TableGrid"/>
        <w:tblW w:w="0" w:type="auto"/>
        <w:jc w:val="center"/>
        <w:tblLook w:val="04A0" w:firstRow="1" w:lastRow="0" w:firstColumn="1" w:lastColumn="0" w:noHBand="0" w:noVBand="1"/>
      </w:tblPr>
      <w:tblGrid>
        <w:gridCol w:w="3278"/>
        <w:gridCol w:w="3278"/>
      </w:tblGrid>
      <w:tr w:rsidR="003A11CD" w:rsidRPr="00E7418B" w14:paraId="6DE3D328" w14:textId="77777777" w:rsidTr="00A1650A">
        <w:trPr>
          <w:trHeight w:val="528"/>
          <w:jc w:val="center"/>
        </w:trPr>
        <w:tc>
          <w:tcPr>
            <w:tcW w:w="3278" w:type="dxa"/>
          </w:tcPr>
          <w:p w14:paraId="48273009" w14:textId="149E2BA8"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3278" w:type="dxa"/>
          </w:tcPr>
          <w:p w14:paraId="226A9506" w14:textId="2FFD3151"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Acquisition cost of property, plant and equipment</w:t>
            </w:r>
          </w:p>
        </w:tc>
      </w:tr>
      <w:tr w:rsidR="003A11CD" w:rsidRPr="00E7418B" w14:paraId="5468730E" w14:textId="77777777" w:rsidTr="00A1650A">
        <w:trPr>
          <w:trHeight w:val="264"/>
          <w:jc w:val="center"/>
        </w:trPr>
        <w:tc>
          <w:tcPr>
            <w:tcW w:w="3278" w:type="dxa"/>
          </w:tcPr>
          <w:p w14:paraId="5828866A"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3278" w:type="dxa"/>
          </w:tcPr>
          <w:p w14:paraId="25B9651B" w14:textId="1F59CDB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£16,862m</w:t>
            </w:r>
          </w:p>
        </w:tc>
      </w:tr>
      <w:tr w:rsidR="003A11CD" w:rsidRPr="00E7418B" w14:paraId="06230C88" w14:textId="77777777" w:rsidTr="00A1650A">
        <w:trPr>
          <w:trHeight w:val="252"/>
          <w:jc w:val="center"/>
        </w:trPr>
        <w:tc>
          <w:tcPr>
            <w:tcW w:w="3278" w:type="dxa"/>
          </w:tcPr>
          <w:p w14:paraId="4612CD68"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3278" w:type="dxa"/>
          </w:tcPr>
          <w:p w14:paraId="5A5EE925" w14:textId="53359E6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£12,586m</w:t>
            </w:r>
          </w:p>
        </w:tc>
      </w:tr>
      <w:tr w:rsidR="003A11CD" w:rsidRPr="00E7418B" w14:paraId="112E1518" w14:textId="77777777" w:rsidTr="00A1650A">
        <w:trPr>
          <w:trHeight w:val="264"/>
          <w:jc w:val="center"/>
        </w:trPr>
        <w:tc>
          <w:tcPr>
            <w:tcW w:w="3278" w:type="dxa"/>
          </w:tcPr>
          <w:p w14:paraId="09A479F4"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3278" w:type="dxa"/>
          </w:tcPr>
          <w:p w14:paraId="05E73021" w14:textId="4B0B973C"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£14,006m</w:t>
            </w:r>
          </w:p>
        </w:tc>
      </w:tr>
      <w:tr w:rsidR="003A11CD" w:rsidRPr="00E7418B" w14:paraId="61700DE9" w14:textId="77777777" w:rsidTr="00A1650A">
        <w:trPr>
          <w:trHeight w:val="264"/>
          <w:jc w:val="center"/>
        </w:trPr>
        <w:tc>
          <w:tcPr>
            <w:tcW w:w="3278" w:type="dxa"/>
          </w:tcPr>
          <w:p w14:paraId="2FEBE88D"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3278" w:type="dxa"/>
          </w:tcPr>
          <w:p w14:paraId="084530DC" w14:textId="16B5B84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£8,116m</w:t>
            </w:r>
          </w:p>
        </w:tc>
      </w:tr>
      <w:tr w:rsidR="009C2B17" w:rsidRPr="00E7418B" w14:paraId="5E2F1018" w14:textId="77777777" w:rsidTr="00A1650A">
        <w:trPr>
          <w:trHeight w:val="264"/>
          <w:jc w:val="center"/>
        </w:trPr>
        <w:tc>
          <w:tcPr>
            <w:tcW w:w="3278" w:type="dxa"/>
          </w:tcPr>
          <w:p w14:paraId="22D28102"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3278" w:type="dxa"/>
          </w:tcPr>
          <w:p w14:paraId="00ABE9A5" w14:textId="546A7F30"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£4,572m</w:t>
            </w:r>
          </w:p>
        </w:tc>
      </w:tr>
    </w:tbl>
    <w:p w14:paraId="4E89488D" w14:textId="77777777" w:rsidR="00526D2A" w:rsidRPr="00E7418B" w:rsidRDefault="00526D2A" w:rsidP="00E7418B">
      <w:pPr>
        <w:rPr>
          <w:rFonts w:cs="Arial"/>
          <w:color w:val="000000" w:themeColor="text1"/>
          <w:szCs w:val="24"/>
        </w:rPr>
      </w:pPr>
    </w:p>
    <w:p w14:paraId="03B13ABE" w14:textId="77777777" w:rsidR="00526D2A" w:rsidRPr="00E7418B" w:rsidRDefault="00526D2A" w:rsidP="00E7418B">
      <w:pPr>
        <w:rPr>
          <w:rFonts w:cs="Arial"/>
          <w:color w:val="000000" w:themeColor="text1"/>
          <w:szCs w:val="24"/>
        </w:rPr>
      </w:pPr>
      <w:r w:rsidRPr="00E7418B">
        <w:rPr>
          <w:rFonts w:cs="Arial"/>
          <w:color w:val="000000" w:themeColor="text1"/>
          <w:szCs w:val="24"/>
        </w:rPr>
        <w:t>Increase/Decrease in the capital expenditure of GE on a year-on-year basis dropped to £4.5bn as opposed to £16bn. CAPEX fell 64% over five years. It demonstrates that GE is reducing asset and expansion investment. GE is now playing the survival game, not the expansion game.</w:t>
      </w:r>
    </w:p>
    <w:p w14:paraId="4127459E" w14:textId="77777777" w:rsidR="00526D2A" w:rsidRPr="00E7418B" w:rsidRDefault="00526D2A" w:rsidP="00E7418B">
      <w:pPr>
        <w:rPr>
          <w:rFonts w:cs="Arial"/>
          <w:b/>
          <w:color w:val="000000" w:themeColor="text1"/>
          <w:szCs w:val="24"/>
          <w:lang w:eastAsia="en-GB"/>
        </w:rPr>
      </w:pPr>
      <w:r w:rsidRPr="00E7418B">
        <w:rPr>
          <w:rFonts w:cs="Arial"/>
          <w:b/>
          <w:color w:val="000000" w:themeColor="text1"/>
          <w:szCs w:val="24"/>
          <w:lang w:eastAsia="en-GB"/>
        </w:rPr>
        <w:t xml:space="preserve">3. Free Cash Flow </w:t>
      </w:r>
    </w:p>
    <w:p w14:paraId="1AA699E3" w14:textId="77777777" w:rsidR="00526D2A" w:rsidRPr="00E7418B" w:rsidRDefault="00526D2A" w:rsidP="00E7418B">
      <w:pPr>
        <w:rPr>
          <w:rFonts w:cs="Arial"/>
          <w:color w:val="000000" w:themeColor="text1"/>
          <w:szCs w:val="24"/>
          <w:lang w:eastAsia="en-GB"/>
        </w:rPr>
      </w:pPr>
      <w:r w:rsidRPr="00E7418B">
        <w:rPr>
          <w:rFonts w:cs="Arial"/>
          <w:b/>
          <w:bCs/>
          <w:color w:val="000000" w:themeColor="text1"/>
          <w:szCs w:val="24"/>
          <w:lang w:eastAsia="en-GB"/>
        </w:rPr>
        <w:t>Formula:</w:t>
      </w:r>
      <w:r w:rsidRPr="00E7418B">
        <w:rPr>
          <w:rFonts w:cs="Arial"/>
          <w:color w:val="000000" w:themeColor="text1"/>
          <w:szCs w:val="24"/>
          <w:lang w:eastAsia="en-GB"/>
        </w:rPr>
        <w:t xml:space="preserve"> Operating Cash Flow – Capital Expenditure</w:t>
      </w:r>
    </w:p>
    <w:tbl>
      <w:tblPr>
        <w:tblStyle w:val="TableGrid"/>
        <w:tblW w:w="0" w:type="auto"/>
        <w:jc w:val="center"/>
        <w:tblLook w:val="04A0" w:firstRow="1" w:lastRow="0" w:firstColumn="1" w:lastColumn="0" w:noHBand="0" w:noVBand="1"/>
      </w:tblPr>
      <w:tblGrid>
        <w:gridCol w:w="2577"/>
        <w:gridCol w:w="2577"/>
      </w:tblGrid>
      <w:tr w:rsidR="003A11CD" w:rsidRPr="00E7418B" w14:paraId="2133C141" w14:textId="77777777" w:rsidTr="00A1650A">
        <w:trPr>
          <w:trHeight w:val="303"/>
          <w:jc w:val="center"/>
        </w:trPr>
        <w:tc>
          <w:tcPr>
            <w:tcW w:w="2577" w:type="dxa"/>
          </w:tcPr>
          <w:p w14:paraId="046A6AF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Year</w:t>
            </w:r>
          </w:p>
        </w:tc>
        <w:tc>
          <w:tcPr>
            <w:tcW w:w="2577" w:type="dxa"/>
          </w:tcPr>
          <w:p w14:paraId="0197375E" w14:textId="3B324AAD"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Free Cash Flow</w:t>
            </w:r>
          </w:p>
        </w:tc>
      </w:tr>
      <w:tr w:rsidR="003A11CD" w:rsidRPr="00E7418B" w14:paraId="6AFC35C9" w14:textId="77777777" w:rsidTr="00A1650A">
        <w:trPr>
          <w:trHeight w:val="303"/>
          <w:jc w:val="center"/>
        </w:trPr>
        <w:tc>
          <w:tcPr>
            <w:tcW w:w="2577" w:type="dxa"/>
          </w:tcPr>
          <w:p w14:paraId="5989A59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2020</w:t>
            </w:r>
          </w:p>
        </w:tc>
        <w:tc>
          <w:tcPr>
            <w:tcW w:w="2577" w:type="dxa"/>
          </w:tcPr>
          <w:p w14:paraId="10A37CEC" w14:textId="1367B25B"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£56,530m</w:t>
            </w:r>
          </w:p>
        </w:tc>
      </w:tr>
      <w:tr w:rsidR="003A11CD" w:rsidRPr="00E7418B" w14:paraId="3934C02A" w14:textId="77777777" w:rsidTr="00A1650A">
        <w:trPr>
          <w:trHeight w:val="289"/>
          <w:jc w:val="center"/>
        </w:trPr>
        <w:tc>
          <w:tcPr>
            <w:tcW w:w="2577" w:type="dxa"/>
          </w:tcPr>
          <w:p w14:paraId="68A847DE"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2021</w:t>
            </w:r>
          </w:p>
        </w:tc>
        <w:tc>
          <w:tcPr>
            <w:tcW w:w="2577" w:type="dxa"/>
          </w:tcPr>
          <w:p w14:paraId="1ADA066A" w14:textId="0C3208EE"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£27,697m</w:t>
            </w:r>
          </w:p>
        </w:tc>
      </w:tr>
      <w:tr w:rsidR="003A11CD" w:rsidRPr="00E7418B" w14:paraId="5DD1F52E" w14:textId="77777777" w:rsidTr="00A1650A">
        <w:trPr>
          <w:trHeight w:val="303"/>
          <w:jc w:val="center"/>
        </w:trPr>
        <w:tc>
          <w:tcPr>
            <w:tcW w:w="2577" w:type="dxa"/>
          </w:tcPr>
          <w:p w14:paraId="37BCD2D1"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2022</w:t>
            </w:r>
          </w:p>
        </w:tc>
        <w:tc>
          <w:tcPr>
            <w:tcW w:w="2577" w:type="dxa"/>
          </w:tcPr>
          <w:p w14:paraId="61F0614F" w14:textId="768D4AF4"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–£3,080m</w:t>
            </w:r>
          </w:p>
        </w:tc>
      </w:tr>
      <w:tr w:rsidR="003A11CD" w:rsidRPr="00E7418B" w14:paraId="3E00A3FA" w14:textId="77777777" w:rsidTr="00A1650A">
        <w:trPr>
          <w:trHeight w:val="303"/>
          <w:jc w:val="center"/>
        </w:trPr>
        <w:tc>
          <w:tcPr>
            <w:tcW w:w="2577" w:type="dxa"/>
          </w:tcPr>
          <w:p w14:paraId="5AB7CB9D"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2023</w:t>
            </w:r>
          </w:p>
        </w:tc>
        <w:tc>
          <w:tcPr>
            <w:tcW w:w="2577" w:type="dxa"/>
          </w:tcPr>
          <w:p w14:paraId="580B2112" w14:textId="25817132"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£17,074m</w:t>
            </w:r>
          </w:p>
        </w:tc>
      </w:tr>
      <w:tr w:rsidR="009C2B17" w:rsidRPr="00E7418B" w14:paraId="5149EA7A" w14:textId="77777777" w:rsidTr="00A1650A">
        <w:trPr>
          <w:trHeight w:val="303"/>
          <w:jc w:val="center"/>
        </w:trPr>
        <w:tc>
          <w:tcPr>
            <w:tcW w:w="2577" w:type="dxa"/>
          </w:tcPr>
          <w:p w14:paraId="399F9200" w14:textId="77777777"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2024</w:t>
            </w:r>
          </w:p>
        </w:tc>
        <w:tc>
          <w:tcPr>
            <w:tcW w:w="2577" w:type="dxa"/>
          </w:tcPr>
          <w:p w14:paraId="39B0DE38" w14:textId="71E05D0F" w:rsidR="00526D2A" w:rsidRPr="00E7418B" w:rsidRDefault="00526D2A" w:rsidP="00E7418B">
            <w:pPr>
              <w:jc w:val="center"/>
              <w:rPr>
                <w:rFonts w:cs="Arial"/>
                <w:color w:val="000000" w:themeColor="text1"/>
                <w:szCs w:val="24"/>
                <w:lang w:eastAsia="en-GB"/>
              </w:rPr>
            </w:pPr>
            <w:r w:rsidRPr="00E7418B">
              <w:rPr>
                <w:rFonts w:cs="Arial"/>
                <w:color w:val="000000" w:themeColor="text1"/>
                <w:szCs w:val="24"/>
                <w:lang w:eastAsia="en-GB"/>
              </w:rPr>
              <w:t>£10,250m</w:t>
            </w:r>
          </w:p>
        </w:tc>
      </w:tr>
    </w:tbl>
    <w:p w14:paraId="0F7B2798" w14:textId="77777777" w:rsidR="00526D2A" w:rsidRPr="00E7418B" w:rsidRDefault="00526D2A" w:rsidP="00E7418B">
      <w:pPr>
        <w:rPr>
          <w:rFonts w:cs="Arial"/>
          <w:color w:val="000000" w:themeColor="text1"/>
          <w:szCs w:val="24"/>
        </w:rPr>
      </w:pPr>
      <w:r w:rsidRPr="00E7418B">
        <w:rPr>
          <w:rFonts w:cs="Arial"/>
          <w:color w:val="000000" w:themeColor="text1"/>
          <w:szCs w:val="24"/>
        </w:rPr>
        <w:t>FCF is cash which cannot be invested in essential investments. There are positive FCFs with cash remaining after investment. It became negative in 2022. GE was not able to finance its investments that year using cash. This hurts future growth.</w:t>
      </w:r>
    </w:p>
    <w:p w14:paraId="02AAB98E" w14:textId="77777777" w:rsidR="00AB21F8" w:rsidRPr="00E7418B" w:rsidRDefault="00AB21F8" w:rsidP="00E7418B">
      <w:pPr>
        <w:pStyle w:val="Heading2"/>
        <w:rPr>
          <w:rFonts w:ascii="Arial" w:eastAsia="Times New Roman" w:hAnsi="Arial" w:cs="Arial"/>
          <w:b/>
          <w:bCs/>
          <w:color w:val="000000" w:themeColor="text1"/>
          <w:sz w:val="24"/>
          <w:szCs w:val="24"/>
        </w:rPr>
      </w:pPr>
      <w:bookmarkStart w:id="10" w:name="_Toc217162968"/>
      <w:r w:rsidRPr="00E7418B">
        <w:rPr>
          <w:rFonts w:ascii="Arial" w:eastAsia="Times New Roman" w:hAnsi="Arial" w:cs="Arial"/>
          <w:b/>
          <w:bCs/>
          <w:color w:val="000000" w:themeColor="text1"/>
          <w:sz w:val="24"/>
          <w:szCs w:val="24"/>
          <w:lang w:eastAsia="en-GB"/>
        </w:rPr>
        <w:t>Corporate Failure Analysis (Altman Z-Score)</w:t>
      </w:r>
      <w:bookmarkEnd w:id="10"/>
    </w:p>
    <w:p w14:paraId="6A9D2D10"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Altman Z-Score is used to predict the risk of corporate bankruptcy. The model does show that a Z score of above 2.99 is a safe zone in the firms. It implies that it is not prone to bankruptcy. The Z score between 1.88 and 2.99 is the grey zone of companies. There is a need to take some steps which can mitigate bankruptcy risk. Lastly, there is the Z score less than 1.80, which is the distress zone, with the company experiencing high risk. </w:t>
      </w:r>
    </w:p>
    <w:p w14:paraId="2AD6ACA9"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The formula is:</w:t>
      </w:r>
    </w:p>
    <w:p w14:paraId="08AAA4D1" w14:textId="77777777" w:rsidR="00AB21F8" w:rsidRPr="00E7418B" w:rsidRDefault="00AB21F8" w:rsidP="00E7418B">
      <w:pPr>
        <w:jc w:val="center"/>
        <w:rPr>
          <w:rFonts w:cs="Arial"/>
          <w:color w:val="000000" w:themeColor="text1"/>
          <w:szCs w:val="24"/>
          <w:lang w:eastAsia="en-GB"/>
        </w:rPr>
      </w:pPr>
      <w:r w:rsidRPr="00E7418B">
        <w:rPr>
          <w:rFonts w:cs="Arial"/>
          <w:color w:val="000000" w:themeColor="text1"/>
          <w:szCs w:val="24"/>
          <w:lang w:eastAsia="en-GB"/>
        </w:rPr>
        <w:t>Z = 1.2X</w:t>
      </w:r>
      <w:r w:rsidRPr="00E7418B">
        <w:rPr>
          <w:rFonts w:ascii="Cambria Math" w:hAnsi="Cambria Math" w:cs="Cambria Math"/>
          <w:color w:val="000000" w:themeColor="text1"/>
          <w:szCs w:val="24"/>
          <w:lang w:eastAsia="en-GB"/>
        </w:rPr>
        <w:t>₁</w:t>
      </w:r>
      <w:r w:rsidRPr="00E7418B">
        <w:rPr>
          <w:rFonts w:cs="Arial"/>
          <w:color w:val="000000" w:themeColor="text1"/>
          <w:szCs w:val="24"/>
          <w:lang w:eastAsia="en-GB"/>
        </w:rPr>
        <w:t xml:space="preserve"> + 1.4X</w:t>
      </w:r>
      <w:r w:rsidRPr="00E7418B">
        <w:rPr>
          <w:rFonts w:ascii="Cambria Math" w:hAnsi="Cambria Math" w:cs="Cambria Math"/>
          <w:color w:val="000000" w:themeColor="text1"/>
          <w:szCs w:val="24"/>
          <w:lang w:eastAsia="en-GB"/>
        </w:rPr>
        <w:t>₂</w:t>
      </w:r>
      <w:r w:rsidRPr="00E7418B">
        <w:rPr>
          <w:rFonts w:cs="Arial"/>
          <w:color w:val="000000" w:themeColor="text1"/>
          <w:szCs w:val="24"/>
          <w:lang w:eastAsia="en-GB"/>
        </w:rPr>
        <w:t xml:space="preserve"> + 3.3X</w:t>
      </w:r>
      <w:r w:rsidRPr="00E7418B">
        <w:rPr>
          <w:rFonts w:ascii="Cambria Math" w:hAnsi="Cambria Math" w:cs="Cambria Math"/>
          <w:color w:val="000000" w:themeColor="text1"/>
          <w:szCs w:val="24"/>
          <w:lang w:eastAsia="en-GB"/>
        </w:rPr>
        <w:t>₃</w:t>
      </w:r>
      <w:r w:rsidRPr="00E7418B">
        <w:rPr>
          <w:rFonts w:cs="Arial"/>
          <w:color w:val="000000" w:themeColor="text1"/>
          <w:szCs w:val="24"/>
          <w:lang w:eastAsia="en-GB"/>
        </w:rPr>
        <w:t xml:space="preserve"> + 0.6X</w:t>
      </w:r>
      <w:r w:rsidRPr="00E7418B">
        <w:rPr>
          <w:rFonts w:ascii="Cambria Math" w:hAnsi="Cambria Math" w:cs="Cambria Math"/>
          <w:color w:val="000000" w:themeColor="text1"/>
          <w:szCs w:val="24"/>
          <w:lang w:eastAsia="en-GB"/>
        </w:rPr>
        <w:t>₄</w:t>
      </w:r>
      <w:r w:rsidRPr="00E7418B">
        <w:rPr>
          <w:rFonts w:cs="Arial"/>
          <w:color w:val="000000" w:themeColor="text1"/>
          <w:szCs w:val="24"/>
          <w:lang w:eastAsia="en-GB"/>
        </w:rPr>
        <w:t xml:space="preserve"> + 1.0X</w:t>
      </w:r>
      <w:r w:rsidRPr="00E7418B">
        <w:rPr>
          <w:rFonts w:ascii="Cambria Math" w:hAnsi="Cambria Math" w:cs="Cambria Math"/>
          <w:color w:val="000000" w:themeColor="text1"/>
          <w:szCs w:val="24"/>
          <w:lang w:eastAsia="en-GB"/>
        </w:rPr>
        <w:t>₅</w:t>
      </w:r>
      <w:r w:rsidRPr="00E7418B">
        <w:rPr>
          <w:rFonts w:cs="Arial"/>
          <w:color w:val="000000" w:themeColor="text1"/>
          <w:szCs w:val="24"/>
          <w:lang w:eastAsia="en-GB"/>
        </w:rPr>
        <w:t>.</w:t>
      </w:r>
    </w:p>
    <w:p w14:paraId="15819C1A"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Here, </w:t>
      </w:r>
    </w:p>
    <w:p w14:paraId="284E5170"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₁</w:t>
      </w:r>
      <w:r w:rsidRPr="00E7418B">
        <w:rPr>
          <w:rFonts w:cs="Arial"/>
          <w:color w:val="000000" w:themeColor="text1"/>
          <w:szCs w:val="24"/>
          <w:lang w:eastAsia="en-GB"/>
        </w:rPr>
        <w:t xml:space="preserve"> = Working Capital / Total Assets, </w:t>
      </w:r>
    </w:p>
    <w:p w14:paraId="5F96EDCF"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₂</w:t>
      </w:r>
      <w:r w:rsidRPr="00E7418B">
        <w:rPr>
          <w:rFonts w:cs="Arial"/>
          <w:color w:val="000000" w:themeColor="text1"/>
          <w:szCs w:val="24"/>
          <w:lang w:eastAsia="en-GB"/>
        </w:rPr>
        <w:t xml:space="preserve"> = Retained Earnings / Total Assets</w:t>
      </w:r>
    </w:p>
    <w:p w14:paraId="3C2DF9E9"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₃</w:t>
      </w:r>
      <w:r w:rsidRPr="00E7418B">
        <w:rPr>
          <w:rFonts w:cs="Arial"/>
          <w:color w:val="000000" w:themeColor="text1"/>
          <w:szCs w:val="24"/>
          <w:lang w:eastAsia="en-GB"/>
        </w:rPr>
        <w:t xml:space="preserve"> = EBIT / Total Assets</w:t>
      </w:r>
    </w:p>
    <w:p w14:paraId="4AD94612" w14:textId="77777777" w:rsidR="00AB21F8" w:rsidRPr="00E7418B" w:rsidRDefault="00AB21F8" w:rsidP="00E7418B">
      <w:pPr>
        <w:pStyle w:val="ListParagraph"/>
        <w:numPr>
          <w:ilvl w:val="0"/>
          <w:numId w:val="1"/>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₄</w:t>
      </w:r>
      <w:r w:rsidRPr="00E7418B">
        <w:rPr>
          <w:rFonts w:cs="Arial"/>
          <w:color w:val="000000" w:themeColor="text1"/>
          <w:szCs w:val="24"/>
          <w:lang w:eastAsia="en-GB"/>
        </w:rPr>
        <w:t xml:space="preserve"> = Market Value of Equity / Total Liabilities</w:t>
      </w:r>
    </w:p>
    <w:p w14:paraId="1F27C115" w14:textId="2E37F808" w:rsidR="00A11C65" w:rsidRPr="00A11C65" w:rsidRDefault="00AB21F8" w:rsidP="00A11C65">
      <w:pPr>
        <w:pStyle w:val="ListParagraph"/>
        <w:numPr>
          <w:ilvl w:val="0"/>
          <w:numId w:val="1"/>
        </w:numPr>
        <w:spacing w:line="240" w:lineRule="auto"/>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₅</w:t>
      </w:r>
      <w:r w:rsidRPr="00E7418B">
        <w:rPr>
          <w:rFonts w:cs="Arial"/>
          <w:color w:val="000000" w:themeColor="text1"/>
          <w:szCs w:val="24"/>
          <w:lang w:eastAsia="en-GB"/>
        </w:rPr>
        <w:t xml:space="preserve"> = Sales / Total Assets</w:t>
      </w:r>
      <w:r w:rsidR="00A11C65">
        <w:rPr>
          <w:rFonts w:cs="Arial"/>
          <w:color w:val="000000" w:themeColor="text1"/>
          <w:szCs w:val="24"/>
          <w:lang w:eastAsia="en-GB"/>
        </w:rPr>
        <w:t xml:space="preserve"> </w:t>
      </w:r>
    </w:p>
    <w:p w14:paraId="278CB8DE" w14:textId="334AF08C" w:rsidR="00AB21F8" w:rsidRPr="00E7418B" w:rsidRDefault="00F640FB" w:rsidP="00E7418B">
      <w:pPr>
        <w:rPr>
          <w:rFonts w:cs="Arial"/>
          <w:color w:val="000000" w:themeColor="text1"/>
          <w:szCs w:val="24"/>
        </w:rPr>
      </w:pPr>
      <w:r>
        <w:rPr>
          <w:rFonts w:cs="Arial"/>
          <w:color w:val="000000" w:themeColor="text1"/>
          <w:szCs w:val="24"/>
        </w:rPr>
        <w:t>T</w:t>
      </w:r>
      <w:r w:rsidR="00AB21F8" w:rsidRPr="00E7418B">
        <w:rPr>
          <w:rFonts w:cs="Arial"/>
          <w:color w:val="000000" w:themeColor="text1"/>
          <w:szCs w:val="24"/>
        </w:rPr>
        <w:t>he difference between current assets and current liabilities</w:t>
      </w:r>
      <w:r>
        <w:rPr>
          <w:rFonts w:cs="Arial"/>
          <w:color w:val="000000" w:themeColor="text1"/>
          <w:szCs w:val="24"/>
        </w:rPr>
        <w:t xml:space="preserve"> is known as working capital </w:t>
      </w:r>
      <w:r w:rsidR="00AB21F8" w:rsidRPr="00E7418B">
        <w:rPr>
          <w:rFonts w:cs="Arial"/>
          <w:color w:val="000000" w:themeColor="text1"/>
          <w:szCs w:val="24"/>
        </w:rPr>
        <w:t xml:space="preserve">(Kiymaz, Haque &amp; Choudhury, 2024). So, for GE, the working capital in 2024 is £84,203m. The total assets according to the financial statement are £323,354m. </w:t>
      </w:r>
    </w:p>
    <w:p w14:paraId="72753EC1" w14:textId="16F579F6" w:rsidR="00A11C65" w:rsidRPr="00E7418B" w:rsidRDefault="00AB21F8" w:rsidP="00E7418B">
      <w:pPr>
        <w:rPr>
          <w:rFonts w:cs="Arial"/>
          <w:color w:val="000000" w:themeColor="text1"/>
          <w:szCs w:val="24"/>
          <w:lang w:eastAsia="en-GB"/>
        </w:rPr>
      </w:pPr>
      <w:r w:rsidRPr="00E7418B">
        <w:rPr>
          <w:rFonts w:cs="Arial"/>
          <w:color w:val="000000" w:themeColor="text1"/>
          <w:szCs w:val="24"/>
          <w:lang w:eastAsia="en-GB"/>
        </w:rPr>
        <w:t>Here, the retained earnings of GE in 2024 are £208,431m, and the EBIT or Operating Income (loss) of GE in 2024 is £–15,297m. Market Value of Equity is referred to as the Book Value of Equity, which is £153,105m in 2024, and the total sales in 2024 were £394,879m. So,</w:t>
      </w:r>
    </w:p>
    <w:p w14:paraId="08DA76ED"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₁</w:t>
      </w:r>
      <w:r w:rsidRPr="00E7418B">
        <w:rPr>
          <w:rFonts w:cs="Arial"/>
          <w:color w:val="000000" w:themeColor="text1"/>
          <w:szCs w:val="24"/>
          <w:lang w:eastAsia="en-GB"/>
        </w:rPr>
        <w:t xml:space="preserve"> = 84,203/323,354= 0.260</w:t>
      </w:r>
    </w:p>
    <w:p w14:paraId="40112515"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₂</w:t>
      </w:r>
      <w:r w:rsidRPr="00E7418B">
        <w:rPr>
          <w:rFonts w:cs="Arial"/>
          <w:color w:val="000000" w:themeColor="text1"/>
          <w:szCs w:val="24"/>
          <w:lang w:eastAsia="en-GB"/>
        </w:rPr>
        <w:t xml:space="preserve"> = 208,431 ÷ 323,354 = 0.644</w:t>
      </w:r>
    </w:p>
    <w:p w14:paraId="6CC87F4D"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₃</w:t>
      </w:r>
      <w:r w:rsidRPr="00E7418B">
        <w:rPr>
          <w:rFonts w:cs="Arial"/>
          <w:color w:val="000000" w:themeColor="text1"/>
          <w:szCs w:val="24"/>
          <w:lang w:eastAsia="en-GB"/>
        </w:rPr>
        <w:t xml:space="preserve"> = –15,297 ÷ 323,354 = –0.047</w:t>
      </w:r>
    </w:p>
    <w:p w14:paraId="62C8A3A8"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₄</w:t>
      </w:r>
      <w:r w:rsidRPr="00E7418B">
        <w:rPr>
          <w:rFonts w:cs="Arial"/>
          <w:color w:val="000000" w:themeColor="text1"/>
          <w:szCs w:val="24"/>
          <w:lang w:eastAsia="en-GB"/>
        </w:rPr>
        <w:t xml:space="preserve"> = 153,105 ÷ 170,249 = 0.899</w:t>
      </w:r>
    </w:p>
    <w:p w14:paraId="463B5972" w14:textId="77777777" w:rsidR="00AB21F8" w:rsidRPr="00E7418B" w:rsidRDefault="00AB21F8" w:rsidP="00E7418B">
      <w:pPr>
        <w:pStyle w:val="ListParagraph"/>
        <w:numPr>
          <w:ilvl w:val="0"/>
          <w:numId w:val="2"/>
        </w:numPr>
        <w:rPr>
          <w:rFonts w:cs="Arial"/>
          <w:color w:val="000000" w:themeColor="text1"/>
          <w:szCs w:val="24"/>
          <w:lang w:eastAsia="en-GB"/>
        </w:rPr>
      </w:pPr>
      <w:r w:rsidRPr="00E7418B">
        <w:rPr>
          <w:rFonts w:cs="Arial"/>
          <w:color w:val="000000" w:themeColor="text1"/>
          <w:szCs w:val="24"/>
          <w:lang w:eastAsia="en-GB"/>
        </w:rPr>
        <w:t>X</w:t>
      </w:r>
      <w:r w:rsidRPr="00E7418B">
        <w:rPr>
          <w:rFonts w:ascii="Cambria Math" w:hAnsi="Cambria Math" w:cs="Cambria Math"/>
          <w:color w:val="000000" w:themeColor="text1"/>
          <w:szCs w:val="24"/>
          <w:lang w:eastAsia="en-GB"/>
        </w:rPr>
        <w:t>₅</w:t>
      </w:r>
      <w:r w:rsidRPr="00E7418B">
        <w:rPr>
          <w:rFonts w:cs="Arial"/>
          <w:color w:val="000000" w:themeColor="text1"/>
          <w:szCs w:val="24"/>
          <w:lang w:eastAsia="en-GB"/>
        </w:rPr>
        <w:t xml:space="preserve"> = 394,879 ÷ 323,354 = 1.221</w:t>
      </w:r>
    </w:p>
    <w:p w14:paraId="6DE33617"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Now, putting value to the formula, </w:t>
      </w:r>
    </w:p>
    <w:p w14:paraId="409EFBBA"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Z= 1.2(0.260)+1.4(0.644)+3.3(–0.047)+0.6(0.899)+1.0(1.221)</w:t>
      </w:r>
    </w:p>
    <w:p w14:paraId="2E2BF3A6"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Z = 2.82. </w:t>
      </w:r>
    </w:p>
    <w:p w14:paraId="672F026A" w14:textId="77777777" w:rsidR="00AB21F8" w:rsidRPr="00E7418B" w:rsidRDefault="00AB21F8" w:rsidP="00E7418B">
      <w:pPr>
        <w:rPr>
          <w:rFonts w:cs="Arial"/>
          <w:color w:val="000000" w:themeColor="text1"/>
          <w:szCs w:val="24"/>
        </w:rPr>
      </w:pPr>
      <w:r w:rsidRPr="00E7418B">
        <w:rPr>
          <w:rFonts w:cs="Arial"/>
          <w:color w:val="000000" w:themeColor="text1"/>
          <w:szCs w:val="24"/>
          <w:lang w:eastAsia="en-GB"/>
        </w:rPr>
        <w:t>Using Excel, we can calculate the Z score for each year (see Appendix).</w:t>
      </w:r>
    </w:p>
    <w:p w14:paraId="117C97EB" w14:textId="7026C0EF" w:rsidR="00AB21F8" w:rsidRPr="00E7418B" w:rsidRDefault="00AB21F8" w:rsidP="00E7418B">
      <w:pPr>
        <w:rPr>
          <w:rFonts w:cs="Arial"/>
          <w:color w:val="000000" w:themeColor="text1"/>
          <w:szCs w:val="24"/>
        </w:rPr>
      </w:pPr>
      <w:r w:rsidRPr="00E7418B">
        <w:rPr>
          <w:rFonts w:cs="Arial"/>
          <w:color w:val="000000" w:themeColor="text1"/>
          <w:szCs w:val="24"/>
        </w:rPr>
        <w:t>Hence, this analysis reveals that GE is in the grey zone. GE was within the safe zone between the years 2020 and 2022, but the 2023 and 2024 points indicate that this company is close to bankruptcy. It reduces the operating profit and equity, which undermines the 2023 and 2024 scores. A declining equity will make the firm appear more risky. The other factor that led to the low score is the Low</w:t>
      </w:r>
      <w:r w:rsidR="00A11C65">
        <w:rPr>
          <w:rFonts w:cs="Arial"/>
          <w:color w:val="000000" w:themeColor="text1"/>
          <w:szCs w:val="24"/>
        </w:rPr>
        <w:t xml:space="preserve"> current ratio</w:t>
      </w:r>
      <w:r w:rsidRPr="00E7418B">
        <w:rPr>
          <w:rFonts w:cs="Arial"/>
          <w:color w:val="000000" w:themeColor="text1"/>
          <w:szCs w:val="24"/>
        </w:rPr>
        <w:t>. The working capital is good, but the amount of working capital surpassing the overall assets is insignificant. The GE, however, has a high level of sales volume which justifies the Z score. Nevertheless, the score upholds the idea of the urgent restructuring. At that moment, a risk of bankruptcy emerges. GE should take action in order to prevent this scenario.</w:t>
      </w:r>
    </w:p>
    <w:p w14:paraId="788D7CC4" w14:textId="64BA4353" w:rsidR="00AB21F8" w:rsidRPr="002B431B" w:rsidRDefault="00AB21F8" w:rsidP="002B431B">
      <w:pPr>
        <w:jc w:val="left"/>
        <w:rPr>
          <w:rFonts w:cs="Arial"/>
          <w:color w:val="000000" w:themeColor="text1"/>
          <w:szCs w:val="24"/>
        </w:rPr>
      </w:pPr>
      <w:r w:rsidRPr="00E7418B">
        <w:rPr>
          <w:rFonts w:cs="Arial"/>
          <w:b/>
          <w:bCs/>
          <w:color w:val="000000" w:themeColor="text1"/>
          <w:szCs w:val="24"/>
        </w:rPr>
        <w:t>Working Capital Management Analysis</w:t>
      </w:r>
    </w:p>
    <w:p w14:paraId="66F86E40" w14:textId="77777777" w:rsidR="00AB21F8" w:rsidRPr="00E7418B" w:rsidRDefault="00AB21F8" w:rsidP="00E7418B">
      <w:pPr>
        <w:pStyle w:val="Heading2"/>
        <w:rPr>
          <w:rFonts w:ascii="Arial" w:hAnsi="Arial" w:cs="Arial"/>
          <w:b/>
          <w:bCs/>
          <w:color w:val="000000" w:themeColor="text1"/>
          <w:sz w:val="24"/>
          <w:szCs w:val="24"/>
        </w:rPr>
      </w:pPr>
      <w:bookmarkStart w:id="11" w:name="_Toc217162969"/>
      <w:r w:rsidRPr="00E7418B">
        <w:rPr>
          <w:rFonts w:ascii="Arial" w:hAnsi="Arial" w:cs="Arial"/>
          <w:b/>
          <w:bCs/>
          <w:color w:val="000000" w:themeColor="text1"/>
          <w:sz w:val="24"/>
          <w:szCs w:val="24"/>
        </w:rPr>
        <w:t>Cash Operating Cycle</w:t>
      </w:r>
      <w:bookmarkEnd w:id="11"/>
    </w:p>
    <w:p w14:paraId="63AA819D"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Cash Operating Cycle (COC) indicates the length of time that the cash is held up in the daily operations (Ahmad, Bashir &amp; Waqas, 2022). All of the calculations are based on averages in 2023 and 2024. </w:t>
      </w:r>
    </w:p>
    <w:p w14:paraId="1F3B4140"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We know, </w:t>
      </w:r>
    </w:p>
    <w:p w14:paraId="3F42E63A" w14:textId="77777777" w:rsidR="00AB21F8" w:rsidRPr="00E7418B" w:rsidRDefault="00AB21F8" w:rsidP="00E7418B">
      <w:pPr>
        <w:jc w:val="center"/>
        <w:rPr>
          <w:rFonts w:cs="Arial"/>
          <w:b/>
          <w:color w:val="000000" w:themeColor="text1"/>
          <w:szCs w:val="24"/>
          <w:lang w:eastAsia="en-GB"/>
        </w:rPr>
      </w:pPr>
      <w:r w:rsidRPr="00E7418B">
        <w:rPr>
          <w:rFonts w:cs="Arial"/>
          <w:b/>
          <w:color w:val="000000" w:themeColor="text1"/>
          <w:szCs w:val="24"/>
          <w:lang w:eastAsia="en-GB"/>
        </w:rPr>
        <w:t>Cash Operating Cycle (COC)=Days Inventory Held+Days Sales Outstanding-Days Payables Outstanding</w:t>
      </w:r>
    </w:p>
    <w:p w14:paraId="04871ED5"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Here, </w:t>
      </w:r>
    </w:p>
    <w:p w14:paraId="4EB68A19" w14:textId="77777777" w:rsidR="00AB21F8" w:rsidRPr="00E7418B" w:rsidRDefault="00AB21F8" w:rsidP="00E7418B">
      <w:pPr>
        <w:jc w:val="center"/>
        <w:rPr>
          <w:rFonts w:cs="Arial"/>
          <w:color w:val="000000" w:themeColor="text1"/>
          <w:szCs w:val="24"/>
          <w:lang w:eastAsia="en-GB"/>
        </w:rPr>
      </w:pPr>
      <w:r w:rsidRPr="00E7418B">
        <w:rPr>
          <w:rFonts w:cs="Arial"/>
          <w:b/>
          <w:color w:val="000000" w:themeColor="text1"/>
          <w:szCs w:val="24"/>
          <w:lang w:eastAsia="en-GB"/>
        </w:rPr>
        <w:t>Days Inventory Held</w:t>
      </w:r>
      <w:r w:rsidRPr="00E7418B">
        <w:rPr>
          <w:rFonts w:cs="Arial"/>
          <w:color w:val="000000" w:themeColor="text1"/>
          <w:szCs w:val="24"/>
          <w:lang w:eastAsia="en-GB"/>
        </w:rPr>
        <w:t>=(Average Inventory ÷ Cost of Sales) × 365</w:t>
      </w:r>
    </w:p>
    <w:p w14:paraId="4BDCCE2D"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Average Inventory = (2023 Inventory + 2024 Inventory) ÷ 2</w:t>
      </w:r>
    </w:p>
    <w:p w14:paraId="70DE802B"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(88,273 + 79,355) ÷ 2</w:t>
      </w:r>
    </w:p>
    <w:p w14:paraId="22E7DA13"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£83,814m</w:t>
      </w:r>
    </w:p>
    <w:p w14:paraId="33A5C652"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and Cost of Sales in 2024 = £280,885m. So, </w:t>
      </w:r>
    </w:p>
    <w:p w14:paraId="79B61333" w14:textId="77777777" w:rsidR="00AB21F8" w:rsidRPr="00E7418B" w:rsidRDefault="00AB21F8" w:rsidP="00E7418B">
      <w:pPr>
        <w:jc w:val="left"/>
        <w:rPr>
          <w:rFonts w:cs="Arial"/>
          <w:color w:val="000000" w:themeColor="text1"/>
          <w:szCs w:val="24"/>
          <w:lang w:eastAsia="en-GB"/>
        </w:rPr>
      </w:pPr>
      <w:r w:rsidRPr="00E7418B">
        <w:rPr>
          <w:rFonts w:cs="Arial"/>
          <w:color w:val="000000" w:themeColor="text1"/>
          <w:szCs w:val="24"/>
          <w:lang w:eastAsia="en-GB"/>
        </w:rPr>
        <w:t>Days Inventory Held = (83,814 ÷ 280,885) × 365</w:t>
      </w:r>
    </w:p>
    <w:p w14:paraId="590B7C71" w14:textId="77777777" w:rsidR="00AB21F8" w:rsidRPr="00E7418B" w:rsidRDefault="00AB21F8" w:rsidP="00E7418B">
      <w:pPr>
        <w:jc w:val="left"/>
        <w:rPr>
          <w:rFonts w:cs="Arial"/>
          <w:color w:val="000000" w:themeColor="text1"/>
          <w:szCs w:val="24"/>
        </w:rPr>
      </w:pPr>
      <w:r w:rsidRPr="00E7418B">
        <w:rPr>
          <w:rFonts w:cs="Arial"/>
          <w:color w:val="000000" w:themeColor="text1"/>
          <w:szCs w:val="24"/>
          <w:lang w:eastAsia="en-GB"/>
        </w:rPr>
        <w:t>= 108.85 days</w:t>
      </w:r>
    </w:p>
    <w:p w14:paraId="28B1F111" w14:textId="77777777" w:rsidR="00AB21F8" w:rsidRPr="00E7418B" w:rsidRDefault="00AB21F8" w:rsidP="00E7418B">
      <w:pPr>
        <w:rPr>
          <w:rFonts w:cs="Arial"/>
          <w:color w:val="000000" w:themeColor="text1"/>
          <w:szCs w:val="24"/>
        </w:rPr>
      </w:pPr>
      <w:r w:rsidRPr="00E7418B">
        <w:rPr>
          <w:rFonts w:cs="Arial"/>
          <w:color w:val="000000" w:themeColor="text1"/>
          <w:szCs w:val="24"/>
        </w:rPr>
        <w:t>GE has a holding period of approximately 109 days. This is excessive and damaging to the cash flow.</w:t>
      </w:r>
    </w:p>
    <w:p w14:paraId="4D79CFDF"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Similarly, </w:t>
      </w:r>
    </w:p>
    <w:p w14:paraId="55288EC7" w14:textId="77777777" w:rsidR="00AB21F8" w:rsidRPr="00E7418B" w:rsidRDefault="00AB21F8" w:rsidP="00E7418B">
      <w:pPr>
        <w:jc w:val="center"/>
        <w:rPr>
          <w:rFonts w:cs="Arial"/>
          <w:color w:val="000000" w:themeColor="text1"/>
          <w:szCs w:val="24"/>
          <w:lang w:eastAsia="en-GB"/>
        </w:rPr>
      </w:pPr>
      <w:r w:rsidRPr="00E7418B">
        <w:rPr>
          <w:rFonts w:cs="Arial"/>
          <w:b/>
          <w:color w:val="000000" w:themeColor="text1"/>
          <w:szCs w:val="24"/>
          <w:lang w:eastAsia="en-GB"/>
        </w:rPr>
        <w:t>Days Sales Outstanding</w:t>
      </w:r>
      <w:r w:rsidRPr="00E7418B">
        <w:rPr>
          <w:rFonts w:cs="Arial"/>
          <w:color w:val="000000" w:themeColor="text1"/>
          <w:szCs w:val="24"/>
          <w:lang w:eastAsia="en-GB"/>
        </w:rPr>
        <w:t xml:space="preserve"> = (Average Accounts Receivable ÷ Net Sales) × 365</w:t>
      </w:r>
    </w:p>
    <w:p w14:paraId="0FFA504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Average Accounts Receivable</w:t>
      </w:r>
    </w:p>
    <w:p w14:paraId="10E72B96"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(2023 Accounts Receivable + 2024 Accounts Receivable) ÷ 2</w:t>
      </w:r>
    </w:p>
    <w:p w14:paraId="0F7FC0E8"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(112,596 + 114,182) ÷ 2</w:t>
      </w:r>
    </w:p>
    <w:p w14:paraId="33184C97"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£113,389m</w:t>
      </w:r>
    </w:p>
    <w:p w14:paraId="463EFB32"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and Net Sales in 2024 is £394,879m. So, </w:t>
      </w:r>
    </w:p>
    <w:p w14:paraId="79378BC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Days Sales Outstanding = (113,389 ÷ 394,879) × 365</w:t>
      </w:r>
    </w:p>
    <w:p w14:paraId="62FAFAC2" w14:textId="77777777" w:rsidR="00AB21F8" w:rsidRPr="00E7418B" w:rsidRDefault="00AB21F8" w:rsidP="00E7418B">
      <w:pPr>
        <w:rPr>
          <w:rFonts w:cs="Arial"/>
          <w:color w:val="000000" w:themeColor="text1"/>
          <w:szCs w:val="24"/>
        </w:rPr>
      </w:pPr>
      <w:r w:rsidRPr="00E7418B">
        <w:rPr>
          <w:rFonts w:cs="Arial"/>
          <w:color w:val="000000" w:themeColor="text1"/>
          <w:szCs w:val="24"/>
          <w:lang w:eastAsia="en-GB"/>
        </w:rPr>
        <w:t>= 104.80 days</w:t>
      </w:r>
    </w:p>
    <w:p w14:paraId="5172C2A9" w14:textId="77777777" w:rsidR="00AB21F8" w:rsidRPr="00E7418B" w:rsidRDefault="00AB21F8" w:rsidP="00E7418B">
      <w:pPr>
        <w:rPr>
          <w:rFonts w:cs="Arial"/>
          <w:color w:val="000000" w:themeColor="text1"/>
          <w:szCs w:val="24"/>
        </w:rPr>
      </w:pPr>
      <w:r w:rsidRPr="00E7418B">
        <w:rPr>
          <w:rFonts w:cs="Arial"/>
          <w:color w:val="000000" w:themeColor="text1"/>
          <w:szCs w:val="24"/>
        </w:rPr>
        <w:t>GE gathers payment of customers within 105 days. This is very slow and harmful.</w:t>
      </w:r>
    </w:p>
    <w:p w14:paraId="3AA2B399"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Similarly, </w:t>
      </w:r>
    </w:p>
    <w:p w14:paraId="0ED0C522" w14:textId="77777777" w:rsidR="00AB21F8" w:rsidRPr="00E7418B" w:rsidRDefault="00AB21F8" w:rsidP="00E7418B">
      <w:pPr>
        <w:jc w:val="center"/>
        <w:rPr>
          <w:rFonts w:cs="Arial"/>
          <w:color w:val="000000" w:themeColor="text1"/>
          <w:szCs w:val="24"/>
          <w:lang w:eastAsia="en-GB"/>
        </w:rPr>
      </w:pPr>
      <w:r w:rsidRPr="00E7418B">
        <w:rPr>
          <w:rFonts w:cs="Arial"/>
          <w:b/>
          <w:color w:val="000000" w:themeColor="text1"/>
          <w:szCs w:val="24"/>
          <w:lang w:eastAsia="en-GB"/>
        </w:rPr>
        <w:t>Days Payables Outstanding</w:t>
      </w:r>
      <w:r w:rsidRPr="00E7418B">
        <w:rPr>
          <w:rFonts w:cs="Arial"/>
          <w:color w:val="000000" w:themeColor="text1"/>
          <w:szCs w:val="24"/>
          <w:lang w:eastAsia="en-GB"/>
        </w:rPr>
        <w:t xml:space="preserve"> = (Average Accounts Payable ÷ Cost of Sales) × 365</w:t>
      </w:r>
    </w:p>
    <w:p w14:paraId="7A2766F0"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Average Accounts Payable</w:t>
      </w:r>
    </w:p>
    <w:p w14:paraId="54A5113A"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(2023 Accounts Payable + 2024 Accounts Payable) ÷ 2</w:t>
      </w:r>
    </w:p>
    <w:p w14:paraId="5B92CAA4"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(57,033 + 72,031) ÷ 2</w:t>
      </w:r>
    </w:p>
    <w:p w14:paraId="2974D6FD"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=£64,532m</w:t>
      </w:r>
    </w:p>
    <w:p w14:paraId="0268607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and Cost of Sales in 2024 = 280,885. So, </w:t>
      </w:r>
    </w:p>
    <w:p w14:paraId="794A2DD7"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Days Payables Outstanding = (64,532 ÷ 280,885) × 365</w:t>
      </w:r>
    </w:p>
    <w:p w14:paraId="2DCD852C"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83.88 days</w:t>
      </w:r>
    </w:p>
    <w:p w14:paraId="407AC153" w14:textId="77777777" w:rsidR="00AB21F8" w:rsidRPr="00E7418B" w:rsidRDefault="00AB21F8" w:rsidP="00E7418B">
      <w:pPr>
        <w:rPr>
          <w:rFonts w:cs="Arial"/>
          <w:color w:val="000000" w:themeColor="text1"/>
          <w:szCs w:val="24"/>
        </w:rPr>
      </w:pPr>
      <w:r w:rsidRPr="00E7418B">
        <w:rPr>
          <w:rFonts w:cs="Arial"/>
          <w:color w:val="000000" w:themeColor="text1"/>
          <w:szCs w:val="24"/>
        </w:rPr>
        <w:t>GE is paying suppliers a period of 84 days. This relieves part but could have an impact on trust.</w:t>
      </w:r>
    </w:p>
    <w:p w14:paraId="40576CE9"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xml:space="preserve">Now, after putting value to the Cash Operating Cycle (COC) formula we find, </w:t>
      </w:r>
    </w:p>
    <w:p w14:paraId="74FA05BA" w14:textId="77777777" w:rsidR="00AB21F8" w:rsidRPr="00E7418B" w:rsidRDefault="00AB21F8" w:rsidP="00E7418B">
      <w:pPr>
        <w:rPr>
          <w:rFonts w:cs="Arial"/>
          <w:color w:val="000000" w:themeColor="text1"/>
          <w:szCs w:val="24"/>
          <w:lang w:eastAsia="en-GB"/>
        </w:rPr>
      </w:pPr>
      <w:r w:rsidRPr="00E7418B">
        <w:rPr>
          <w:rFonts w:cs="Arial"/>
          <w:b/>
          <w:color w:val="000000" w:themeColor="text1"/>
          <w:szCs w:val="24"/>
          <w:lang w:eastAsia="en-GB"/>
        </w:rPr>
        <w:t>Cash Operating Cycle (COC)</w:t>
      </w:r>
      <w:r w:rsidRPr="00E7418B">
        <w:rPr>
          <w:rFonts w:cs="Arial"/>
          <w:color w:val="000000" w:themeColor="text1"/>
          <w:szCs w:val="24"/>
          <w:lang w:eastAsia="en-GB"/>
        </w:rPr>
        <w:t>= 108.85 + 104.80 – 83.88</w:t>
      </w:r>
    </w:p>
    <w:p w14:paraId="36BA9DAB" w14:textId="77777777" w:rsidR="00AB21F8" w:rsidRPr="00E7418B" w:rsidRDefault="00AB21F8" w:rsidP="00E7418B">
      <w:pPr>
        <w:rPr>
          <w:rFonts w:cs="Arial"/>
          <w:color w:val="000000" w:themeColor="text1"/>
          <w:szCs w:val="24"/>
          <w:lang w:eastAsia="en-GB"/>
        </w:rPr>
      </w:pPr>
      <w:r w:rsidRPr="00E7418B">
        <w:rPr>
          <w:rFonts w:cs="Arial"/>
          <w:color w:val="000000" w:themeColor="text1"/>
          <w:szCs w:val="24"/>
          <w:lang w:eastAsia="en-GB"/>
        </w:rPr>
        <w:t>= 129.77 days</w:t>
      </w:r>
    </w:p>
    <w:p w14:paraId="303F6E95" w14:textId="77777777" w:rsidR="00AB21F8" w:rsidRPr="00E7418B" w:rsidRDefault="00AB21F8" w:rsidP="00E7418B">
      <w:pPr>
        <w:rPr>
          <w:rFonts w:cs="Arial"/>
          <w:color w:val="000000" w:themeColor="text1"/>
          <w:szCs w:val="24"/>
        </w:rPr>
      </w:pPr>
      <w:r w:rsidRPr="00E7418B">
        <w:rPr>
          <w:rFonts w:cs="Arial"/>
          <w:color w:val="000000" w:themeColor="text1"/>
          <w:szCs w:val="24"/>
        </w:rPr>
        <w:t>Upon considering the cash operating cycle, we see that, Upto four months' cash is unavailable. GE holds stock for about 109 days. It is held in stock and in unpaid customer bills. A 130-day cycle is very inefficient. It demonstrates inefficiency in the working capital control. Companies that are well run schedule cycles of less than 60 days (Carmona et al., 2023). It is a long cycle that gives continuous cash strains. To plug this colossal cash shortfall, GE takes short-term loans.</w:t>
      </w:r>
    </w:p>
    <w:p w14:paraId="0C820C38" w14:textId="77777777" w:rsidR="00AB21F8" w:rsidRPr="00E7418B" w:rsidRDefault="00AB21F8" w:rsidP="00E7418B">
      <w:pPr>
        <w:pStyle w:val="Heading2"/>
        <w:rPr>
          <w:rFonts w:ascii="Arial" w:hAnsi="Arial" w:cs="Arial"/>
          <w:b/>
          <w:bCs/>
          <w:color w:val="000000" w:themeColor="text1"/>
          <w:sz w:val="24"/>
          <w:szCs w:val="24"/>
        </w:rPr>
      </w:pPr>
      <w:bookmarkStart w:id="12" w:name="_Toc217162970"/>
      <w:r w:rsidRPr="00E7418B">
        <w:rPr>
          <w:rFonts w:ascii="Arial" w:eastAsia="Times New Roman" w:hAnsi="Arial" w:cs="Arial"/>
          <w:b/>
          <w:bCs/>
          <w:color w:val="000000" w:themeColor="text1"/>
          <w:sz w:val="24"/>
          <w:szCs w:val="24"/>
          <w:lang w:eastAsia="en-GB"/>
        </w:rPr>
        <w:t>Diagnosis of Working Capital Problems and Recommendations</w:t>
      </w:r>
      <w:bookmarkEnd w:id="12"/>
    </w:p>
    <w:p w14:paraId="741B7BC2" w14:textId="77777777" w:rsidR="00AB21F8" w:rsidRPr="00E7418B" w:rsidRDefault="00AB21F8" w:rsidP="00E7418B">
      <w:pPr>
        <w:rPr>
          <w:rFonts w:cs="Arial"/>
          <w:color w:val="000000" w:themeColor="text1"/>
          <w:szCs w:val="24"/>
        </w:rPr>
      </w:pPr>
      <w:r w:rsidRPr="00E7418B">
        <w:rPr>
          <w:rFonts w:cs="Arial"/>
          <w:color w:val="000000" w:themeColor="text1"/>
          <w:szCs w:val="24"/>
        </w:rPr>
        <w:t>The long cash cycle of GE is harmful to liquidity. The major problems are inventory and receivables. Ineffective management of working capital enhances credit reliance (Ahmad, Bashir &amp; Waqas, 2022). Also, it compels GE to borrow more. The successful reforms will liberate cash, decrease interest payments and offer GE a base for the larger turnaround.</w:t>
      </w:r>
    </w:p>
    <w:p w14:paraId="5D67C340" w14:textId="77777777" w:rsidR="00AB21F8" w:rsidRPr="00E7418B" w:rsidRDefault="00AB21F8" w:rsidP="00E7418B">
      <w:pPr>
        <w:rPr>
          <w:rFonts w:cs="Arial"/>
          <w:b/>
          <w:color w:val="000000" w:themeColor="text1"/>
          <w:szCs w:val="24"/>
          <w:lang w:eastAsia="en-GB"/>
        </w:rPr>
      </w:pPr>
      <w:r w:rsidRPr="00E7418B">
        <w:rPr>
          <w:rFonts w:cs="Arial"/>
          <w:b/>
          <w:color w:val="000000" w:themeColor="text1"/>
          <w:szCs w:val="24"/>
          <w:lang w:eastAsia="en-GB"/>
        </w:rPr>
        <w:t>A. Inventory Management Problems and Recommendations</w:t>
      </w:r>
    </w:p>
    <w:p w14:paraId="70BA5F2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GE maintains a long duration of inventory. Inventory increased to </w:t>
      </w:r>
      <w:r w:rsidRPr="00E7418B">
        <w:rPr>
          <w:rFonts w:cs="Arial"/>
          <w:color w:val="000000" w:themeColor="text1"/>
          <w:szCs w:val="24"/>
          <w:lang w:eastAsia="en-GB"/>
        </w:rPr>
        <w:t>£</w:t>
      </w:r>
      <w:r w:rsidRPr="00E7418B">
        <w:rPr>
          <w:rFonts w:cs="Arial"/>
          <w:color w:val="000000" w:themeColor="text1"/>
          <w:szCs w:val="24"/>
        </w:rPr>
        <w:t xml:space="preserve">140million in 2022. Overstocking is indicated by slow turnover. Uncontrolled inventory levels will lower working capital and liquidity levels. The inventory holding period of 109 days is too high. </w:t>
      </w:r>
    </w:p>
    <w:p w14:paraId="38E1C432" w14:textId="77777777" w:rsidR="00AB21F8" w:rsidRDefault="00AB21F8" w:rsidP="00E7418B">
      <w:pPr>
        <w:rPr>
          <w:rFonts w:cs="Arial"/>
          <w:color w:val="000000" w:themeColor="text1"/>
          <w:szCs w:val="24"/>
        </w:rPr>
      </w:pPr>
      <w:r w:rsidRPr="00E7418B">
        <w:rPr>
          <w:rFonts w:cs="Arial"/>
          <w:color w:val="000000" w:themeColor="text1"/>
          <w:szCs w:val="24"/>
        </w:rPr>
        <w:t>GE ought to minimise stocks in order to enhance inventory performance. GE has to apply Just-in-Time (JIT). This will minimise large inventory levels. They need to apply data analytics to demand prediction.</w:t>
      </w:r>
    </w:p>
    <w:p w14:paraId="502B8B9D" w14:textId="77777777" w:rsidR="00264AC2" w:rsidRDefault="00264AC2" w:rsidP="00E7418B">
      <w:pPr>
        <w:rPr>
          <w:rFonts w:cs="Arial"/>
          <w:color w:val="000000" w:themeColor="text1"/>
          <w:szCs w:val="24"/>
        </w:rPr>
      </w:pPr>
    </w:p>
    <w:p w14:paraId="4DA5A2A6" w14:textId="77777777" w:rsidR="002B431B" w:rsidRPr="00E7418B" w:rsidRDefault="002B431B" w:rsidP="00E7418B">
      <w:pPr>
        <w:rPr>
          <w:rFonts w:cs="Arial"/>
          <w:color w:val="000000" w:themeColor="text1"/>
          <w:szCs w:val="24"/>
        </w:rPr>
      </w:pPr>
    </w:p>
    <w:p w14:paraId="48308842" w14:textId="77777777" w:rsidR="00AB21F8" w:rsidRPr="00E7418B" w:rsidRDefault="00AB21F8" w:rsidP="00E7418B">
      <w:pPr>
        <w:rPr>
          <w:rFonts w:cs="Arial"/>
          <w:b/>
          <w:color w:val="000000" w:themeColor="text1"/>
          <w:szCs w:val="24"/>
          <w:lang w:eastAsia="en-GB"/>
        </w:rPr>
      </w:pPr>
      <w:r w:rsidRPr="00E7418B">
        <w:rPr>
          <w:rFonts w:cs="Arial"/>
          <w:b/>
          <w:color w:val="000000" w:themeColor="text1"/>
          <w:szCs w:val="24"/>
          <w:lang w:eastAsia="en-GB"/>
        </w:rPr>
        <w:t>B. Receivables Management Problems and Recommendations</w:t>
      </w:r>
    </w:p>
    <w:p w14:paraId="08E81A81" w14:textId="77777777" w:rsidR="00AB21F8" w:rsidRPr="00E7418B" w:rsidRDefault="00AB21F8" w:rsidP="00E7418B">
      <w:pPr>
        <w:rPr>
          <w:rFonts w:cs="Arial"/>
          <w:color w:val="000000" w:themeColor="text1"/>
          <w:szCs w:val="24"/>
        </w:rPr>
      </w:pPr>
      <w:r w:rsidRPr="00E7418B">
        <w:rPr>
          <w:rFonts w:cs="Arial"/>
          <w:color w:val="000000" w:themeColor="text1"/>
          <w:szCs w:val="24"/>
          <w:lang w:eastAsia="en-GB"/>
        </w:rPr>
        <w:t>Days Sales Outstanding</w:t>
      </w:r>
      <w:r w:rsidRPr="00E7418B">
        <w:rPr>
          <w:rFonts w:cs="Arial"/>
          <w:color w:val="000000" w:themeColor="text1"/>
          <w:szCs w:val="24"/>
        </w:rPr>
        <w:t xml:space="preserve"> is extremely high at 111 days. Waiting for customers is too long. It exposes itself to bad debt and suffocation of cash flow. At the low point of sales, receivables are still high. Weak enforcement increases the bad debt risk.</w:t>
      </w:r>
    </w:p>
    <w:p w14:paraId="4B4D8820" w14:textId="77777777" w:rsidR="00AB21F8" w:rsidRPr="00E7418B" w:rsidRDefault="00AB21F8" w:rsidP="00E7418B">
      <w:pPr>
        <w:rPr>
          <w:rFonts w:cs="Arial"/>
          <w:color w:val="000000" w:themeColor="text1"/>
          <w:szCs w:val="24"/>
        </w:rPr>
      </w:pPr>
      <w:r w:rsidRPr="00E7418B">
        <w:rPr>
          <w:rFonts w:cs="Arial"/>
          <w:color w:val="000000" w:themeColor="text1"/>
          <w:szCs w:val="24"/>
        </w:rPr>
        <w:t>GE should enhance its credit policy in order to improve its receivables. They need to provide a little discount so that they can take early payments and do more follow-up of the outstanding payments. GE is also able to shorten credit periods gradually. These measures will enhance liquidity and fewer Days Sales Outstanding.</w:t>
      </w:r>
    </w:p>
    <w:p w14:paraId="786C157A" w14:textId="77777777" w:rsidR="00AB21F8" w:rsidRPr="00E7418B" w:rsidRDefault="00AB21F8" w:rsidP="00E7418B">
      <w:pPr>
        <w:rPr>
          <w:rFonts w:cs="Arial"/>
          <w:b/>
          <w:color w:val="000000" w:themeColor="text1"/>
          <w:szCs w:val="24"/>
        </w:rPr>
      </w:pPr>
      <w:r w:rsidRPr="00E7418B">
        <w:rPr>
          <w:rFonts w:cs="Arial"/>
          <w:b/>
          <w:color w:val="000000" w:themeColor="text1"/>
          <w:szCs w:val="24"/>
          <w:lang w:eastAsia="en-GB"/>
        </w:rPr>
        <w:t>C. Payables Management Problems and Recommendations</w:t>
      </w:r>
    </w:p>
    <w:p w14:paraId="6580F210" w14:textId="77777777" w:rsidR="00AB21F8" w:rsidRPr="00E7418B" w:rsidRDefault="00AB21F8" w:rsidP="00E7418B">
      <w:pPr>
        <w:rPr>
          <w:rFonts w:cs="Arial"/>
          <w:color w:val="000000" w:themeColor="text1"/>
          <w:szCs w:val="24"/>
        </w:rPr>
      </w:pPr>
      <w:r w:rsidRPr="00E7418B">
        <w:rPr>
          <w:rFonts w:cs="Arial"/>
          <w:color w:val="000000" w:themeColor="text1"/>
          <w:szCs w:val="24"/>
        </w:rPr>
        <w:t>The payment period of 84 days is quite minimal. This offers some support. In the previous years, however, GE usually paid suppliers too quickly. This augmented cash pressure when there was a loss in finances. It implies low bargaining power.</w:t>
      </w:r>
    </w:p>
    <w:p w14:paraId="1ED33CB0" w14:textId="77777777" w:rsidR="00AB21F8" w:rsidRPr="00E7418B" w:rsidRDefault="00AB21F8" w:rsidP="00E7418B">
      <w:pPr>
        <w:rPr>
          <w:rFonts w:cs="Arial"/>
          <w:color w:val="000000" w:themeColor="text1"/>
          <w:szCs w:val="24"/>
        </w:rPr>
      </w:pPr>
      <w:r w:rsidRPr="00E7418B">
        <w:rPr>
          <w:rFonts w:cs="Arial"/>
          <w:color w:val="000000" w:themeColor="text1"/>
          <w:szCs w:val="24"/>
        </w:rPr>
        <w:t>GE can also enhance the payables through the negotiation of extended payment terms. They are only able to participate in supplier financing schemes as well as dynamic discounting when money is good. The suppliers can be partnered with to offer more favourable terms. This will bring in a balance between cash economy and cash outlays.</w:t>
      </w:r>
    </w:p>
    <w:p w14:paraId="28CBDC7E" w14:textId="77777777" w:rsidR="00AB21F8" w:rsidRPr="00E7418B" w:rsidRDefault="00AB21F8" w:rsidP="00E7418B">
      <w:pPr>
        <w:rPr>
          <w:rFonts w:cs="Arial"/>
          <w:b/>
          <w:color w:val="000000" w:themeColor="text1"/>
          <w:szCs w:val="24"/>
        </w:rPr>
      </w:pPr>
      <w:r w:rsidRPr="00E7418B">
        <w:rPr>
          <w:rFonts w:cs="Arial"/>
          <w:b/>
          <w:color w:val="000000" w:themeColor="text1"/>
          <w:szCs w:val="24"/>
        </w:rPr>
        <w:t>D. Cash Management Problems and Recommendations</w:t>
      </w:r>
    </w:p>
    <w:p w14:paraId="2FD69C3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Cash dropped to </w:t>
      </w:r>
      <w:r w:rsidRPr="00E7418B">
        <w:rPr>
          <w:rFonts w:cs="Arial"/>
          <w:color w:val="000000" w:themeColor="text1"/>
          <w:szCs w:val="24"/>
          <w:lang w:eastAsia="en-GB"/>
        </w:rPr>
        <w:t>£</w:t>
      </w:r>
      <w:r w:rsidRPr="00E7418B">
        <w:rPr>
          <w:rFonts w:cs="Arial"/>
          <w:color w:val="000000" w:themeColor="text1"/>
          <w:szCs w:val="24"/>
        </w:rPr>
        <w:t xml:space="preserve">26 million compared to </w:t>
      </w:r>
      <w:r w:rsidRPr="00E7418B">
        <w:rPr>
          <w:rFonts w:cs="Arial"/>
          <w:color w:val="000000" w:themeColor="text1"/>
          <w:szCs w:val="24"/>
          <w:lang w:eastAsia="en-GB"/>
        </w:rPr>
        <w:t>£</w:t>
      </w:r>
      <w:r w:rsidRPr="00E7418B">
        <w:rPr>
          <w:rFonts w:cs="Arial"/>
          <w:color w:val="000000" w:themeColor="text1"/>
          <w:szCs w:val="24"/>
        </w:rPr>
        <w:t>57 million. GE relies on short-term credit extensions to a large extent. Cash flow operations have reduced drastically. This indicates poor cash planning, as well as a lack of a cash buffer.</w:t>
      </w:r>
    </w:p>
    <w:p w14:paraId="5734175D" w14:textId="77777777" w:rsidR="00AB21F8" w:rsidRPr="00E7418B" w:rsidRDefault="00AB21F8" w:rsidP="00E7418B">
      <w:pPr>
        <w:rPr>
          <w:rFonts w:cs="Arial"/>
          <w:color w:val="000000" w:themeColor="text1"/>
          <w:szCs w:val="24"/>
        </w:rPr>
      </w:pPr>
      <w:r w:rsidRPr="00E7418B">
        <w:rPr>
          <w:rFonts w:cs="Arial"/>
          <w:color w:val="000000" w:themeColor="text1"/>
          <w:szCs w:val="24"/>
        </w:rPr>
        <w:t>GE would require cash flow forecasting on a weekly basis. Liquidity will be safeguarded by a minimum cash balance. It will require that they reduce unwarranted expenditure and eliminate stock buybacks. Increased stability will be supported by higher cash planning within the teams.</w:t>
      </w:r>
    </w:p>
    <w:p w14:paraId="047130C4" w14:textId="77777777" w:rsidR="00AB21F8" w:rsidRPr="00E7418B" w:rsidRDefault="00AB21F8" w:rsidP="00E7418B">
      <w:pPr>
        <w:rPr>
          <w:rFonts w:cs="Arial"/>
          <w:b/>
          <w:color w:val="000000" w:themeColor="text1"/>
          <w:szCs w:val="24"/>
          <w:lang w:eastAsia="en-GB"/>
        </w:rPr>
      </w:pPr>
      <w:r w:rsidRPr="00E7418B">
        <w:rPr>
          <w:rFonts w:cs="Arial"/>
          <w:b/>
          <w:color w:val="000000" w:themeColor="text1"/>
          <w:szCs w:val="24"/>
          <w:lang w:eastAsia="en-GB"/>
        </w:rPr>
        <w:t>E. Working Capital Structure Problems and Recommendations</w:t>
      </w:r>
    </w:p>
    <w:p w14:paraId="05688ADA" w14:textId="77777777" w:rsidR="00AB21F8" w:rsidRPr="00E7418B" w:rsidRDefault="00AB21F8" w:rsidP="00E7418B">
      <w:pPr>
        <w:rPr>
          <w:rFonts w:cs="Arial"/>
          <w:color w:val="000000" w:themeColor="text1"/>
          <w:szCs w:val="24"/>
        </w:rPr>
      </w:pPr>
      <w:r w:rsidRPr="00E7418B">
        <w:rPr>
          <w:rFonts w:cs="Arial"/>
          <w:color w:val="000000" w:themeColor="text1"/>
          <w:szCs w:val="24"/>
        </w:rPr>
        <w:t>The fundamental issue is the 130-day cash cycle. This is very long and harmful. It compels it to rely on foreign loans. The company uses credit lines to make ends meet. Poor short-term safety has been indicated in terms of liquidity ratios. It should also ensure that working capital controls are enhanced.</w:t>
      </w:r>
    </w:p>
    <w:p w14:paraId="16A370CA" w14:textId="77777777" w:rsidR="00AB21F8" w:rsidRPr="00E7418B" w:rsidRDefault="00AB21F8" w:rsidP="00E7418B">
      <w:pPr>
        <w:rPr>
          <w:rFonts w:cs="Arial"/>
          <w:color w:val="000000" w:themeColor="text1"/>
          <w:szCs w:val="24"/>
        </w:rPr>
      </w:pPr>
      <w:r w:rsidRPr="00E7418B">
        <w:rPr>
          <w:rFonts w:cs="Arial"/>
          <w:color w:val="000000" w:themeColor="text1"/>
          <w:szCs w:val="24"/>
        </w:rPr>
        <w:t>COC must be reduced. They should establish a goal of lowering the cash cycle to 90 days. This is possible through lowering Days Inventory Held and Days Sales Outstanding. Credit provisions to customers and suppliers need to be checked.</w:t>
      </w:r>
    </w:p>
    <w:p w14:paraId="172AB393" w14:textId="77777777" w:rsidR="00AB21F8" w:rsidRPr="00E7418B" w:rsidRDefault="00AB21F8" w:rsidP="00E7418B">
      <w:pPr>
        <w:pStyle w:val="Heading2"/>
        <w:rPr>
          <w:rFonts w:ascii="Arial" w:eastAsia="Times New Roman" w:hAnsi="Arial" w:cs="Arial"/>
          <w:b/>
          <w:bCs/>
          <w:color w:val="000000" w:themeColor="text1"/>
          <w:sz w:val="24"/>
          <w:szCs w:val="24"/>
          <w:lang w:eastAsia="en-GB"/>
        </w:rPr>
      </w:pPr>
      <w:bookmarkStart w:id="13" w:name="_Toc217162971"/>
      <w:r w:rsidRPr="00E7418B">
        <w:rPr>
          <w:rFonts w:ascii="Arial" w:eastAsia="Times New Roman" w:hAnsi="Arial" w:cs="Arial"/>
          <w:b/>
          <w:bCs/>
          <w:color w:val="000000" w:themeColor="text1"/>
          <w:sz w:val="24"/>
          <w:szCs w:val="24"/>
          <w:lang w:eastAsia="en-GB"/>
        </w:rPr>
        <w:t>Comparison of Short-Term and Long-Term Financing Options</w:t>
      </w:r>
      <w:bookmarkEnd w:id="13"/>
    </w:p>
    <w:p w14:paraId="5C37DF19" w14:textId="77777777" w:rsidR="00AB21F8" w:rsidRPr="00E7418B" w:rsidRDefault="00AB21F8" w:rsidP="00E7418B">
      <w:pPr>
        <w:rPr>
          <w:rFonts w:cs="Arial"/>
          <w:color w:val="000000" w:themeColor="text1"/>
          <w:szCs w:val="24"/>
        </w:rPr>
      </w:pPr>
      <w:r w:rsidRPr="00E7418B">
        <w:rPr>
          <w:rFonts w:cs="Arial"/>
          <w:color w:val="000000" w:themeColor="text1"/>
          <w:szCs w:val="24"/>
        </w:rPr>
        <w:t>GE needs to select sources of financing that facilitate liquidity and minimise risk. Short-term ones take care of short-term cash requirements. The overdrafts, trade credit, and short-term bank loans are also used in GE. Fast loans are offered through overdrafts. Quick capital comes in as short-term loans. They must be renewed often. This enhances refinancing risk. Nonetheless, the short-term debts expose them to the risk of refinancing in case they are not renewed by creditors. GE has to reissue these loans on an ongoing basis. One can withdraw overdrafts anytime. This creates liquidity risk. Long-term deals are more stable. It enhances liquidity ratios and lowers the refinancing risk. Such alternatives make the process of refinancing less intense due to the distribution of repayments. They are generally very expensive. It waters down the current stockholders. Since GE has a negative interest coverage and increasing leverage, solutions required in the long term are necessary.</w:t>
      </w:r>
    </w:p>
    <w:p w14:paraId="72E334E4" w14:textId="7BA7B138" w:rsidR="00AB21F8" w:rsidRPr="00E7418B" w:rsidRDefault="00AB21F8" w:rsidP="00E7418B">
      <w:pPr>
        <w:rPr>
          <w:rFonts w:cs="Arial"/>
          <w:color w:val="000000" w:themeColor="text1"/>
          <w:szCs w:val="24"/>
        </w:rPr>
      </w:pPr>
      <w:r w:rsidRPr="00E7418B">
        <w:rPr>
          <w:rFonts w:cs="Arial"/>
          <w:color w:val="000000" w:themeColor="text1"/>
          <w:szCs w:val="24"/>
        </w:rPr>
        <w:t xml:space="preserve">The financial risk of GE is high based on weakened ratios. The recovery is the quick ratio. The ratios become worse in short-term borrowing. Use of short-term credit becomes heavy, making refinancing risky. GE must reduce this risk. GE must get structural liquidity solutions. Long-term funding should be the priority. Nevertheless, it would do nothing to correct the structural issues of GE. The dwindling profits and the long cash cycle are something that needs long-term and stable solutions. They should augment the long-term loans and bonds to enhance the reliability of cash flow. </w:t>
      </w:r>
    </w:p>
    <w:p w14:paraId="1170FC14" w14:textId="77777777" w:rsidR="00AB21F8" w:rsidRPr="00E7418B" w:rsidRDefault="00AB21F8" w:rsidP="00E7418B">
      <w:pPr>
        <w:pStyle w:val="Heading1"/>
        <w:rPr>
          <w:rFonts w:ascii="Arial" w:hAnsi="Arial" w:cs="Arial"/>
          <w:b/>
          <w:bCs/>
          <w:color w:val="000000" w:themeColor="text1"/>
          <w:sz w:val="24"/>
          <w:szCs w:val="24"/>
        </w:rPr>
      </w:pPr>
      <w:bookmarkStart w:id="14" w:name="_Toc217162972"/>
      <w:r w:rsidRPr="00E7418B">
        <w:rPr>
          <w:rFonts w:ascii="Arial" w:hAnsi="Arial" w:cs="Arial"/>
          <w:b/>
          <w:bCs/>
          <w:color w:val="000000" w:themeColor="text1"/>
          <w:sz w:val="24"/>
          <w:szCs w:val="24"/>
        </w:rPr>
        <w:t>Strategic Financial Restructuring Plan</w:t>
      </w:r>
      <w:bookmarkEnd w:id="14"/>
    </w:p>
    <w:p w14:paraId="3683384C"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GE is under great financial pressure. The losses are still on the increase, liquidity is poor, and leverage is increasing. Its capital structure is excessive. The debt-to-equity ratio is 1.11. It will require a restructuring approach to the company so as to recover the stability and reestablish performance. There is an increasing risk in the solvency ratios. Cash flow is unstable. The cash cycle is long. The ratios of GE indicate evident financial deterioration. Its business is consistently non-profitable. Business ventures consume money and thereafter interest. The company is relying on short-term credit to conduct its operations. Equity has fallen. Such circumstances require a powerful operational strategy. GE can continue to incur more losses or even collapse without significant transformation. GE needs a combined strategy. They have to sell off non-core assets and raise cash. Reorganise debt in order to minimise risks and increase equity in order to recover solvency. </w:t>
      </w:r>
    </w:p>
    <w:p w14:paraId="63139BD1" w14:textId="77777777" w:rsidR="00AB21F8" w:rsidRPr="00E7418B" w:rsidRDefault="00AB21F8" w:rsidP="00E7418B">
      <w:pPr>
        <w:pStyle w:val="Heading2"/>
        <w:rPr>
          <w:rFonts w:ascii="Arial" w:hAnsi="Arial" w:cs="Arial"/>
          <w:b/>
          <w:bCs/>
          <w:color w:val="000000" w:themeColor="text1"/>
          <w:sz w:val="24"/>
          <w:szCs w:val="24"/>
        </w:rPr>
      </w:pPr>
      <w:bookmarkStart w:id="15" w:name="_Toc217162973"/>
      <w:r w:rsidRPr="00E7418B">
        <w:rPr>
          <w:rFonts w:ascii="Arial" w:hAnsi="Arial" w:cs="Arial"/>
          <w:b/>
          <w:bCs/>
          <w:color w:val="000000" w:themeColor="text1"/>
          <w:sz w:val="24"/>
          <w:szCs w:val="24"/>
        </w:rPr>
        <w:t>Restructuring Options</w:t>
      </w:r>
      <w:bookmarkEnd w:id="15"/>
      <w:r w:rsidRPr="00E7418B">
        <w:rPr>
          <w:rFonts w:ascii="Arial" w:hAnsi="Arial" w:cs="Arial"/>
          <w:b/>
          <w:bCs/>
          <w:color w:val="000000" w:themeColor="text1"/>
          <w:sz w:val="24"/>
          <w:szCs w:val="24"/>
        </w:rPr>
        <w:t xml:space="preserve"> </w:t>
      </w:r>
    </w:p>
    <w:p w14:paraId="024D8376" w14:textId="77777777" w:rsidR="00AB21F8" w:rsidRPr="00E7418B" w:rsidRDefault="00AB21F8" w:rsidP="00E7418B">
      <w:pPr>
        <w:pStyle w:val="Heading3"/>
        <w:rPr>
          <w:rFonts w:ascii="Arial" w:hAnsi="Arial" w:cs="Arial"/>
          <w:b/>
          <w:bCs/>
          <w:color w:val="000000" w:themeColor="text1"/>
        </w:rPr>
      </w:pPr>
      <w:bookmarkStart w:id="16" w:name="_Toc217162974"/>
      <w:r w:rsidRPr="00E7418B">
        <w:rPr>
          <w:rFonts w:ascii="Arial" w:hAnsi="Arial" w:cs="Arial"/>
          <w:b/>
          <w:bCs/>
          <w:color w:val="000000" w:themeColor="text1"/>
        </w:rPr>
        <w:t>Divestiture of Non-Core Assets</w:t>
      </w:r>
      <w:bookmarkEnd w:id="16"/>
    </w:p>
    <w:p w14:paraId="72B8F3DF"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Divestiture refers to the process of disposing non non-core business units or assets. GE needs to dispose of non-core business departments. This can generate quick cash. GE ought to pursue the people who have low turnover of assets. This may entail legacy hardware departments. There are product lines that provide low margins at GE. It should concentrate only on divisions that are profitable. There are also markets where GE is experiencing poor demand. Elimination of weak units enhances the focus of operations. Return on assets can also be enhanced by means of the sale of assets. This cash can settle up costly short-term debt. It minimises complexity to a great extent. GE has the capacity to concentrate its management. </w:t>
      </w:r>
    </w:p>
    <w:p w14:paraId="3C70A016"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Divestiture could result in an increase in shareholder value. It eliminates a burden on the total company value. Another implication of divestiture is on the debt structure. This reduces the gearing ratio considerably. The interest coverage ratio will be enhanced. This decreases refinancing risk. It minimises interest payments as well. Selling lucrative units can however lower the future income. </w:t>
      </w:r>
    </w:p>
    <w:p w14:paraId="47BA2FF4" w14:textId="77777777" w:rsidR="00AB21F8" w:rsidRPr="00E7418B" w:rsidRDefault="00AB21F8" w:rsidP="00E7418B">
      <w:pPr>
        <w:pStyle w:val="Heading3"/>
        <w:rPr>
          <w:rFonts w:ascii="Arial" w:hAnsi="Arial" w:cs="Arial"/>
          <w:b/>
          <w:bCs/>
          <w:noProof w:val="0"/>
          <w:color w:val="000000" w:themeColor="text1"/>
        </w:rPr>
      </w:pPr>
      <w:bookmarkStart w:id="17" w:name="_Toc217162975"/>
      <w:r w:rsidRPr="00E7418B">
        <w:rPr>
          <w:rFonts w:ascii="Arial" w:hAnsi="Arial" w:cs="Arial"/>
          <w:b/>
          <w:bCs/>
          <w:color w:val="000000" w:themeColor="text1"/>
        </w:rPr>
        <w:t>Debt Restructuring &amp; Equity Injection</w:t>
      </w:r>
      <w:bookmarkEnd w:id="17"/>
    </w:p>
    <w:p w14:paraId="4CCE73D0" w14:textId="43927744" w:rsidR="00AB21F8" w:rsidRPr="00E7418B" w:rsidRDefault="00AB21F8" w:rsidP="00E7418B">
      <w:pPr>
        <w:rPr>
          <w:rFonts w:cs="Arial"/>
          <w:color w:val="000000" w:themeColor="text1"/>
          <w:szCs w:val="24"/>
        </w:rPr>
      </w:pPr>
      <w:r w:rsidRPr="00E7418B">
        <w:rPr>
          <w:rFonts w:cs="Arial"/>
          <w:color w:val="000000" w:themeColor="text1"/>
          <w:szCs w:val="24"/>
        </w:rPr>
        <w:t xml:space="preserve">Debt restructuring </w:t>
      </w:r>
      <w:r w:rsidR="00F640FB">
        <w:rPr>
          <w:rFonts w:cs="Arial"/>
          <w:color w:val="000000" w:themeColor="text1"/>
          <w:szCs w:val="24"/>
        </w:rPr>
        <w:t>denotes</w:t>
      </w:r>
      <w:r w:rsidRPr="00E7418B">
        <w:rPr>
          <w:rFonts w:cs="Arial"/>
          <w:color w:val="000000" w:themeColor="text1"/>
          <w:szCs w:val="24"/>
        </w:rPr>
        <w:t xml:space="preserve"> transformation of loan conditions. Equity injection </w:t>
      </w:r>
      <w:r w:rsidR="00F640FB">
        <w:rPr>
          <w:rFonts w:cs="Arial"/>
          <w:color w:val="000000" w:themeColor="text1"/>
          <w:szCs w:val="24"/>
        </w:rPr>
        <w:t>indicates</w:t>
      </w:r>
      <w:r w:rsidRPr="00E7418B">
        <w:rPr>
          <w:rFonts w:cs="Arial"/>
          <w:color w:val="000000" w:themeColor="text1"/>
          <w:szCs w:val="24"/>
        </w:rPr>
        <w:t xml:space="preserve"> to the raising of new capital by the shareholders or the investors (Li et al., 2023). Debt restructuring may be done either with longer maturities, or with lower rates, or with refinancing. First, GE will be advised to refinance the short-term credit lines on a long-term loan. Short-term borrowing that is refinanced to long-term will lower the risk. GE has now significantly declined in equity. There is a need to have a stronger equity base. Secondly, they should issue rights to current shareholders. Reduced interest facilitates the flow of cash. This strikes the capital structure issue to the core. It enhances economic prosperity. Investment can also be supported with the help of equity, devoid of debt. Debt restructuring can also lead to credit ratings in the long run. It lowers short-term repayment stress significantly.</w:t>
      </w:r>
    </w:p>
    <w:p w14:paraId="273DDA0A" w14:textId="73203E62" w:rsidR="00AB21F8" w:rsidRPr="00E7418B" w:rsidRDefault="00AB21F8" w:rsidP="00E7418B">
      <w:pPr>
        <w:rPr>
          <w:rFonts w:cs="Arial"/>
          <w:color w:val="000000" w:themeColor="text1"/>
          <w:szCs w:val="24"/>
        </w:rPr>
      </w:pPr>
      <w:r w:rsidRPr="00E7418B">
        <w:rPr>
          <w:rFonts w:cs="Arial"/>
          <w:color w:val="000000" w:themeColor="text1"/>
          <w:szCs w:val="24"/>
        </w:rPr>
        <w:t xml:space="preserve">Reduced cost of interest augments future profit. This aids in the recovery of the share price. The immediate dilution among the shareholders at GE is a result of new shares. The profits per share will reduce </w:t>
      </w:r>
      <w:r w:rsidR="004461C8">
        <w:rPr>
          <w:rFonts w:cs="Arial"/>
          <w:color w:val="000000" w:themeColor="text1"/>
          <w:szCs w:val="24"/>
        </w:rPr>
        <w:t>over the short run.On the other hand</w:t>
      </w:r>
      <w:r w:rsidRPr="00E7418B">
        <w:rPr>
          <w:rFonts w:cs="Arial"/>
          <w:color w:val="000000" w:themeColor="text1"/>
          <w:szCs w:val="24"/>
        </w:rPr>
        <w:t xml:space="preserve">, saving the company establishes a </w:t>
      </w:r>
      <w:r w:rsidR="004461C8">
        <w:rPr>
          <w:rFonts w:cs="Arial"/>
          <w:color w:val="000000" w:themeColor="text1"/>
          <w:szCs w:val="24"/>
        </w:rPr>
        <w:t>over the long run</w:t>
      </w:r>
      <w:r w:rsidRPr="00E7418B">
        <w:rPr>
          <w:rFonts w:cs="Arial"/>
          <w:color w:val="000000" w:themeColor="text1"/>
          <w:szCs w:val="24"/>
        </w:rPr>
        <w:t xml:space="preserve"> value. Greater equity provides GE with the capacity to invest. Long-term planning is facilitated by stable funding. The management will be able to concentrate on turnaround and not on monthly refinancing. Nonetheless, certain restructuring might raise long-term expenditure. Boosting equity in bankruptcy will reduce share value.</w:t>
      </w:r>
    </w:p>
    <w:p w14:paraId="0AE2858E" w14:textId="77777777" w:rsidR="00AB21F8" w:rsidRPr="00E7418B" w:rsidRDefault="00AB21F8" w:rsidP="00E7418B">
      <w:pPr>
        <w:pStyle w:val="Heading3"/>
        <w:rPr>
          <w:rFonts w:ascii="Arial" w:hAnsi="Arial" w:cs="Arial"/>
          <w:b/>
          <w:bCs/>
          <w:color w:val="000000" w:themeColor="text1"/>
        </w:rPr>
      </w:pPr>
      <w:bookmarkStart w:id="18" w:name="_Toc217162976"/>
      <w:r w:rsidRPr="00E7418B">
        <w:rPr>
          <w:rFonts w:ascii="Arial" w:hAnsi="Arial" w:cs="Arial"/>
          <w:b/>
          <w:bCs/>
          <w:color w:val="000000" w:themeColor="text1"/>
        </w:rPr>
        <w:t>Operational Restructuring</w:t>
      </w:r>
      <w:bookmarkEnd w:id="18"/>
    </w:p>
    <w:p w14:paraId="2F2A5CD9" w14:textId="77777777" w:rsidR="00AB21F8" w:rsidRPr="00E7418B" w:rsidRDefault="00AB21F8" w:rsidP="00E7418B">
      <w:pPr>
        <w:rPr>
          <w:rFonts w:cs="Arial"/>
          <w:color w:val="000000" w:themeColor="text1"/>
          <w:szCs w:val="24"/>
        </w:rPr>
      </w:pPr>
      <w:r w:rsidRPr="00E7418B">
        <w:rPr>
          <w:rFonts w:cs="Arial"/>
          <w:color w:val="000000" w:themeColor="text1"/>
          <w:szCs w:val="24"/>
        </w:rPr>
        <w:t>Restructuring is about operations restructuring to enhance cost and efficiency. GE must adopt an arduous cost-cutting agenda. GE's operating costs are high. There is instability in stock levels. They should think about supply chain renegotiation, workforce streamlining, and the reduction of overheads. They should trim down the lines of products. These will address the underlying issue in terms of profitability. It renders the current business model sustainable. Liquidity is supported by better operations. Well-built supply chains minimise delays. The speedy operations enable GE to compete in the world.</w:t>
      </w:r>
    </w:p>
    <w:p w14:paraId="0738B685" w14:textId="77777777" w:rsidR="00AB21F8" w:rsidRPr="00E7418B" w:rsidRDefault="00AB21F8" w:rsidP="00E7418B">
      <w:pPr>
        <w:rPr>
          <w:rFonts w:cs="Arial"/>
          <w:color w:val="000000" w:themeColor="text1"/>
          <w:szCs w:val="24"/>
        </w:rPr>
      </w:pPr>
      <w:r w:rsidRPr="00E7418B">
        <w:rPr>
          <w:rFonts w:cs="Arial"/>
          <w:color w:val="000000" w:themeColor="text1"/>
          <w:szCs w:val="24"/>
        </w:rPr>
        <w:t>Profit is augmented by cost savings. This encourages the growth of the value of shareholders in the long run. The value is on sustainable profits. Gettier have lower profit, which can decrease borrowing. Better operations minimise the cash pressure. Nevertheless, layoffs can be required. This raises ethical issues. Ambitious cuts may damage morale and innovation. It needs to be not blanket but strategic.</w:t>
      </w:r>
    </w:p>
    <w:p w14:paraId="25BEBCF2" w14:textId="77777777" w:rsidR="00AB21F8" w:rsidRPr="00E7418B" w:rsidRDefault="00AB21F8" w:rsidP="00E7418B">
      <w:pPr>
        <w:pStyle w:val="Heading2"/>
        <w:rPr>
          <w:rFonts w:ascii="Arial" w:hAnsi="Arial" w:cs="Arial"/>
          <w:b/>
          <w:bCs/>
          <w:color w:val="000000" w:themeColor="text1"/>
          <w:sz w:val="24"/>
          <w:szCs w:val="24"/>
        </w:rPr>
      </w:pPr>
      <w:bookmarkStart w:id="19" w:name="_Toc217162977"/>
      <w:r w:rsidRPr="00E7418B">
        <w:rPr>
          <w:rFonts w:ascii="Arial" w:hAnsi="Arial" w:cs="Arial"/>
          <w:b/>
          <w:bCs/>
          <w:color w:val="000000" w:themeColor="text1"/>
          <w:sz w:val="24"/>
          <w:szCs w:val="24"/>
        </w:rPr>
        <w:t>International and Ethical Considerations</w:t>
      </w:r>
      <w:bookmarkEnd w:id="19"/>
    </w:p>
    <w:p w14:paraId="21636556"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GE operates globally. Restructuring the finances should take into account the overseas risks. Capital gains taxes are imposed locally in reaction to divestiture (Akgün &amp; Karataş, 2023). GE will have to make sure it complies with taxes. Rules in the sphere of transfer prices should be adhered to. Currency exposure should be taken into consideration during debt refinancing. The fluctuations in the exchange rates will have an impact on sales as well as costs. GE has to look at the restructuring option that takes into consideration hedging strategies. The world is facing high inflation that raises expenses at an accelerated rate (Akgün &amp; Karataş, 2023). GE must update prices. Inflation clauses are to be provided in long-term contracts. Working capital is pressured by inflation pressures. The restructuring should safeguard the international market share. GE has to concentrate on good markets. </w:t>
      </w:r>
    </w:p>
    <w:p w14:paraId="7D334A69"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Restructuring has an impact on human beings and on society. GE must act responsibly. These layoffs and reductions of expenses should also be done in a proper way. The shutting down of plants or even product lines can be devastating to the local economies. GE needs to handle this influence in a responsible manner. Ethical handling of the supplier payments should be ensured so as not to degrade the small businesses. </w:t>
      </w:r>
    </w:p>
    <w:p w14:paraId="18ACE824" w14:textId="77777777" w:rsidR="002B431B" w:rsidRDefault="00AB21F8" w:rsidP="002B431B">
      <w:pPr>
        <w:rPr>
          <w:rFonts w:cs="Arial"/>
          <w:color w:val="000000" w:themeColor="text1"/>
          <w:szCs w:val="24"/>
        </w:rPr>
      </w:pPr>
      <w:r w:rsidRPr="00E7418B">
        <w:rPr>
          <w:rFonts w:cs="Arial"/>
          <w:color w:val="000000" w:themeColor="text1"/>
          <w:szCs w:val="24"/>
        </w:rPr>
        <w:t>GE has a pressing need to restructure. General Electronics can only be rescued by the daring, multi-faceted restructuring. Divestiture brings cash. Restructuring eases pressure on the debt. Equity enhances solvency. It will refocus the capital structure, reinstate the liquidity and establish a way back to profitability. This all-inclusive strategy is the key to life.</w:t>
      </w:r>
    </w:p>
    <w:p w14:paraId="1F3615BA" w14:textId="77777777" w:rsidR="002B431B" w:rsidRDefault="00AB21F8" w:rsidP="002B431B">
      <w:pPr>
        <w:rPr>
          <w:rFonts w:cs="Arial"/>
          <w:b/>
          <w:bCs/>
          <w:color w:val="000000" w:themeColor="text1"/>
          <w:szCs w:val="24"/>
          <w:lang w:val="en-US"/>
        </w:rPr>
      </w:pPr>
      <w:r w:rsidRPr="00E7418B">
        <w:rPr>
          <w:rFonts w:cs="Arial"/>
          <w:b/>
          <w:bCs/>
          <w:color w:val="000000" w:themeColor="text1"/>
          <w:szCs w:val="24"/>
          <w:lang w:val="en-US"/>
        </w:rPr>
        <w:t>Investment Appraisal &amp; Capital Budgeting</w:t>
      </w:r>
    </w:p>
    <w:p w14:paraId="7AAB2D32" w14:textId="4EAEB3D7" w:rsidR="00AB21F8" w:rsidRPr="002B431B" w:rsidRDefault="00AB21F8" w:rsidP="002B431B">
      <w:pPr>
        <w:rPr>
          <w:rFonts w:cs="Arial"/>
          <w:color w:val="000000" w:themeColor="text1"/>
          <w:szCs w:val="24"/>
        </w:rPr>
      </w:pPr>
      <w:r w:rsidRPr="00E7418B">
        <w:rPr>
          <w:rFonts w:cs="Arial"/>
          <w:color w:val="000000" w:themeColor="text1"/>
          <w:szCs w:val="24"/>
          <w:lang w:val="en-US"/>
        </w:rPr>
        <w:t>Summary of Project Data</w:t>
      </w:r>
    </w:p>
    <w:tbl>
      <w:tblPr>
        <w:tblStyle w:val="TableGrid"/>
        <w:tblW w:w="0" w:type="auto"/>
        <w:tblLook w:val="04A0" w:firstRow="1" w:lastRow="0" w:firstColumn="1" w:lastColumn="0" w:noHBand="0" w:noVBand="1"/>
      </w:tblPr>
      <w:tblGrid>
        <w:gridCol w:w="1276"/>
        <w:gridCol w:w="3114"/>
        <w:gridCol w:w="992"/>
        <w:gridCol w:w="992"/>
        <w:gridCol w:w="992"/>
        <w:gridCol w:w="993"/>
        <w:gridCol w:w="991"/>
      </w:tblGrid>
      <w:tr w:rsidR="002B431B" w14:paraId="018F0F9E" w14:textId="77777777" w:rsidTr="002B431B">
        <w:trPr>
          <w:trHeight w:val="325"/>
        </w:trPr>
        <w:tc>
          <w:tcPr>
            <w:tcW w:w="1276" w:type="dxa"/>
          </w:tcPr>
          <w:p w14:paraId="6AE63724" w14:textId="699AC3D1" w:rsidR="002B431B" w:rsidRPr="002B431B" w:rsidRDefault="002B431B" w:rsidP="002B431B">
            <w:pPr>
              <w:jc w:val="center"/>
              <w:rPr>
                <w:rFonts w:cs="Arial"/>
                <w:lang w:val="en-US"/>
              </w:rPr>
            </w:pPr>
            <w:r w:rsidRPr="002B431B">
              <w:rPr>
                <w:rFonts w:cs="Arial"/>
                <w:lang w:val="en-US"/>
              </w:rPr>
              <w:t>Project</w:t>
            </w:r>
          </w:p>
        </w:tc>
        <w:tc>
          <w:tcPr>
            <w:tcW w:w="3114" w:type="dxa"/>
          </w:tcPr>
          <w:p w14:paraId="1CDE50EC" w14:textId="119D7A4D" w:rsidR="002B431B" w:rsidRPr="002B431B" w:rsidRDefault="002B431B" w:rsidP="002B431B">
            <w:pPr>
              <w:jc w:val="center"/>
              <w:rPr>
                <w:rFonts w:cs="Arial"/>
                <w:lang w:val="en-US"/>
              </w:rPr>
            </w:pPr>
            <w:r w:rsidRPr="002B431B">
              <w:rPr>
                <w:rFonts w:cs="Arial"/>
                <w:lang w:val="en-US"/>
              </w:rPr>
              <w:t>Initial Investment</w:t>
            </w:r>
            <w:r w:rsidRPr="002B431B">
              <w:rPr>
                <w:rFonts w:eastAsia="Times New Roman" w:cs="Arial"/>
                <w:noProof w:val="0"/>
                <w:color w:val="000000" w:themeColor="text1"/>
                <w:szCs w:val="24"/>
                <w:lang w:eastAsia="en-GB"/>
              </w:rPr>
              <w:t>(£m)</w:t>
            </w:r>
          </w:p>
        </w:tc>
        <w:tc>
          <w:tcPr>
            <w:tcW w:w="992" w:type="dxa"/>
          </w:tcPr>
          <w:p w14:paraId="17D33658" w14:textId="2F536797" w:rsidR="002B431B" w:rsidRPr="002B431B" w:rsidRDefault="002B431B" w:rsidP="002B431B">
            <w:pPr>
              <w:jc w:val="center"/>
              <w:rPr>
                <w:rFonts w:cs="Arial"/>
                <w:lang w:val="en-US"/>
              </w:rPr>
            </w:pPr>
            <w:r w:rsidRPr="002B431B">
              <w:rPr>
                <w:rFonts w:cs="Arial"/>
                <w:lang w:val="en-US"/>
              </w:rPr>
              <w:t>Year 1</w:t>
            </w:r>
          </w:p>
        </w:tc>
        <w:tc>
          <w:tcPr>
            <w:tcW w:w="992" w:type="dxa"/>
          </w:tcPr>
          <w:p w14:paraId="1CD881D2" w14:textId="45A565C7" w:rsidR="002B431B" w:rsidRPr="002B431B" w:rsidRDefault="002B431B" w:rsidP="002B431B">
            <w:pPr>
              <w:jc w:val="center"/>
              <w:rPr>
                <w:rFonts w:cs="Arial"/>
                <w:lang w:val="en-US"/>
              </w:rPr>
            </w:pPr>
            <w:r w:rsidRPr="002B431B">
              <w:rPr>
                <w:rFonts w:cs="Arial"/>
                <w:lang w:val="en-US"/>
              </w:rPr>
              <w:t>Year 2</w:t>
            </w:r>
          </w:p>
        </w:tc>
        <w:tc>
          <w:tcPr>
            <w:tcW w:w="992" w:type="dxa"/>
          </w:tcPr>
          <w:p w14:paraId="38F92371" w14:textId="262F2D03" w:rsidR="002B431B" w:rsidRPr="002B431B" w:rsidRDefault="002B431B" w:rsidP="002B431B">
            <w:pPr>
              <w:jc w:val="center"/>
              <w:rPr>
                <w:rFonts w:cs="Arial"/>
                <w:lang w:val="en-US"/>
              </w:rPr>
            </w:pPr>
            <w:r w:rsidRPr="002B431B">
              <w:rPr>
                <w:rFonts w:cs="Arial"/>
                <w:lang w:val="en-US"/>
              </w:rPr>
              <w:t>Year 3</w:t>
            </w:r>
          </w:p>
        </w:tc>
        <w:tc>
          <w:tcPr>
            <w:tcW w:w="993" w:type="dxa"/>
          </w:tcPr>
          <w:p w14:paraId="48D16AD6" w14:textId="08F692D7" w:rsidR="002B431B" w:rsidRPr="002B431B" w:rsidRDefault="002B431B" w:rsidP="002B431B">
            <w:pPr>
              <w:jc w:val="center"/>
              <w:rPr>
                <w:rFonts w:cs="Arial"/>
                <w:lang w:val="en-US"/>
              </w:rPr>
            </w:pPr>
            <w:r w:rsidRPr="002B431B">
              <w:rPr>
                <w:rFonts w:cs="Arial"/>
                <w:lang w:val="en-US"/>
              </w:rPr>
              <w:t>Year 4</w:t>
            </w:r>
          </w:p>
        </w:tc>
        <w:tc>
          <w:tcPr>
            <w:tcW w:w="991" w:type="dxa"/>
          </w:tcPr>
          <w:p w14:paraId="24FC63D8" w14:textId="76C82C3A" w:rsidR="002B431B" w:rsidRPr="002B431B" w:rsidRDefault="002B431B" w:rsidP="002B431B">
            <w:pPr>
              <w:jc w:val="center"/>
              <w:rPr>
                <w:rFonts w:cs="Arial"/>
                <w:lang w:val="en-US"/>
              </w:rPr>
            </w:pPr>
            <w:r w:rsidRPr="002B431B">
              <w:rPr>
                <w:rFonts w:cs="Arial"/>
                <w:lang w:val="en-US"/>
              </w:rPr>
              <w:t>Year 5</w:t>
            </w:r>
          </w:p>
        </w:tc>
      </w:tr>
      <w:tr w:rsidR="002B431B" w14:paraId="4363C584" w14:textId="77777777" w:rsidTr="002B431B">
        <w:tc>
          <w:tcPr>
            <w:tcW w:w="1276" w:type="dxa"/>
          </w:tcPr>
          <w:p w14:paraId="6856D213" w14:textId="326C0C62" w:rsidR="002B431B" w:rsidRPr="002B431B" w:rsidRDefault="002B431B" w:rsidP="002B431B">
            <w:pPr>
              <w:jc w:val="center"/>
              <w:rPr>
                <w:rFonts w:cs="Arial"/>
                <w:lang w:val="en-US"/>
              </w:rPr>
            </w:pPr>
            <w:r w:rsidRPr="002B431B">
              <w:rPr>
                <w:rFonts w:cs="Arial"/>
                <w:lang w:val="en-US"/>
              </w:rPr>
              <w:t>A</w:t>
            </w:r>
          </w:p>
        </w:tc>
        <w:tc>
          <w:tcPr>
            <w:tcW w:w="3114" w:type="dxa"/>
          </w:tcPr>
          <w:p w14:paraId="65C60D26" w14:textId="662B13DB" w:rsidR="002B431B" w:rsidRPr="002B431B" w:rsidRDefault="002B431B" w:rsidP="002B431B">
            <w:pPr>
              <w:jc w:val="center"/>
              <w:rPr>
                <w:rFonts w:cs="Arial"/>
                <w:lang w:val="en-US"/>
              </w:rPr>
            </w:pPr>
            <w:r w:rsidRPr="002B431B">
              <w:rPr>
                <w:rFonts w:cs="Arial"/>
                <w:lang w:val="en-US"/>
              </w:rPr>
              <w:t>40</w:t>
            </w:r>
          </w:p>
        </w:tc>
        <w:tc>
          <w:tcPr>
            <w:tcW w:w="992" w:type="dxa"/>
          </w:tcPr>
          <w:p w14:paraId="79F365D5" w14:textId="2564BD12" w:rsidR="002B431B" w:rsidRPr="002B431B" w:rsidRDefault="002B431B" w:rsidP="002B431B">
            <w:pPr>
              <w:jc w:val="center"/>
              <w:rPr>
                <w:rFonts w:cs="Arial"/>
                <w:lang w:val="en-US"/>
              </w:rPr>
            </w:pPr>
            <w:r w:rsidRPr="002B431B">
              <w:rPr>
                <w:rFonts w:cs="Arial"/>
                <w:lang w:val="en-US"/>
              </w:rPr>
              <w:t>10</w:t>
            </w:r>
          </w:p>
        </w:tc>
        <w:tc>
          <w:tcPr>
            <w:tcW w:w="992" w:type="dxa"/>
          </w:tcPr>
          <w:p w14:paraId="0996A653" w14:textId="0C255836" w:rsidR="002B431B" w:rsidRPr="002B431B" w:rsidRDefault="002B431B" w:rsidP="002B431B">
            <w:pPr>
              <w:jc w:val="center"/>
              <w:rPr>
                <w:rFonts w:cs="Arial"/>
                <w:lang w:val="en-US"/>
              </w:rPr>
            </w:pPr>
            <w:r w:rsidRPr="002B431B">
              <w:rPr>
                <w:rFonts w:cs="Arial"/>
                <w:lang w:val="en-US"/>
              </w:rPr>
              <w:t>12</w:t>
            </w:r>
          </w:p>
        </w:tc>
        <w:tc>
          <w:tcPr>
            <w:tcW w:w="992" w:type="dxa"/>
          </w:tcPr>
          <w:p w14:paraId="7377810F" w14:textId="1C255AC6" w:rsidR="002B431B" w:rsidRPr="002B431B" w:rsidRDefault="002B431B" w:rsidP="002B431B">
            <w:pPr>
              <w:jc w:val="center"/>
              <w:rPr>
                <w:rFonts w:cs="Arial"/>
                <w:lang w:val="en-US"/>
              </w:rPr>
            </w:pPr>
            <w:r w:rsidRPr="002B431B">
              <w:rPr>
                <w:rFonts w:cs="Arial"/>
                <w:lang w:val="en-US"/>
              </w:rPr>
              <w:t>14</w:t>
            </w:r>
          </w:p>
        </w:tc>
        <w:tc>
          <w:tcPr>
            <w:tcW w:w="993" w:type="dxa"/>
          </w:tcPr>
          <w:p w14:paraId="4A9F2485" w14:textId="6B7DCAD9" w:rsidR="002B431B" w:rsidRPr="002B431B" w:rsidRDefault="002B431B" w:rsidP="002B431B">
            <w:pPr>
              <w:jc w:val="center"/>
              <w:rPr>
                <w:rFonts w:cs="Arial"/>
                <w:lang w:val="en-US"/>
              </w:rPr>
            </w:pPr>
            <w:r w:rsidRPr="002B431B">
              <w:rPr>
                <w:rFonts w:cs="Arial"/>
                <w:lang w:val="en-US"/>
              </w:rPr>
              <w:t>10</w:t>
            </w:r>
          </w:p>
        </w:tc>
        <w:tc>
          <w:tcPr>
            <w:tcW w:w="991" w:type="dxa"/>
          </w:tcPr>
          <w:p w14:paraId="5648D6C2" w14:textId="3254945E" w:rsidR="002B431B" w:rsidRPr="002B431B" w:rsidRDefault="002B431B" w:rsidP="002B431B">
            <w:pPr>
              <w:jc w:val="center"/>
              <w:rPr>
                <w:rFonts w:cs="Arial"/>
                <w:lang w:val="en-US"/>
              </w:rPr>
            </w:pPr>
            <w:r w:rsidRPr="002B431B">
              <w:rPr>
                <w:rFonts w:cs="Arial"/>
                <w:lang w:val="en-US"/>
              </w:rPr>
              <w:t>8</w:t>
            </w:r>
          </w:p>
        </w:tc>
      </w:tr>
      <w:tr w:rsidR="002B431B" w14:paraId="785011F9" w14:textId="77777777" w:rsidTr="002B431B">
        <w:tc>
          <w:tcPr>
            <w:tcW w:w="1276" w:type="dxa"/>
          </w:tcPr>
          <w:p w14:paraId="659D2826" w14:textId="7623E164" w:rsidR="002B431B" w:rsidRPr="002B431B" w:rsidRDefault="002B431B" w:rsidP="002B431B">
            <w:pPr>
              <w:jc w:val="center"/>
              <w:rPr>
                <w:rFonts w:cs="Arial"/>
                <w:lang w:val="en-US"/>
              </w:rPr>
            </w:pPr>
            <w:r w:rsidRPr="002B431B">
              <w:rPr>
                <w:rFonts w:cs="Arial"/>
                <w:lang w:val="en-US"/>
              </w:rPr>
              <w:t>B</w:t>
            </w:r>
          </w:p>
        </w:tc>
        <w:tc>
          <w:tcPr>
            <w:tcW w:w="3114" w:type="dxa"/>
          </w:tcPr>
          <w:p w14:paraId="591A39C8" w14:textId="77523DAB" w:rsidR="002B431B" w:rsidRPr="002B431B" w:rsidRDefault="002B431B" w:rsidP="002B431B">
            <w:pPr>
              <w:jc w:val="center"/>
              <w:rPr>
                <w:rFonts w:cs="Arial"/>
                <w:lang w:val="en-US"/>
              </w:rPr>
            </w:pPr>
            <w:r w:rsidRPr="002B431B">
              <w:rPr>
                <w:rFonts w:cs="Arial"/>
                <w:lang w:val="en-US"/>
              </w:rPr>
              <w:t>30</w:t>
            </w:r>
          </w:p>
        </w:tc>
        <w:tc>
          <w:tcPr>
            <w:tcW w:w="992" w:type="dxa"/>
          </w:tcPr>
          <w:p w14:paraId="5E2790C9" w14:textId="24B6330F" w:rsidR="002B431B" w:rsidRPr="002B431B" w:rsidRDefault="002B431B" w:rsidP="002B431B">
            <w:pPr>
              <w:jc w:val="center"/>
              <w:rPr>
                <w:rFonts w:cs="Arial"/>
                <w:lang w:val="en-US"/>
              </w:rPr>
            </w:pPr>
            <w:r w:rsidRPr="002B431B">
              <w:rPr>
                <w:rFonts w:cs="Arial"/>
                <w:lang w:val="en-US"/>
              </w:rPr>
              <w:t>6</w:t>
            </w:r>
          </w:p>
        </w:tc>
        <w:tc>
          <w:tcPr>
            <w:tcW w:w="992" w:type="dxa"/>
          </w:tcPr>
          <w:p w14:paraId="2EEA54C6" w14:textId="0FB5D574" w:rsidR="002B431B" w:rsidRPr="002B431B" w:rsidRDefault="002B431B" w:rsidP="002B431B">
            <w:pPr>
              <w:jc w:val="center"/>
              <w:rPr>
                <w:rFonts w:cs="Arial"/>
                <w:lang w:val="en-US"/>
              </w:rPr>
            </w:pPr>
            <w:r w:rsidRPr="002B431B">
              <w:rPr>
                <w:rFonts w:cs="Arial"/>
                <w:lang w:val="en-US"/>
              </w:rPr>
              <w:t>6</w:t>
            </w:r>
          </w:p>
        </w:tc>
        <w:tc>
          <w:tcPr>
            <w:tcW w:w="992" w:type="dxa"/>
          </w:tcPr>
          <w:p w14:paraId="6EC2FD07" w14:textId="60181A2C" w:rsidR="002B431B" w:rsidRPr="002B431B" w:rsidRDefault="002B431B" w:rsidP="002B431B">
            <w:pPr>
              <w:jc w:val="center"/>
              <w:rPr>
                <w:rFonts w:cs="Arial"/>
                <w:lang w:val="en-US"/>
              </w:rPr>
            </w:pPr>
            <w:r w:rsidRPr="002B431B">
              <w:rPr>
                <w:rFonts w:cs="Arial"/>
                <w:lang w:val="en-US"/>
              </w:rPr>
              <w:t>6</w:t>
            </w:r>
          </w:p>
        </w:tc>
        <w:tc>
          <w:tcPr>
            <w:tcW w:w="993" w:type="dxa"/>
          </w:tcPr>
          <w:p w14:paraId="4971F239" w14:textId="56BF0B24" w:rsidR="002B431B" w:rsidRPr="002B431B" w:rsidRDefault="002B431B" w:rsidP="002B431B">
            <w:pPr>
              <w:jc w:val="center"/>
              <w:rPr>
                <w:rFonts w:cs="Arial"/>
                <w:lang w:val="en-US"/>
              </w:rPr>
            </w:pPr>
            <w:r w:rsidRPr="002B431B">
              <w:rPr>
                <w:rFonts w:cs="Arial"/>
                <w:lang w:val="en-US"/>
              </w:rPr>
              <w:t>6</w:t>
            </w:r>
          </w:p>
        </w:tc>
        <w:tc>
          <w:tcPr>
            <w:tcW w:w="991" w:type="dxa"/>
          </w:tcPr>
          <w:p w14:paraId="33665823" w14:textId="71CCA66C" w:rsidR="002B431B" w:rsidRPr="002B431B" w:rsidRDefault="002B431B" w:rsidP="002B431B">
            <w:pPr>
              <w:jc w:val="center"/>
              <w:rPr>
                <w:rFonts w:cs="Arial"/>
                <w:lang w:val="en-US"/>
              </w:rPr>
            </w:pPr>
            <w:r w:rsidRPr="002B431B">
              <w:rPr>
                <w:rFonts w:cs="Arial"/>
                <w:lang w:val="en-US"/>
              </w:rPr>
              <w:t>6</w:t>
            </w:r>
          </w:p>
        </w:tc>
      </w:tr>
      <w:tr w:rsidR="002B431B" w14:paraId="63B4CC0A" w14:textId="77777777" w:rsidTr="002B431B">
        <w:tc>
          <w:tcPr>
            <w:tcW w:w="1276" w:type="dxa"/>
          </w:tcPr>
          <w:p w14:paraId="32CE86CD" w14:textId="598AB8B4" w:rsidR="002B431B" w:rsidRPr="002B431B" w:rsidRDefault="002B431B" w:rsidP="002B431B">
            <w:pPr>
              <w:jc w:val="center"/>
              <w:rPr>
                <w:rFonts w:cs="Arial"/>
                <w:lang w:val="en-US"/>
              </w:rPr>
            </w:pPr>
            <w:r w:rsidRPr="002B431B">
              <w:rPr>
                <w:rFonts w:cs="Arial"/>
                <w:lang w:val="en-US"/>
              </w:rPr>
              <w:t>C</w:t>
            </w:r>
          </w:p>
        </w:tc>
        <w:tc>
          <w:tcPr>
            <w:tcW w:w="3114" w:type="dxa"/>
          </w:tcPr>
          <w:p w14:paraId="38163E5D" w14:textId="1AE164E8" w:rsidR="002B431B" w:rsidRPr="002B431B" w:rsidRDefault="002B431B" w:rsidP="002B431B">
            <w:pPr>
              <w:jc w:val="center"/>
              <w:rPr>
                <w:rFonts w:cs="Arial"/>
                <w:lang w:val="en-US"/>
              </w:rPr>
            </w:pPr>
            <w:r w:rsidRPr="002B431B">
              <w:rPr>
                <w:rFonts w:cs="Arial"/>
                <w:lang w:val="en-US"/>
              </w:rPr>
              <w:t>50</w:t>
            </w:r>
          </w:p>
        </w:tc>
        <w:tc>
          <w:tcPr>
            <w:tcW w:w="992" w:type="dxa"/>
          </w:tcPr>
          <w:p w14:paraId="48635219" w14:textId="7CD17FEA" w:rsidR="002B431B" w:rsidRPr="002B431B" w:rsidRDefault="002B431B" w:rsidP="002B431B">
            <w:pPr>
              <w:jc w:val="center"/>
              <w:rPr>
                <w:rFonts w:cs="Arial"/>
                <w:lang w:val="en-US"/>
              </w:rPr>
            </w:pPr>
            <w:r w:rsidRPr="002B431B">
              <w:rPr>
                <w:rFonts w:cs="Arial"/>
                <w:lang w:val="en-US"/>
              </w:rPr>
              <w:t>5</w:t>
            </w:r>
          </w:p>
        </w:tc>
        <w:tc>
          <w:tcPr>
            <w:tcW w:w="992" w:type="dxa"/>
          </w:tcPr>
          <w:p w14:paraId="25515A88" w14:textId="6CDEC9ED" w:rsidR="002B431B" w:rsidRPr="002B431B" w:rsidRDefault="002B431B" w:rsidP="002B431B">
            <w:pPr>
              <w:jc w:val="center"/>
              <w:rPr>
                <w:rFonts w:cs="Arial"/>
                <w:lang w:val="en-US"/>
              </w:rPr>
            </w:pPr>
            <w:r w:rsidRPr="002B431B">
              <w:rPr>
                <w:rFonts w:cs="Arial"/>
                <w:lang w:val="en-US"/>
              </w:rPr>
              <w:t>10</w:t>
            </w:r>
          </w:p>
        </w:tc>
        <w:tc>
          <w:tcPr>
            <w:tcW w:w="992" w:type="dxa"/>
          </w:tcPr>
          <w:p w14:paraId="3D0AD7E4" w14:textId="785A64BC" w:rsidR="002B431B" w:rsidRPr="002B431B" w:rsidRDefault="002B431B" w:rsidP="002B431B">
            <w:pPr>
              <w:jc w:val="center"/>
              <w:rPr>
                <w:rFonts w:cs="Arial"/>
                <w:lang w:val="en-US"/>
              </w:rPr>
            </w:pPr>
            <w:r w:rsidRPr="002B431B">
              <w:rPr>
                <w:rFonts w:cs="Arial"/>
                <w:lang w:val="en-US"/>
              </w:rPr>
              <w:t>20</w:t>
            </w:r>
          </w:p>
        </w:tc>
        <w:tc>
          <w:tcPr>
            <w:tcW w:w="993" w:type="dxa"/>
          </w:tcPr>
          <w:p w14:paraId="6409206A" w14:textId="05874AFE" w:rsidR="002B431B" w:rsidRPr="002B431B" w:rsidRDefault="002B431B" w:rsidP="002B431B">
            <w:pPr>
              <w:jc w:val="center"/>
              <w:rPr>
                <w:rFonts w:cs="Arial"/>
                <w:lang w:val="en-US"/>
              </w:rPr>
            </w:pPr>
            <w:r w:rsidRPr="002B431B">
              <w:rPr>
                <w:rFonts w:cs="Arial"/>
                <w:lang w:val="en-US"/>
              </w:rPr>
              <w:t>25</w:t>
            </w:r>
          </w:p>
        </w:tc>
        <w:tc>
          <w:tcPr>
            <w:tcW w:w="991" w:type="dxa"/>
          </w:tcPr>
          <w:p w14:paraId="4D2D7380" w14:textId="1369C963" w:rsidR="002B431B" w:rsidRPr="002B431B" w:rsidRDefault="002B431B" w:rsidP="002B431B">
            <w:pPr>
              <w:jc w:val="center"/>
              <w:rPr>
                <w:rFonts w:cs="Arial"/>
                <w:lang w:val="en-US"/>
              </w:rPr>
            </w:pPr>
            <w:r w:rsidRPr="002B431B">
              <w:rPr>
                <w:rFonts w:cs="Arial"/>
                <w:lang w:val="en-US"/>
              </w:rPr>
              <w:t>15</w:t>
            </w:r>
          </w:p>
        </w:tc>
      </w:tr>
    </w:tbl>
    <w:p w14:paraId="2E52DA66" w14:textId="77777777" w:rsidR="002B431B" w:rsidRDefault="00865F81" w:rsidP="002B431B">
      <w:pPr>
        <w:rPr>
          <w:rFonts w:cs="Arial"/>
          <w:color w:val="000000" w:themeColor="text1"/>
          <w:szCs w:val="24"/>
        </w:rPr>
      </w:pPr>
      <w:r w:rsidRPr="00E7418B">
        <w:rPr>
          <w:rFonts w:cs="Arial"/>
          <w:color w:val="000000" w:themeColor="text1"/>
          <w:szCs w:val="24"/>
        </w:rPr>
        <w:t>All project is straight-line to zero with respect to depreciation. The discount rate is 10%.</w:t>
      </w:r>
    </w:p>
    <w:p w14:paraId="2A8BF336" w14:textId="16A40B51" w:rsidR="00AB21F8" w:rsidRPr="002B431B" w:rsidRDefault="00AB21F8" w:rsidP="002B431B">
      <w:pPr>
        <w:rPr>
          <w:rFonts w:cs="Arial"/>
          <w:color w:val="000000" w:themeColor="text1"/>
          <w:szCs w:val="24"/>
        </w:rPr>
      </w:pPr>
      <w:r w:rsidRPr="00E7418B">
        <w:rPr>
          <w:rFonts w:cs="Arial"/>
          <w:b/>
          <w:bCs/>
          <w:color w:val="000000" w:themeColor="text1"/>
          <w:szCs w:val="24"/>
        </w:rPr>
        <w:t>Payback Period (PBP)</w:t>
      </w:r>
      <w:r w:rsidRPr="00E7418B">
        <w:rPr>
          <w:rFonts w:cs="Arial"/>
          <w:b/>
          <w:bCs/>
          <w:color w:val="000000" w:themeColor="text1"/>
          <w:szCs w:val="24"/>
        </w:rPr>
        <w:tab/>
      </w:r>
    </w:p>
    <w:p w14:paraId="55FE1A56"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A</w:t>
      </w:r>
    </w:p>
    <w:p w14:paraId="1045262B"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£40m</w:t>
      </w:r>
    </w:p>
    <w:p w14:paraId="47D5F9B1" w14:textId="77777777" w:rsidR="00AB21F8" w:rsidRPr="00E7418B" w:rsidRDefault="00AB21F8" w:rsidP="00E7418B">
      <w:pPr>
        <w:rPr>
          <w:rFonts w:cs="Arial"/>
          <w:color w:val="000000" w:themeColor="text1"/>
          <w:szCs w:val="24"/>
        </w:rPr>
      </w:pPr>
      <w:r w:rsidRPr="00E7418B">
        <w:rPr>
          <w:rFonts w:cs="Arial"/>
          <w:color w:val="000000" w:themeColor="text1"/>
          <w:szCs w:val="24"/>
        </w:rPr>
        <w:t>Cash inflows: £10m, £12m, £14m, £10m, £8m</w:t>
      </w:r>
    </w:p>
    <w:p w14:paraId="76D8CC5F" w14:textId="77777777" w:rsidR="00AB21F8" w:rsidRPr="00E7418B" w:rsidRDefault="00AB21F8" w:rsidP="00E7418B">
      <w:pPr>
        <w:rPr>
          <w:rFonts w:cs="Arial"/>
          <w:color w:val="000000" w:themeColor="text1"/>
          <w:szCs w:val="24"/>
        </w:rPr>
      </w:pPr>
      <w:r w:rsidRPr="00E7418B">
        <w:rPr>
          <w:rFonts w:cs="Arial"/>
          <w:color w:val="000000" w:themeColor="text1"/>
          <w:szCs w:val="24"/>
        </w:rPr>
        <w:t>Investment recovers in the 4th year. So,</w:t>
      </w:r>
    </w:p>
    <w:p w14:paraId="762546E1" w14:textId="77777777" w:rsidR="00AB21F8" w:rsidRPr="00E7418B" w:rsidRDefault="00AB21F8" w:rsidP="00E7418B">
      <w:pPr>
        <w:rPr>
          <w:rFonts w:cs="Arial"/>
          <w:color w:val="000000" w:themeColor="text1"/>
          <w:szCs w:val="24"/>
        </w:rPr>
      </w:pPr>
      <w:r w:rsidRPr="00E7418B">
        <w:rPr>
          <w:rFonts w:cs="Arial"/>
          <w:color w:val="000000" w:themeColor="text1"/>
          <w:szCs w:val="24"/>
        </w:rPr>
        <w:t>Payback Period (PBP)= Years before full recovery + (Unrecovered cost at the start of the year / Cash flow during the year)</w:t>
      </w:r>
    </w:p>
    <w:p w14:paraId="0F1D1503" w14:textId="77777777" w:rsidR="00AB21F8" w:rsidRPr="00E7418B" w:rsidRDefault="00AB21F8" w:rsidP="00E7418B">
      <w:pPr>
        <w:rPr>
          <w:rFonts w:cs="Arial"/>
          <w:color w:val="000000" w:themeColor="text1"/>
          <w:szCs w:val="24"/>
        </w:rPr>
      </w:pPr>
      <w:r w:rsidRPr="00E7418B">
        <w:rPr>
          <w:rFonts w:cs="Arial"/>
          <w:color w:val="000000" w:themeColor="text1"/>
          <w:szCs w:val="24"/>
        </w:rPr>
        <w:t>PBP = 3 + (4/10) = 3.4 years.</w:t>
      </w:r>
    </w:p>
    <w:p w14:paraId="69BBBD86"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B</w:t>
      </w:r>
    </w:p>
    <w:p w14:paraId="6262A8AD"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£30m</w:t>
      </w:r>
    </w:p>
    <w:p w14:paraId="7DEDDD5F" w14:textId="77777777" w:rsidR="00AB21F8" w:rsidRPr="00E7418B" w:rsidRDefault="00AB21F8" w:rsidP="00E7418B">
      <w:pPr>
        <w:rPr>
          <w:rFonts w:cs="Arial"/>
          <w:color w:val="000000" w:themeColor="text1"/>
          <w:szCs w:val="24"/>
        </w:rPr>
      </w:pPr>
      <w:r w:rsidRPr="00E7418B">
        <w:rPr>
          <w:rFonts w:cs="Arial"/>
          <w:color w:val="000000" w:themeColor="text1"/>
          <w:szCs w:val="24"/>
        </w:rPr>
        <w:t>Cash inflows: £6m, £6m, £6m, £6m, £6m</w:t>
      </w:r>
    </w:p>
    <w:p w14:paraId="29526E43" w14:textId="77777777" w:rsidR="00AB21F8" w:rsidRPr="00E7418B" w:rsidRDefault="00AB21F8" w:rsidP="00E7418B">
      <w:pPr>
        <w:rPr>
          <w:rFonts w:cs="Arial"/>
          <w:color w:val="000000" w:themeColor="text1"/>
          <w:szCs w:val="24"/>
        </w:rPr>
      </w:pPr>
      <w:r w:rsidRPr="00E7418B">
        <w:rPr>
          <w:rFonts w:cs="Arial"/>
          <w:color w:val="000000" w:themeColor="text1"/>
          <w:szCs w:val="24"/>
        </w:rPr>
        <w:t>Investment recovers in the 5th year. So,</w:t>
      </w:r>
    </w:p>
    <w:p w14:paraId="5A5CD7A1" w14:textId="77777777" w:rsidR="00AB21F8" w:rsidRPr="00E7418B" w:rsidRDefault="00AB21F8" w:rsidP="00E7418B">
      <w:pPr>
        <w:rPr>
          <w:rFonts w:cs="Arial"/>
          <w:color w:val="000000" w:themeColor="text1"/>
          <w:szCs w:val="24"/>
        </w:rPr>
      </w:pPr>
      <w:r w:rsidRPr="00E7418B">
        <w:rPr>
          <w:rFonts w:cs="Arial"/>
          <w:color w:val="000000" w:themeColor="text1"/>
          <w:szCs w:val="24"/>
        </w:rPr>
        <w:t>Payback Period (PBP) is 5 years</w:t>
      </w:r>
    </w:p>
    <w:p w14:paraId="36C92CC8" w14:textId="77777777" w:rsidR="00AB21F8" w:rsidRPr="00E7418B" w:rsidRDefault="00AB21F8" w:rsidP="00E7418B">
      <w:pPr>
        <w:rPr>
          <w:rFonts w:cs="Arial"/>
          <w:b/>
          <w:color w:val="000000" w:themeColor="text1"/>
          <w:szCs w:val="24"/>
        </w:rPr>
      </w:pPr>
      <w:r w:rsidRPr="00E7418B">
        <w:rPr>
          <w:rFonts w:cs="Arial"/>
          <w:b/>
          <w:color w:val="000000" w:themeColor="text1"/>
          <w:szCs w:val="24"/>
        </w:rPr>
        <w:t xml:space="preserve">Project C </w:t>
      </w:r>
    </w:p>
    <w:p w14:paraId="5EC7C0B5"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£50m</w:t>
      </w:r>
    </w:p>
    <w:p w14:paraId="3038C79B" w14:textId="77777777" w:rsidR="00AB21F8" w:rsidRPr="00E7418B" w:rsidRDefault="00AB21F8" w:rsidP="00E7418B">
      <w:pPr>
        <w:rPr>
          <w:rFonts w:cs="Arial"/>
          <w:color w:val="000000" w:themeColor="text1"/>
          <w:szCs w:val="24"/>
        </w:rPr>
      </w:pPr>
      <w:r w:rsidRPr="00E7418B">
        <w:rPr>
          <w:rFonts w:cs="Arial"/>
          <w:color w:val="000000" w:themeColor="text1"/>
          <w:szCs w:val="24"/>
        </w:rPr>
        <w:t>Cash inflows: £5m, £10m, £20m, £25m, £15m</w:t>
      </w:r>
    </w:p>
    <w:p w14:paraId="0D4E55B6" w14:textId="77777777" w:rsidR="00AB21F8" w:rsidRPr="00E7418B" w:rsidRDefault="00AB21F8" w:rsidP="00E7418B">
      <w:pPr>
        <w:rPr>
          <w:rFonts w:cs="Arial"/>
          <w:color w:val="000000" w:themeColor="text1"/>
          <w:szCs w:val="24"/>
        </w:rPr>
      </w:pPr>
      <w:r w:rsidRPr="00E7418B">
        <w:rPr>
          <w:rFonts w:cs="Arial"/>
          <w:color w:val="000000" w:themeColor="text1"/>
          <w:szCs w:val="24"/>
        </w:rPr>
        <w:t>Investment recovers in the 4th year. So,</w:t>
      </w:r>
    </w:p>
    <w:p w14:paraId="113AD6C6" w14:textId="77777777" w:rsidR="00AB21F8" w:rsidRPr="00E7418B" w:rsidRDefault="00AB21F8" w:rsidP="00E7418B">
      <w:pPr>
        <w:rPr>
          <w:rFonts w:cs="Arial"/>
          <w:color w:val="000000" w:themeColor="text1"/>
          <w:szCs w:val="24"/>
        </w:rPr>
      </w:pPr>
      <w:r w:rsidRPr="00E7418B">
        <w:rPr>
          <w:rFonts w:cs="Arial"/>
          <w:color w:val="000000" w:themeColor="text1"/>
          <w:szCs w:val="24"/>
        </w:rPr>
        <w:t>Payback Period (PBP)= Years before full recovery + (Unrecovered cost at the start of the year / Cash flow during the year)</w:t>
      </w:r>
    </w:p>
    <w:p w14:paraId="194E317D" w14:textId="77777777" w:rsidR="00AB21F8" w:rsidRPr="00E7418B" w:rsidRDefault="00AB21F8" w:rsidP="00E7418B">
      <w:pPr>
        <w:rPr>
          <w:rFonts w:cs="Arial"/>
          <w:color w:val="000000" w:themeColor="text1"/>
          <w:szCs w:val="24"/>
        </w:rPr>
      </w:pPr>
      <w:r w:rsidRPr="00E7418B">
        <w:rPr>
          <w:rFonts w:cs="Arial"/>
          <w:color w:val="000000" w:themeColor="text1"/>
          <w:szCs w:val="24"/>
        </w:rPr>
        <w:t>PBP = 3 + (15/25) = 3.6 years.</w:t>
      </w:r>
    </w:p>
    <w:p w14:paraId="67CD4DCB" w14:textId="77777777" w:rsidR="00AB21F8" w:rsidRDefault="00AB21F8" w:rsidP="00E7418B">
      <w:pPr>
        <w:rPr>
          <w:rFonts w:cs="Arial"/>
          <w:color w:val="000000" w:themeColor="text1"/>
          <w:szCs w:val="24"/>
          <w:lang w:val="en-US"/>
        </w:rPr>
      </w:pPr>
      <w:r w:rsidRPr="00E7418B">
        <w:rPr>
          <w:rFonts w:cs="Arial"/>
          <w:color w:val="000000" w:themeColor="text1"/>
          <w:szCs w:val="24"/>
          <w:lang w:val="en-US"/>
        </w:rPr>
        <w:t>Fast payback is important to GE which has liquidity problems. Project A has the most feasible liquidity.</w:t>
      </w:r>
    </w:p>
    <w:p w14:paraId="4FA3DBAF" w14:textId="77777777" w:rsidR="002B431B" w:rsidRPr="00E7418B" w:rsidRDefault="002B431B" w:rsidP="00E7418B">
      <w:pPr>
        <w:rPr>
          <w:rFonts w:cs="Arial"/>
          <w:color w:val="000000" w:themeColor="text1"/>
          <w:szCs w:val="24"/>
          <w:lang w:val="en-US"/>
        </w:rPr>
      </w:pPr>
    </w:p>
    <w:p w14:paraId="4A2E463A" w14:textId="77777777" w:rsidR="00AB21F8" w:rsidRPr="00E7418B" w:rsidRDefault="00AB21F8" w:rsidP="00E7418B">
      <w:pPr>
        <w:pStyle w:val="Heading2"/>
        <w:rPr>
          <w:rFonts w:ascii="Arial" w:hAnsi="Arial" w:cs="Arial"/>
          <w:b/>
          <w:bCs/>
          <w:color w:val="000000" w:themeColor="text1"/>
          <w:sz w:val="24"/>
          <w:szCs w:val="24"/>
        </w:rPr>
      </w:pPr>
      <w:bookmarkStart w:id="20" w:name="_Toc217162978"/>
      <w:r w:rsidRPr="00E7418B">
        <w:rPr>
          <w:rFonts w:ascii="Arial" w:hAnsi="Arial" w:cs="Arial"/>
          <w:b/>
          <w:bCs/>
          <w:color w:val="000000" w:themeColor="text1"/>
          <w:sz w:val="24"/>
          <w:szCs w:val="24"/>
        </w:rPr>
        <w:t>Accounting Rate of Return (ARR)</w:t>
      </w:r>
      <w:bookmarkEnd w:id="20"/>
    </w:p>
    <w:p w14:paraId="6C4904F8"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We know, </w:t>
      </w:r>
    </w:p>
    <w:p w14:paraId="48509F7F"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ARR = (Average annual accounting profit / Initial investment) × 100</w:t>
      </w:r>
    </w:p>
    <w:p w14:paraId="58039949"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Profit=(Total Cash Inflow - Total Depreciation) </w:t>
      </w:r>
    </w:p>
    <w:p w14:paraId="1D1C70AB" w14:textId="77777777" w:rsidR="00AB21F8" w:rsidRPr="00E7418B" w:rsidRDefault="00AB21F8" w:rsidP="00E7418B">
      <w:pPr>
        <w:rPr>
          <w:rFonts w:cs="Arial"/>
          <w:color w:val="000000" w:themeColor="text1"/>
          <w:szCs w:val="24"/>
        </w:rPr>
      </w:pPr>
      <w:r w:rsidRPr="00E7418B">
        <w:rPr>
          <w:rFonts w:cs="Arial"/>
          <w:color w:val="000000" w:themeColor="text1"/>
          <w:szCs w:val="24"/>
        </w:rPr>
        <w:t>Average Annual Accounting Profit = (Total Cash Inflow - Initial Investment) / 5.</w:t>
      </w:r>
    </w:p>
    <w:p w14:paraId="671B203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A</w:t>
      </w:r>
    </w:p>
    <w:p w14:paraId="16AFE4DB" w14:textId="77777777" w:rsidR="00AB21F8" w:rsidRPr="00E7418B" w:rsidRDefault="00AB21F8" w:rsidP="00E7418B">
      <w:pPr>
        <w:rPr>
          <w:rFonts w:cs="Arial"/>
          <w:color w:val="000000" w:themeColor="text1"/>
          <w:szCs w:val="24"/>
        </w:rPr>
      </w:pPr>
      <w:r w:rsidRPr="00E7418B">
        <w:rPr>
          <w:rFonts w:cs="Arial"/>
          <w:color w:val="000000" w:themeColor="text1"/>
          <w:szCs w:val="24"/>
        </w:rPr>
        <w:t>Depreciation: £40m ÷ 5 = £8m</w:t>
      </w:r>
    </w:p>
    <w:p w14:paraId="74EB573C"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 = £54m - £40m = £14m. </w:t>
      </w:r>
    </w:p>
    <w:p w14:paraId="037E830D"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Avg. Annual Profit = £14m / 5 = £2.8m. </w:t>
      </w:r>
    </w:p>
    <w:p w14:paraId="27762C91" w14:textId="77777777" w:rsidR="00AB21F8" w:rsidRPr="00E7418B" w:rsidRDefault="00AB21F8" w:rsidP="00E7418B">
      <w:pPr>
        <w:rPr>
          <w:rFonts w:cs="Arial"/>
          <w:color w:val="000000" w:themeColor="text1"/>
          <w:szCs w:val="24"/>
        </w:rPr>
      </w:pPr>
      <w:r w:rsidRPr="00E7418B">
        <w:rPr>
          <w:rFonts w:cs="Arial"/>
          <w:color w:val="000000" w:themeColor="text1"/>
          <w:szCs w:val="24"/>
        </w:rPr>
        <w:t>ARR = (£2.8m / £40m) x 100% = 7.0%.</w:t>
      </w:r>
    </w:p>
    <w:p w14:paraId="7B987BE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B</w:t>
      </w:r>
    </w:p>
    <w:p w14:paraId="23D66D31" w14:textId="77777777" w:rsidR="00AB21F8" w:rsidRPr="00E7418B" w:rsidRDefault="00AB21F8" w:rsidP="00E7418B">
      <w:pPr>
        <w:rPr>
          <w:rFonts w:cs="Arial"/>
          <w:color w:val="000000" w:themeColor="text1"/>
          <w:szCs w:val="24"/>
        </w:rPr>
      </w:pPr>
      <w:r w:rsidRPr="00E7418B">
        <w:rPr>
          <w:rFonts w:cs="Arial"/>
          <w:color w:val="000000" w:themeColor="text1"/>
          <w:szCs w:val="24"/>
        </w:rPr>
        <w:t>Depreciation: £30m ÷ 5 = £6m</w:t>
      </w:r>
    </w:p>
    <w:p w14:paraId="7427B8A7"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 = £30m - £30m = £0 </w:t>
      </w:r>
    </w:p>
    <w:p w14:paraId="32E3E64A" w14:textId="77777777" w:rsidR="00AB21F8" w:rsidRPr="00E7418B" w:rsidRDefault="00AB21F8" w:rsidP="00E7418B">
      <w:pPr>
        <w:rPr>
          <w:rFonts w:cs="Arial"/>
          <w:color w:val="000000" w:themeColor="text1"/>
          <w:szCs w:val="24"/>
        </w:rPr>
      </w:pPr>
      <w:r w:rsidRPr="00E7418B">
        <w:rPr>
          <w:rFonts w:cs="Arial"/>
          <w:color w:val="000000" w:themeColor="text1"/>
          <w:szCs w:val="24"/>
        </w:rPr>
        <w:t>ARR = 0%.</w:t>
      </w:r>
    </w:p>
    <w:p w14:paraId="6C0675E1"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C</w:t>
      </w:r>
    </w:p>
    <w:p w14:paraId="4EE52024" w14:textId="77777777" w:rsidR="00AB21F8" w:rsidRPr="00E7418B" w:rsidRDefault="00AB21F8" w:rsidP="00E7418B">
      <w:pPr>
        <w:rPr>
          <w:rFonts w:cs="Arial"/>
          <w:color w:val="000000" w:themeColor="text1"/>
          <w:szCs w:val="24"/>
        </w:rPr>
      </w:pPr>
      <w:r w:rsidRPr="00E7418B">
        <w:rPr>
          <w:rFonts w:cs="Arial"/>
          <w:color w:val="000000" w:themeColor="text1"/>
          <w:szCs w:val="24"/>
        </w:rPr>
        <w:t>Depreciation: £50m ÷ 5 = £10m</w:t>
      </w:r>
    </w:p>
    <w:p w14:paraId="470ED208"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Accounting Profit = £75m - £50m = £25m. </w:t>
      </w:r>
    </w:p>
    <w:p w14:paraId="1E9C454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Avg. Annual Profit = £25m / 5 = £5m. </w:t>
      </w:r>
    </w:p>
    <w:p w14:paraId="6C1AED30" w14:textId="77777777" w:rsidR="00AB21F8" w:rsidRPr="00E7418B" w:rsidRDefault="00AB21F8" w:rsidP="00E7418B">
      <w:pPr>
        <w:rPr>
          <w:rFonts w:cs="Arial"/>
          <w:color w:val="000000" w:themeColor="text1"/>
          <w:szCs w:val="24"/>
        </w:rPr>
      </w:pPr>
      <w:r w:rsidRPr="00E7418B">
        <w:rPr>
          <w:rFonts w:cs="Arial"/>
          <w:color w:val="000000" w:themeColor="text1"/>
          <w:szCs w:val="24"/>
        </w:rPr>
        <w:t>ARR = (£5m / £50m) x 100% = 10%.</w:t>
      </w:r>
    </w:p>
    <w:p w14:paraId="600A4B50" w14:textId="77777777" w:rsidR="00AB21F8" w:rsidRDefault="00AB21F8" w:rsidP="00E7418B">
      <w:pPr>
        <w:rPr>
          <w:rFonts w:cs="Arial"/>
          <w:color w:val="000000" w:themeColor="text1"/>
          <w:szCs w:val="24"/>
          <w:lang w:val="en-US"/>
        </w:rPr>
      </w:pPr>
      <w:r w:rsidRPr="00E7418B">
        <w:rPr>
          <w:rFonts w:cs="Arial"/>
          <w:color w:val="000000" w:themeColor="text1"/>
          <w:szCs w:val="24"/>
          <w:lang w:val="en-US"/>
        </w:rPr>
        <w:t xml:space="preserve">ARR presents the percentage of investment in terms of accounting profit. Project C is the most favorable profit alternative. </w:t>
      </w:r>
    </w:p>
    <w:p w14:paraId="01C2EC2C" w14:textId="77777777" w:rsidR="002B431B" w:rsidRDefault="002B431B" w:rsidP="00E7418B">
      <w:pPr>
        <w:pStyle w:val="Heading2"/>
        <w:rPr>
          <w:rFonts w:ascii="Arial" w:hAnsi="Arial" w:cs="Arial"/>
          <w:b/>
          <w:bCs/>
          <w:color w:val="000000" w:themeColor="text1"/>
          <w:sz w:val="24"/>
          <w:szCs w:val="24"/>
        </w:rPr>
      </w:pPr>
    </w:p>
    <w:p w14:paraId="2B7617F5" w14:textId="77777777" w:rsidR="002B431B" w:rsidRPr="002B431B" w:rsidRDefault="002B431B" w:rsidP="002B431B"/>
    <w:p w14:paraId="05F82617" w14:textId="1B074A87" w:rsidR="00AB21F8" w:rsidRPr="00E7418B" w:rsidRDefault="00AB21F8" w:rsidP="00E7418B">
      <w:pPr>
        <w:pStyle w:val="Heading2"/>
        <w:rPr>
          <w:rFonts w:ascii="Arial" w:hAnsi="Arial" w:cs="Arial"/>
          <w:b/>
          <w:bCs/>
          <w:color w:val="000000" w:themeColor="text1"/>
          <w:sz w:val="24"/>
          <w:szCs w:val="24"/>
        </w:rPr>
      </w:pPr>
      <w:bookmarkStart w:id="21" w:name="_Toc217162979"/>
      <w:r w:rsidRPr="00E7418B">
        <w:rPr>
          <w:rFonts w:ascii="Arial" w:hAnsi="Arial" w:cs="Arial"/>
          <w:b/>
          <w:bCs/>
          <w:color w:val="000000" w:themeColor="text1"/>
          <w:sz w:val="24"/>
          <w:szCs w:val="24"/>
        </w:rPr>
        <w:t>Net Present Value (NPV)</w:t>
      </w:r>
      <w:bookmarkEnd w:id="21"/>
    </w:p>
    <w:p w14:paraId="1BD9F4A8"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NPV = Σ (Cash inflow ÷ (1+ Discount rate)^t) − Initial cost</w:t>
      </w:r>
    </w:p>
    <w:p w14:paraId="138BA2A2" w14:textId="77777777" w:rsidR="00AB21F8" w:rsidRPr="00E7418B" w:rsidRDefault="00AB21F8" w:rsidP="00E7418B">
      <w:pPr>
        <w:rPr>
          <w:rFonts w:cs="Arial"/>
          <w:color w:val="000000" w:themeColor="text1"/>
          <w:szCs w:val="24"/>
        </w:rPr>
      </w:pPr>
      <w:r w:rsidRPr="00E7418B">
        <w:rPr>
          <w:rFonts w:cs="Arial"/>
          <w:color w:val="000000" w:themeColor="text1"/>
          <w:szCs w:val="24"/>
        </w:rPr>
        <w:t>Discount Factors (10%) = Y1: 0.9091, Y2: 0.8264, Y3: 0.7513, Y4: 0.6830, Y5: 0.6209.</w:t>
      </w:r>
    </w:p>
    <w:p w14:paraId="6EEACCE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A</w:t>
      </w:r>
    </w:p>
    <w:p w14:paraId="40C3D8FE"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PV of Inflows = £9.091 + £9.917 + £10.518 + £6.830 + £4.967 = £41.323m </w:t>
      </w:r>
    </w:p>
    <w:p w14:paraId="346853BA" w14:textId="77777777" w:rsidR="00AB21F8" w:rsidRPr="00E7418B" w:rsidRDefault="00AB21F8" w:rsidP="00E7418B">
      <w:pPr>
        <w:rPr>
          <w:rFonts w:cs="Arial"/>
          <w:color w:val="000000" w:themeColor="text1"/>
          <w:szCs w:val="24"/>
        </w:rPr>
      </w:pPr>
      <w:r w:rsidRPr="00E7418B">
        <w:rPr>
          <w:rFonts w:cs="Arial"/>
          <w:color w:val="000000" w:themeColor="text1"/>
          <w:szCs w:val="24"/>
        </w:rPr>
        <w:t>NPV = £41.323m - £40.000m = +£1.323m.</w:t>
      </w:r>
    </w:p>
    <w:p w14:paraId="2160DD0A"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B</w:t>
      </w:r>
    </w:p>
    <w:p w14:paraId="1C0C93A3" w14:textId="77777777" w:rsidR="00AB21F8" w:rsidRPr="00E7418B" w:rsidRDefault="00AB21F8" w:rsidP="00E7418B">
      <w:pPr>
        <w:rPr>
          <w:rFonts w:cs="Arial"/>
          <w:color w:val="000000" w:themeColor="text1"/>
          <w:szCs w:val="24"/>
        </w:rPr>
      </w:pPr>
      <w:r w:rsidRPr="00E7418B">
        <w:rPr>
          <w:rFonts w:cs="Arial"/>
          <w:color w:val="000000" w:themeColor="text1"/>
          <w:szCs w:val="24"/>
        </w:rPr>
        <w:t>Total PV of Inflows = £5.45m+£4.96m+£4.51m+£4.10m+£3.73m = £22.75m</w:t>
      </w:r>
    </w:p>
    <w:p w14:paraId="2988A73D" w14:textId="77777777" w:rsidR="00AB21F8" w:rsidRPr="00E7418B" w:rsidRDefault="00AB21F8" w:rsidP="00E7418B">
      <w:pPr>
        <w:rPr>
          <w:rFonts w:cs="Arial"/>
          <w:color w:val="000000" w:themeColor="text1"/>
          <w:szCs w:val="24"/>
        </w:rPr>
      </w:pPr>
      <w:r w:rsidRPr="00E7418B">
        <w:rPr>
          <w:rFonts w:cs="Arial"/>
          <w:color w:val="000000" w:themeColor="text1"/>
          <w:szCs w:val="24"/>
        </w:rPr>
        <w:t>NPV = £22.745m - £30.000m = -£7.255m.</w:t>
      </w:r>
    </w:p>
    <w:p w14:paraId="7A848C86"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C</w:t>
      </w:r>
    </w:p>
    <w:p w14:paraId="4A0FE7D1"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Total PV of Inflows = £4.546 + £8.264 + £15.026 + £17.075 + £9.314 = £54.225m </w:t>
      </w:r>
    </w:p>
    <w:p w14:paraId="5F3D0F6C" w14:textId="77777777" w:rsidR="00AB21F8" w:rsidRPr="00E7418B" w:rsidRDefault="00AB21F8" w:rsidP="00E7418B">
      <w:pPr>
        <w:rPr>
          <w:rFonts w:cs="Arial"/>
          <w:color w:val="000000" w:themeColor="text1"/>
          <w:szCs w:val="24"/>
        </w:rPr>
      </w:pPr>
      <w:r w:rsidRPr="00E7418B">
        <w:rPr>
          <w:rFonts w:cs="Arial"/>
          <w:color w:val="000000" w:themeColor="text1"/>
          <w:szCs w:val="24"/>
        </w:rPr>
        <w:t>NPV = £54.225m - £50.000m = +£4.225m.</w:t>
      </w:r>
    </w:p>
    <w:p w14:paraId="44857B8D" w14:textId="77777777" w:rsidR="00AB21F8" w:rsidRPr="00E7418B" w:rsidRDefault="00AB21F8" w:rsidP="00E7418B">
      <w:pPr>
        <w:rPr>
          <w:rFonts w:cs="Arial"/>
          <w:color w:val="000000" w:themeColor="text1"/>
          <w:szCs w:val="24"/>
          <w:lang w:val="en-US"/>
        </w:rPr>
      </w:pPr>
      <w:r w:rsidRPr="00E7418B">
        <w:rPr>
          <w:rFonts w:cs="Arial"/>
          <w:color w:val="000000" w:themeColor="text1"/>
          <w:szCs w:val="24"/>
          <w:lang w:val="en-US"/>
        </w:rPr>
        <w:t>Value created by NPV is worth that has been discounted. Value creation is required of GE, because of low profit. Project C presents the optimal cash flow.</w:t>
      </w:r>
    </w:p>
    <w:p w14:paraId="4FE1977B" w14:textId="77777777" w:rsidR="00AB21F8" w:rsidRPr="00E7418B" w:rsidRDefault="00AB21F8" w:rsidP="002B431B">
      <w:pPr>
        <w:pStyle w:val="Heading2"/>
        <w:rPr>
          <w:rFonts w:ascii="Arial" w:hAnsi="Arial" w:cs="Arial"/>
          <w:b/>
          <w:bCs/>
          <w:color w:val="000000" w:themeColor="text1"/>
          <w:sz w:val="24"/>
          <w:szCs w:val="24"/>
        </w:rPr>
      </w:pPr>
      <w:bookmarkStart w:id="22" w:name="_Toc217162980"/>
      <w:r w:rsidRPr="00E7418B">
        <w:rPr>
          <w:rFonts w:ascii="Arial" w:hAnsi="Arial" w:cs="Arial"/>
          <w:b/>
          <w:bCs/>
          <w:color w:val="000000" w:themeColor="text1"/>
          <w:sz w:val="24"/>
          <w:szCs w:val="24"/>
        </w:rPr>
        <w:t>Profitability Index (PI)</w:t>
      </w:r>
      <w:bookmarkEnd w:id="22"/>
    </w:p>
    <w:p w14:paraId="1C7D198F" w14:textId="77777777" w:rsidR="00AB21F8" w:rsidRPr="00E7418B" w:rsidRDefault="00AB21F8" w:rsidP="002B431B">
      <w:pPr>
        <w:jc w:val="center"/>
        <w:rPr>
          <w:rFonts w:cs="Arial"/>
          <w:color w:val="000000" w:themeColor="text1"/>
          <w:szCs w:val="24"/>
        </w:rPr>
      </w:pPr>
      <w:r w:rsidRPr="00E7418B">
        <w:rPr>
          <w:rFonts w:cs="Arial"/>
          <w:color w:val="000000" w:themeColor="text1"/>
          <w:szCs w:val="24"/>
        </w:rPr>
        <w:t>Profitability Index = Present Value of Inflows / Initial Investment.</w:t>
      </w:r>
    </w:p>
    <w:p w14:paraId="064A4E8E" w14:textId="77777777" w:rsidR="00AB21F8" w:rsidRPr="00E7418B" w:rsidRDefault="00AB21F8" w:rsidP="002B431B">
      <w:pPr>
        <w:rPr>
          <w:rFonts w:cs="Arial"/>
          <w:b/>
          <w:color w:val="000000" w:themeColor="text1"/>
          <w:szCs w:val="24"/>
        </w:rPr>
      </w:pPr>
      <w:r w:rsidRPr="00E7418B">
        <w:rPr>
          <w:rFonts w:cs="Arial"/>
          <w:b/>
          <w:color w:val="000000" w:themeColor="text1"/>
          <w:szCs w:val="24"/>
        </w:rPr>
        <w:t>Project A</w:t>
      </w:r>
    </w:p>
    <w:p w14:paraId="6BB45BA0" w14:textId="77777777" w:rsidR="00AB21F8" w:rsidRPr="00E7418B" w:rsidRDefault="00AB21F8" w:rsidP="002B431B">
      <w:pPr>
        <w:rPr>
          <w:rFonts w:cs="Arial"/>
          <w:color w:val="000000" w:themeColor="text1"/>
          <w:szCs w:val="24"/>
        </w:rPr>
      </w:pPr>
      <w:r w:rsidRPr="00E7418B">
        <w:rPr>
          <w:rFonts w:cs="Arial"/>
          <w:color w:val="000000" w:themeColor="text1"/>
          <w:szCs w:val="24"/>
        </w:rPr>
        <w:t>Present Value of Inflows = £41.323m</w:t>
      </w:r>
    </w:p>
    <w:p w14:paraId="012BF241" w14:textId="77777777" w:rsidR="00AB21F8" w:rsidRPr="00E7418B" w:rsidRDefault="00AB21F8" w:rsidP="002B431B">
      <w:pPr>
        <w:rPr>
          <w:rFonts w:cs="Arial"/>
          <w:color w:val="000000" w:themeColor="text1"/>
          <w:szCs w:val="24"/>
        </w:rPr>
      </w:pPr>
      <w:r w:rsidRPr="00E7418B">
        <w:rPr>
          <w:rFonts w:cs="Arial"/>
          <w:color w:val="000000" w:themeColor="text1"/>
          <w:szCs w:val="24"/>
        </w:rPr>
        <w:t>Initial Investment = £40m</w:t>
      </w:r>
    </w:p>
    <w:p w14:paraId="0DF95519" w14:textId="77777777" w:rsidR="00AB21F8" w:rsidRPr="00E7418B" w:rsidRDefault="00AB21F8" w:rsidP="002B431B">
      <w:pPr>
        <w:rPr>
          <w:rFonts w:cs="Arial"/>
          <w:color w:val="000000" w:themeColor="text1"/>
          <w:szCs w:val="24"/>
        </w:rPr>
      </w:pPr>
      <w:r w:rsidRPr="00E7418B">
        <w:rPr>
          <w:rFonts w:cs="Arial"/>
          <w:color w:val="000000" w:themeColor="text1"/>
          <w:szCs w:val="24"/>
        </w:rPr>
        <w:t>PI = £41.323m / £40m = 1.033.</w:t>
      </w:r>
    </w:p>
    <w:p w14:paraId="4EAEF5BC" w14:textId="77777777" w:rsidR="002B431B" w:rsidRDefault="002B431B" w:rsidP="002B431B">
      <w:pPr>
        <w:rPr>
          <w:rFonts w:cs="Arial"/>
          <w:b/>
          <w:color w:val="000000" w:themeColor="text1"/>
          <w:szCs w:val="24"/>
        </w:rPr>
      </w:pPr>
    </w:p>
    <w:p w14:paraId="4FCE7C59" w14:textId="77777777" w:rsidR="002B431B" w:rsidRDefault="002B431B" w:rsidP="002B431B">
      <w:pPr>
        <w:rPr>
          <w:rFonts w:cs="Arial"/>
          <w:b/>
          <w:color w:val="000000" w:themeColor="text1"/>
          <w:szCs w:val="24"/>
        </w:rPr>
      </w:pPr>
    </w:p>
    <w:p w14:paraId="7692E7F2" w14:textId="77777777" w:rsidR="002B431B" w:rsidRDefault="002B431B" w:rsidP="002B431B">
      <w:pPr>
        <w:rPr>
          <w:rFonts w:cs="Arial"/>
          <w:b/>
          <w:color w:val="000000" w:themeColor="text1"/>
          <w:szCs w:val="24"/>
        </w:rPr>
      </w:pPr>
    </w:p>
    <w:p w14:paraId="31425D60" w14:textId="3F85441D" w:rsidR="00AB21F8" w:rsidRPr="00E7418B" w:rsidRDefault="00AB21F8" w:rsidP="002B431B">
      <w:pPr>
        <w:rPr>
          <w:rFonts w:cs="Arial"/>
          <w:b/>
          <w:color w:val="000000" w:themeColor="text1"/>
          <w:szCs w:val="24"/>
        </w:rPr>
      </w:pPr>
      <w:r w:rsidRPr="00E7418B">
        <w:rPr>
          <w:rFonts w:cs="Arial"/>
          <w:b/>
          <w:color w:val="000000" w:themeColor="text1"/>
          <w:szCs w:val="24"/>
        </w:rPr>
        <w:t>Project B</w:t>
      </w:r>
    </w:p>
    <w:p w14:paraId="5A05012E" w14:textId="77777777" w:rsidR="00AB21F8" w:rsidRPr="00E7418B" w:rsidRDefault="00AB21F8" w:rsidP="002B431B">
      <w:pPr>
        <w:rPr>
          <w:rFonts w:cs="Arial"/>
          <w:color w:val="000000" w:themeColor="text1"/>
          <w:szCs w:val="24"/>
        </w:rPr>
      </w:pPr>
      <w:r w:rsidRPr="00E7418B">
        <w:rPr>
          <w:rFonts w:cs="Arial"/>
          <w:color w:val="000000" w:themeColor="text1"/>
          <w:szCs w:val="24"/>
        </w:rPr>
        <w:t xml:space="preserve">Present Value of Inflows = £22.745m </w:t>
      </w:r>
    </w:p>
    <w:p w14:paraId="0D0B26FB" w14:textId="77777777" w:rsidR="00AB21F8" w:rsidRPr="00E7418B" w:rsidRDefault="00AB21F8" w:rsidP="002B431B">
      <w:pPr>
        <w:rPr>
          <w:rFonts w:cs="Arial"/>
          <w:color w:val="000000" w:themeColor="text1"/>
          <w:szCs w:val="24"/>
        </w:rPr>
      </w:pPr>
      <w:r w:rsidRPr="00E7418B">
        <w:rPr>
          <w:rFonts w:cs="Arial"/>
          <w:color w:val="000000" w:themeColor="text1"/>
          <w:szCs w:val="24"/>
        </w:rPr>
        <w:t>Initial Investment = £30m</w:t>
      </w:r>
    </w:p>
    <w:p w14:paraId="7FE31E35" w14:textId="77777777" w:rsidR="00AB21F8" w:rsidRPr="00E7418B" w:rsidRDefault="00AB21F8" w:rsidP="00E7418B">
      <w:pPr>
        <w:rPr>
          <w:rFonts w:cs="Arial"/>
          <w:color w:val="000000" w:themeColor="text1"/>
          <w:szCs w:val="24"/>
        </w:rPr>
      </w:pPr>
      <w:r w:rsidRPr="00E7418B">
        <w:rPr>
          <w:rFonts w:cs="Arial"/>
          <w:color w:val="000000" w:themeColor="text1"/>
          <w:szCs w:val="24"/>
        </w:rPr>
        <w:t>PI = £22.745m / £30m = 0.758</w:t>
      </w:r>
    </w:p>
    <w:p w14:paraId="470ACBD8" w14:textId="77777777" w:rsidR="00AB21F8" w:rsidRPr="00E7418B" w:rsidRDefault="00AB21F8" w:rsidP="00E7418B">
      <w:pPr>
        <w:rPr>
          <w:rFonts w:cs="Arial"/>
          <w:b/>
          <w:color w:val="000000" w:themeColor="text1"/>
          <w:szCs w:val="24"/>
        </w:rPr>
      </w:pPr>
      <w:r w:rsidRPr="00E7418B">
        <w:rPr>
          <w:rFonts w:cs="Arial"/>
          <w:b/>
          <w:color w:val="000000" w:themeColor="text1"/>
          <w:szCs w:val="24"/>
        </w:rPr>
        <w:t>Project C</w:t>
      </w:r>
    </w:p>
    <w:p w14:paraId="043AE93A"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Present Value of Inflows = £54.225m </w:t>
      </w:r>
    </w:p>
    <w:p w14:paraId="6311FBAF" w14:textId="77777777" w:rsidR="00AB21F8" w:rsidRPr="00E7418B" w:rsidRDefault="00AB21F8" w:rsidP="00E7418B">
      <w:pPr>
        <w:rPr>
          <w:rFonts w:cs="Arial"/>
          <w:color w:val="000000" w:themeColor="text1"/>
          <w:szCs w:val="24"/>
        </w:rPr>
      </w:pPr>
      <w:r w:rsidRPr="00E7418B">
        <w:rPr>
          <w:rFonts w:cs="Arial"/>
          <w:color w:val="000000" w:themeColor="text1"/>
          <w:szCs w:val="24"/>
        </w:rPr>
        <w:t>Initial Investment = £50m</w:t>
      </w:r>
    </w:p>
    <w:p w14:paraId="43F14975" w14:textId="77777777" w:rsidR="00AB21F8" w:rsidRPr="00E7418B" w:rsidRDefault="00AB21F8" w:rsidP="00E7418B">
      <w:pPr>
        <w:rPr>
          <w:rFonts w:cs="Arial"/>
          <w:color w:val="000000" w:themeColor="text1"/>
          <w:szCs w:val="24"/>
        </w:rPr>
      </w:pPr>
      <w:r w:rsidRPr="00E7418B">
        <w:rPr>
          <w:rFonts w:cs="Arial"/>
          <w:color w:val="000000" w:themeColor="text1"/>
          <w:szCs w:val="24"/>
        </w:rPr>
        <w:t>PI = £54.225m / £50m = 1.085</w:t>
      </w:r>
    </w:p>
    <w:p w14:paraId="1A9BE207" w14:textId="77777777" w:rsidR="00AB21F8" w:rsidRPr="00E7418B" w:rsidRDefault="00AB21F8" w:rsidP="00E7418B">
      <w:pPr>
        <w:rPr>
          <w:rFonts w:cs="Arial"/>
          <w:color w:val="000000" w:themeColor="text1"/>
          <w:szCs w:val="24"/>
          <w:lang w:val="en-US"/>
        </w:rPr>
      </w:pPr>
      <w:r w:rsidRPr="00E7418B">
        <w:rPr>
          <w:rFonts w:cs="Arial"/>
          <w:color w:val="000000" w:themeColor="text1"/>
          <w:szCs w:val="24"/>
          <w:lang w:val="en-US"/>
        </w:rPr>
        <w:t>PI demonstrates the per plauris par share. PI has a great preference to Project C particularly with limited capital.</w:t>
      </w:r>
    </w:p>
    <w:p w14:paraId="693AD5D2" w14:textId="77777777" w:rsidR="00AB21F8" w:rsidRDefault="00AB21F8" w:rsidP="00E7418B">
      <w:pPr>
        <w:pStyle w:val="Heading2"/>
        <w:rPr>
          <w:rFonts w:ascii="Arial" w:hAnsi="Arial" w:cs="Arial"/>
          <w:b/>
          <w:bCs/>
          <w:color w:val="000000" w:themeColor="text1"/>
          <w:sz w:val="24"/>
          <w:szCs w:val="24"/>
        </w:rPr>
      </w:pPr>
      <w:bookmarkStart w:id="23" w:name="_Toc217162981"/>
      <w:r w:rsidRPr="00E7418B">
        <w:rPr>
          <w:rFonts w:ascii="Arial" w:hAnsi="Arial" w:cs="Arial"/>
          <w:b/>
          <w:bCs/>
          <w:color w:val="000000" w:themeColor="text1"/>
          <w:sz w:val="24"/>
          <w:szCs w:val="24"/>
        </w:rPr>
        <w:t>Internal Rate of Return (IRR)</w:t>
      </w:r>
      <w:bookmarkEnd w:id="23"/>
    </w:p>
    <w:p w14:paraId="162865E1" w14:textId="77777777" w:rsidR="002B431B" w:rsidRPr="002B431B" w:rsidRDefault="002B431B" w:rsidP="002B431B"/>
    <w:tbl>
      <w:tblPr>
        <w:tblStyle w:val="GridTable1Light-Accent5"/>
        <w:tblW w:w="8516" w:type="dxa"/>
        <w:jc w:val="center"/>
        <w:tblLook w:val="04A0" w:firstRow="1" w:lastRow="0" w:firstColumn="1" w:lastColumn="0" w:noHBand="0" w:noVBand="1"/>
      </w:tblPr>
      <w:tblGrid>
        <w:gridCol w:w="2129"/>
        <w:gridCol w:w="2129"/>
        <w:gridCol w:w="2129"/>
        <w:gridCol w:w="2129"/>
      </w:tblGrid>
      <w:tr w:rsidR="003A11CD" w:rsidRPr="00E7418B" w14:paraId="1EFAD4E0" w14:textId="77777777" w:rsidTr="003A11CD">
        <w:trPr>
          <w:cnfStyle w:val="100000000000" w:firstRow="1" w:lastRow="0" w:firstColumn="0" w:lastColumn="0" w:oddVBand="0" w:evenVBand="0" w:oddHBand="0"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129CABC"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Cash Flow Year</w:t>
            </w:r>
          </w:p>
        </w:tc>
        <w:tc>
          <w:tcPr>
            <w:tcW w:w="2129" w:type="dxa"/>
            <w:noWrap/>
            <w:hideMark/>
          </w:tcPr>
          <w:p w14:paraId="0B5341ED" w14:textId="77777777" w:rsidR="00AB21F8" w:rsidRPr="00E7418B" w:rsidRDefault="00AB21F8" w:rsidP="00E7418B">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Project A</w:t>
            </w:r>
          </w:p>
        </w:tc>
        <w:tc>
          <w:tcPr>
            <w:tcW w:w="2129" w:type="dxa"/>
            <w:noWrap/>
            <w:hideMark/>
          </w:tcPr>
          <w:p w14:paraId="1414DA59" w14:textId="77777777" w:rsidR="00AB21F8" w:rsidRPr="00E7418B" w:rsidRDefault="00AB21F8" w:rsidP="00E7418B">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Project B</w:t>
            </w:r>
          </w:p>
        </w:tc>
        <w:tc>
          <w:tcPr>
            <w:tcW w:w="2129" w:type="dxa"/>
            <w:noWrap/>
            <w:hideMark/>
          </w:tcPr>
          <w:p w14:paraId="7F09331D" w14:textId="77777777" w:rsidR="00AB21F8" w:rsidRPr="00E7418B" w:rsidRDefault="00AB21F8" w:rsidP="00E7418B">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Project C</w:t>
            </w:r>
          </w:p>
        </w:tc>
      </w:tr>
      <w:tr w:rsidR="003A11CD" w:rsidRPr="00E7418B" w14:paraId="5575FD8B"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17C55A16"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0</w:t>
            </w:r>
          </w:p>
        </w:tc>
        <w:tc>
          <w:tcPr>
            <w:tcW w:w="2129" w:type="dxa"/>
            <w:noWrap/>
            <w:hideMark/>
          </w:tcPr>
          <w:p w14:paraId="091DC720"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w:t>
            </w:r>
          </w:p>
        </w:tc>
        <w:tc>
          <w:tcPr>
            <w:tcW w:w="2129" w:type="dxa"/>
            <w:noWrap/>
            <w:hideMark/>
          </w:tcPr>
          <w:p w14:paraId="566CD4E4"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c>
          <w:tcPr>
            <w:tcW w:w="2129" w:type="dxa"/>
            <w:noWrap/>
            <w:hideMark/>
          </w:tcPr>
          <w:p w14:paraId="2830067F"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w:t>
            </w:r>
          </w:p>
        </w:tc>
      </w:tr>
      <w:tr w:rsidR="003A11CD" w:rsidRPr="00E7418B" w14:paraId="730C0C8A"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2A8C9B4F"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1</w:t>
            </w:r>
          </w:p>
        </w:tc>
        <w:tc>
          <w:tcPr>
            <w:tcW w:w="2129" w:type="dxa"/>
            <w:noWrap/>
            <w:hideMark/>
          </w:tcPr>
          <w:p w14:paraId="6F2EE90F"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2129" w:type="dxa"/>
            <w:noWrap/>
            <w:hideMark/>
          </w:tcPr>
          <w:p w14:paraId="75AFC999"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73D5FB06"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r>
      <w:tr w:rsidR="003A11CD" w:rsidRPr="00E7418B" w14:paraId="54A60958"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049F19C"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2</w:t>
            </w:r>
          </w:p>
        </w:tc>
        <w:tc>
          <w:tcPr>
            <w:tcW w:w="2129" w:type="dxa"/>
            <w:noWrap/>
            <w:hideMark/>
          </w:tcPr>
          <w:p w14:paraId="1FC6C1AB"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2129" w:type="dxa"/>
            <w:noWrap/>
            <w:hideMark/>
          </w:tcPr>
          <w:p w14:paraId="2700885A"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5A7BA642"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715AFDC3"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0C146DF"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3</w:t>
            </w:r>
          </w:p>
        </w:tc>
        <w:tc>
          <w:tcPr>
            <w:tcW w:w="2129" w:type="dxa"/>
            <w:noWrap/>
            <w:hideMark/>
          </w:tcPr>
          <w:p w14:paraId="11C87A95"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2129" w:type="dxa"/>
            <w:noWrap/>
            <w:hideMark/>
          </w:tcPr>
          <w:p w14:paraId="531367FE"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2A8953A7"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r>
      <w:tr w:rsidR="003A11CD" w:rsidRPr="00E7418B" w14:paraId="00936686"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4AC628B6"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4</w:t>
            </w:r>
          </w:p>
        </w:tc>
        <w:tc>
          <w:tcPr>
            <w:tcW w:w="2129" w:type="dxa"/>
            <w:noWrap/>
            <w:hideMark/>
          </w:tcPr>
          <w:p w14:paraId="2F14A629"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2129" w:type="dxa"/>
            <w:noWrap/>
            <w:hideMark/>
          </w:tcPr>
          <w:p w14:paraId="463736C8"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4F3D5FDC"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r>
      <w:tr w:rsidR="003A11CD" w:rsidRPr="00E7418B" w14:paraId="5D6F1093"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31D0CFDD" w14:textId="77777777"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5</w:t>
            </w:r>
          </w:p>
        </w:tc>
        <w:tc>
          <w:tcPr>
            <w:tcW w:w="2129" w:type="dxa"/>
            <w:noWrap/>
            <w:hideMark/>
          </w:tcPr>
          <w:p w14:paraId="32C31912"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2129" w:type="dxa"/>
            <w:noWrap/>
            <w:hideMark/>
          </w:tcPr>
          <w:p w14:paraId="01A586F8"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2129" w:type="dxa"/>
            <w:noWrap/>
            <w:hideMark/>
          </w:tcPr>
          <w:p w14:paraId="4637957F"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3131C0FB" w14:textId="77777777" w:rsidTr="003A11CD">
        <w:trPr>
          <w:trHeight w:val="377"/>
          <w:jc w:val="center"/>
        </w:trPr>
        <w:tc>
          <w:tcPr>
            <w:cnfStyle w:val="001000000000" w:firstRow="0" w:lastRow="0" w:firstColumn="1" w:lastColumn="0" w:oddVBand="0" w:evenVBand="0" w:oddHBand="0" w:evenHBand="0" w:firstRowFirstColumn="0" w:firstRowLastColumn="0" w:lastRowFirstColumn="0" w:lastRowLastColumn="0"/>
            <w:tcW w:w="2129" w:type="dxa"/>
            <w:noWrap/>
            <w:hideMark/>
          </w:tcPr>
          <w:p w14:paraId="08DBC686" w14:textId="4AEFC6DE" w:rsidR="00AB21F8" w:rsidRPr="00E7418B" w:rsidRDefault="00AB21F8" w:rsidP="00E7418B">
            <w:pPr>
              <w:jc w:val="center"/>
              <w:rPr>
                <w:rFonts w:eastAsia="Times New Roman" w:cs="Arial"/>
                <w:b w:val="0"/>
                <w:bCs w:val="0"/>
                <w:noProof w:val="0"/>
                <w:color w:val="000000" w:themeColor="text1"/>
                <w:szCs w:val="24"/>
                <w:lang w:eastAsia="en-GB"/>
              </w:rPr>
            </w:pPr>
            <w:r w:rsidRPr="00E7418B">
              <w:rPr>
                <w:rFonts w:eastAsia="Times New Roman" w:cs="Arial"/>
                <w:b w:val="0"/>
                <w:bCs w:val="0"/>
                <w:noProof w:val="0"/>
                <w:color w:val="000000" w:themeColor="text1"/>
                <w:szCs w:val="24"/>
                <w:lang w:eastAsia="en-GB"/>
              </w:rPr>
              <w:t>IRR</w:t>
            </w:r>
          </w:p>
        </w:tc>
        <w:tc>
          <w:tcPr>
            <w:tcW w:w="2129" w:type="dxa"/>
            <w:noWrap/>
            <w:hideMark/>
          </w:tcPr>
          <w:p w14:paraId="725BC477"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11.33%</w:t>
            </w:r>
          </w:p>
        </w:tc>
        <w:tc>
          <w:tcPr>
            <w:tcW w:w="2129" w:type="dxa"/>
            <w:noWrap/>
            <w:hideMark/>
          </w:tcPr>
          <w:p w14:paraId="458CF580"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2129" w:type="dxa"/>
            <w:noWrap/>
            <w:hideMark/>
          </w:tcPr>
          <w:p w14:paraId="4BB31B79" w14:textId="77777777" w:rsidR="00AB21F8" w:rsidRPr="00E7418B" w:rsidRDefault="00AB21F8" w:rsidP="00E7418B">
            <w:pPr>
              <w:jc w:val="center"/>
              <w:cnfStyle w:val="000000000000" w:firstRow="0" w:lastRow="0" w:firstColumn="0" w:lastColumn="0" w:oddVBand="0" w:evenVBand="0" w:oddHBand="0" w:evenHBand="0" w:firstRowFirstColumn="0" w:firstRowLastColumn="0" w:lastRowFirstColumn="0" w:lastRowLastColumn="0"/>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15.43%</w:t>
            </w:r>
          </w:p>
        </w:tc>
      </w:tr>
    </w:tbl>
    <w:p w14:paraId="5CC536B9" w14:textId="77777777" w:rsidR="00AB21F8" w:rsidRPr="00E7418B" w:rsidRDefault="00AB21F8" w:rsidP="00E7418B">
      <w:pPr>
        <w:rPr>
          <w:rFonts w:cs="Arial"/>
          <w:color w:val="000000" w:themeColor="text1"/>
          <w:szCs w:val="24"/>
          <w:lang w:val="en-US"/>
        </w:rPr>
      </w:pPr>
    </w:p>
    <w:p w14:paraId="14D1335F" w14:textId="77777777" w:rsidR="00AB21F8" w:rsidRDefault="00AB21F8" w:rsidP="00E7418B">
      <w:pPr>
        <w:rPr>
          <w:rFonts w:cs="Arial"/>
          <w:color w:val="000000" w:themeColor="text1"/>
          <w:szCs w:val="24"/>
          <w:lang w:val="en-US"/>
        </w:rPr>
      </w:pPr>
      <w:r w:rsidRPr="00E7418B">
        <w:rPr>
          <w:rFonts w:cs="Arial"/>
          <w:color w:val="000000" w:themeColor="text1"/>
          <w:szCs w:val="24"/>
          <w:lang w:val="en-US"/>
        </w:rPr>
        <w:t>The maximum amount of discount that is accepted in the computation of IRR. The highest return buffer is across project C.</w:t>
      </w:r>
    </w:p>
    <w:p w14:paraId="30A6FE07" w14:textId="77777777" w:rsidR="002B431B" w:rsidRDefault="002B431B" w:rsidP="00E7418B">
      <w:pPr>
        <w:rPr>
          <w:rFonts w:cs="Arial"/>
          <w:color w:val="000000" w:themeColor="text1"/>
          <w:szCs w:val="24"/>
          <w:lang w:val="en-US"/>
        </w:rPr>
      </w:pPr>
    </w:p>
    <w:p w14:paraId="7E6DF794" w14:textId="77777777" w:rsidR="002B431B" w:rsidRPr="00E7418B" w:rsidRDefault="002B431B" w:rsidP="00E7418B">
      <w:pPr>
        <w:rPr>
          <w:rFonts w:cs="Arial"/>
          <w:color w:val="000000" w:themeColor="text1"/>
          <w:szCs w:val="24"/>
          <w:lang w:val="en-US"/>
        </w:rPr>
      </w:pPr>
    </w:p>
    <w:p w14:paraId="38AC8706" w14:textId="77777777" w:rsidR="00AB21F8" w:rsidRPr="00E7418B" w:rsidRDefault="00AB21F8" w:rsidP="00E7418B">
      <w:pPr>
        <w:pStyle w:val="Heading2"/>
        <w:rPr>
          <w:rFonts w:ascii="Arial" w:hAnsi="Arial" w:cs="Arial"/>
          <w:b/>
          <w:bCs/>
          <w:color w:val="000000" w:themeColor="text1"/>
          <w:sz w:val="24"/>
          <w:szCs w:val="24"/>
        </w:rPr>
      </w:pPr>
      <w:bookmarkStart w:id="24" w:name="_Toc217162982"/>
      <w:r w:rsidRPr="00E7418B">
        <w:rPr>
          <w:rFonts w:ascii="Arial" w:hAnsi="Arial" w:cs="Arial"/>
          <w:b/>
          <w:bCs/>
          <w:color w:val="000000" w:themeColor="text1"/>
          <w:sz w:val="24"/>
          <w:szCs w:val="24"/>
        </w:rPr>
        <w:t>Results Summary &amp; Final Investment Recommendation:</w:t>
      </w:r>
      <w:bookmarkEnd w:id="24"/>
    </w:p>
    <w:tbl>
      <w:tblPr>
        <w:tblStyle w:val="TableGrid"/>
        <w:tblW w:w="0" w:type="auto"/>
        <w:jc w:val="center"/>
        <w:tblLook w:val="04A0" w:firstRow="1" w:lastRow="0" w:firstColumn="1" w:lastColumn="0" w:noHBand="0" w:noVBand="1"/>
      </w:tblPr>
      <w:tblGrid>
        <w:gridCol w:w="2337"/>
        <w:gridCol w:w="2337"/>
        <w:gridCol w:w="2338"/>
        <w:gridCol w:w="2338"/>
      </w:tblGrid>
      <w:tr w:rsidR="003A11CD" w:rsidRPr="00E7418B" w14:paraId="1ED9D735" w14:textId="77777777" w:rsidTr="003A11CD">
        <w:trPr>
          <w:jc w:val="center"/>
        </w:trPr>
        <w:tc>
          <w:tcPr>
            <w:tcW w:w="2337" w:type="dxa"/>
          </w:tcPr>
          <w:p w14:paraId="4DC4BDE8" w14:textId="475EF6BE" w:rsidR="00AB21F8" w:rsidRPr="00E7418B" w:rsidRDefault="00AB21F8" w:rsidP="00E7418B">
            <w:pPr>
              <w:jc w:val="center"/>
              <w:rPr>
                <w:rFonts w:cs="Arial"/>
                <w:color w:val="000000" w:themeColor="text1"/>
                <w:szCs w:val="24"/>
              </w:rPr>
            </w:pPr>
            <w:r w:rsidRPr="00E7418B">
              <w:rPr>
                <w:rFonts w:cs="Arial"/>
                <w:color w:val="000000" w:themeColor="text1"/>
                <w:szCs w:val="24"/>
              </w:rPr>
              <w:t>Metric</w:t>
            </w:r>
          </w:p>
        </w:tc>
        <w:tc>
          <w:tcPr>
            <w:tcW w:w="2337" w:type="dxa"/>
          </w:tcPr>
          <w:p w14:paraId="0FB64720" w14:textId="212CBF40" w:rsidR="00AB21F8" w:rsidRPr="00E7418B" w:rsidRDefault="00AB21F8" w:rsidP="00E7418B">
            <w:pPr>
              <w:jc w:val="center"/>
              <w:rPr>
                <w:rFonts w:cs="Arial"/>
                <w:color w:val="000000" w:themeColor="text1"/>
                <w:szCs w:val="24"/>
              </w:rPr>
            </w:pPr>
            <w:r w:rsidRPr="00E7418B">
              <w:rPr>
                <w:rFonts w:cs="Arial"/>
                <w:color w:val="000000" w:themeColor="text1"/>
                <w:szCs w:val="24"/>
              </w:rPr>
              <w:t>Project A</w:t>
            </w:r>
          </w:p>
        </w:tc>
        <w:tc>
          <w:tcPr>
            <w:tcW w:w="2338" w:type="dxa"/>
          </w:tcPr>
          <w:p w14:paraId="5ED341EF" w14:textId="4CB1C720" w:rsidR="00AB21F8" w:rsidRPr="00E7418B" w:rsidRDefault="00AB21F8" w:rsidP="00E7418B">
            <w:pPr>
              <w:jc w:val="center"/>
              <w:rPr>
                <w:rFonts w:cs="Arial"/>
                <w:color w:val="000000" w:themeColor="text1"/>
                <w:szCs w:val="24"/>
              </w:rPr>
            </w:pPr>
            <w:r w:rsidRPr="00E7418B">
              <w:rPr>
                <w:rFonts w:cs="Arial"/>
                <w:color w:val="000000" w:themeColor="text1"/>
                <w:szCs w:val="24"/>
              </w:rPr>
              <w:t>Project B</w:t>
            </w:r>
          </w:p>
        </w:tc>
        <w:tc>
          <w:tcPr>
            <w:tcW w:w="2338" w:type="dxa"/>
          </w:tcPr>
          <w:p w14:paraId="69954736"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Project C</w:t>
            </w:r>
          </w:p>
        </w:tc>
      </w:tr>
      <w:tr w:rsidR="003A11CD" w:rsidRPr="00E7418B" w14:paraId="167986DE" w14:textId="77777777" w:rsidTr="003A11CD">
        <w:trPr>
          <w:trHeight w:val="724"/>
          <w:jc w:val="center"/>
        </w:trPr>
        <w:tc>
          <w:tcPr>
            <w:tcW w:w="2337" w:type="dxa"/>
          </w:tcPr>
          <w:p w14:paraId="2621D802" w14:textId="5B30FE66" w:rsidR="00AB21F8" w:rsidRPr="00E7418B" w:rsidRDefault="00AB21F8" w:rsidP="00E7418B">
            <w:pPr>
              <w:jc w:val="center"/>
              <w:rPr>
                <w:rFonts w:cs="Arial"/>
                <w:color w:val="000000" w:themeColor="text1"/>
                <w:szCs w:val="24"/>
              </w:rPr>
            </w:pPr>
            <w:r w:rsidRPr="00E7418B">
              <w:rPr>
                <w:rFonts w:cs="Arial"/>
                <w:color w:val="000000" w:themeColor="text1"/>
                <w:szCs w:val="24"/>
              </w:rPr>
              <w:t>Payback Period (Years)</w:t>
            </w:r>
          </w:p>
        </w:tc>
        <w:tc>
          <w:tcPr>
            <w:tcW w:w="2337" w:type="dxa"/>
          </w:tcPr>
          <w:p w14:paraId="7B6890B3" w14:textId="019C7EDA" w:rsidR="00AB21F8" w:rsidRPr="00E7418B" w:rsidRDefault="00AB21F8" w:rsidP="00E7418B">
            <w:pPr>
              <w:jc w:val="center"/>
              <w:rPr>
                <w:rFonts w:cs="Arial"/>
                <w:color w:val="000000" w:themeColor="text1"/>
                <w:szCs w:val="24"/>
              </w:rPr>
            </w:pPr>
            <w:r w:rsidRPr="00E7418B">
              <w:rPr>
                <w:rFonts w:cs="Arial"/>
                <w:color w:val="000000" w:themeColor="text1"/>
                <w:szCs w:val="24"/>
              </w:rPr>
              <w:t>3.4</w:t>
            </w:r>
          </w:p>
        </w:tc>
        <w:tc>
          <w:tcPr>
            <w:tcW w:w="2338" w:type="dxa"/>
          </w:tcPr>
          <w:p w14:paraId="75842A45" w14:textId="6BBB24F8" w:rsidR="00AB21F8" w:rsidRPr="00E7418B" w:rsidRDefault="00AB21F8" w:rsidP="00E7418B">
            <w:pPr>
              <w:jc w:val="center"/>
              <w:rPr>
                <w:rFonts w:cs="Arial"/>
                <w:color w:val="000000" w:themeColor="text1"/>
                <w:szCs w:val="24"/>
              </w:rPr>
            </w:pPr>
            <w:r w:rsidRPr="00E7418B">
              <w:rPr>
                <w:rFonts w:cs="Arial"/>
                <w:color w:val="000000" w:themeColor="text1"/>
                <w:szCs w:val="24"/>
              </w:rPr>
              <w:t>5.0</w:t>
            </w:r>
          </w:p>
        </w:tc>
        <w:tc>
          <w:tcPr>
            <w:tcW w:w="2338" w:type="dxa"/>
          </w:tcPr>
          <w:p w14:paraId="6A569405"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3.6</w:t>
            </w:r>
          </w:p>
        </w:tc>
      </w:tr>
      <w:tr w:rsidR="003A11CD" w:rsidRPr="00E7418B" w14:paraId="2862C814" w14:textId="77777777" w:rsidTr="003A11CD">
        <w:trPr>
          <w:jc w:val="center"/>
        </w:trPr>
        <w:tc>
          <w:tcPr>
            <w:tcW w:w="2337" w:type="dxa"/>
          </w:tcPr>
          <w:p w14:paraId="4F37C093" w14:textId="05862BA5" w:rsidR="00AB21F8" w:rsidRPr="00E7418B" w:rsidRDefault="00AB21F8" w:rsidP="00E7418B">
            <w:pPr>
              <w:jc w:val="center"/>
              <w:rPr>
                <w:rFonts w:cs="Arial"/>
                <w:color w:val="000000" w:themeColor="text1"/>
                <w:szCs w:val="24"/>
              </w:rPr>
            </w:pPr>
            <w:r w:rsidRPr="00E7418B">
              <w:rPr>
                <w:rFonts w:cs="Arial"/>
                <w:color w:val="000000" w:themeColor="text1"/>
                <w:szCs w:val="24"/>
              </w:rPr>
              <w:t>ARR (%)</w:t>
            </w:r>
          </w:p>
        </w:tc>
        <w:tc>
          <w:tcPr>
            <w:tcW w:w="2337" w:type="dxa"/>
          </w:tcPr>
          <w:p w14:paraId="28E39DA6" w14:textId="07450707" w:rsidR="00AB21F8" w:rsidRPr="00E7418B" w:rsidRDefault="00AB21F8" w:rsidP="00E7418B">
            <w:pPr>
              <w:jc w:val="center"/>
              <w:rPr>
                <w:rFonts w:cs="Arial"/>
                <w:color w:val="000000" w:themeColor="text1"/>
                <w:szCs w:val="24"/>
              </w:rPr>
            </w:pPr>
            <w:r w:rsidRPr="00E7418B">
              <w:rPr>
                <w:rFonts w:cs="Arial"/>
                <w:color w:val="000000" w:themeColor="text1"/>
                <w:szCs w:val="24"/>
              </w:rPr>
              <w:t>7.0</w:t>
            </w:r>
          </w:p>
        </w:tc>
        <w:tc>
          <w:tcPr>
            <w:tcW w:w="2338" w:type="dxa"/>
          </w:tcPr>
          <w:p w14:paraId="3F239F67" w14:textId="7E2B3FDA" w:rsidR="00AB21F8" w:rsidRPr="00E7418B" w:rsidRDefault="00AB21F8" w:rsidP="00E7418B">
            <w:pPr>
              <w:jc w:val="center"/>
              <w:rPr>
                <w:rFonts w:cs="Arial"/>
                <w:color w:val="000000" w:themeColor="text1"/>
                <w:szCs w:val="24"/>
              </w:rPr>
            </w:pPr>
            <w:r w:rsidRPr="00E7418B">
              <w:rPr>
                <w:rFonts w:cs="Arial"/>
                <w:color w:val="000000" w:themeColor="text1"/>
                <w:szCs w:val="24"/>
              </w:rPr>
              <w:t>0.0</w:t>
            </w:r>
          </w:p>
        </w:tc>
        <w:tc>
          <w:tcPr>
            <w:tcW w:w="2338" w:type="dxa"/>
          </w:tcPr>
          <w:p w14:paraId="54A711CD"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10.0</w:t>
            </w:r>
          </w:p>
        </w:tc>
      </w:tr>
      <w:tr w:rsidR="003A11CD" w:rsidRPr="00E7418B" w14:paraId="3462661F" w14:textId="77777777" w:rsidTr="003A11CD">
        <w:trPr>
          <w:jc w:val="center"/>
        </w:trPr>
        <w:tc>
          <w:tcPr>
            <w:tcW w:w="2337" w:type="dxa"/>
          </w:tcPr>
          <w:p w14:paraId="70A2829A" w14:textId="5C3D83C2" w:rsidR="00AB21F8" w:rsidRPr="00E7418B" w:rsidRDefault="00AB21F8" w:rsidP="00E7418B">
            <w:pPr>
              <w:jc w:val="center"/>
              <w:rPr>
                <w:rFonts w:cs="Arial"/>
                <w:color w:val="000000" w:themeColor="text1"/>
                <w:szCs w:val="24"/>
              </w:rPr>
            </w:pPr>
            <w:r w:rsidRPr="00E7418B">
              <w:rPr>
                <w:rFonts w:cs="Arial"/>
                <w:color w:val="000000" w:themeColor="text1"/>
                <w:szCs w:val="24"/>
              </w:rPr>
              <w:t>NPV  10% (£m)</w:t>
            </w:r>
          </w:p>
        </w:tc>
        <w:tc>
          <w:tcPr>
            <w:tcW w:w="2337" w:type="dxa"/>
          </w:tcPr>
          <w:p w14:paraId="257937E5" w14:textId="3EF4832B" w:rsidR="00AB21F8" w:rsidRPr="00E7418B" w:rsidRDefault="00AB21F8" w:rsidP="00E7418B">
            <w:pPr>
              <w:jc w:val="center"/>
              <w:rPr>
                <w:rFonts w:cs="Arial"/>
                <w:color w:val="000000" w:themeColor="text1"/>
                <w:szCs w:val="24"/>
              </w:rPr>
            </w:pPr>
            <w:r w:rsidRPr="00E7418B">
              <w:rPr>
                <w:rFonts w:cs="Arial"/>
                <w:color w:val="000000" w:themeColor="text1"/>
                <w:szCs w:val="24"/>
              </w:rPr>
              <w:t>+1.323</w:t>
            </w:r>
          </w:p>
        </w:tc>
        <w:tc>
          <w:tcPr>
            <w:tcW w:w="2338" w:type="dxa"/>
          </w:tcPr>
          <w:p w14:paraId="36621FE3" w14:textId="4558CC5B" w:rsidR="00AB21F8" w:rsidRPr="00E7418B" w:rsidRDefault="00AB21F8" w:rsidP="00E7418B">
            <w:pPr>
              <w:jc w:val="center"/>
              <w:rPr>
                <w:rFonts w:cs="Arial"/>
                <w:color w:val="000000" w:themeColor="text1"/>
                <w:szCs w:val="24"/>
              </w:rPr>
            </w:pPr>
            <w:r w:rsidRPr="00E7418B">
              <w:rPr>
                <w:rFonts w:cs="Arial"/>
                <w:color w:val="000000" w:themeColor="text1"/>
                <w:szCs w:val="24"/>
              </w:rPr>
              <w:t>-7.255</w:t>
            </w:r>
          </w:p>
        </w:tc>
        <w:tc>
          <w:tcPr>
            <w:tcW w:w="2338" w:type="dxa"/>
          </w:tcPr>
          <w:p w14:paraId="6D6E1D2E"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+4.225</w:t>
            </w:r>
          </w:p>
        </w:tc>
      </w:tr>
      <w:tr w:rsidR="003A11CD" w:rsidRPr="00E7418B" w14:paraId="615537BC" w14:textId="77777777" w:rsidTr="003A11CD">
        <w:trPr>
          <w:jc w:val="center"/>
        </w:trPr>
        <w:tc>
          <w:tcPr>
            <w:tcW w:w="2337" w:type="dxa"/>
          </w:tcPr>
          <w:p w14:paraId="3DF48934" w14:textId="7AA4A0B0" w:rsidR="00AB21F8" w:rsidRPr="00E7418B" w:rsidRDefault="00AB21F8" w:rsidP="00E7418B">
            <w:pPr>
              <w:jc w:val="center"/>
              <w:rPr>
                <w:rFonts w:cs="Arial"/>
                <w:color w:val="000000" w:themeColor="text1"/>
                <w:szCs w:val="24"/>
              </w:rPr>
            </w:pPr>
            <w:r w:rsidRPr="00E7418B">
              <w:rPr>
                <w:rFonts w:cs="Arial"/>
                <w:color w:val="000000" w:themeColor="text1"/>
                <w:szCs w:val="24"/>
              </w:rPr>
              <w:t>Profitability Index (PI)</w:t>
            </w:r>
          </w:p>
        </w:tc>
        <w:tc>
          <w:tcPr>
            <w:tcW w:w="2337" w:type="dxa"/>
          </w:tcPr>
          <w:p w14:paraId="694076D7" w14:textId="18B573C8" w:rsidR="00AB21F8" w:rsidRPr="00E7418B" w:rsidRDefault="00AB21F8" w:rsidP="00E7418B">
            <w:pPr>
              <w:jc w:val="center"/>
              <w:rPr>
                <w:rFonts w:cs="Arial"/>
                <w:color w:val="000000" w:themeColor="text1"/>
                <w:szCs w:val="24"/>
              </w:rPr>
            </w:pPr>
            <w:r w:rsidRPr="00E7418B">
              <w:rPr>
                <w:rFonts w:cs="Arial"/>
                <w:color w:val="000000" w:themeColor="text1"/>
                <w:szCs w:val="24"/>
              </w:rPr>
              <w:t>1.033</w:t>
            </w:r>
          </w:p>
        </w:tc>
        <w:tc>
          <w:tcPr>
            <w:tcW w:w="2338" w:type="dxa"/>
          </w:tcPr>
          <w:p w14:paraId="691C05F9" w14:textId="04276C18" w:rsidR="00AB21F8" w:rsidRPr="00E7418B" w:rsidRDefault="00AB21F8" w:rsidP="00E7418B">
            <w:pPr>
              <w:jc w:val="center"/>
              <w:rPr>
                <w:rFonts w:cs="Arial"/>
                <w:color w:val="000000" w:themeColor="text1"/>
                <w:szCs w:val="24"/>
              </w:rPr>
            </w:pPr>
            <w:r w:rsidRPr="00E7418B">
              <w:rPr>
                <w:rFonts w:cs="Arial"/>
                <w:color w:val="000000" w:themeColor="text1"/>
                <w:szCs w:val="24"/>
              </w:rPr>
              <w:t>0.758</w:t>
            </w:r>
          </w:p>
        </w:tc>
        <w:tc>
          <w:tcPr>
            <w:tcW w:w="2338" w:type="dxa"/>
          </w:tcPr>
          <w:p w14:paraId="731E0290"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1.085</w:t>
            </w:r>
          </w:p>
        </w:tc>
      </w:tr>
      <w:tr w:rsidR="003A11CD" w:rsidRPr="00E7418B" w14:paraId="0DEAD8E5" w14:textId="77777777" w:rsidTr="003A11CD">
        <w:trPr>
          <w:jc w:val="center"/>
        </w:trPr>
        <w:tc>
          <w:tcPr>
            <w:tcW w:w="2337" w:type="dxa"/>
          </w:tcPr>
          <w:p w14:paraId="1D481704" w14:textId="776A7D2D" w:rsidR="00AB21F8" w:rsidRPr="00E7418B" w:rsidRDefault="00AB21F8" w:rsidP="00E7418B">
            <w:pPr>
              <w:jc w:val="center"/>
              <w:rPr>
                <w:rFonts w:cs="Arial"/>
                <w:color w:val="000000" w:themeColor="text1"/>
                <w:szCs w:val="24"/>
              </w:rPr>
            </w:pPr>
            <w:r w:rsidRPr="00E7418B">
              <w:rPr>
                <w:rFonts w:cs="Arial"/>
                <w:color w:val="000000" w:themeColor="text1"/>
                <w:szCs w:val="24"/>
              </w:rPr>
              <w:t>IRR (%)</w:t>
            </w:r>
          </w:p>
        </w:tc>
        <w:tc>
          <w:tcPr>
            <w:tcW w:w="2337" w:type="dxa"/>
          </w:tcPr>
          <w:p w14:paraId="71A7C79F" w14:textId="4B512AD9" w:rsidR="00AB21F8" w:rsidRPr="00E7418B" w:rsidRDefault="00AB21F8" w:rsidP="00E7418B">
            <w:pPr>
              <w:jc w:val="center"/>
              <w:rPr>
                <w:rFonts w:cs="Arial"/>
                <w:color w:val="000000" w:themeColor="text1"/>
                <w:szCs w:val="24"/>
              </w:rPr>
            </w:pPr>
            <w:r w:rsidRPr="00E7418B">
              <w:rPr>
                <w:rFonts w:cs="Arial"/>
                <w:color w:val="000000" w:themeColor="text1"/>
                <w:szCs w:val="24"/>
              </w:rPr>
              <w:t>11.33%</w:t>
            </w:r>
          </w:p>
        </w:tc>
        <w:tc>
          <w:tcPr>
            <w:tcW w:w="2338" w:type="dxa"/>
          </w:tcPr>
          <w:p w14:paraId="4CA2106D" w14:textId="03E59848" w:rsidR="00AB21F8" w:rsidRPr="00E7418B" w:rsidRDefault="00AB21F8" w:rsidP="00E7418B">
            <w:pPr>
              <w:jc w:val="center"/>
              <w:rPr>
                <w:rFonts w:cs="Arial"/>
                <w:color w:val="000000" w:themeColor="text1"/>
                <w:szCs w:val="24"/>
              </w:rPr>
            </w:pPr>
            <w:r w:rsidRPr="00E7418B">
              <w:rPr>
                <w:rFonts w:cs="Arial"/>
                <w:color w:val="000000" w:themeColor="text1"/>
                <w:szCs w:val="24"/>
              </w:rPr>
              <w:t>0.0%</w:t>
            </w:r>
          </w:p>
        </w:tc>
        <w:tc>
          <w:tcPr>
            <w:tcW w:w="2338" w:type="dxa"/>
          </w:tcPr>
          <w:p w14:paraId="005D1492" w14:textId="77777777" w:rsidR="00AB21F8" w:rsidRPr="00E7418B" w:rsidRDefault="00AB21F8" w:rsidP="00E7418B">
            <w:pPr>
              <w:jc w:val="center"/>
              <w:rPr>
                <w:rFonts w:cs="Arial"/>
                <w:color w:val="000000" w:themeColor="text1"/>
                <w:szCs w:val="24"/>
              </w:rPr>
            </w:pPr>
            <w:r w:rsidRPr="00E7418B">
              <w:rPr>
                <w:rFonts w:cs="Arial"/>
                <w:color w:val="000000" w:themeColor="text1"/>
                <w:szCs w:val="24"/>
              </w:rPr>
              <w:t>15.43%</w:t>
            </w:r>
          </w:p>
        </w:tc>
      </w:tr>
    </w:tbl>
    <w:p w14:paraId="058F70FC" w14:textId="77777777" w:rsidR="00AB21F8" w:rsidRPr="00E7418B" w:rsidRDefault="00AB21F8" w:rsidP="00E7418B">
      <w:pPr>
        <w:jc w:val="center"/>
        <w:rPr>
          <w:rFonts w:cs="Arial"/>
          <w:noProof w:val="0"/>
          <w:color w:val="000000" w:themeColor="text1"/>
          <w:szCs w:val="24"/>
        </w:rPr>
      </w:pPr>
    </w:p>
    <w:p w14:paraId="6AEE2055" w14:textId="77777777" w:rsidR="00AB21F8" w:rsidRPr="00E7418B" w:rsidRDefault="00AB21F8" w:rsidP="00E7418B">
      <w:pPr>
        <w:rPr>
          <w:rFonts w:cs="Arial"/>
          <w:color w:val="000000" w:themeColor="text1"/>
          <w:szCs w:val="24"/>
        </w:rPr>
      </w:pPr>
      <w:r w:rsidRPr="00E7418B">
        <w:rPr>
          <w:rFonts w:cs="Arial"/>
          <w:color w:val="000000" w:themeColor="text1"/>
          <w:szCs w:val="24"/>
          <w:lang w:val="en-US"/>
        </w:rPr>
        <w:t xml:space="preserve">GE is under severe financial pressure. Liquidity is weak. Cash fell from </w:t>
      </w:r>
      <w:r w:rsidRPr="00E7418B">
        <w:rPr>
          <w:rFonts w:cs="Arial"/>
          <w:color w:val="000000" w:themeColor="text1"/>
          <w:szCs w:val="24"/>
        </w:rPr>
        <w:t>£</w:t>
      </w:r>
      <w:r w:rsidRPr="00E7418B">
        <w:rPr>
          <w:rFonts w:cs="Arial"/>
          <w:color w:val="000000" w:themeColor="text1"/>
          <w:szCs w:val="24"/>
          <w:lang w:val="en-US"/>
        </w:rPr>
        <w:t xml:space="preserve">57bn to </w:t>
      </w:r>
      <w:r w:rsidRPr="00E7418B">
        <w:rPr>
          <w:rFonts w:cs="Arial"/>
          <w:color w:val="000000" w:themeColor="text1"/>
          <w:szCs w:val="24"/>
        </w:rPr>
        <w:t>£</w:t>
      </w:r>
      <w:r w:rsidRPr="00E7418B">
        <w:rPr>
          <w:rFonts w:cs="Arial"/>
          <w:color w:val="000000" w:themeColor="text1"/>
          <w:szCs w:val="24"/>
          <w:lang w:val="en-US"/>
        </w:rPr>
        <w:t xml:space="preserve">26bn. Operating cash is declining. Debt pressure is rising. Profit margins are negative. The company requires a project which enhances long term strength and not short term cash. The last consultation is that GE needs to invest </w:t>
      </w:r>
      <w:r w:rsidRPr="00E7418B">
        <w:rPr>
          <w:rFonts w:cs="Arial"/>
          <w:color w:val="000000" w:themeColor="text1"/>
          <w:szCs w:val="24"/>
        </w:rPr>
        <w:t>£</w:t>
      </w:r>
      <w:r w:rsidRPr="00E7418B">
        <w:rPr>
          <w:rFonts w:cs="Arial"/>
          <w:color w:val="000000" w:themeColor="text1"/>
          <w:szCs w:val="24"/>
          <w:lang w:val="en-US"/>
        </w:rPr>
        <w:t xml:space="preserve">50m in Project C. When the amount of capital limiting its selection is less than </w:t>
      </w:r>
      <w:r w:rsidRPr="00E7418B">
        <w:rPr>
          <w:rFonts w:cs="Arial"/>
          <w:color w:val="000000" w:themeColor="text1"/>
          <w:szCs w:val="24"/>
        </w:rPr>
        <w:t>£</w:t>
      </w:r>
      <w:r w:rsidRPr="00E7418B">
        <w:rPr>
          <w:rFonts w:cs="Arial"/>
          <w:color w:val="000000" w:themeColor="text1"/>
          <w:szCs w:val="24"/>
          <w:lang w:val="en-US"/>
        </w:rPr>
        <w:t>60m, the single best project is selected as a matter of necessity. Project C fairs off well in all significant value-based approaches (NPV, PI, IRR). It is able to maximize shareholder value. It is in tandem with the financial performance of GE. It introduces huge monetary inflows during the later years contributing to the future stability. Project A is acceptable with a better NPV and PI making Project C the best project to be used under limited capital. The cash flows of project C are lumpy. Nevertheless, the crisis of GE is not short-term, it is a long-term crisis. High subsequent flows aid in reducing future liquidity and reducing debts.</w:t>
      </w:r>
      <w:r w:rsidRPr="00E7418B">
        <w:rPr>
          <w:rFonts w:cs="Arial"/>
          <w:color w:val="000000" w:themeColor="text1"/>
          <w:szCs w:val="24"/>
        </w:rPr>
        <w:t xml:space="preserve"> </w:t>
      </w:r>
    </w:p>
    <w:p w14:paraId="4C5B5665" w14:textId="77777777" w:rsidR="00AB21F8" w:rsidRPr="00E7418B" w:rsidRDefault="00AB21F8" w:rsidP="00E7418B">
      <w:pPr>
        <w:jc w:val="left"/>
        <w:rPr>
          <w:rFonts w:eastAsiaTheme="majorEastAsia" w:cs="Arial"/>
          <w:color w:val="000000" w:themeColor="text1"/>
          <w:szCs w:val="24"/>
        </w:rPr>
      </w:pPr>
      <w:r w:rsidRPr="00E7418B">
        <w:rPr>
          <w:rFonts w:cs="Arial"/>
          <w:color w:val="000000" w:themeColor="text1"/>
          <w:szCs w:val="24"/>
        </w:rPr>
        <w:br w:type="page"/>
      </w:r>
    </w:p>
    <w:p w14:paraId="670E33C9" w14:textId="77777777" w:rsidR="00AB21F8" w:rsidRPr="00E7418B" w:rsidRDefault="00AB21F8" w:rsidP="00E7418B">
      <w:pPr>
        <w:pStyle w:val="Heading1"/>
        <w:rPr>
          <w:rFonts w:ascii="Arial" w:hAnsi="Arial" w:cs="Arial"/>
          <w:b/>
          <w:bCs/>
          <w:color w:val="000000" w:themeColor="text1"/>
          <w:sz w:val="24"/>
          <w:szCs w:val="24"/>
        </w:rPr>
      </w:pPr>
      <w:bookmarkStart w:id="25" w:name="_Toc217162983"/>
      <w:r w:rsidRPr="00E7418B">
        <w:rPr>
          <w:rFonts w:ascii="Arial" w:hAnsi="Arial" w:cs="Arial"/>
          <w:b/>
          <w:bCs/>
          <w:color w:val="000000" w:themeColor="text1"/>
          <w:sz w:val="24"/>
          <w:szCs w:val="24"/>
        </w:rPr>
        <w:t>Conclusion</w:t>
      </w:r>
      <w:bookmarkEnd w:id="25"/>
    </w:p>
    <w:p w14:paraId="26E590B8" w14:textId="77777777" w:rsidR="00AB21F8" w:rsidRPr="00E7418B" w:rsidRDefault="00AB21F8" w:rsidP="00E7418B">
      <w:pPr>
        <w:rPr>
          <w:rFonts w:cs="Arial"/>
          <w:color w:val="000000" w:themeColor="text1"/>
          <w:szCs w:val="24"/>
        </w:rPr>
      </w:pPr>
      <w:r w:rsidRPr="00E7418B">
        <w:rPr>
          <w:rFonts w:cs="Arial"/>
          <w:color w:val="000000" w:themeColor="text1"/>
          <w:szCs w:val="24"/>
          <w:lang w:val="en-US"/>
        </w:rPr>
        <w:t>GE is operating in dire financial health, which is evidenced by poor solvency as well as a negative Altman Z-Score. Working capital problems were also evaluated in the report. There was a weakness of inventory, receivables, and payables. An immediate turnaround strategy should be based on the structural financial reforms. The strategy involved selling assets, debt reorganisation, equity income, and operations. It will normalise the balance sheet. This should be done in an ethical and global understanding. The three projects were compared through PBP, ARR, NPV, PI and IRR. The obvious selection in rationing is Project C. GE is now required to exercise good financial management and tactical leadership.</w:t>
      </w:r>
    </w:p>
    <w:p w14:paraId="4FEDAF7F" w14:textId="77777777" w:rsidR="00AB21F8" w:rsidRPr="00E7418B" w:rsidRDefault="00AB21F8" w:rsidP="00E7418B">
      <w:pPr>
        <w:rPr>
          <w:rFonts w:cs="Arial"/>
          <w:color w:val="000000" w:themeColor="text1"/>
          <w:szCs w:val="24"/>
        </w:rPr>
      </w:pPr>
    </w:p>
    <w:p w14:paraId="6C726E01"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 </w:t>
      </w:r>
    </w:p>
    <w:p w14:paraId="7CF31884" w14:textId="77777777" w:rsidR="00AB21F8" w:rsidRPr="00E7418B" w:rsidRDefault="00AB21F8" w:rsidP="00E7418B">
      <w:pPr>
        <w:rPr>
          <w:rFonts w:cs="Arial"/>
          <w:color w:val="000000" w:themeColor="text1"/>
          <w:szCs w:val="24"/>
        </w:rPr>
      </w:pPr>
      <w:r w:rsidRPr="00E7418B">
        <w:rPr>
          <w:rFonts w:cs="Arial"/>
          <w:color w:val="000000" w:themeColor="text1"/>
          <w:szCs w:val="24"/>
        </w:rPr>
        <w:br w:type="page"/>
      </w:r>
    </w:p>
    <w:p w14:paraId="15007F69" w14:textId="77777777" w:rsidR="00AB21F8" w:rsidRPr="00E7418B" w:rsidRDefault="00AB21F8" w:rsidP="00E7418B">
      <w:pPr>
        <w:pStyle w:val="Heading1"/>
        <w:rPr>
          <w:rFonts w:ascii="Arial" w:hAnsi="Arial" w:cs="Arial"/>
          <w:b/>
          <w:bCs/>
          <w:color w:val="000000" w:themeColor="text1"/>
          <w:sz w:val="24"/>
          <w:szCs w:val="24"/>
          <w:lang w:val="en-US"/>
        </w:rPr>
      </w:pPr>
      <w:bookmarkStart w:id="26" w:name="_Toc217162984"/>
      <w:r w:rsidRPr="00E7418B">
        <w:rPr>
          <w:rFonts w:ascii="Arial" w:hAnsi="Arial" w:cs="Arial"/>
          <w:b/>
          <w:bCs/>
          <w:color w:val="000000" w:themeColor="text1"/>
          <w:sz w:val="24"/>
          <w:szCs w:val="24"/>
          <w:lang w:val="en-US"/>
        </w:rPr>
        <w:t>Reference List:</w:t>
      </w:r>
      <w:bookmarkEnd w:id="26"/>
      <w:r w:rsidRPr="00E7418B">
        <w:rPr>
          <w:rFonts w:ascii="Arial" w:hAnsi="Arial" w:cs="Arial"/>
          <w:b/>
          <w:bCs/>
          <w:color w:val="000000" w:themeColor="text1"/>
          <w:sz w:val="24"/>
          <w:szCs w:val="24"/>
          <w:lang w:val="en-US"/>
        </w:rPr>
        <w:t xml:space="preserve"> </w:t>
      </w:r>
    </w:p>
    <w:p w14:paraId="4F249192" w14:textId="77777777" w:rsidR="00AB21F8" w:rsidRPr="00E7418B" w:rsidRDefault="00AB21F8" w:rsidP="00E7418B">
      <w:pPr>
        <w:rPr>
          <w:rFonts w:cs="Arial"/>
          <w:noProof w:val="0"/>
          <w:color w:val="000000" w:themeColor="text1"/>
          <w:szCs w:val="24"/>
        </w:rPr>
      </w:pPr>
      <w:r w:rsidRPr="00E7418B">
        <w:rPr>
          <w:rFonts w:cs="Arial"/>
          <w:color w:val="000000" w:themeColor="text1"/>
          <w:szCs w:val="24"/>
        </w:rPr>
        <w:t>Ahmad, M., Bashir, R. and Waqas, H. (2022). Working capital management and firm performance: Are their effects same in covid 19 compared to financial crisis 2008? Cogent Economics &amp; Finance, [online] 10(1). doi:https://doi.org/10.1080/23322039.2022.2101224.</w:t>
      </w:r>
    </w:p>
    <w:p w14:paraId="48F1713E" w14:textId="77777777" w:rsidR="00AB21F8" w:rsidRPr="00E7418B" w:rsidRDefault="00AB21F8" w:rsidP="00E7418B">
      <w:pPr>
        <w:rPr>
          <w:rFonts w:cs="Arial"/>
          <w:noProof w:val="0"/>
          <w:color w:val="000000" w:themeColor="text1"/>
          <w:szCs w:val="24"/>
        </w:rPr>
      </w:pPr>
      <w:r w:rsidRPr="00E7418B">
        <w:rPr>
          <w:rFonts w:cs="Arial"/>
          <w:color w:val="000000" w:themeColor="text1"/>
          <w:szCs w:val="24"/>
        </w:rPr>
        <w:t>Ali İhsan Akgün and Ayyüce Memiş Karataş (2023). Do impact of cash flows and working capital ratios on performance of listed firms during the crisis? The cases of EU-28 and Western European countries. Journal of Economic and Administrative Sciences, 5(14). doi:https://doi.org/10.1108/jeas-01-2023-0018.</w:t>
      </w:r>
    </w:p>
    <w:p w14:paraId="7192443E"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Carmona, G., Caggiano, F., Caggiano, I. and Silva, J. (2023). Working Capital Management Efficiency and Performance: Evidence from an Emerging Market. [online] Available at: </w:t>
      </w:r>
      <w:hyperlink r:id="rId12" w:history="1">
        <w:r w:rsidRPr="00E7418B">
          <w:rPr>
            <w:rStyle w:val="Hyperlink"/>
            <w:rFonts w:cs="Arial"/>
            <w:color w:val="000000" w:themeColor="text1"/>
            <w:szCs w:val="24"/>
          </w:rPr>
          <w:t>https://www.ijbmer.com/docs/volumes/vol15issue2/ijbmer2024150203.pdf?utm</w:t>
        </w:r>
      </w:hyperlink>
      <w:r w:rsidRPr="00E7418B">
        <w:rPr>
          <w:rFonts w:cs="Arial"/>
          <w:color w:val="000000" w:themeColor="text1"/>
          <w:szCs w:val="24"/>
        </w:rPr>
        <w:t xml:space="preserve"> [Accessed 2 Dec. 2025].</w:t>
      </w:r>
    </w:p>
    <w:p w14:paraId="1350EDDF" w14:textId="77777777" w:rsidR="00AB21F8" w:rsidRPr="00E7418B" w:rsidRDefault="00AB21F8" w:rsidP="00E7418B">
      <w:pPr>
        <w:rPr>
          <w:rFonts w:cs="Arial"/>
          <w:noProof w:val="0"/>
          <w:color w:val="000000" w:themeColor="text1"/>
          <w:szCs w:val="24"/>
        </w:rPr>
      </w:pPr>
      <w:r w:rsidRPr="00E7418B">
        <w:rPr>
          <w:rFonts w:cs="Arial"/>
          <w:color w:val="000000" w:themeColor="text1"/>
          <w:szCs w:val="24"/>
        </w:rPr>
        <w:t>Kiymaz, H., Haque, S. and Choudhury, A.A. (2024). Working capital management and firm performance: A comparative analysis of developed and emerging economies. Borsa Istanbul Review, 24(3). doi:https://doi.org/10.1016/j.bir.2024.03.004.</w:t>
      </w:r>
    </w:p>
    <w:p w14:paraId="22C23458"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Kumar, I. (2019). Issue 1 www. IJRAR1CBP130 International Journal of Research and Analytical Reviews, [online] 6(14). Available at: </w:t>
      </w:r>
      <w:hyperlink r:id="rId13" w:history="1">
        <w:r w:rsidRPr="00E7418B">
          <w:rPr>
            <w:rStyle w:val="Hyperlink"/>
            <w:rFonts w:cs="Arial"/>
            <w:color w:val="000000" w:themeColor="text1"/>
            <w:szCs w:val="24"/>
          </w:rPr>
          <w:t>https://ijrar.org/papers/IJRAR1CBP130.pdf?utm</w:t>
        </w:r>
      </w:hyperlink>
      <w:r w:rsidRPr="00E7418B">
        <w:rPr>
          <w:rFonts w:cs="Arial"/>
          <w:color w:val="000000" w:themeColor="text1"/>
          <w:szCs w:val="24"/>
        </w:rPr>
        <w:t xml:space="preserve"> [Accessed 2 Dec. 2025].</w:t>
      </w:r>
    </w:p>
    <w:p w14:paraId="0F5ECD84" w14:textId="77777777" w:rsidR="00AB21F8" w:rsidRPr="00E7418B" w:rsidRDefault="00AB21F8" w:rsidP="00E7418B">
      <w:pPr>
        <w:rPr>
          <w:rFonts w:cs="Arial"/>
          <w:color w:val="000000" w:themeColor="text1"/>
          <w:szCs w:val="24"/>
        </w:rPr>
      </w:pPr>
      <w:r w:rsidRPr="00E7418B">
        <w:rPr>
          <w:rFonts w:cs="Arial"/>
          <w:color w:val="000000" w:themeColor="text1"/>
          <w:szCs w:val="24"/>
        </w:rPr>
        <w:t>Li, X., Gupta, J., Bu, Z. and Chacko George Kannothra (2023). Effect of cash flow risk on corporate failures, and the moderating role of earnings management and abnormal compensation. International Review of Financial Analysis, 89(8), pp.102762–102762. doi:https://doi.org/10.1016/j.irfa.2023.102762.</w:t>
      </w:r>
    </w:p>
    <w:p w14:paraId="42FF079C"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Rashid, C. A. (2021). </w:t>
      </w:r>
      <w:r w:rsidRPr="00E7418B">
        <w:rPr>
          <w:rStyle w:val="Emphasis"/>
          <w:rFonts w:cs="Arial"/>
          <w:i w:val="0"/>
          <w:iCs w:val="0"/>
          <w:color w:val="000000" w:themeColor="text1"/>
          <w:szCs w:val="24"/>
        </w:rPr>
        <w:t>The Efficiency of Financial Ratios Analysis to Evaluate Company’s Profitability.</w:t>
      </w:r>
      <w:r w:rsidRPr="00E7418B">
        <w:rPr>
          <w:rFonts w:cs="Arial"/>
          <w:color w:val="000000" w:themeColor="text1"/>
          <w:szCs w:val="24"/>
        </w:rPr>
        <w:t xml:space="preserve"> </w:t>
      </w:r>
      <w:r w:rsidRPr="00E7418B">
        <w:rPr>
          <w:rStyle w:val="Emphasis"/>
          <w:rFonts w:cs="Arial"/>
          <w:i w:val="0"/>
          <w:iCs w:val="0"/>
          <w:color w:val="000000" w:themeColor="text1"/>
          <w:szCs w:val="24"/>
        </w:rPr>
        <w:t>Journal of Global Economics and Business</w:t>
      </w:r>
      <w:r w:rsidRPr="00E7418B">
        <w:rPr>
          <w:rFonts w:cs="Arial"/>
          <w:color w:val="000000" w:themeColor="text1"/>
          <w:szCs w:val="24"/>
        </w:rPr>
        <w:t xml:space="preserve">, 2(4), 119-132. </w:t>
      </w:r>
    </w:p>
    <w:p w14:paraId="4CD3D086"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Sardar, J. and Singh (2023). Ratio analysis in financial performance of a company: A review. [online] International Journal of Commerce and Management Research International Journal of Commerce and Management Research, pp.2455–1627. Available at: </w:t>
      </w:r>
      <w:hyperlink r:id="rId14" w:history="1">
        <w:r w:rsidRPr="00E7418B">
          <w:rPr>
            <w:rStyle w:val="Hyperlink"/>
            <w:rFonts w:cs="Arial"/>
            <w:color w:val="000000" w:themeColor="text1"/>
            <w:szCs w:val="24"/>
          </w:rPr>
          <w:t>https://www.managejournal.com/assets/archives/2020/vol6issue2/6-1-39-950.pdf?utm</w:t>
        </w:r>
      </w:hyperlink>
      <w:r w:rsidRPr="00E7418B">
        <w:rPr>
          <w:rFonts w:cs="Arial"/>
          <w:color w:val="000000" w:themeColor="text1"/>
          <w:szCs w:val="24"/>
        </w:rPr>
        <w:t xml:space="preserve"> [Accessed 2 Dec. 2025].</w:t>
      </w:r>
    </w:p>
    <w:p w14:paraId="74F3913F" w14:textId="77777777" w:rsidR="00AB21F8" w:rsidRPr="00E7418B" w:rsidRDefault="00AB21F8" w:rsidP="00E7418B">
      <w:pPr>
        <w:rPr>
          <w:rFonts w:cs="Arial"/>
          <w:color w:val="000000" w:themeColor="text1"/>
          <w:szCs w:val="24"/>
        </w:rPr>
      </w:pPr>
      <w:r w:rsidRPr="00E7418B">
        <w:rPr>
          <w:rFonts w:cs="Arial"/>
          <w:color w:val="000000" w:themeColor="text1"/>
          <w:szCs w:val="24"/>
        </w:rPr>
        <w:t xml:space="preserve">Taebi, A., Zeinali, H. and Beytollahi, A. (2022). The Effect of Company’s Interest Coverage Ratio on the Structural and Reduced-Form Models in Predicting Credit Derivatives Price. Iranian Journal of Management Studies (IJMS), [online] 2022(1), pp.169–188. Available at: </w:t>
      </w:r>
      <w:hyperlink r:id="rId15" w:history="1">
        <w:r w:rsidRPr="00E7418B">
          <w:rPr>
            <w:rStyle w:val="Hyperlink"/>
            <w:rFonts w:cs="Arial"/>
            <w:color w:val="000000" w:themeColor="text1"/>
            <w:szCs w:val="24"/>
          </w:rPr>
          <w:t>https://ijms.ut.ac.ir/article_82863_9593d65c29a5af008b854910b9c558dc.pdf?utm</w:t>
        </w:r>
      </w:hyperlink>
      <w:r w:rsidRPr="00E7418B">
        <w:rPr>
          <w:rFonts w:cs="Arial"/>
          <w:color w:val="000000" w:themeColor="text1"/>
          <w:szCs w:val="24"/>
        </w:rPr>
        <w:t xml:space="preserve"> [Accessed 2 Dec. 2025].</w:t>
      </w:r>
    </w:p>
    <w:p w14:paraId="3F1825A8" w14:textId="77777777" w:rsidR="00AB21F8" w:rsidRPr="00E7418B" w:rsidRDefault="00AB21F8" w:rsidP="00E7418B">
      <w:pPr>
        <w:jc w:val="left"/>
        <w:rPr>
          <w:rFonts w:cs="Arial"/>
          <w:color w:val="000000" w:themeColor="text1"/>
          <w:szCs w:val="24"/>
        </w:rPr>
      </w:pPr>
      <w:r w:rsidRPr="00E7418B">
        <w:rPr>
          <w:rFonts w:cs="Arial"/>
          <w:color w:val="000000" w:themeColor="text1"/>
          <w:szCs w:val="24"/>
        </w:rPr>
        <w:br w:type="page"/>
      </w:r>
    </w:p>
    <w:p w14:paraId="1C697CF8" w14:textId="77777777" w:rsidR="007A4E1A" w:rsidRPr="002B431B" w:rsidRDefault="00AB21F8" w:rsidP="00E7418B">
      <w:pPr>
        <w:pStyle w:val="Heading1"/>
        <w:rPr>
          <w:rFonts w:ascii="Arial" w:hAnsi="Arial" w:cs="Arial"/>
          <w:b/>
          <w:bCs/>
          <w:color w:val="000000" w:themeColor="text1"/>
          <w:sz w:val="28"/>
          <w:szCs w:val="28"/>
        </w:rPr>
      </w:pPr>
      <w:bookmarkStart w:id="27" w:name="_Toc217162985"/>
      <w:r w:rsidRPr="002B431B">
        <w:rPr>
          <w:rFonts w:ascii="Arial" w:hAnsi="Arial" w:cs="Arial"/>
          <w:b/>
          <w:bCs/>
          <w:color w:val="000000" w:themeColor="text1"/>
          <w:sz w:val="28"/>
          <w:szCs w:val="28"/>
        </w:rPr>
        <w:t>Appendices:</w:t>
      </w:r>
      <w:bookmarkEnd w:id="27"/>
      <w:r w:rsidRPr="002B431B">
        <w:rPr>
          <w:rFonts w:ascii="Arial" w:hAnsi="Arial" w:cs="Arial"/>
          <w:b/>
          <w:bCs/>
          <w:color w:val="000000" w:themeColor="text1"/>
          <w:sz w:val="28"/>
          <w:szCs w:val="28"/>
        </w:rPr>
        <w:t xml:space="preserve"> </w:t>
      </w:r>
    </w:p>
    <w:p w14:paraId="15EBEEE4" w14:textId="77777777" w:rsidR="00AB21F8" w:rsidRPr="00E7418B" w:rsidRDefault="00AB21F8" w:rsidP="00E7418B">
      <w:pPr>
        <w:pStyle w:val="Heading2"/>
        <w:rPr>
          <w:rFonts w:ascii="Arial" w:hAnsi="Arial" w:cs="Arial"/>
          <w:b/>
          <w:bCs/>
          <w:color w:val="000000" w:themeColor="text1"/>
          <w:sz w:val="24"/>
          <w:szCs w:val="24"/>
        </w:rPr>
      </w:pPr>
      <w:bookmarkStart w:id="28" w:name="_Toc217162986"/>
      <w:r w:rsidRPr="00E7418B">
        <w:rPr>
          <w:rFonts w:ascii="Arial" w:hAnsi="Arial" w:cs="Arial"/>
          <w:b/>
          <w:bCs/>
          <w:color w:val="000000" w:themeColor="text1"/>
          <w:sz w:val="24"/>
          <w:szCs w:val="24"/>
        </w:rPr>
        <w:t>Ratio Analysis of GE</w:t>
      </w:r>
      <w:bookmarkEnd w:id="28"/>
    </w:p>
    <w:p w14:paraId="17386E88"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Gross Profit Margin</w:t>
      </w:r>
    </w:p>
    <w:tbl>
      <w:tblPr>
        <w:tblW w:w="9842" w:type="dxa"/>
        <w:tblInd w:w="-5" w:type="dxa"/>
        <w:tblLook w:val="04A0" w:firstRow="1" w:lastRow="0" w:firstColumn="1" w:lastColumn="0" w:noHBand="0" w:noVBand="1"/>
      </w:tblPr>
      <w:tblGrid>
        <w:gridCol w:w="2089"/>
        <w:gridCol w:w="1569"/>
        <w:gridCol w:w="1546"/>
        <w:gridCol w:w="1546"/>
        <w:gridCol w:w="1546"/>
        <w:gridCol w:w="1546"/>
      </w:tblGrid>
      <w:tr w:rsidR="003A11CD" w:rsidRPr="00E7418B" w14:paraId="6EA26C42" w14:textId="77777777" w:rsidTr="003A11CD">
        <w:trPr>
          <w:trHeight w:val="315"/>
        </w:trPr>
        <w:tc>
          <w:tcPr>
            <w:tcW w:w="2089" w:type="dxa"/>
            <w:tcBorders>
              <w:top w:val="single" w:sz="4" w:space="0" w:color="auto"/>
              <w:left w:val="single" w:sz="4" w:space="0" w:color="auto"/>
              <w:bottom w:val="single" w:sz="4" w:space="0" w:color="auto"/>
              <w:right w:val="single" w:sz="4" w:space="0" w:color="auto"/>
            </w:tcBorders>
            <w:vAlign w:val="center"/>
            <w:hideMark/>
          </w:tcPr>
          <w:p w14:paraId="6AF518BE" w14:textId="07AC1461" w:rsidR="00AB21F8" w:rsidRPr="00E7418B" w:rsidRDefault="00AB21F8" w:rsidP="00E7418B">
            <w:pPr>
              <w:spacing w:after="0"/>
              <w:jc w:val="center"/>
              <w:rPr>
                <w:rFonts w:eastAsia="Times New Roman" w:cs="Arial"/>
                <w:noProof w:val="0"/>
                <w:color w:val="000000" w:themeColor="text1"/>
                <w:szCs w:val="24"/>
                <w:lang w:eastAsia="en-GB"/>
              </w:rPr>
            </w:pPr>
          </w:p>
        </w:tc>
        <w:tc>
          <w:tcPr>
            <w:tcW w:w="1569" w:type="dxa"/>
            <w:tcBorders>
              <w:top w:val="single" w:sz="4" w:space="0" w:color="auto"/>
              <w:left w:val="nil"/>
              <w:bottom w:val="single" w:sz="4" w:space="0" w:color="auto"/>
              <w:right w:val="single" w:sz="4" w:space="0" w:color="auto"/>
            </w:tcBorders>
            <w:noWrap/>
            <w:vAlign w:val="center"/>
            <w:hideMark/>
          </w:tcPr>
          <w:p w14:paraId="57C319D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46" w:type="dxa"/>
            <w:tcBorders>
              <w:top w:val="single" w:sz="4" w:space="0" w:color="auto"/>
              <w:left w:val="nil"/>
              <w:bottom w:val="single" w:sz="4" w:space="0" w:color="auto"/>
              <w:right w:val="single" w:sz="4" w:space="0" w:color="auto"/>
            </w:tcBorders>
            <w:noWrap/>
            <w:vAlign w:val="center"/>
            <w:hideMark/>
          </w:tcPr>
          <w:p w14:paraId="72C378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46" w:type="dxa"/>
            <w:tcBorders>
              <w:top w:val="single" w:sz="4" w:space="0" w:color="auto"/>
              <w:left w:val="nil"/>
              <w:bottom w:val="single" w:sz="4" w:space="0" w:color="auto"/>
              <w:right w:val="single" w:sz="4" w:space="0" w:color="auto"/>
            </w:tcBorders>
            <w:noWrap/>
            <w:vAlign w:val="center"/>
            <w:hideMark/>
          </w:tcPr>
          <w:p w14:paraId="4FE5D76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46" w:type="dxa"/>
            <w:tcBorders>
              <w:top w:val="single" w:sz="4" w:space="0" w:color="auto"/>
              <w:left w:val="nil"/>
              <w:bottom w:val="single" w:sz="4" w:space="0" w:color="auto"/>
              <w:right w:val="single" w:sz="4" w:space="0" w:color="auto"/>
            </w:tcBorders>
            <w:noWrap/>
            <w:vAlign w:val="center"/>
            <w:hideMark/>
          </w:tcPr>
          <w:p w14:paraId="3F852C5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46" w:type="dxa"/>
            <w:tcBorders>
              <w:top w:val="single" w:sz="4" w:space="0" w:color="auto"/>
              <w:left w:val="nil"/>
              <w:bottom w:val="single" w:sz="4" w:space="0" w:color="auto"/>
              <w:right w:val="single" w:sz="4" w:space="0" w:color="auto"/>
            </w:tcBorders>
            <w:noWrap/>
            <w:vAlign w:val="center"/>
            <w:hideMark/>
          </w:tcPr>
          <w:p w14:paraId="7303AA1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4B5D0B33" w14:textId="77777777" w:rsidTr="003A11CD">
        <w:trPr>
          <w:trHeight w:val="303"/>
        </w:trPr>
        <w:tc>
          <w:tcPr>
            <w:tcW w:w="2089" w:type="dxa"/>
            <w:tcBorders>
              <w:top w:val="nil"/>
              <w:left w:val="single" w:sz="4" w:space="0" w:color="auto"/>
              <w:bottom w:val="single" w:sz="4" w:space="0" w:color="auto"/>
              <w:right w:val="single" w:sz="4" w:space="0" w:color="auto"/>
            </w:tcBorders>
            <w:vAlign w:val="center"/>
            <w:hideMark/>
          </w:tcPr>
          <w:p w14:paraId="682009B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569" w:type="dxa"/>
            <w:tcBorders>
              <w:top w:val="nil"/>
              <w:left w:val="nil"/>
              <w:bottom w:val="single" w:sz="4" w:space="0" w:color="auto"/>
              <w:right w:val="single" w:sz="4" w:space="0" w:color="auto"/>
            </w:tcBorders>
            <w:noWrap/>
            <w:vAlign w:val="center"/>
            <w:hideMark/>
          </w:tcPr>
          <w:p w14:paraId="3020FD4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46" w:type="dxa"/>
            <w:tcBorders>
              <w:top w:val="nil"/>
              <w:left w:val="nil"/>
              <w:bottom w:val="single" w:sz="4" w:space="0" w:color="auto"/>
              <w:right w:val="single" w:sz="4" w:space="0" w:color="auto"/>
            </w:tcBorders>
            <w:noWrap/>
            <w:vAlign w:val="center"/>
            <w:hideMark/>
          </w:tcPr>
          <w:p w14:paraId="7CA08F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46" w:type="dxa"/>
            <w:tcBorders>
              <w:top w:val="nil"/>
              <w:left w:val="nil"/>
              <w:bottom w:val="single" w:sz="4" w:space="0" w:color="auto"/>
              <w:right w:val="single" w:sz="4" w:space="0" w:color="auto"/>
            </w:tcBorders>
            <w:noWrap/>
            <w:vAlign w:val="center"/>
            <w:hideMark/>
          </w:tcPr>
          <w:p w14:paraId="36B4398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46" w:type="dxa"/>
            <w:tcBorders>
              <w:top w:val="nil"/>
              <w:left w:val="nil"/>
              <w:bottom w:val="single" w:sz="4" w:space="0" w:color="auto"/>
              <w:right w:val="single" w:sz="4" w:space="0" w:color="auto"/>
            </w:tcBorders>
            <w:noWrap/>
            <w:vAlign w:val="center"/>
            <w:hideMark/>
          </w:tcPr>
          <w:p w14:paraId="3B1103D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46" w:type="dxa"/>
            <w:tcBorders>
              <w:top w:val="nil"/>
              <w:left w:val="nil"/>
              <w:bottom w:val="single" w:sz="4" w:space="0" w:color="auto"/>
              <w:right w:val="single" w:sz="4" w:space="0" w:color="auto"/>
            </w:tcBorders>
            <w:noWrap/>
            <w:vAlign w:val="center"/>
            <w:hideMark/>
          </w:tcPr>
          <w:p w14:paraId="16CCD6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464C800" w14:textId="77777777" w:rsidTr="003A11CD">
        <w:trPr>
          <w:trHeight w:val="277"/>
        </w:trPr>
        <w:tc>
          <w:tcPr>
            <w:tcW w:w="2089" w:type="dxa"/>
            <w:tcBorders>
              <w:top w:val="nil"/>
              <w:left w:val="single" w:sz="4" w:space="0" w:color="auto"/>
              <w:bottom w:val="single" w:sz="4" w:space="0" w:color="auto"/>
              <w:right w:val="single" w:sz="4" w:space="0" w:color="auto"/>
            </w:tcBorders>
            <w:vAlign w:val="center"/>
            <w:hideMark/>
          </w:tcPr>
          <w:p w14:paraId="4B836E9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Gross profit</w:t>
            </w:r>
          </w:p>
        </w:tc>
        <w:tc>
          <w:tcPr>
            <w:tcW w:w="1569" w:type="dxa"/>
            <w:tcBorders>
              <w:top w:val="nil"/>
              <w:left w:val="nil"/>
              <w:bottom w:val="single" w:sz="4" w:space="0" w:color="auto"/>
              <w:right w:val="single" w:sz="4" w:space="0" w:color="auto"/>
            </w:tcBorders>
            <w:noWrap/>
            <w:vAlign w:val="center"/>
            <w:hideMark/>
          </w:tcPr>
          <w:p w14:paraId="0C370A4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113,994</w:t>
            </w:r>
          </w:p>
        </w:tc>
        <w:tc>
          <w:tcPr>
            <w:tcW w:w="1546" w:type="dxa"/>
            <w:tcBorders>
              <w:top w:val="nil"/>
              <w:left w:val="nil"/>
              <w:bottom w:val="single" w:sz="4" w:space="0" w:color="auto"/>
              <w:right w:val="single" w:sz="4" w:space="0" w:color="auto"/>
            </w:tcBorders>
            <w:noWrap/>
            <w:vAlign w:val="center"/>
            <w:hideMark/>
          </w:tcPr>
          <w:p w14:paraId="3692E53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97,560</w:t>
            </w:r>
          </w:p>
        </w:tc>
        <w:tc>
          <w:tcPr>
            <w:tcW w:w="1546" w:type="dxa"/>
            <w:tcBorders>
              <w:top w:val="nil"/>
              <w:left w:val="nil"/>
              <w:bottom w:val="single" w:sz="4" w:space="0" w:color="auto"/>
              <w:right w:val="single" w:sz="4" w:space="0" w:color="auto"/>
            </w:tcBorders>
            <w:noWrap/>
            <w:vAlign w:val="center"/>
            <w:hideMark/>
          </w:tcPr>
          <w:p w14:paraId="3C70667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152,292</w:t>
            </w:r>
          </w:p>
        </w:tc>
        <w:tc>
          <w:tcPr>
            <w:tcW w:w="1546" w:type="dxa"/>
            <w:tcBorders>
              <w:top w:val="nil"/>
              <w:left w:val="nil"/>
              <w:bottom w:val="single" w:sz="4" w:space="0" w:color="auto"/>
              <w:right w:val="single" w:sz="4" w:space="0" w:color="auto"/>
            </w:tcBorders>
            <w:noWrap/>
            <w:vAlign w:val="center"/>
            <w:hideMark/>
          </w:tcPr>
          <w:p w14:paraId="3F18BEC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173,016</w:t>
            </w:r>
          </w:p>
        </w:tc>
        <w:tc>
          <w:tcPr>
            <w:tcW w:w="1546" w:type="dxa"/>
            <w:tcBorders>
              <w:top w:val="nil"/>
              <w:left w:val="nil"/>
              <w:bottom w:val="single" w:sz="4" w:space="0" w:color="auto"/>
              <w:right w:val="single" w:sz="4" w:space="0" w:color="auto"/>
            </w:tcBorders>
            <w:noWrap/>
            <w:vAlign w:val="center"/>
            <w:hideMark/>
          </w:tcPr>
          <w:p w14:paraId="335A907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176,256</w:t>
            </w:r>
          </w:p>
        </w:tc>
      </w:tr>
      <w:tr w:rsidR="003A11CD" w:rsidRPr="00E7418B" w14:paraId="39EE2D67" w14:textId="77777777" w:rsidTr="003A11CD">
        <w:trPr>
          <w:trHeight w:val="1182"/>
        </w:trPr>
        <w:tc>
          <w:tcPr>
            <w:tcW w:w="2089" w:type="dxa"/>
            <w:tcBorders>
              <w:top w:val="nil"/>
              <w:left w:val="single" w:sz="4" w:space="0" w:color="auto"/>
              <w:bottom w:val="single" w:sz="4" w:space="0" w:color="auto"/>
              <w:right w:val="single" w:sz="4" w:space="0" w:color="auto"/>
            </w:tcBorders>
            <w:vAlign w:val="center"/>
            <w:hideMark/>
          </w:tcPr>
          <w:p w14:paraId="1959664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Gross Profit Margin = (Gross Profit / Net Sales) × 100.</w:t>
            </w:r>
          </w:p>
        </w:tc>
        <w:tc>
          <w:tcPr>
            <w:tcW w:w="1569" w:type="dxa"/>
            <w:tcBorders>
              <w:top w:val="nil"/>
              <w:left w:val="nil"/>
              <w:bottom w:val="single" w:sz="4" w:space="0" w:color="auto"/>
              <w:right w:val="single" w:sz="4" w:space="0" w:color="auto"/>
            </w:tcBorders>
            <w:noWrap/>
            <w:vAlign w:val="center"/>
            <w:hideMark/>
          </w:tcPr>
          <w:p w14:paraId="15B5165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28.87%</w:t>
            </w:r>
          </w:p>
        </w:tc>
        <w:tc>
          <w:tcPr>
            <w:tcW w:w="1546" w:type="dxa"/>
            <w:tcBorders>
              <w:top w:val="nil"/>
              <w:left w:val="nil"/>
              <w:bottom w:val="single" w:sz="4" w:space="0" w:color="auto"/>
              <w:right w:val="single" w:sz="4" w:space="0" w:color="auto"/>
            </w:tcBorders>
            <w:noWrap/>
            <w:vAlign w:val="center"/>
            <w:hideMark/>
          </w:tcPr>
          <w:p w14:paraId="5F2801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23.20%</w:t>
            </w:r>
          </w:p>
        </w:tc>
        <w:tc>
          <w:tcPr>
            <w:tcW w:w="1546" w:type="dxa"/>
            <w:tcBorders>
              <w:top w:val="nil"/>
              <w:left w:val="nil"/>
              <w:bottom w:val="single" w:sz="4" w:space="0" w:color="auto"/>
              <w:right w:val="single" w:sz="4" w:space="0" w:color="auto"/>
            </w:tcBorders>
            <w:noWrap/>
            <w:vAlign w:val="center"/>
            <w:hideMark/>
          </w:tcPr>
          <w:p w14:paraId="1CDE722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28.06%</w:t>
            </w:r>
          </w:p>
        </w:tc>
        <w:tc>
          <w:tcPr>
            <w:tcW w:w="1546" w:type="dxa"/>
            <w:tcBorders>
              <w:top w:val="nil"/>
              <w:left w:val="nil"/>
              <w:bottom w:val="single" w:sz="4" w:space="0" w:color="auto"/>
              <w:right w:val="single" w:sz="4" w:space="0" w:color="auto"/>
            </w:tcBorders>
            <w:noWrap/>
            <w:vAlign w:val="center"/>
            <w:hideMark/>
          </w:tcPr>
          <w:p w14:paraId="1CCF387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28.76%</w:t>
            </w:r>
          </w:p>
        </w:tc>
        <w:tc>
          <w:tcPr>
            <w:tcW w:w="1546" w:type="dxa"/>
            <w:tcBorders>
              <w:top w:val="nil"/>
              <w:left w:val="nil"/>
              <w:bottom w:val="single" w:sz="4" w:space="0" w:color="auto"/>
              <w:right w:val="single" w:sz="4" w:space="0" w:color="auto"/>
            </w:tcBorders>
            <w:noWrap/>
            <w:vAlign w:val="center"/>
            <w:hideMark/>
          </w:tcPr>
          <w:p w14:paraId="54B4DF7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28.67%</w:t>
            </w:r>
          </w:p>
        </w:tc>
      </w:tr>
    </w:tbl>
    <w:p w14:paraId="5B48FCA5" w14:textId="77777777" w:rsidR="00FA7D76" w:rsidRDefault="00FA7D76" w:rsidP="00E7418B">
      <w:pPr>
        <w:spacing w:after="0"/>
        <w:rPr>
          <w:rFonts w:eastAsia="Times New Roman" w:cs="Arial"/>
          <w:b/>
          <w:bCs/>
          <w:color w:val="000000" w:themeColor="text1"/>
          <w:szCs w:val="24"/>
          <w:lang w:eastAsia="en-GB"/>
        </w:rPr>
      </w:pPr>
    </w:p>
    <w:p w14:paraId="0C177F0B" w14:textId="2E0D9CE6"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Operating Profit Margin (OPM)</w:t>
      </w:r>
    </w:p>
    <w:tbl>
      <w:tblPr>
        <w:tblW w:w="9828" w:type="dxa"/>
        <w:tblInd w:w="-5" w:type="dxa"/>
        <w:tblLook w:val="04A0" w:firstRow="1" w:lastRow="0" w:firstColumn="1" w:lastColumn="0" w:noHBand="0" w:noVBand="1"/>
      </w:tblPr>
      <w:tblGrid>
        <w:gridCol w:w="2034"/>
        <w:gridCol w:w="1581"/>
        <w:gridCol w:w="1581"/>
        <w:gridCol w:w="1544"/>
        <w:gridCol w:w="1544"/>
        <w:gridCol w:w="1544"/>
      </w:tblGrid>
      <w:tr w:rsidR="003A11CD" w:rsidRPr="00E7418B" w14:paraId="446C6072" w14:textId="77777777" w:rsidTr="003A11CD">
        <w:trPr>
          <w:trHeight w:val="252"/>
        </w:trPr>
        <w:tc>
          <w:tcPr>
            <w:tcW w:w="2034" w:type="dxa"/>
            <w:tcBorders>
              <w:top w:val="single" w:sz="4" w:space="0" w:color="auto"/>
              <w:left w:val="single" w:sz="4" w:space="0" w:color="auto"/>
              <w:bottom w:val="single" w:sz="4" w:space="0" w:color="auto"/>
              <w:right w:val="single" w:sz="4" w:space="0" w:color="auto"/>
            </w:tcBorders>
            <w:vAlign w:val="bottom"/>
            <w:hideMark/>
          </w:tcPr>
          <w:p w14:paraId="7C7173B4" w14:textId="54AAAD53" w:rsidR="00AB21F8" w:rsidRPr="00E7418B" w:rsidRDefault="00AB21F8" w:rsidP="00FA7D76">
            <w:pPr>
              <w:spacing w:after="0"/>
              <w:jc w:val="center"/>
              <w:rPr>
                <w:rFonts w:eastAsia="Times New Roman" w:cs="Arial"/>
                <w:noProof w:val="0"/>
                <w:color w:val="000000" w:themeColor="text1"/>
                <w:szCs w:val="24"/>
                <w:lang w:eastAsia="en-GB"/>
              </w:rPr>
            </w:pPr>
          </w:p>
        </w:tc>
        <w:tc>
          <w:tcPr>
            <w:tcW w:w="1581" w:type="dxa"/>
            <w:tcBorders>
              <w:top w:val="single" w:sz="4" w:space="0" w:color="auto"/>
              <w:left w:val="nil"/>
              <w:bottom w:val="single" w:sz="4" w:space="0" w:color="auto"/>
              <w:right w:val="single" w:sz="4" w:space="0" w:color="auto"/>
            </w:tcBorders>
            <w:noWrap/>
            <w:hideMark/>
          </w:tcPr>
          <w:p w14:paraId="2770BA43"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81" w:type="dxa"/>
            <w:tcBorders>
              <w:top w:val="single" w:sz="4" w:space="0" w:color="auto"/>
              <w:left w:val="nil"/>
              <w:bottom w:val="single" w:sz="4" w:space="0" w:color="auto"/>
              <w:right w:val="single" w:sz="4" w:space="0" w:color="auto"/>
            </w:tcBorders>
            <w:noWrap/>
            <w:hideMark/>
          </w:tcPr>
          <w:p w14:paraId="2AA673C8"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44" w:type="dxa"/>
            <w:tcBorders>
              <w:top w:val="single" w:sz="4" w:space="0" w:color="auto"/>
              <w:left w:val="nil"/>
              <w:bottom w:val="single" w:sz="4" w:space="0" w:color="auto"/>
              <w:right w:val="single" w:sz="4" w:space="0" w:color="auto"/>
            </w:tcBorders>
            <w:noWrap/>
            <w:hideMark/>
          </w:tcPr>
          <w:p w14:paraId="4EB49885"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44" w:type="dxa"/>
            <w:tcBorders>
              <w:top w:val="single" w:sz="4" w:space="0" w:color="auto"/>
              <w:left w:val="nil"/>
              <w:bottom w:val="single" w:sz="4" w:space="0" w:color="auto"/>
              <w:right w:val="single" w:sz="4" w:space="0" w:color="auto"/>
            </w:tcBorders>
            <w:noWrap/>
            <w:hideMark/>
          </w:tcPr>
          <w:p w14:paraId="014C107E"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44" w:type="dxa"/>
            <w:tcBorders>
              <w:top w:val="single" w:sz="4" w:space="0" w:color="auto"/>
              <w:left w:val="nil"/>
              <w:bottom w:val="single" w:sz="4" w:space="0" w:color="auto"/>
              <w:right w:val="single" w:sz="4" w:space="0" w:color="auto"/>
            </w:tcBorders>
            <w:noWrap/>
            <w:hideMark/>
          </w:tcPr>
          <w:p w14:paraId="5E217402"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09D1F7B" w14:textId="77777777" w:rsidTr="003A11CD">
        <w:trPr>
          <w:trHeight w:val="252"/>
        </w:trPr>
        <w:tc>
          <w:tcPr>
            <w:tcW w:w="2034" w:type="dxa"/>
            <w:tcBorders>
              <w:top w:val="nil"/>
              <w:left w:val="single" w:sz="4" w:space="0" w:color="auto"/>
              <w:bottom w:val="single" w:sz="4" w:space="0" w:color="auto"/>
              <w:right w:val="single" w:sz="4" w:space="0" w:color="auto"/>
            </w:tcBorders>
            <w:hideMark/>
          </w:tcPr>
          <w:p w14:paraId="0CBCD40D"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581" w:type="dxa"/>
            <w:tcBorders>
              <w:top w:val="nil"/>
              <w:left w:val="nil"/>
              <w:bottom w:val="single" w:sz="4" w:space="0" w:color="auto"/>
              <w:right w:val="single" w:sz="4" w:space="0" w:color="auto"/>
            </w:tcBorders>
            <w:noWrap/>
            <w:hideMark/>
          </w:tcPr>
          <w:p w14:paraId="431FBA02"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81" w:type="dxa"/>
            <w:tcBorders>
              <w:top w:val="nil"/>
              <w:left w:val="nil"/>
              <w:bottom w:val="single" w:sz="4" w:space="0" w:color="auto"/>
              <w:right w:val="single" w:sz="4" w:space="0" w:color="auto"/>
            </w:tcBorders>
            <w:noWrap/>
            <w:hideMark/>
          </w:tcPr>
          <w:p w14:paraId="332FBCEA"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44" w:type="dxa"/>
            <w:tcBorders>
              <w:top w:val="nil"/>
              <w:left w:val="nil"/>
              <w:bottom w:val="single" w:sz="4" w:space="0" w:color="auto"/>
              <w:right w:val="single" w:sz="4" w:space="0" w:color="auto"/>
            </w:tcBorders>
            <w:noWrap/>
            <w:hideMark/>
          </w:tcPr>
          <w:p w14:paraId="496F1CD9"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44" w:type="dxa"/>
            <w:tcBorders>
              <w:top w:val="nil"/>
              <w:left w:val="nil"/>
              <w:bottom w:val="single" w:sz="4" w:space="0" w:color="auto"/>
              <w:right w:val="single" w:sz="4" w:space="0" w:color="auto"/>
            </w:tcBorders>
            <w:noWrap/>
            <w:hideMark/>
          </w:tcPr>
          <w:p w14:paraId="46B28161"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44" w:type="dxa"/>
            <w:tcBorders>
              <w:top w:val="nil"/>
              <w:left w:val="nil"/>
              <w:bottom w:val="single" w:sz="4" w:space="0" w:color="auto"/>
              <w:right w:val="single" w:sz="4" w:space="0" w:color="auto"/>
            </w:tcBorders>
            <w:noWrap/>
            <w:hideMark/>
          </w:tcPr>
          <w:p w14:paraId="491A4A31"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202FF715" w14:textId="77777777" w:rsidTr="003A11CD">
        <w:trPr>
          <w:trHeight w:val="275"/>
        </w:trPr>
        <w:tc>
          <w:tcPr>
            <w:tcW w:w="2034" w:type="dxa"/>
            <w:tcBorders>
              <w:top w:val="nil"/>
              <w:left w:val="single" w:sz="4" w:space="0" w:color="auto"/>
              <w:bottom w:val="single" w:sz="4" w:space="0" w:color="auto"/>
              <w:right w:val="single" w:sz="4" w:space="0" w:color="auto"/>
            </w:tcBorders>
            <w:hideMark/>
          </w:tcPr>
          <w:p w14:paraId="76CD77D0"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income (loss)</w:t>
            </w:r>
          </w:p>
        </w:tc>
        <w:tc>
          <w:tcPr>
            <w:tcW w:w="1581" w:type="dxa"/>
            <w:tcBorders>
              <w:top w:val="nil"/>
              <w:left w:val="nil"/>
              <w:bottom w:val="single" w:sz="4" w:space="0" w:color="auto"/>
              <w:right w:val="single" w:sz="4" w:space="0" w:color="auto"/>
            </w:tcBorders>
            <w:noWrap/>
            <w:hideMark/>
          </w:tcPr>
          <w:p w14:paraId="437A675D"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(15,297)</w:t>
            </w:r>
          </w:p>
        </w:tc>
        <w:tc>
          <w:tcPr>
            <w:tcW w:w="1581" w:type="dxa"/>
            <w:tcBorders>
              <w:top w:val="nil"/>
              <w:left w:val="nil"/>
              <w:bottom w:val="single" w:sz="4" w:space="0" w:color="auto"/>
              <w:right w:val="single" w:sz="4" w:space="0" w:color="auto"/>
            </w:tcBorders>
            <w:noWrap/>
            <w:hideMark/>
          </w:tcPr>
          <w:p w14:paraId="49DC3DEA"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(85,301)</w:t>
            </w:r>
          </w:p>
        </w:tc>
        <w:tc>
          <w:tcPr>
            <w:tcW w:w="1544" w:type="dxa"/>
            <w:tcBorders>
              <w:top w:val="nil"/>
              <w:left w:val="nil"/>
              <w:bottom w:val="single" w:sz="4" w:space="0" w:color="auto"/>
              <w:right w:val="single" w:sz="4" w:space="0" w:color="auto"/>
            </w:tcBorders>
            <w:noWrap/>
            <w:hideMark/>
          </w:tcPr>
          <w:p w14:paraId="21401FC3"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14,548</w:t>
            </w:r>
          </w:p>
        </w:tc>
        <w:tc>
          <w:tcPr>
            <w:tcW w:w="1544" w:type="dxa"/>
            <w:tcBorders>
              <w:top w:val="nil"/>
              <w:left w:val="nil"/>
              <w:bottom w:val="single" w:sz="4" w:space="0" w:color="auto"/>
              <w:right w:val="single" w:sz="4" w:space="0" w:color="auto"/>
            </w:tcBorders>
            <w:noWrap/>
            <w:hideMark/>
          </w:tcPr>
          <w:p w14:paraId="340F48F1"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23,253</w:t>
            </w:r>
          </w:p>
        </w:tc>
        <w:tc>
          <w:tcPr>
            <w:tcW w:w="1544" w:type="dxa"/>
            <w:tcBorders>
              <w:top w:val="nil"/>
              <w:left w:val="nil"/>
              <w:bottom w:val="single" w:sz="4" w:space="0" w:color="auto"/>
              <w:right w:val="single" w:sz="4" w:space="0" w:color="auto"/>
            </w:tcBorders>
            <w:noWrap/>
            <w:hideMark/>
          </w:tcPr>
          <w:p w14:paraId="496E1BDE"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37,267</w:t>
            </w:r>
          </w:p>
        </w:tc>
      </w:tr>
      <w:tr w:rsidR="003A11CD" w:rsidRPr="00E7418B" w14:paraId="1A1F8930" w14:textId="77777777" w:rsidTr="00FA7D76">
        <w:trPr>
          <w:trHeight w:val="1109"/>
        </w:trPr>
        <w:tc>
          <w:tcPr>
            <w:tcW w:w="2034" w:type="dxa"/>
            <w:tcBorders>
              <w:top w:val="nil"/>
              <w:left w:val="single" w:sz="4" w:space="0" w:color="auto"/>
              <w:bottom w:val="single" w:sz="4" w:space="0" w:color="auto"/>
              <w:right w:val="single" w:sz="4" w:space="0" w:color="auto"/>
            </w:tcBorders>
            <w:vAlign w:val="center"/>
            <w:hideMark/>
          </w:tcPr>
          <w:p w14:paraId="6B269587"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Profit Margin = (Operating Income / Net Sales) × 100.</w:t>
            </w:r>
          </w:p>
        </w:tc>
        <w:tc>
          <w:tcPr>
            <w:tcW w:w="1581" w:type="dxa"/>
            <w:tcBorders>
              <w:top w:val="nil"/>
              <w:left w:val="nil"/>
              <w:bottom w:val="single" w:sz="4" w:space="0" w:color="auto"/>
              <w:right w:val="single" w:sz="4" w:space="0" w:color="auto"/>
            </w:tcBorders>
            <w:noWrap/>
            <w:hideMark/>
          </w:tcPr>
          <w:p w14:paraId="42433F06"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-3.87%</w:t>
            </w:r>
          </w:p>
        </w:tc>
        <w:tc>
          <w:tcPr>
            <w:tcW w:w="1581" w:type="dxa"/>
            <w:tcBorders>
              <w:top w:val="nil"/>
              <w:left w:val="nil"/>
              <w:bottom w:val="single" w:sz="4" w:space="0" w:color="auto"/>
              <w:right w:val="single" w:sz="4" w:space="0" w:color="auto"/>
            </w:tcBorders>
            <w:noWrap/>
            <w:hideMark/>
          </w:tcPr>
          <w:p w14:paraId="28D5A113"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-20.29%</w:t>
            </w:r>
          </w:p>
        </w:tc>
        <w:tc>
          <w:tcPr>
            <w:tcW w:w="1544" w:type="dxa"/>
            <w:tcBorders>
              <w:top w:val="nil"/>
              <w:left w:val="nil"/>
              <w:bottom w:val="single" w:sz="4" w:space="0" w:color="auto"/>
              <w:right w:val="single" w:sz="4" w:space="0" w:color="auto"/>
            </w:tcBorders>
            <w:noWrap/>
            <w:hideMark/>
          </w:tcPr>
          <w:p w14:paraId="26910BDA"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w:t>
            </w:r>
          </w:p>
        </w:tc>
        <w:tc>
          <w:tcPr>
            <w:tcW w:w="1544" w:type="dxa"/>
            <w:tcBorders>
              <w:top w:val="nil"/>
              <w:left w:val="nil"/>
              <w:bottom w:val="single" w:sz="4" w:space="0" w:color="auto"/>
              <w:right w:val="single" w:sz="4" w:space="0" w:color="auto"/>
            </w:tcBorders>
            <w:noWrap/>
            <w:hideMark/>
          </w:tcPr>
          <w:p w14:paraId="25807BA5"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3.87%</w:t>
            </w:r>
          </w:p>
        </w:tc>
        <w:tc>
          <w:tcPr>
            <w:tcW w:w="1544" w:type="dxa"/>
            <w:tcBorders>
              <w:top w:val="nil"/>
              <w:left w:val="nil"/>
              <w:bottom w:val="single" w:sz="4" w:space="0" w:color="auto"/>
              <w:right w:val="single" w:sz="4" w:space="0" w:color="auto"/>
            </w:tcBorders>
            <w:noWrap/>
            <w:hideMark/>
          </w:tcPr>
          <w:p w14:paraId="4D142D6D" w14:textId="77777777" w:rsidR="00AB21F8" w:rsidRPr="00E7418B" w:rsidRDefault="00AB21F8" w:rsidP="00FA7D76">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6.06%</w:t>
            </w:r>
          </w:p>
        </w:tc>
      </w:tr>
    </w:tbl>
    <w:p w14:paraId="46DEC111" w14:textId="77777777" w:rsidR="00AB21F8" w:rsidRPr="00E7418B" w:rsidRDefault="00AB21F8" w:rsidP="00E7418B">
      <w:pPr>
        <w:rPr>
          <w:rFonts w:cs="Arial"/>
          <w:b/>
          <w:bCs/>
          <w:color w:val="000000" w:themeColor="text1"/>
          <w:szCs w:val="24"/>
        </w:rPr>
      </w:pPr>
    </w:p>
    <w:p w14:paraId="6AA17FB7"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Net Profit Margin</w:t>
      </w:r>
    </w:p>
    <w:tbl>
      <w:tblPr>
        <w:tblW w:w="9750" w:type="dxa"/>
        <w:tblInd w:w="-5" w:type="dxa"/>
        <w:tblLook w:val="04A0" w:firstRow="1" w:lastRow="0" w:firstColumn="1" w:lastColumn="0" w:noHBand="0" w:noVBand="1"/>
      </w:tblPr>
      <w:tblGrid>
        <w:gridCol w:w="2268"/>
        <w:gridCol w:w="1318"/>
        <w:gridCol w:w="1568"/>
        <w:gridCol w:w="1532"/>
        <w:gridCol w:w="1532"/>
        <w:gridCol w:w="1532"/>
      </w:tblGrid>
      <w:tr w:rsidR="003A11CD" w:rsidRPr="00E7418B" w14:paraId="2FEC701E" w14:textId="77777777" w:rsidTr="00FA7D76">
        <w:trPr>
          <w:trHeight w:val="473"/>
        </w:trPr>
        <w:tc>
          <w:tcPr>
            <w:tcW w:w="2268" w:type="dxa"/>
            <w:tcBorders>
              <w:top w:val="single" w:sz="4" w:space="0" w:color="auto"/>
              <w:left w:val="single" w:sz="4" w:space="0" w:color="auto"/>
              <w:bottom w:val="single" w:sz="4" w:space="0" w:color="auto"/>
              <w:right w:val="single" w:sz="4" w:space="0" w:color="auto"/>
            </w:tcBorders>
            <w:vAlign w:val="bottom"/>
            <w:hideMark/>
          </w:tcPr>
          <w:p w14:paraId="50AD87D1" w14:textId="06DFD994" w:rsidR="00AB21F8" w:rsidRPr="00E7418B" w:rsidRDefault="00AB21F8" w:rsidP="00E7418B">
            <w:pPr>
              <w:spacing w:after="0"/>
              <w:jc w:val="center"/>
              <w:rPr>
                <w:rFonts w:eastAsia="Times New Roman" w:cs="Arial"/>
                <w:noProof w:val="0"/>
                <w:color w:val="000000" w:themeColor="text1"/>
                <w:szCs w:val="24"/>
                <w:lang w:eastAsia="en-GB"/>
              </w:rPr>
            </w:pPr>
          </w:p>
        </w:tc>
        <w:tc>
          <w:tcPr>
            <w:tcW w:w="1318" w:type="dxa"/>
            <w:tcBorders>
              <w:top w:val="single" w:sz="4" w:space="0" w:color="auto"/>
              <w:left w:val="nil"/>
              <w:bottom w:val="single" w:sz="4" w:space="0" w:color="auto"/>
              <w:right w:val="single" w:sz="4" w:space="0" w:color="auto"/>
            </w:tcBorders>
            <w:noWrap/>
            <w:hideMark/>
          </w:tcPr>
          <w:p w14:paraId="2C402BD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68" w:type="dxa"/>
            <w:tcBorders>
              <w:top w:val="single" w:sz="4" w:space="0" w:color="auto"/>
              <w:left w:val="nil"/>
              <w:bottom w:val="single" w:sz="4" w:space="0" w:color="auto"/>
              <w:right w:val="single" w:sz="4" w:space="0" w:color="auto"/>
            </w:tcBorders>
            <w:noWrap/>
            <w:hideMark/>
          </w:tcPr>
          <w:p w14:paraId="34DE21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32" w:type="dxa"/>
            <w:tcBorders>
              <w:top w:val="single" w:sz="4" w:space="0" w:color="auto"/>
              <w:left w:val="nil"/>
              <w:bottom w:val="single" w:sz="4" w:space="0" w:color="auto"/>
              <w:right w:val="single" w:sz="4" w:space="0" w:color="auto"/>
            </w:tcBorders>
            <w:noWrap/>
            <w:hideMark/>
          </w:tcPr>
          <w:p w14:paraId="48C1DCB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32" w:type="dxa"/>
            <w:tcBorders>
              <w:top w:val="single" w:sz="4" w:space="0" w:color="auto"/>
              <w:left w:val="nil"/>
              <w:bottom w:val="single" w:sz="4" w:space="0" w:color="auto"/>
              <w:right w:val="single" w:sz="4" w:space="0" w:color="auto"/>
            </w:tcBorders>
            <w:noWrap/>
            <w:hideMark/>
          </w:tcPr>
          <w:p w14:paraId="503DAFD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32" w:type="dxa"/>
            <w:tcBorders>
              <w:top w:val="single" w:sz="4" w:space="0" w:color="auto"/>
              <w:left w:val="nil"/>
              <w:bottom w:val="single" w:sz="4" w:space="0" w:color="auto"/>
              <w:right w:val="single" w:sz="4" w:space="0" w:color="auto"/>
            </w:tcBorders>
            <w:noWrap/>
            <w:hideMark/>
          </w:tcPr>
          <w:p w14:paraId="698F0CD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7A097706" w14:textId="77777777" w:rsidTr="00FA7D76">
        <w:trPr>
          <w:trHeight w:val="260"/>
        </w:trPr>
        <w:tc>
          <w:tcPr>
            <w:tcW w:w="2268" w:type="dxa"/>
            <w:tcBorders>
              <w:top w:val="nil"/>
              <w:left w:val="single" w:sz="4" w:space="0" w:color="auto"/>
              <w:bottom w:val="single" w:sz="4" w:space="0" w:color="auto"/>
              <w:right w:val="single" w:sz="4" w:space="0" w:color="auto"/>
            </w:tcBorders>
            <w:hideMark/>
          </w:tcPr>
          <w:p w14:paraId="1C960AD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318" w:type="dxa"/>
            <w:tcBorders>
              <w:top w:val="nil"/>
              <w:left w:val="nil"/>
              <w:bottom w:val="single" w:sz="4" w:space="0" w:color="auto"/>
              <w:right w:val="single" w:sz="4" w:space="0" w:color="auto"/>
            </w:tcBorders>
            <w:noWrap/>
            <w:hideMark/>
          </w:tcPr>
          <w:p w14:paraId="432A88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68" w:type="dxa"/>
            <w:tcBorders>
              <w:top w:val="nil"/>
              <w:left w:val="nil"/>
              <w:bottom w:val="single" w:sz="4" w:space="0" w:color="auto"/>
              <w:right w:val="single" w:sz="4" w:space="0" w:color="auto"/>
            </w:tcBorders>
            <w:noWrap/>
            <w:hideMark/>
          </w:tcPr>
          <w:p w14:paraId="51CB873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32" w:type="dxa"/>
            <w:tcBorders>
              <w:top w:val="nil"/>
              <w:left w:val="nil"/>
              <w:bottom w:val="single" w:sz="4" w:space="0" w:color="auto"/>
              <w:right w:val="single" w:sz="4" w:space="0" w:color="auto"/>
            </w:tcBorders>
            <w:noWrap/>
            <w:hideMark/>
          </w:tcPr>
          <w:p w14:paraId="080ED4F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32" w:type="dxa"/>
            <w:tcBorders>
              <w:top w:val="nil"/>
              <w:left w:val="nil"/>
              <w:bottom w:val="single" w:sz="4" w:space="0" w:color="auto"/>
              <w:right w:val="single" w:sz="4" w:space="0" w:color="auto"/>
            </w:tcBorders>
            <w:noWrap/>
            <w:hideMark/>
          </w:tcPr>
          <w:p w14:paraId="3C0D0A5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32" w:type="dxa"/>
            <w:tcBorders>
              <w:top w:val="nil"/>
              <w:left w:val="nil"/>
              <w:bottom w:val="single" w:sz="4" w:space="0" w:color="auto"/>
              <w:right w:val="single" w:sz="4" w:space="0" w:color="auto"/>
            </w:tcBorders>
            <w:noWrap/>
            <w:hideMark/>
          </w:tcPr>
          <w:p w14:paraId="5B52295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A2FABAA" w14:textId="77777777" w:rsidTr="00FA7D76">
        <w:trPr>
          <w:trHeight w:val="260"/>
        </w:trPr>
        <w:tc>
          <w:tcPr>
            <w:tcW w:w="2268" w:type="dxa"/>
            <w:tcBorders>
              <w:top w:val="nil"/>
              <w:left w:val="single" w:sz="4" w:space="0" w:color="auto"/>
              <w:bottom w:val="single" w:sz="4" w:space="0" w:color="auto"/>
              <w:right w:val="single" w:sz="4" w:space="0" w:color="auto"/>
            </w:tcBorders>
            <w:hideMark/>
          </w:tcPr>
          <w:p w14:paraId="582821C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income (loss)</w:t>
            </w:r>
          </w:p>
        </w:tc>
        <w:tc>
          <w:tcPr>
            <w:tcW w:w="1318" w:type="dxa"/>
            <w:tcBorders>
              <w:top w:val="nil"/>
              <w:left w:val="nil"/>
              <w:bottom w:val="single" w:sz="4" w:space="0" w:color="auto"/>
              <w:right w:val="single" w:sz="4" w:space="0" w:color="auto"/>
            </w:tcBorders>
            <w:noWrap/>
            <w:hideMark/>
          </w:tcPr>
          <w:p w14:paraId="16A3DDA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(24,029)</w:t>
            </w:r>
          </w:p>
        </w:tc>
        <w:tc>
          <w:tcPr>
            <w:tcW w:w="1568" w:type="dxa"/>
            <w:tcBorders>
              <w:top w:val="nil"/>
              <w:left w:val="nil"/>
              <w:bottom w:val="single" w:sz="4" w:space="0" w:color="auto"/>
              <w:right w:val="single" w:sz="4" w:space="0" w:color="auto"/>
            </w:tcBorders>
            <w:noWrap/>
            <w:hideMark/>
          </w:tcPr>
          <w:p w14:paraId="277A2E4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(98,238)</w:t>
            </w:r>
          </w:p>
        </w:tc>
        <w:tc>
          <w:tcPr>
            <w:tcW w:w="1532" w:type="dxa"/>
            <w:tcBorders>
              <w:top w:val="nil"/>
              <w:left w:val="nil"/>
              <w:bottom w:val="single" w:sz="4" w:space="0" w:color="auto"/>
              <w:right w:val="single" w:sz="4" w:space="0" w:color="auto"/>
            </w:tcBorders>
            <w:noWrap/>
            <w:hideMark/>
          </w:tcPr>
          <w:p w14:paraId="154E038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407</w:t>
            </w:r>
          </w:p>
        </w:tc>
        <w:tc>
          <w:tcPr>
            <w:tcW w:w="1532" w:type="dxa"/>
            <w:tcBorders>
              <w:top w:val="nil"/>
              <w:left w:val="nil"/>
              <w:bottom w:val="single" w:sz="4" w:space="0" w:color="auto"/>
              <w:right w:val="single" w:sz="4" w:space="0" w:color="auto"/>
            </w:tcBorders>
            <w:noWrap/>
            <w:hideMark/>
          </w:tcPr>
          <w:p w14:paraId="6CEA328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5,301</w:t>
            </w:r>
          </w:p>
        </w:tc>
        <w:tc>
          <w:tcPr>
            <w:tcW w:w="1532" w:type="dxa"/>
            <w:tcBorders>
              <w:top w:val="nil"/>
              <w:left w:val="nil"/>
              <w:bottom w:val="single" w:sz="4" w:space="0" w:color="auto"/>
              <w:right w:val="single" w:sz="4" w:space="0" w:color="auto"/>
            </w:tcBorders>
            <w:noWrap/>
            <w:hideMark/>
          </w:tcPr>
          <w:p w14:paraId="6FA223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38,572</w:t>
            </w:r>
          </w:p>
        </w:tc>
      </w:tr>
      <w:tr w:rsidR="003A11CD" w:rsidRPr="00E7418B" w14:paraId="4248756B" w14:textId="77777777" w:rsidTr="00FA7D76">
        <w:trPr>
          <w:trHeight w:val="796"/>
        </w:trPr>
        <w:tc>
          <w:tcPr>
            <w:tcW w:w="2268" w:type="dxa"/>
            <w:tcBorders>
              <w:top w:val="nil"/>
              <w:left w:val="single" w:sz="4" w:space="0" w:color="auto"/>
              <w:bottom w:val="single" w:sz="4" w:space="0" w:color="auto"/>
              <w:right w:val="single" w:sz="4" w:space="0" w:color="auto"/>
            </w:tcBorders>
            <w:vAlign w:val="center"/>
            <w:hideMark/>
          </w:tcPr>
          <w:p w14:paraId="51D969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Profit Margin = (Net Income / Net Sales) × 100.</w:t>
            </w:r>
          </w:p>
        </w:tc>
        <w:tc>
          <w:tcPr>
            <w:tcW w:w="1318" w:type="dxa"/>
            <w:tcBorders>
              <w:top w:val="nil"/>
              <w:left w:val="nil"/>
              <w:bottom w:val="single" w:sz="4" w:space="0" w:color="auto"/>
              <w:right w:val="single" w:sz="4" w:space="0" w:color="auto"/>
            </w:tcBorders>
            <w:noWrap/>
            <w:hideMark/>
          </w:tcPr>
          <w:p w14:paraId="1C9E39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-6.09%</w:t>
            </w:r>
          </w:p>
        </w:tc>
        <w:tc>
          <w:tcPr>
            <w:tcW w:w="1568" w:type="dxa"/>
            <w:tcBorders>
              <w:top w:val="nil"/>
              <w:left w:val="nil"/>
              <w:bottom w:val="single" w:sz="4" w:space="0" w:color="auto"/>
              <w:right w:val="single" w:sz="4" w:space="0" w:color="auto"/>
            </w:tcBorders>
            <w:noWrap/>
            <w:hideMark/>
          </w:tcPr>
          <w:p w14:paraId="7D1C89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-23.36%</w:t>
            </w:r>
          </w:p>
        </w:tc>
        <w:tc>
          <w:tcPr>
            <w:tcW w:w="1532" w:type="dxa"/>
            <w:tcBorders>
              <w:top w:val="nil"/>
              <w:left w:val="nil"/>
              <w:bottom w:val="single" w:sz="4" w:space="0" w:color="auto"/>
              <w:right w:val="single" w:sz="4" w:space="0" w:color="auto"/>
            </w:tcBorders>
            <w:noWrap/>
            <w:hideMark/>
          </w:tcPr>
          <w:p w14:paraId="4AE6E6A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0.07%</w:t>
            </w:r>
          </w:p>
        </w:tc>
        <w:tc>
          <w:tcPr>
            <w:tcW w:w="1532" w:type="dxa"/>
            <w:tcBorders>
              <w:top w:val="nil"/>
              <w:left w:val="nil"/>
              <w:bottom w:val="single" w:sz="4" w:space="0" w:color="auto"/>
              <w:right w:val="single" w:sz="4" w:space="0" w:color="auto"/>
            </w:tcBorders>
            <w:noWrap/>
            <w:hideMark/>
          </w:tcPr>
          <w:p w14:paraId="172ABD6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0.88%</w:t>
            </w:r>
          </w:p>
        </w:tc>
        <w:tc>
          <w:tcPr>
            <w:tcW w:w="1532" w:type="dxa"/>
            <w:tcBorders>
              <w:top w:val="nil"/>
              <w:left w:val="nil"/>
              <w:bottom w:val="single" w:sz="4" w:space="0" w:color="auto"/>
              <w:right w:val="single" w:sz="4" w:space="0" w:color="auto"/>
            </w:tcBorders>
            <w:noWrap/>
            <w:hideMark/>
          </w:tcPr>
          <w:p w14:paraId="5DAFF4A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6.28%</w:t>
            </w:r>
          </w:p>
        </w:tc>
      </w:tr>
    </w:tbl>
    <w:p w14:paraId="70CD54CC" w14:textId="77777777" w:rsidR="00AB21F8" w:rsidRPr="00E7418B" w:rsidRDefault="00AB21F8" w:rsidP="00E7418B">
      <w:pPr>
        <w:rPr>
          <w:rFonts w:cs="Arial"/>
          <w:color w:val="000000" w:themeColor="text1"/>
          <w:szCs w:val="24"/>
        </w:rPr>
      </w:pPr>
    </w:p>
    <w:p w14:paraId="103B0887"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Return on Assets</w:t>
      </w:r>
    </w:p>
    <w:tbl>
      <w:tblPr>
        <w:tblW w:w="9781" w:type="dxa"/>
        <w:tblInd w:w="-5" w:type="dxa"/>
        <w:tblLook w:val="04A0" w:firstRow="1" w:lastRow="0" w:firstColumn="1" w:lastColumn="0" w:noHBand="0" w:noVBand="1"/>
      </w:tblPr>
      <w:tblGrid>
        <w:gridCol w:w="2095"/>
        <w:gridCol w:w="1670"/>
        <w:gridCol w:w="1670"/>
        <w:gridCol w:w="1631"/>
        <w:gridCol w:w="1631"/>
        <w:gridCol w:w="1084"/>
      </w:tblGrid>
      <w:tr w:rsidR="003A11CD" w:rsidRPr="00E7418B" w14:paraId="6A7C2845" w14:textId="77777777" w:rsidTr="003A11CD">
        <w:trPr>
          <w:trHeight w:val="278"/>
        </w:trPr>
        <w:tc>
          <w:tcPr>
            <w:tcW w:w="2149" w:type="dxa"/>
            <w:tcBorders>
              <w:top w:val="single" w:sz="4" w:space="0" w:color="auto"/>
              <w:left w:val="single" w:sz="4" w:space="0" w:color="auto"/>
              <w:bottom w:val="single" w:sz="4" w:space="0" w:color="auto"/>
              <w:right w:val="single" w:sz="4" w:space="0" w:color="auto"/>
            </w:tcBorders>
            <w:vAlign w:val="bottom"/>
            <w:hideMark/>
          </w:tcPr>
          <w:p w14:paraId="43C2E49B" w14:textId="304CA197" w:rsidR="00AB21F8" w:rsidRPr="00E7418B" w:rsidRDefault="00AB21F8" w:rsidP="00E7418B">
            <w:pPr>
              <w:spacing w:after="0"/>
              <w:jc w:val="center"/>
              <w:rPr>
                <w:rFonts w:eastAsia="Times New Roman" w:cs="Arial"/>
                <w:noProof w:val="0"/>
                <w:color w:val="000000" w:themeColor="text1"/>
                <w:szCs w:val="24"/>
                <w:lang w:eastAsia="en-GB"/>
              </w:rPr>
            </w:pPr>
          </w:p>
        </w:tc>
        <w:tc>
          <w:tcPr>
            <w:tcW w:w="1670" w:type="dxa"/>
            <w:tcBorders>
              <w:top w:val="single" w:sz="4" w:space="0" w:color="auto"/>
              <w:left w:val="nil"/>
              <w:bottom w:val="single" w:sz="4" w:space="0" w:color="auto"/>
              <w:right w:val="single" w:sz="4" w:space="0" w:color="auto"/>
            </w:tcBorders>
            <w:noWrap/>
            <w:hideMark/>
          </w:tcPr>
          <w:p w14:paraId="26C8E5A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670" w:type="dxa"/>
            <w:tcBorders>
              <w:top w:val="single" w:sz="4" w:space="0" w:color="auto"/>
              <w:left w:val="nil"/>
              <w:bottom w:val="single" w:sz="4" w:space="0" w:color="auto"/>
              <w:right w:val="single" w:sz="4" w:space="0" w:color="auto"/>
            </w:tcBorders>
            <w:noWrap/>
            <w:hideMark/>
          </w:tcPr>
          <w:p w14:paraId="041FEFC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631" w:type="dxa"/>
            <w:tcBorders>
              <w:top w:val="single" w:sz="4" w:space="0" w:color="auto"/>
              <w:left w:val="nil"/>
              <w:bottom w:val="single" w:sz="4" w:space="0" w:color="auto"/>
              <w:right w:val="single" w:sz="4" w:space="0" w:color="auto"/>
            </w:tcBorders>
            <w:noWrap/>
            <w:hideMark/>
          </w:tcPr>
          <w:p w14:paraId="583D3A5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631" w:type="dxa"/>
            <w:tcBorders>
              <w:top w:val="single" w:sz="4" w:space="0" w:color="auto"/>
              <w:left w:val="nil"/>
              <w:bottom w:val="single" w:sz="4" w:space="0" w:color="auto"/>
              <w:right w:val="single" w:sz="4" w:space="0" w:color="auto"/>
            </w:tcBorders>
            <w:noWrap/>
            <w:hideMark/>
          </w:tcPr>
          <w:p w14:paraId="3FF31DA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030" w:type="dxa"/>
            <w:tcBorders>
              <w:top w:val="single" w:sz="4" w:space="0" w:color="auto"/>
              <w:left w:val="nil"/>
              <w:bottom w:val="single" w:sz="4" w:space="0" w:color="auto"/>
              <w:right w:val="single" w:sz="4" w:space="0" w:color="auto"/>
            </w:tcBorders>
            <w:noWrap/>
            <w:hideMark/>
          </w:tcPr>
          <w:p w14:paraId="6CC55C8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57B74450" w14:textId="77777777" w:rsidTr="003A11CD">
        <w:trPr>
          <w:trHeight w:val="278"/>
        </w:trPr>
        <w:tc>
          <w:tcPr>
            <w:tcW w:w="2149" w:type="dxa"/>
            <w:tcBorders>
              <w:top w:val="nil"/>
              <w:left w:val="single" w:sz="4" w:space="0" w:color="auto"/>
              <w:bottom w:val="single" w:sz="4" w:space="0" w:color="auto"/>
              <w:right w:val="single" w:sz="4" w:space="0" w:color="auto"/>
            </w:tcBorders>
            <w:hideMark/>
          </w:tcPr>
          <w:p w14:paraId="3821CEE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income (loss)</w:t>
            </w:r>
          </w:p>
        </w:tc>
        <w:tc>
          <w:tcPr>
            <w:tcW w:w="1670" w:type="dxa"/>
            <w:tcBorders>
              <w:top w:val="nil"/>
              <w:left w:val="nil"/>
              <w:bottom w:val="single" w:sz="4" w:space="0" w:color="auto"/>
              <w:right w:val="single" w:sz="4" w:space="0" w:color="auto"/>
            </w:tcBorders>
            <w:noWrap/>
            <w:hideMark/>
          </w:tcPr>
          <w:p w14:paraId="040C87E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(24,029)</w:t>
            </w:r>
          </w:p>
        </w:tc>
        <w:tc>
          <w:tcPr>
            <w:tcW w:w="1670" w:type="dxa"/>
            <w:tcBorders>
              <w:top w:val="nil"/>
              <w:left w:val="nil"/>
              <w:bottom w:val="single" w:sz="4" w:space="0" w:color="auto"/>
              <w:right w:val="single" w:sz="4" w:space="0" w:color="auto"/>
            </w:tcBorders>
            <w:noWrap/>
            <w:hideMark/>
          </w:tcPr>
          <w:p w14:paraId="6FC79EE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(98,238)</w:t>
            </w:r>
          </w:p>
        </w:tc>
        <w:tc>
          <w:tcPr>
            <w:tcW w:w="1631" w:type="dxa"/>
            <w:tcBorders>
              <w:top w:val="nil"/>
              <w:left w:val="nil"/>
              <w:bottom w:val="single" w:sz="4" w:space="0" w:color="auto"/>
              <w:right w:val="single" w:sz="4" w:space="0" w:color="auto"/>
            </w:tcBorders>
            <w:noWrap/>
            <w:hideMark/>
          </w:tcPr>
          <w:p w14:paraId="582733B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407</w:t>
            </w:r>
          </w:p>
        </w:tc>
        <w:tc>
          <w:tcPr>
            <w:tcW w:w="1631" w:type="dxa"/>
            <w:tcBorders>
              <w:top w:val="nil"/>
              <w:left w:val="nil"/>
              <w:bottom w:val="single" w:sz="4" w:space="0" w:color="auto"/>
              <w:right w:val="single" w:sz="4" w:space="0" w:color="auto"/>
            </w:tcBorders>
            <w:noWrap/>
            <w:hideMark/>
          </w:tcPr>
          <w:p w14:paraId="72F8F29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5,301</w:t>
            </w:r>
          </w:p>
        </w:tc>
        <w:tc>
          <w:tcPr>
            <w:tcW w:w="1030" w:type="dxa"/>
            <w:tcBorders>
              <w:top w:val="nil"/>
              <w:left w:val="nil"/>
              <w:bottom w:val="single" w:sz="4" w:space="0" w:color="auto"/>
              <w:right w:val="single" w:sz="4" w:space="0" w:color="auto"/>
            </w:tcBorders>
            <w:noWrap/>
            <w:hideMark/>
          </w:tcPr>
          <w:p w14:paraId="537F5A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38,572</w:t>
            </w:r>
          </w:p>
        </w:tc>
      </w:tr>
      <w:tr w:rsidR="003A11CD" w:rsidRPr="00E7418B" w14:paraId="43908279" w14:textId="77777777" w:rsidTr="003A11CD">
        <w:trPr>
          <w:trHeight w:val="278"/>
        </w:trPr>
        <w:tc>
          <w:tcPr>
            <w:tcW w:w="2149" w:type="dxa"/>
            <w:tcBorders>
              <w:top w:val="nil"/>
              <w:left w:val="single" w:sz="4" w:space="0" w:color="auto"/>
              <w:bottom w:val="single" w:sz="4" w:space="0" w:color="auto"/>
              <w:right w:val="single" w:sz="4" w:space="0" w:color="auto"/>
            </w:tcBorders>
            <w:hideMark/>
          </w:tcPr>
          <w:p w14:paraId="2CC487D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670" w:type="dxa"/>
            <w:tcBorders>
              <w:top w:val="nil"/>
              <w:left w:val="nil"/>
              <w:bottom w:val="single" w:sz="4" w:space="0" w:color="auto"/>
              <w:right w:val="single" w:sz="4" w:space="0" w:color="auto"/>
            </w:tcBorders>
            <w:noWrap/>
            <w:hideMark/>
          </w:tcPr>
          <w:p w14:paraId="0A9BB6E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670" w:type="dxa"/>
            <w:tcBorders>
              <w:top w:val="nil"/>
              <w:left w:val="nil"/>
              <w:bottom w:val="single" w:sz="4" w:space="0" w:color="auto"/>
              <w:right w:val="single" w:sz="4" w:space="0" w:color="auto"/>
            </w:tcBorders>
            <w:noWrap/>
            <w:hideMark/>
          </w:tcPr>
          <w:p w14:paraId="12C431B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631" w:type="dxa"/>
            <w:tcBorders>
              <w:top w:val="nil"/>
              <w:left w:val="nil"/>
              <w:bottom w:val="single" w:sz="4" w:space="0" w:color="auto"/>
              <w:right w:val="single" w:sz="4" w:space="0" w:color="auto"/>
            </w:tcBorders>
            <w:noWrap/>
            <w:hideMark/>
          </w:tcPr>
          <w:p w14:paraId="0BB491C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631" w:type="dxa"/>
            <w:tcBorders>
              <w:top w:val="nil"/>
              <w:left w:val="nil"/>
              <w:bottom w:val="single" w:sz="4" w:space="0" w:color="auto"/>
              <w:right w:val="single" w:sz="4" w:space="0" w:color="auto"/>
            </w:tcBorders>
            <w:noWrap/>
            <w:hideMark/>
          </w:tcPr>
          <w:p w14:paraId="294A282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030" w:type="dxa"/>
            <w:tcBorders>
              <w:top w:val="nil"/>
              <w:left w:val="nil"/>
              <w:bottom w:val="single" w:sz="4" w:space="0" w:color="auto"/>
              <w:right w:val="single" w:sz="4" w:space="0" w:color="auto"/>
            </w:tcBorders>
            <w:noWrap/>
            <w:hideMark/>
          </w:tcPr>
          <w:p w14:paraId="1CF379B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2918EFD7" w14:textId="77777777" w:rsidTr="003A11CD">
        <w:trPr>
          <w:trHeight w:val="936"/>
        </w:trPr>
        <w:tc>
          <w:tcPr>
            <w:tcW w:w="2149" w:type="dxa"/>
            <w:tcBorders>
              <w:top w:val="nil"/>
              <w:left w:val="single" w:sz="4" w:space="0" w:color="auto"/>
              <w:bottom w:val="single" w:sz="4" w:space="0" w:color="auto"/>
              <w:right w:val="single" w:sz="4" w:space="0" w:color="auto"/>
            </w:tcBorders>
            <w:vAlign w:val="center"/>
            <w:hideMark/>
          </w:tcPr>
          <w:p w14:paraId="19EA29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Return on Assets = (Net Income /Total Assets) × 100.</w:t>
            </w:r>
          </w:p>
        </w:tc>
        <w:tc>
          <w:tcPr>
            <w:tcW w:w="1670" w:type="dxa"/>
            <w:tcBorders>
              <w:top w:val="nil"/>
              <w:left w:val="nil"/>
              <w:bottom w:val="single" w:sz="4" w:space="0" w:color="auto"/>
              <w:right w:val="single" w:sz="4" w:space="0" w:color="auto"/>
            </w:tcBorders>
            <w:noWrap/>
            <w:hideMark/>
          </w:tcPr>
          <w:p w14:paraId="474739F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-7.43%</w:t>
            </w:r>
          </w:p>
        </w:tc>
        <w:tc>
          <w:tcPr>
            <w:tcW w:w="1670" w:type="dxa"/>
            <w:tcBorders>
              <w:top w:val="nil"/>
              <w:left w:val="nil"/>
              <w:bottom w:val="single" w:sz="4" w:space="0" w:color="auto"/>
              <w:right w:val="single" w:sz="4" w:space="0" w:color="auto"/>
            </w:tcBorders>
            <w:noWrap/>
            <w:hideMark/>
          </w:tcPr>
          <w:p w14:paraId="12888FF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-27.60%</w:t>
            </w:r>
          </w:p>
        </w:tc>
        <w:tc>
          <w:tcPr>
            <w:tcW w:w="1631" w:type="dxa"/>
            <w:tcBorders>
              <w:top w:val="nil"/>
              <w:left w:val="nil"/>
              <w:bottom w:val="single" w:sz="4" w:space="0" w:color="auto"/>
              <w:right w:val="single" w:sz="4" w:space="0" w:color="auto"/>
            </w:tcBorders>
            <w:noWrap/>
            <w:hideMark/>
          </w:tcPr>
          <w:p w14:paraId="1C08475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0.08%</w:t>
            </w:r>
          </w:p>
        </w:tc>
        <w:tc>
          <w:tcPr>
            <w:tcW w:w="1631" w:type="dxa"/>
            <w:tcBorders>
              <w:top w:val="nil"/>
              <w:left w:val="nil"/>
              <w:bottom w:val="single" w:sz="4" w:space="0" w:color="auto"/>
              <w:right w:val="single" w:sz="4" w:space="0" w:color="auto"/>
            </w:tcBorders>
            <w:noWrap/>
            <w:hideMark/>
          </w:tcPr>
          <w:p w14:paraId="04A555B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1.04%</w:t>
            </w:r>
          </w:p>
        </w:tc>
        <w:tc>
          <w:tcPr>
            <w:tcW w:w="1030" w:type="dxa"/>
            <w:tcBorders>
              <w:top w:val="nil"/>
              <w:left w:val="nil"/>
              <w:bottom w:val="single" w:sz="4" w:space="0" w:color="auto"/>
              <w:right w:val="single" w:sz="4" w:space="0" w:color="auto"/>
            </w:tcBorders>
            <w:noWrap/>
            <w:hideMark/>
          </w:tcPr>
          <w:p w14:paraId="55D6B63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7.56%</w:t>
            </w:r>
          </w:p>
        </w:tc>
      </w:tr>
    </w:tbl>
    <w:p w14:paraId="242382E1" w14:textId="37FFD284" w:rsidR="00AB21F8" w:rsidRPr="00E7418B" w:rsidRDefault="00AB21F8" w:rsidP="00E7418B">
      <w:pPr>
        <w:jc w:val="left"/>
        <w:rPr>
          <w:rFonts w:eastAsia="Times New Roman" w:cs="Arial"/>
          <w:noProof w:val="0"/>
          <w:color w:val="000000" w:themeColor="text1"/>
          <w:szCs w:val="24"/>
          <w:lang w:eastAsia="en-GB"/>
        </w:rPr>
      </w:pPr>
    </w:p>
    <w:p w14:paraId="0160BB52"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Return on Equity</w:t>
      </w:r>
    </w:p>
    <w:tbl>
      <w:tblPr>
        <w:tblW w:w="9846" w:type="dxa"/>
        <w:tblInd w:w="-5" w:type="dxa"/>
        <w:tblLook w:val="04A0" w:firstRow="1" w:lastRow="0" w:firstColumn="1" w:lastColumn="0" w:noHBand="0" w:noVBand="1"/>
      </w:tblPr>
      <w:tblGrid>
        <w:gridCol w:w="2324"/>
        <w:gridCol w:w="1526"/>
        <w:gridCol w:w="1526"/>
        <w:gridCol w:w="1490"/>
        <w:gridCol w:w="1490"/>
        <w:gridCol w:w="1490"/>
      </w:tblGrid>
      <w:tr w:rsidR="003A11CD" w:rsidRPr="00E7418B" w14:paraId="302B870F" w14:textId="77777777" w:rsidTr="003A11CD">
        <w:trPr>
          <w:trHeight w:val="256"/>
        </w:trPr>
        <w:tc>
          <w:tcPr>
            <w:tcW w:w="2324" w:type="dxa"/>
            <w:tcBorders>
              <w:top w:val="single" w:sz="4" w:space="0" w:color="auto"/>
              <w:left w:val="single" w:sz="4" w:space="0" w:color="auto"/>
              <w:bottom w:val="single" w:sz="4" w:space="0" w:color="auto"/>
              <w:right w:val="single" w:sz="4" w:space="0" w:color="auto"/>
            </w:tcBorders>
            <w:vAlign w:val="bottom"/>
            <w:hideMark/>
          </w:tcPr>
          <w:p w14:paraId="76FEFA80" w14:textId="763A293B" w:rsidR="00AB21F8" w:rsidRPr="00E7418B" w:rsidRDefault="00AB21F8" w:rsidP="00E7418B">
            <w:pPr>
              <w:spacing w:after="0"/>
              <w:jc w:val="center"/>
              <w:rPr>
                <w:rFonts w:eastAsia="Times New Roman" w:cs="Arial"/>
                <w:noProof w:val="0"/>
                <w:color w:val="000000" w:themeColor="text1"/>
                <w:szCs w:val="24"/>
                <w:lang w:eastAsia="en-GB"/>
              </w:rPr>
            </w:pPr>
          </w:p>
        </w:tc>
        <w:tc>
          <w:tcPr>
            <w:tcW w:w="1526" w:type="dxa"/>
            <w:tcBorders>
              <w:top w:val="single" w:sz="4" w:space="0" w:color="auto"/>
              <w:left w:val="nil"/>
              <w:bottom w:val="single" w:sz="4" w:space="0" w:color="auto"/>
              <w:right w:val="single" w:sz="4" w:space="0" w:color="auto"/>
            </w:tcBorders>
            <w:noWrap/>
            <w:hideMark/>
          </w:tcPr>
          <w:p w14:paraId="2EDCE5C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26" w:type="dxa"/>
            <w:tcBorders>
              <w:top w:val="single" w:sz="4" w:space="0" w:color="auto"/>
              <w:left w:val="nil"/>
              <w:bottom w:val="single" w:sz="4" w:space="0" w:color="auto"/>
              <w:right w:val="single" w:sz="4" w:space="0" w:color="auto"/>
            </w:tcBorders>
            <w:noWrap/>
            <w:hideMark/>
          </w:tcPr>
          <w:p w14:paraId="6B68E50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490" w:type="dxa"/>
            <w:tcBorders>
              <w:top w:val="single" w:sz="4" w:space="0" w:color="auto"/>
              <w:left w:val="nil"/>
              <w:bottom w:val="single" w:sz="4" w:space="0" w:color="auto"/>
              <w:right w:val="single" w:sz="4" w:space="0" w:color="auto"/>
            </w:tcBorders>
            <w:noWrap/>
            <w:hideMark/>
          </w:tcPr>
          <w:p w14:paraId="32272B8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490" w:type="dxa"/>
            <w:tcBorders>
              <w:top w:val="single" w:sz="4" w:space="0" w:color="auto"/>
              <w:left w:val="nil"/>
              <w:bottom w:val="single" w:sz="4" w:space="0" w:color="auto"/>
              <w:right w:val="single" w:sz="4" w:space="0" w:color="auto"/>
            </w:tcBorders>
            <w:noWrap/>
            <w:hideMark/>
          </w:tcPr>
          <w:p w14:paraId="23BE197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490" w:type="dxa"/>
            <w:tcBorders>
              <w:top w:val="single" w:sz="4" w:space="0" w:color="auto"/>
              <w:left w:val="nil"/>
              <w:bottom w:val="single" w:sz="4" w:space="0" w:color="auto"/>
              <w:right w:val="single" w:sz="4" w:space="0" w:color="auto"/>
            </w:tcBorders>
            <w:noWrap/>
            <w:hideMark/>
          </w:tcPr>
          <w:p w14:paraId="4EE4876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2B026EB0" w14:textId="77777777" w:rsidTr="003A11CD">
        <w:trPr>
          <w:trHeight w:val="256"/>
        </w:trPr>
        <w:tc>
          <w:tcPr>
            <w:tcW w:w="2324" w:type="dxa"/>
            <w:tcBorders>
              <w:top w:val="nil"/>
              <w:left w:val="single" w:sz="4" w:space="0" w:color="auto"/>
              <w:bottom w:val="single" w:sz="4" w:space="0" w:color="auto"/>
              <w:right w:val="single" w:sz="4" w:space="0" w:color="auto"/>
            </w:tcBorders>
            <w:hideMark/>
          </w:tcPr>
          <w:p w14:paraId="10E921F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income (loss)</w:t>
            </w:r>
          </w:p>
        </w:tc>
        <w:tc>
          <w:tcPr>
            <w:tcW w:w="1526" w:type="dxa"/>
            <w:tcBorders>
              <w:top w:val="nil"/>
              <w:left w:val="nil"/>
              <w:bottom w:val="single" w:sz="4" w:space="0" w:color="auto"/>
              <w:right w:val="single" w:sz="4" w:space="0" w:color="auto"/>
            </w:tcBorders>
            <w:noWrap/>
            <w:hideMark/>
          </w:tcPr>
          <w:p w14:paraId="5AC8E09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(24,029)</w:t>
            </w:r>
          </w:p>
        </w:tc>
        <w:tc>
          <w:tcPr>
            <w:tcW w:w="1526" w:type="dxa"/>
            <w:tcBorders>
              <w:top w:val="nil"/>
              <w:left w:val="nil"/>
              <w:bottom w:val="single" w:sz="4" w:space="0" w:color="auto"/>
              <w:right w:val="single" w:sz="4" w:space="0" w:color="auto"/>
            </w:tcBorders>
            <w:noWrap/>
            <w:hideMark/>
          </w:tcPr>
          <w:p w14:paraId="675BDA5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(98,238)</w:t>
            </w:r>
          </w:p>
        </w:tc>
        <w:tc>
          <w:tcPr>
            <w:tcW w:w="1490" w:type="dxa"/>
            <w:tcBorders>
              <w:top w:val="nil"/>
              <w:left w:val="nil"/>
              <w:bottom w:val="single" w:sz="4" w:space="0" w:color="auto"/>
              <w:right w:val="single" w:sz="4" w:space="0" w:color="auto"/>
            </w:tcBorders>
            <w:noWrap/>
            <w:hideMark/>
          </w:tcPr>
          <w:p w14:paraId="49D50A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407</w:t>
            </w:r>
          </w:p>
        </w:tc>
        <w:tc>
          <w:tcPr>
            <w:tcW w:w="1490" w:type="dxa"/>
            <w:tcBorders>
              <w:top w:val="nil"/>
              <w:left w:val="nil"/>
              <w:bottom w:val="single" w:sz="4" w:space="0" w:color="auto"/>
              <w:right w:val="single" w:sz="4" w:space="0" w:color="auto"/>
            </w:tcBorders>
            <w:noWrap/>
            <w:hideMark/>
          </w:tcPr>
          <w:p w14:paraId="0D0AA0A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5,301</w:t>
            </w:r>
          </w:p>
        </w:tc>
        <w:tc>
          <w:tcPr>
            <w:tcW w:w="1490" w:type="dxa"/>
            <w:tcBorders>
              <w:top w:val="nil"/>
              <w:left w:val="nil"/>
              <w:bottom w:val="single" w:sz="4" w:space="0" w:color="auto"/>
              <w:right w:val="single" w:sz="4" w:space="0" w:color="auto"/>
            </w:tcBorders>
            <w:noWrap/>
            <w:hideMark/>
          </w:tcPr>
          <w:p w14:paraId="6BC2CB6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38,572</w:t>
            </w:r>
          </w:p>
        </w:tc>
      </w:tr>
      <w:tr w:rsidR="003A11CD" w:rsidRPr="00E7418B" w14:paraId="055B9AB5" w14:textId="77777777" w:rsidTr="003A11CD">
        <w:trPr>
          <w:trHeight w:val="466"/>
        </w:trPr>
        <w:tc>
          <w:tcPr>
            <w:tcW w:w="2324" w:type="dxa"/>
            <w:tcBorders>
              <w:top w:val="nil"/>
              <w:left w:val="single" w:sz="4" w:space="0" w:color="000000"/>
              <w:bottom w:val="single" w:sz="4" w:space="0" w:color="000000"/>
              <w:right w:val="single" w:sz="4" w:space="0" w:color="000000"/>
            </w:tcBorders>
            <w:hideMark/>
          </w:tcPr>
          <w:p w14:paraId="175D0CD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shareholders' equity</w:t>
            </w:r>
          </w:p>
        </w:tc>
        <w:tc>
          <w:tcPr>
            <w:tcW w:w="1526" w:type="dxa"/>
            <w:tcBorders>
              <w:top w:val="nil"/>
              <w:left w:val="nil"/>
              <w:bottom w:val="nil"/>
              <w:right w:val="single" w:sz="4" w:space="0" w:color="000000"/>
            </w:tcBorders>
            <w:noWrap/>
            <w:hideMark/>
          </w:tcPr>
          <w:p w14:paraId="67C3333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153,105</w:t>
            </w:r>
          </w:p>
        </w:tc>
        <w:tc>
          <w:tcPr>
            <w:tcW w:w="1526" w:type="dxa"/>
            <w:tcBorders>
              <w:top w:val="nil"/>
              <w:left w:val="nil"/>
              <w:bottom w:val="nil"/>
              <w:right w:val="single" w:sz="4" w:space="0" w:color="000000"/>
            </w:tcBorders>
            <w:noWrap/>
            <w:hideMark/>
          </w:tcPr>
          <w:p w14:paraId="46913A1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178,920</w:t>
            </w:r>
          </w:p>
        </w:tc>
        <w:tc>
          <w:tcPr>
            <w:tcW w:w="1490" w:type="dxa"/>
            <w:tcBorders>
              <w:top w:val="nil"/>
              <w:left w:val="nil"/>
              <w:bottom w:val="nil"/>
              <w:right w:val="single" w:sz="4" w:space="0" w:color="000000"/>
            </w:tcBorders>
            <w:noWrap/>
            <w:hideMark/>
          </w:tcPr>
          <w:p w14:paraId="4C6DA3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268,406</w:t>
            </w:r>
          </w:p>
        </w:tc>
        <w:tc>
          <w:tcPr>
            <w:tcW w:w="1490" w:type="dxa"/>
            <w:tcBorders>
              <w:top w:val="nil"/>
              <w:left w:val="nil"/>
              <w:bottom w:val="nil"/>
              <w:right w:val="single" w:sz="4" w:space="0" w:color="000000"/>
            </w:tcBorders>
            <w:noWrap/>
            <w:hideMark/>
          </w:tcPr>
          <w:p w14:paraId="2539573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275,949</w:t>
            </w:r>
          </w:p>
        </w:tc>
        <w:tc>
          <w:tcPr>
            <w:tcW w:w="1490" w:type="dxa"/>
            <w:tcBorders>
              <w:top w:val="nil"/>
              <w:left w:val="nil"/>
              <w:bottom w:val="nil"/>
              <w:right w:val="single" w:sz="4" w:space="0" w:color="000000"/>
            </w:tcBorders>
            <w:noWrap/>
            <w:hideMark/>
          </w:tcPr>
          <w:p w14:paraId="23D389D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313,301</w:t>
            </w:r>
          </w:p>
        </w:tc>
      </w:tr>
      <w:tr w:rsidR="003A11CD" w:rsidRPr="00E7418B" w14:paraId="1F926729" w14:textId="77777777" w:rsidTr="003A11CD">
        <w:trPr>
          <w:trHeight w:val="887"/>
        </w:trPr>
        <w:tc>
          <w:tcPr>
            <w:tcW w:w="2324" w:type="dxa"/>
            <w:tcBorders>
              <w:top w:val="nil"/>
              <w:left w:val="single" w:sz="4" w:space="0" w:color="auto"/>
              <w:bottom w:val="single" w:sz="4" w:space="0" w:color="auto"/>
              <w:right w:val="single" w:sz="4" w:space="0" w:color="auto"/>
            </w:tcBorders>
            <w:vAlign w:val="center"/>
            <w:hideMark/>
          </w:tcPr>
          <w:p w14:paraId="264ABB9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Return on Equity = (Net Income /Total Shareholders' Equity) × 100.</w:t>
            </w:r>
          </w:p>
        </w:tc>
        <w:tc>
          <w:tcPr>
            <w:tcW w:w="1526" w:type="dxa"/>
            <w:tcBorders>
              <w:top w:val="single" w:sz="4" w:space="0" w:color="auto"/>
              <w:left w:val="nil"/>
              <w:bottom w:val="single" w:sz="4" w:space="0" w:color="auto"/>
              <w:right w:val="single" w:sz="4" w:space="0" w:color="auto"/>
            </w:tcBorders>
            <w:noWrap/>
            <w:hideMark/>
          </w:tcPr>
          <w:p w14:paraId="1C0A6AC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-15.69%</w:t>
            </w:r>
          </w:p>
        </w:tc>
        <w:tc>
          <w:tcPr>
            <w:tcW w:w="1526" w:type="dxa"/>
            <w:tcBorders>
              <w:top w:val="single" w:sz="4" w:space="0" w:color="auto"/>
              <w:left w:val="nil"/>
              <w:bottom w:val="single" w:sz="4" w:space="0" w:color="auto"/>
              <w:right w:val="single" w:sz="4" w:space="0" w:color="auto"/>
            </w:tcBorders>
            <w:noWrap/>
            <w:hideMark/>
          </w:tcPr>
          <w:p w14:paraId="56AF9B4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-54.91%</w:t>
            </w:r>
          </w:p>
        </w:tc>
        <w:tc>
          <w:tcPr>
            <w:tcW w:w="1490" w:type="dxa"/>
            <w:tcBorders>
              <w:top w:val="single" w:sz="4" w:space="0" w:color="auto"/>
              <w:left w:val="nil"/>
              <w:bottom w:val="single" w:sz="4" w:space="0" w:color="auto"/>
              <w:right w:val="single" w:sz="4" w:space="0" w:color="auto"/>
            </w:tcBorders>
            <w:noWrap/>
            <w:hideMark/>
          </w:tcPr>
          <w:p w14:paraId="29E5C39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0.15%</w:t>
            </w:r>
          </w:p>
        </w:tc>
        <w:tc>
          <w:tcPr>
            <w:tcW w:w="1490" w:type="dxa"/>
            <w:tcBorders>
              <w:top w:val="single" w:sz="4" w:space="0" w:color="auto"/>
              <w:left w:val="nil"/>
              <w:bottom w:val="single" w:sz="4" w:space="0" w:color="auto"/>
              <w:right w:val="single" w:sz="4" w:space="0" w:color="auto"/>
            </w:tcBorders>
            <w:noWrap/>
            <w:hideMark/>
          </w:tcPr>
          <w:p w14:paraId="6E8D8A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1.92%</w:t>
            </w:r>
          </w:p>
        </w:tc>
        <w:tc>
          <w:tcPr>
            <w:tcW w:w="1490" w:type="dxa"/>
            <w:tcBorders>
              <w:top w:val="single" w:sz="4" w:space="0" w:color="auto"/>
              <w:left w:val="nil"/>
              <w:bottom w:val="single" w:sz="4" w:space="0" w:color="auto"/>
              <w:right w:val="single" w:sz="4" w:space="0" w:color="auto"/>
            </w:tcBorders>
            <w:noWrap/>
            <w:hideMark/>
          </w:tcPr>
          <w:p w14:paraId="46FE29B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12.31%</w:t>
            </w:r>
          </w:p>
        </w:tc>
      </w:tr>
    </w:tbl>
    <w:p w14:paraId="4E8C4D09" w14:textId="77777777" w:rsidR="00AB21F8" w:rsidRPr="00E7418B" w:rsidRDefault="00AB21F8" w:rsidP="00E7418B">
      <w:pPr>
        <w:rPr>
          <w:rFonts w:cs="Arial"/>
          <w:color w:val="000000" w:themeColor="text1"/>
          <w:szCs w:val="24"/>
        </w:rPr>
      </w:pPr>
    </w:p>
    <w:p w14:paraId="7774347F"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Current Ratio</w:t>
      </w:r>
    </w:p>
    <w:tbl>
      <w:tblPr>
        <w:tblW w:w="9839" w:type="dxa"/>
        <w:tblInd w:w="-5" w:type="dxa"/>
        <w:tblLook w:val="04A0" w:firstRow="1" w:lastRow="0" w:firstColumn="1" w:lastColumn="0" w:noHBand="0" w:noVBand="1"/>
      </w:tblPr>
      <w:tblGrid>
        <w:gridCol w:w="2112"/>
        <w:gridCol w:w="1719"/>
        <w:gridCol w:w="1502"/>
        <w:gridCol w:w="1502"/>
        <w:gridCol w:w="1502"/>
        <w:gridCol w:w="1502"/>
      </w:tblGrid>
      <w:tr w:rsidR="003A11CD" w:rsidRPr="00E7418B" w14:paraId="60F01717" w14:textId="77777777" w:rsidTr="003A11CD">
        <w:trPr>
          <w:trHeight w:val="283"/>
        </w:trPr>
        <w:tc>
          <w:tcPr>
            <w:tcW w:w="2112" w:type="dxa"/>
            <w:tcBorders>
              <w:top w:val="single" w:sz="4" w:space="0" w:color="auto"/>
              <w:left w:val="single" w:sz="4" w:space="0" w:color="auto"/>
              <w:bottom w:val="single" w:sz="4" w:space="0" w:color="auto"/>
              <w:right w:val="single" w:sz="4" w:space="0" w:color="auto"/>
            </w:tcBorders>
            <w:vAlign w:val="bottom"/>
            <w:hideMark/>
          </w:tcPr>
          <w:p w14:paraId="400EF15C" w14:textId="1E1712D5" w:rsidR="00AB21F8" w:rsidRPr="00E7418B" w:rsidRDefault="00AB21F8" w:rsidP="00E7418B">
            <w:pPr>
              <w:spacing w:after="0"/>
              <w:jc w:val="center"/>
              <w:rPr>
                <w:rFonts w:eastAsia="Times New Roman" w:cs="Arial"/>
                <w:noProof w:val="0"/>
                <w:color w:val="000000" w:themeColor="text1"/>
                <w:szCs w:val="24"/>
                <w:lang w:eastAsia="en-GB"/>
              </w:rPr>
            </w:pPr>
          </w:p>
        </w:tc>
        <w:tc>
          <w:tcPr>
            <w:tcW w:w="1719" w:type="dxa"/>
            <w:tcBorders>
              <w:top w:val="single" w:sz="4" w:space="0" w:color="auto"/>
              <w:left w:val="nil"/>
              <w:bottom w:val="single" w:sz="4" w:space="0" w:color="auto"/>
              <w:right w:val="single" w:sz="4" w:space="0" w:color="auto"/>
            </w:tcBorders>
            <w:noWrap/>
            <w:hideMark/>
          </w:tcPr>
          <w:p w14:paraId="184E2E9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02" w:type="dxa"/>
            <w:tcBorders>
              <w:top w:val="single" w:sz="4" w:space="0" w:color="auto"/>
              <w:left w:val="nil"/>
              <w:bottom w:val="single" w:sz="4" w:space="0" w:color="auto"/>
              <w:right w:val="single" w:sz="4" w:space="0" w:color="auto"/>
            </w:tcBorders>
            <w:noWrap/>
            <w:hideMark/>
          </w:tcPr>
          <w:p w14:paraId="0A5F0ED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02" w:type="dxa"/>
            <w:tcBorders>
              <w:top w:val="single" w:sz="4" w:space="0" w:color="auto"/>
              <w:left w:val="nil"/>
              <w:bottom w:val="single" w:sz="4" w:space="0" w:color="auto"/>
              <w:right w:val="single" w:sz="4" w:space="0" w:color="auto"/>
            </w:tcBorders>
            <w:noWrap/>
            <w:hideMark/>
          </w:tcPr>
          <w:p w14:paraId="7BC9CEE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02" w:type="dxa"/>
            <w:tcBorders>
              <w:top w:val="single" w:sz="4" w:space="0" w:color="auto"/>
              <w:left w:val="nil"/>
              <w:bottom w:val="single" w:sz="4" w:space="0" w:color="auto"/>
              <w:right w:val="single" w:sz="4" w:space="0" w:color="auto"/>
            </w:tcBorders>
            <w:noWrap/>
            <w:hideMark/>
          </w:tcPr>
          <w:p w14:paraId="0812A0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02" w:type="dxa"/>
            <w:tcBorders>
              <w:top w:val="single" w:sz="4" w:space="0" w:color="auto"/>
              <w:left w:val="nil"/>
              <w:bottom w:val="single" w:sz="4" w:space="0" w:color="auto"/>
              <w:right w:val="single" w:sz="4" w:space="0" w:color="auto"/>
            </w:tcBorders>
            <w:noWrap/>
            <w:hideMark/>
          </w:tcPr>
          <w:p w14:paraId="4DA228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73A204C6" w14:textId="77777777" w:rsidTr="003A11CD">
        <w:trPr>
          <w:trHeight w:val="272"/>
        </w:trPr>
        <w:tc>
          <w:tcPr>
            <w:tcW w:w="2112" w:type="dxa"/>
            <w:tcBorders>
              <w:top w:val="nil"/>
              <w:left w:val="single" w:sz="4" w:space="0" w:color="auto"/>
              <w:bottom w:val="single" w:sz="4" w:space="0" w:color="auto"/>
              <w:right w:val="single" w:sz="4" w:space="0" w:color="auto"/>
            </w:tcBorders>
            <w:hideMark/>
          </w:tcPr>
          <w:p w14:paraId="75B2AB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assets</w:t>
            </w:r>
          </w:p>
        </w:tc>
        <w:tc>
          <w:tcPr>
            <w:tcW w:w="1719" w:type="dxa"/>
            <w:tcBorders>
              <w:top w:val="nil"/>
              <w:left w:val="nil"/>
              <w:bottom w:val="single" w:sz="4" w:space="0" w:color="auto"/>
              <w:right w:val="single" w:sz="4" w:space="0" w:color="auto"/>
            </w:tcBorders>
            <w:noWrap/>
            <w:hideMark/>
          </w:tcPr>
          <w:p w14:paraId="6265F39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242,494</w:t>
            </w:r>
          </w:p>
        </w:tc>
        <w:tc>
          <w:tcPr>
            <w:tcW w:w="1502" w:type="dxa"/>
            <w:tcBorders>
              <w:top w:val="nil"/>
              <w:left w:val="nil"/>
              <w:bottom w:val="single" w:sz="4" w:space="0" w:color="auto"/>
              <w:right w:val="single" w:sz="4" w:space="0" w:color="auto"/>
            </w:tcBorders>
            <w:noWrap/>
            <w:hideMark/>
          </w:tcPr>
          <w:p w14:paraId="7C3EE7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258,851</w:t>
            </w:r>
          </w:p>
        </w:tc>
        <w:tc>
          <w:tcPr>
            <w:tcW w:w="1502" w:type="dxa"/>
            <w:tcBorders>
              <w:top w:val="nil"/>
              <w:left w:val="nil"/>
              <w:bottom w:val="single" w:sz="4" w:space="0" w:color="auto"/>
              <w:right w:val="single" w:sz="4" w:space="0" w:color="auto"/>
            </w:tcBorders>
            <w:noWrap/>
            <w:hideMark/>
          </w:tcPr>
          <w:p w14:paraId="14311AE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338,040</w:t>
            </w:r>
          </w:p>
        </w:tc>
        <w:tc>
          <w:tcPr>
            <w:tcW w:w="1502" w:type="dxa"/>
            <w:tcBorders>
              <w:top w:val="nil"/>
              <w:left w:val="nil"/>
              <w:bottom w:val="single" w:sz="4" w:space="0" w:color="auto"/>
              <w:right w:val="single" w:sz="4" w:space="0" w:color="auto"/>
            </w:tcBorders>
            <w:noWrap/>
            <w:hideMark/>
          </w:tcPr>
          <w:p w14:paraId="3AE3092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337,146</w:t>
            </w:r>
          </w:p>
        </w:tc>
        <w:tc>
          <w:tcPr>
            <w:tcW w:w="1502" w:type="dxa"/>
            <w:tcBorders>
              <w:top w:val="nil"/>
              <w:left w:val="nil"/>
              <w:bottom w:val="single" w:sz="4" w:space="0" w:color="auto"/>
              <w:right w:val="single" w:sz="4" w:space="0" w:color="auto"/>
            </w:tcBorders>
            <w:noWrap/>
            <w:hideMark/>
          </w:tcPr>
          <w:p w14:paraId="32E4190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326,843</w:t>
            </w:r>
          </w:p>
        </w:tc>
      </w:tr>
      <w:tr w:rsidR="003A11CD" w:rsidRPr="00E7418B" w14:paraId="719A9813" w14:textId="77777777" w:rsidTr="003A11CD">
        <w:trPr>
          <w:trHeight w:val="249"/>
        </w:trPr>
        <w:tc>
          <w:tcPr>
            <w:tcW w:w="2112" w:type="dxa"/>
            <w:tcBorders>
              <w:top w:val="nil"/>
              <w:left w:val="single" w:sz="4" w:space="0" w:color="auto"/>
              <w:bottom w:val="single" w:sz="4" w:space="0" w:color="auto"/>
              <w:right w:val="single" w:sz="4" w:space="0" w:color="auto"/>
            </w:tcBorders>
            <w:hideMark/>
          </w:tcPr>
          <w:p w14:paraId="299E263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liabilities</w:t>
            </w:r>
          </w:p>
        </w:tc>
        <w:tc>
          <w:tcPr>
            <w:tcW w:w="1719" w:type="dxa"/>
            <w:tcBorders>
              <w:top w:val="nil"/>
              <w:left w:val="nil"/>
              <w:bottom w:val="single" w:sz="4" w:space="0" w:color="auto"/>
              <w:right w:val="single" w:sz="4" w:space="0" w:color="auto"/>
            </w:tcBorders>
            <w:noWrap/>
            <w:hideMark/>
          </w:tcPr>
          <w:p w14:paraId="332C5F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158,291</w:t>
            </w:r>
          </w:p>
        </w:tc>
        <w:tc>
          <w:tcPr>
            <w:tcW w:w="1502" w:type="dxa"/>
            <w:tcBorders>
              <w:top w:val="nil"/>
              <w:left w:val="nil"/>
              <w:bottom w:val="single" w:sz="4" w:space="0" w:color="auto"/>
              <w:right w:val="single" w:sz="4" w:space="0" w:color="auto"/>
            </w:tcBorders>
            <w:noWrap/>
            <w:hideMark/>
          </w:tcPr>
          <w:p w14:paraId="485A62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161,148</w:t>
            </w:r>
          </w:p>
        </w:tc>
        <w:tc>
          <w:tcPr>
            <w:tcW w:w="1502" w:type="dxa"/>
            <w:tcBorders>
              <w:top w:val="nil"/>
              <w:left w:val="nil"/>
              <w:bottom w:val="single" w:sz="4" w:space="0" w:color="auto"/>
              <w:right w:val="single" w:sz="4" w:space="0" w:color="auto"/>
            </w:tcBorders>
            <w:noWrap/>
            <w:hideMark/>
          </w:tcPr>
          <w:p w14:paraId="4E89CCB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216,473</w:t>
            </w:r>
          </w:p>
        </w:tc>
        <w:tc>
          <w:tcPr>
            <w:tcW w:w="1502" w:type="dxa"/>
            <w:tcBorders>
              <w:top w:val="nil"/>
              <w:left w:val="nil"/>
              <w:bottom w:val="single" w:sz="4" w:space="0" w:color="auto"/>
              <w:right w:val="single" w:sz="4" w:space="0" w:color="auto"/>
            </w:tcBorders>
            <w:noWrap/>
            <w:hideMark/>
          </w:tcPr>
          <w:p w14:paraId="177E5D5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216,787</w:t>
            </w:r>
          </w:p>
        </w:tc>
        <w:tc>
          <w:tcPr>
            <w:tcW w:w="1502" w:type="dxa"/>
            <w:tcBorders>
              <w:top w:val="nil"/>
              <w:left w:val="nil"/>
              <w:bottom w:val="single" w:sz="4" w:space="0" w:color="auto"/>
              <w:right w:val="single" w:sz="4" w:space="0" w:color="auto"/>
            </w:tcBorders>
            <w:noWrap/>
            <w:hideMark/>
          </w:tcPr>
          <w:p w14:paraId="65CFD7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179,510</w:t>
            </w:r>
          </w:p>
        </w:tc>
      </w:tr>
      <w:tr w:rsidR="003A11CD" w:rsidRPr="00E7418B" w14:paraId="6BA74DC4" w14:textId="77777777" w:rsidTr="003A11CD">
        <w:trPr>
          <w:trHeight w:val="1246"/>
        </w:trPr>
        <w:tc>
          <w:tcPr>
            <w:tcW w:w="2112" w:type="dxa"/>
            <w:tcBorders>
              <w:top w:val="nil"/>
              <w:left w:val="single" w:sz="4" w:space="0" w:color="auto"/>
              <w:bottom w:val="single" w:sz="4" w:space="0" w:color="auto"/>
              <w:right w:val="single" w:sz="4" w:space="0" w:color="auto"/>
            </w:tcBorders>
            <w:vAlign w:val="center"/>
            <w:hideMark/>
          </w:tcPr>
          <w:p w14:paraId="52C904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Current Ratio = Current Assets ÷ Current Liabilities.</w:t>
            </w:r>
          </w:p>
        </w:tc>
        <w:tc>
          <w:tcPr>
            <w:tcW w:w="1719" w:type="dxa"/>
            <w:tcBorders>
              <w:top w:val="nil"/>
              <w:left w:val="nil"/>
              <w:bottom w:val="single" w:sz="4" w:space="0" w:color="auto"/>
              <w:right w:val="single" w:sz="4" w:space="0" w:color="auto"/>
            </w:tcBorders>
            <w:noWrap/>
            <w:vAlign w:val="center"/>
            <w:hideMark/>
          </w:tcPr>
          <w:p w14:paraId="04D05F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w:t>
            </w:r>
          </w:p>
        </w:tc>
        <w:tc>
          <w:tcPr>
            <w:tcW w:w="1502" w:type="dxa"/>
            <w:tcBorders>
              <w:top w:val="nil"/>
              <w:left w:val="nil"/>
              <w:bottom w:val="single" w:sz="4" w:space="0" w:color="auto"/>
              <w:right w:val="single" w:sz="4" w:space="0" w:color="auto"/>
            </w:tcBorders>
            <w:noWrap/>
            <w:vAlign w:val="center"/>
            <w:hideMark/>
          </w:tcPr>
          <w:p w14:paraId="48ECC7A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w:t>
            </w:r>
          </w:p>
        </w:tc>
        <w:tc>
          <w:tcPr>
            <w:tcW w:w="1502" w:type="dxa"/>
            <w:tcBorders>
              <w:top w:val="nil"/>
              <w:left w:val="nil"/>
              <w:bottom w:val="single" w:sz="4" w:space="0" w:color="auto"/>
              <w:right w:val="single" w:sz="4" w:space="0" w:color="auto"/>
            </w:tcBorders>
            <w:noWrap/>
            <w:vAlign w:val="center"/>
            <w:hideMark/>
          </w:tcPr>
          <w:p w14:paraId="3EB4522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1.56</w:t>
            </w:r>
          </w:p>
        </w:tc>
        <w:tc>
          <w:tcPr>
            <w:tcW w:w="1502" w:type="dxa"/>
            <w:tcBorders>
              <w:top w:val="nil"/>
              <w:left w:val="nil"/>
              <w:bottom w:val="single" w:sz="4" w:space="0" w:color="auto"/>
              <w:right w:val="single" w:sz="4" w:space="0" w:color="auto"/>
            </w:tcBorders>
            <w:noWrap/>
            <w:vAlign w:val="center"/>
            <w:hideMark/>
          </w:tcPr>
          <w:p w14:paraId="26C1292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1.56</w:t>
            </w:r>
          </w:p>
        </w:tc>
        <w:tc>
          <w:tcPr>
            <w:tcW w:w="1502" w:type="dxa"/>
            <w:tcBorders>
              <w:top w:val="nil"/>
              <w:left w:val="nil"/>
              <w:bottom w:val="single" w:sz="4" w:space="0" w:color="auto"/>
              <w:right w:val="single" w:sz="4" w:space="0" w:color="auto"/>
            </w:tcBorders>
            <w:noWrap/>
            <w:vAlign w:val="center"/>
            <w:hideMark/>
          </w:tcPr>
          <w:p w14:paraId="5B551F8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1.82</w:t>
            </w:r>
          </w:p>
        </w:tc>
      </w:tr>
    </w:tbl>
    <w:p w14:paraId="26E08145" w14:textId="77777777" w:rsidR="00FA7D76" w:rsidRDefault="00FA7D76" w:rsidP="00E7418B">
      <w:pPr>
        <w:spacing w:after="0"/>
        <w:rPr>
          <w:rFonts w:eastAsia="Times New Roman" w:cs="Arial"/>
          <w:b/>
          <w:bCs/>
          <w:color w:val="000000" w:themeColor="text1"/>
          <w:szCs w:val="24"/>
          <w:lang w:eastAsia="en-GB"/>
        </w:rPr>
      </w:pPr>
    </w:p>
    <w:p w14:paraId="3C969028" w14:textId="783F139E"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Quick Ratio</w:t>
      </w:r>
    </w:p>
    <w:tbl>
      <w:tblPr>
        <w:tblW w:w="9825" w:type="dxa"/>
        <w:tblInd w:w="-5" w:type="dxa"/>
        <w:tblLook w:val="04A0" w:firstRow="1" w:lastRow="0" w:firstColumn="1" w:lastColumn="0" w:noHBand="0" w:noVBand="1"/>
      </w:tblPr>
      <w:tblGrid>
        <w:gridCol w:w="2694"/>
        <w:gridCol w:w="1131"/>
        <w:gridCol w:w="1500"/>
        <w:gridCol w:w="1500"/>
        <w:gridCol w:w="1500"/>
        <w:gridCol w:w="1500"/>
      </w:tblGrid>
      <w:tr w:rsidR="003A11CD" w:rsidRPr="00E7418B" w14:paraId="06001E25" w14:textId="77777777" w:rsidTr="00FA7D76">
        <w:trPr>
          <w:trHeight w:val="268"/>
        </w:trPr>
        <w:tc>
          <w:tcPr>
            <w:tcW w:w="2694" w:type="dxa"/>
            <w:tcBorders>
              <w:top w:val="single" w:sz="4" w:space="0" w:color="auto"/>
              <w:left w:val="single" w:sz="4" w:space="0" w:color="auto"/>
              <w:bottom w:val="single" w:sz="4" w:space="0" w:color="auto"/>
              <w:right w:val="single" w:sz="4" w:space="0" w:color="auto"/>
            </w:tcBorders>
            <w:vAlign w:val="bottom"/>
            <w:hideMark/>
          </w:tcPr>
          <w:p w14:paraId="77251782" w14:textId="02053D8E" w:rsidR="00AB21F8" w:rsidRPr="00E7418B" w:rsidRDefault="00AB21F8" w:rsidP="00E7418B">
            <w:pPr>
              <w:spacing w:after="0"/>
              <w:jc w:val="center"/>
              <w:rPr>
                <w:rFonts w:eastAsia="Times New Roman" w:cs="Arial"/>
                <w:noProof w:val="0"/>
                <w:color w:val="000000" w:themeColor="text1"/>
                <w:szCs w:val="24"/>
                <w:lang w:eastAsia="en-GB"/>
              </w:rPr>
            </w:pPr>
          </w:p>
        </w:tc>
        <w:tc>
          <w:tcPr>
            <w:tcW w:w="1131" w:type="dxa"/>
            <w:tcBorders>
              <w:top w:val="single" w:sz="4" w:space="0" w:color="auto"/>
              <w:left w:val="nil"/>
              <w:bottom w:val="single" w:sz="4" w:space="0" w:color="auto"/>
              <w:right w:val="single" w:sz="4" w:space="0" w:color="auto"/>
            </w:tcBorders>
            <w:noWrap/>
            <w:hideMark/>
          </w:tcPr>
          <w:p w14:paraId="6503D34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00" w:type="dxa"/>
            <w:tcBorders>
              <w:top w:val="single" w:sz="4" w:space="0" w:color="auto"/>
              <w:left w:val="nil"/>
              <w:bottom w:val="single" w:sz="4" w:space="0" w:color="auto"/>
              <w:right w:val="single" w:sz="4" w:space="0" w:color="auto"/>
            </w:tcBorders>
            <w:noWrap/>
            <w:hideMark/>
          </w:tcPr>
          <w:p w14:paraId="5ECD512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00" w:type="dxa"/>
            <w:tcBorders>
              <w:top w:val="single" w:sz="4" w:space="0" w:color="auto"/>
              <w:left w:val="nil"/>
              <w:bottom w:val="single" w:sz="4" w:space="0" w:color="auto"/>
              <w:right w:val="single" w:sz="4" w:space="0" w:color="auto"/>
            </w:tcBorders>
            <w:noWrap/>
            <w:hideMark/>
          </w:tcPr>
          <w:p w14:paraId="05AE9FB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00" w:type="dxa"/>
            <w:tcBorders>
              <w:top w:val="single" w:sz="4" w:space="0" w:color="auto"/>
              <w:left w:val="nil"/>
              <w:bottom w:val="single" w:sz="4" w:space="0" w:color="auto"/>
              <w:right w:val="single" w:sz="4" w:space="0" w:color="auto"/>
            </w:tcBorders>
            <w:noWrap/>
            <w:hideMark/>
          </w:tcPr>
          <w:p w14:paraId="17319D2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00" w:type="dxa"/>
            <w:tcBorders>
              <w:top w:val="single" w:sz="4" w:space="0" w:color="auto"/>
              <w:left w:val="nil"/>
              <w:bottom w:val="single" w:sz="4" w:space="0" w:color="auto"/>
              <w:right w:val="single" w:sz="4" w:space="0" w:color="auto"/>
            </w:tcBorders>
            <w:noWrap/>
            <w:hideMark/>
          </w:tcPr>
          <w:p w14:paraId="65659B3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94E333A" w14:textId="77777777" w:rsidTr="00FA7D76">
        <w:trPr>
          <w:trHeight w:val="268"/>
        </w:trPr>
        <w:tc>
          <w:tcPr>
            <w:tcW w:w="2694" w:type="dxa"/>
            <w:tcBorders>
              <w:top w:val="nil"/>
              <w:left w:val="single" w:sz="4" w:space="0" w:color="auto"/>
              <w:bottom w:val="single" w:sz="4" w:space="0" w:color="auto"/>
              <w:right w:val="single" w:sz="4" w:space="0" w:color="auto"/>
            </w:tcBorders>
            <w:hideMark/>
          </w:tcPr>
          <w:p w14:paraId="4D91156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assets</w:t>
            </w:r>
          </w:p>
        </w:tc>
        <w:tc>
          <w:tcPr>
            <w:tcW w:w="1131" w:type="dxa"/>
            <w:tcBorders>
              <w:top w:val="nil"/>
              <w:left w:val="nil"/>
              <w:bottom w:val="single" w:sz="4" w:space="0" w:color="auto"/>
              <w:right w:val="single" w:sz="4" w:space="0" w:color="auto"/>
            </w:tcBorders>
            <w:noWrap/>
            <w:hideMark/>
          </w:tcPr>
          <w:p w14:paraId="51EF17D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242,494</w:t>
            </w:r>
          </w:p>
        </w:tc>
        <w:tc>
          <w:tcPr>
            <w:tcW w:w="1500" w:type="dxa"/>
            <w:tcBorders>
              <w:top w:val="nil"/>
              <w:left w:val="nil"/>
              <w:bottom w:val="single" w:sz="4" w:space="0" w:color="auto"/>
              <w:right w:val="single" w:sz="4" w:space="0" w:color="auto"/>
            </w:tcBorders>
            <w:noWrap/>
            <w:hideMark/>
          </w:tcPr>
          <w:p w14:paraId="5C71690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258,851</w:t>
            </w:r>
          </w:p>
        </w:tc>
        <w:tc>
          <w:tcPr>
            <w:tcW w:w="1500" w:type="dxa"/>
            <w:tcBorders>
              <w:top w:val="nil"/>
              <w:left w:val="nil"/>
              <w:bottom w:val="single" w:sz="4" w:space="0" w:color="auto"/>
              <w:right w:val="single" w:sz="4" w:space="0" w:color="auto"/>
            </w:tcBorders>
            <w:noWrap/>
            <w:hideMark/>
          </w:tcPr>
          <w:p w14:paraId="05D6B23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338,040</w:t>
            </w:r>
          </w:p>
        </w:tc>
        <w:tc>
          <w:tcPr>
            <w:tcW w:w="1500" w:type="dxa"/>
            <w:tcBorders>
              <w:top w:val="nil"/>
              <w:left w:val="nil"/>
              <w:bottom w:val="single" w:sz="4" w:space="0" w:color="auto"/>
              <w:right w:val="single" w:sz="4" w:space="0" w:color="auto"/>
            </w:tcBorders>
            <w:noWrap/>
            <w:hideMark/>
          </w:tcPr>
          <w:p w14:paraId="187FDA2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337,146</w:t>
            </w:r>
          </w:p>
        </w:tc>
        <w:tc>
          <w:tcPr>
            <w:tcW w:w="1500" w:type="dxa"/>
            <w:tcBorders>
              <w:top w:val="nil"/>
              <w:left w:val="nil"/>
              <w:bottom w:val="single" w:sz="4" w:space="0" w:color="auto"/>
              <w:right w:val="single" w:sz="4" w:space="0" w:color="auto"/>
            </w:tcBorders>
            <w:noWrap/>
            <w:hideMark/>
          </w:tcPr>
          <w:p w14:paraId="7BE19CE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326,843</w:t>
            </w:r>
          </w:p>
        </w:tc>
      </w:tr>
      <w:tr w:rsidR="003A11CD" w:rsidRPr="00E7418B" w14:paraId="79253EB8" w14:textId="77777777" w:rsidTr="00FA7D76">
        <w:trPr>
          <w:trHeight w:val="292"/>
        </w:trPr>
        <w:tc>
          <w:tcPr>
            <w:tcW w:w="2694" w:type="dxa"/>
            <w:tcBorders>
              <w:top w:val="nil"/>
              <w:left w:val="single" w:sz="4" w:space="0" w:color="auto"/>
              <w:bottom w:val="single" w:sz="4" w:space="0" w:color="auto"/>
              <w:right w:val="single" w:sz="4" w:space="0" w:color="auto"/>
            </w:tcBorders>
            <w:hideMark/>
          </w:tcPr>
          <w:p w14:paraId="680FE69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Inventories</w:t>
            </w:r>
          </w:p>
        </w:tc>
        <w:tc>
          <w:tcPr>
            <w:tcW w:w="1131" w:type="dxa"/>
            <w:tcBorders>
              <w:top w:val="nil"/>
              <w:left w:val="nil"/>
              <w:bottom w:val="single" w:sz="4" w:space="0" w:color="auto"/>
              <w:right w:val="single" w:sz="4" w:space="0" w:color="auto"/>
            </w:tcBorders>
            <w:noWrap/>
            <w:hideMark/>
          </w:tcPr>
          <w:p w14:paraId="450E74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79,355</w:t>
            </w:r>
          </w:p>
        </w:tc>
        <w:tc>
          <w:tcPr>
            <w:tcW w:w="1500" w:type="dxa"/>
            <w:tcBorders>
              <w:top w:val="nil"/>
              <w:left w:val="nil"/>
              <w:bottom w:val="single" w:sz="4" w:space="0" w:color="auto"/>
              <w:right w:val="single" w:sz="4" w:space="0" w:color="auto"/>
            </w:tcBorders>
            <w:noWrap/>
            <w:hideMark/>
          </w:tcPr>
          <w:p w14:paraId="56878D0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88,273</w:t>
            </w:r>
          </w:p>
        </w:tc>
        <w:tc>
          <w:tcPr>
            <w:tcW w:w="1500" w:type="dxa"/>
            <w:tcBorders>
              <w:top w:val="nil"/>
              <w:left w:val="nil"/>
              <w:bottom w:val="single" w:sz="4" w:space="0" w:color="auto"/>
              <w:right w:val="single" w:sz="4" w:space="0" w:color="auto"/>
            </w:tcBorders>
            <w:noWrap/>
            <w:hideMark/>
          </w:tcPr>
          <w:p w14:paraId="293987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140,181</w:t>
            </w:r>
          </w:p>
        </w:tc>
        <w:tc>
          <w:tcPr>
            <w:tcW w:w="1500" w:type="dxa"/>
            <w:tcBorders>
              <w:top w:val="nil"/>
              <w:left w:val="nil"/>
              <w:bottom w:val="single" w:sz="4" w:space="0" w:color="auto"/>
              <w:right w:val="single" w:sz="4" w:space="0" w:color="auto"/>
            </w:tcBorders>
            <w:noWrap/>
            <w:hideMark/>
          </w:tcPr>
          <w:p w14:paraId="1F2169A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134,469</w:t>
            </w:r>
          </w:p>
        </w:tc>
        <w:tc>
          <w:tcPr>
            <w:tcW w:w="1500" w:type="dxa"/>
            <w:tcBorders>
              <w:top w:val="nil"/>
              <w:left w:val="nil"/>
              <w:bottom w:val="single" w:sz="4" w:space="0" w:color="auto"/>
              <w:right w:val="single" w:sz="4" w:space="0" w:color="auto"/>
            </w:tcBorders>
            <w:noWrap/>
            <w:hideMark/>
          </w:tcPr>
          <w:p w14:paraId="5FDE95C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120,430</w:t>
            </w:r>
          </w:p>
        </w:tc>
      </w:tr>
      <w:tr w:rsidR="003A11CD" w:rsidRPr="00E7418B" w14:paraId="2916869F" w14:textId="77777777" w:rsidTr="00FA7D76">
        <w:trPr>
          <w:trHeight w:val="878"/>
        </w:trPr>
        <w:tc>
          <w:tcPr>
            <w:tcW w:w="2694" w:type="dxa"/>
            <w:tcBorders>
              <w:top w:val="nil"/>
              <w:left w:val="single" w:sz="4" w:space="0" w:color="auto"/>
              <w:bottom w:val="single" w:sz="4" w:space="0" w:color="auto"/>
              <w:right w:val="single" w:sz="4" w:space="0" w:color="auto"/>
            </w:tcBorders>
            <w:hideMark/>
          </w:tcPr>
          <w:p w14:paraId="24E41EF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liabilities</w:t>
            </w:r>
          </w:p>
        </w:tc>
        <w:tc>
          <w:tcPr>
            <w:tcW w:w="1131" w:type="dxa"/>
            <w:tcBorders>
              <w:top w:val="nil"/>
              <w:left w:val="nil"/>
              <w:bottom w:val="single" w:sz="4" w:space="0" w:color="auto"/>
              <w:right w:val="single" w:sz="4" w:space="0" w:color="auto"/>
            </w:tcBorders>
            <w:noWrap/>
            <w:hideMark/>
          </w:tcPr>
          <w:p w14:paraId="5E84C8D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158,291</w:t>
            </w:r>
          </w:p>
        </w:tc>
        <w:tc>
          <w:tcPr>
            <w:tcW w:w="1500" w:type="dxa"/>
            <w:tcBorders>
              <w:top w:val="nil"/>
              <w:left w:val="nil"/>
              <w:bottom w:val="single" w:sz="4" w:space="0" w:color="auto"/>
              <w:right w:val="single" w:sz="4" w:space="0" w:color="auto"/>
            </w:tcBorders>
            <w:noWrap/>
            <w:hideMark/>
          </w:tcPr>
          <w:p w14:paraId="2718C0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161,148</w:t>
            </w:r>
          </w:p>
        </w:tc>
        <w:tc>
          <w:tcPr>
            <w:tcW w:w="1500" w:type="dxa"/>
            <w:tcBorders>
              <w:top w:val="nil"/>
              <w:left w:val="nil"/>
              <w:bottom w:val="single" w:sz="4" w:space="0" w:color="auto"/>
              <w:right w:val="single" w:sz="4" w:space="0" w:color="auto"/>
            </w:tcBorders>
            <w:noWrap/>
            <w:hideMark/>
          </w:tcPr>
          <w:p w14:paraId="7BA3D8D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216,473</w:t>
            </w:r>
          </w:p>
        </w:tc>
        <w:tc>
          <w:tcPr>
            <w:tcW w:w="1500" w:type="dxa"/>
            <w:tcBorders>
              <w:top w:val="nil"/>
              <w:left w:val="nil"/>
              <w:bottom w:val="single" w:sz="4" w:space="0" w:color="auto"/>
              <w:right w:val="single" w:sz="4" w:space="0" w:color="auto"/>
            </w:tcBorders>
            <w:noWrap/>
            <w:hideMark/>
          </w:tcPr>
          <w:p w14:paraId="57C30BA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216,787</w:t>
            </w:r>
          </w:p>
        </w:tc>
        <w:tc>
          <w:tcPr>
            <w:tcW w:w="1500" w:type="dxa"/>
            <w:tcBorders>
              <w:top w:val="nil"/>
              <w:left w:val="nil"/>
              <w:bottom w:val="single" w:sz="4" w:space="0" w:color="auto"/>
              <w:right w:val="single" w:sz="4" w:space="0" w:color="auto"/>
            </w:tcBorders>
            <w:noWrap/>
            <w:hideMark/>
          </w:tcPr>
          <w:p w14:paraId="70A29AB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179,510</w:t>
            </w:r>
          </w:p>
        </w:tc>
      </w:tr>
      <w:tr w:rsidR="003A11CD" w:rsidRPr="00E7418B" w14:paraId="4620FAC6" w14:textId="77777777" w:rsidTr="00FA7D76">
        <w:trPr>
          <w:trHeight w:val="1037"/>
        </w:trPr>
        <w:tc>
          <w:tcPr>
            <w:tcW w:w="2694" w:type="dxa"/>
            <w:tcBorders>
              <w:top w:val="nil"/>
              <w:left w:val="single" w:sz="4" w:space="0" w:color="auto"/>
              <w:bottom w:val="single" w:sz="4" w:space="0" w:color="auto"/>
              <w:right w:val="single" w:sz="4" w:space="0" w:color="auto"/>
            </w:tcBorders>
            <w:vAlign w:val="center"/>
            <w:hideMark/>
          </w:tcPr>
          <w:p w14:paraId="60374C5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Quick Ratio = (Current Assets – Inventory) ÷ Current Liabilities</w:t>
            </w:r>
          </w:p>
        </w:tc>
        <w:tc>
          <w:tcPr>
            <w:tcW w:w="1131" w:type="dxa"/>
            <w:tcBorders>
              <w:top w:val="nil"/>
              <w:left w:val="nil"/>
              <w:bottom w:val="single" w:sz="4" w:space="0" w:color="auto"/>
              <w:right w:val="single" w:sz="4" w:space="0" w:color="auto"/>
            </w:tcBorders>
            <w:noWrap/>
            <w:hideMark/>
          </w:tcPr>
          <w:p w14:paraId="44778F0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1.03</w:t>
            </w:r>
          </w:p>
        </w:tc>
        <w:tc>
          <w:tcPr>
            <w:tcW w:w="1500" w:type="dxa"/>
            <w:tcBorders>
              <w:top w:val="nil"/>
              <w:left w:val="nil"/>
              <w:bottom w:val="single" w:sz="4" w:space="0" w:color="auto"/>
              <w:right w:val="single" w:sz="4" w:space="0" w:color="auto"/>
            </w:tcBorders>
            <w:noWrap/>
            <w:hideMark/>
          </w:tcPr>
          <w:p w14:paraId="39B5C91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1.06</w:t>
            </w:r>
          </w:p>
        </w:tc>
        <w:tc>
          <w:tcPr>
            <w:tcW w:w="1500" w:type="dxa"/>
            <w:tcBorders>
              <w:top w:val="nil"/>
              <w:left w:val="nil"/>
              <w:bottom w:val="single" w:sz="4" w:space="0" w:color="auto"/>
              <w:right w:val="single" w:sz="4" w:space="0" w:color="auto"/>
            </w:tcBorders>
            <w:noWrap/>
            <w:hideMark/>
          </w:tcPr>
          <w:p w14:paraId="0DF06C3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0.91</w:t>
            </w:r>
          </w:p>
        </w:tc>
        <w:tc>
          <w:tcPr>
            <w:tcW w:w="1500" w:type="dxa"/>
            <w:tcBorders>
              <w:top w:val="nil"/>
              <w:left w:val="nil"/>
              <w:bottom w:val="single" w:sz="4" w:space="0" w:color="auto"/>
              <w:right w:val="single" w:sz="4" w:space="0" w:color="auto"/>
            </w:tcBorders>
            <w:noWrap/>
            <w:hideMark/>
          </w:tcPr>
          <w:p w14:paraId="5B756E2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0.93</w:t>
            </w:r>
          </w:p>
        </w:tc>
        <w:tc>
          <w:tcPr>
            <w:tcW w:w="1500" w:type="dxa"/>
            <w:tcBorders>
              <w:top w:val="nil"/>
              <w:left w:val="nil"/>
              <w:bottom w:val="single" w:sz="4" w:space="0" w:color="auto"/>
              <w:right w:val="single" w:sz="4" w:space="0" w:color="auto"/>
            </w:tcBorders>
            <w:noWrap/>
            <w:hideMark/>
          </w:tcPr>
          <w:p w14:paraId="430F89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1.15</w:t>
            </w:r>
          </w:p>
        </w:tc>
      </w:tr>
    </w:tbl>
    <w:p w14:paraId="28BD939F" w14:textId="77777777" w:rsidR="003A11CD" w:rsidRPr="00E7418B" w:rsidRDefault="003A11CD" w:rsidP="00E7418B">
      <w:pPr>
        <w:rPr>
          <w:rFonts w:cs="Arial"/>
          <w:color w:val="000000" w:themeColor="text1"/>
          <w:szCs w:val="24"/>
        </w:rPr>
      </w:pPr>
    </w:p>
    <w:p w14:paraId="3AA83185"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Inventory Turnover</w:t>
      </w:r>
    </w:p>
    <w:tbl>
      <w:tblPr>
        <w:tblW w:w="9782" w:type="dxa"/>
        <w:tblInd w:w="-5" w:type="dxa"/>
        <w:tblLook w:val="04A0" w:firstRow="1" w:lastRow="0" w:firstColumn="1" w:lastColumn="0" w:noHBand="0" w:noVBand="1"/>
      </w:tblPr>
      <w:tblGrid>
        <w:gridCol w:w="2470"/>
        <w:gridCol w:w="1084"/>
        <w:gridCol w:w="1557"/>
        <w:gridCol w:w="1557"/>
        <w:gridCol w:w="1557"/>
        <w:gridCol w:w="1557"/>
      </w:tblGrid>
      <w:tr w:rsidR="003A11CD" w:rsidRPr="00E7418B" w14:paraId="60920A53" w14:textId="77777777" w:rsidTr="00FA7D76">
        <w:trPr>
          <w:trHeight w:val="641"/>
        </w:trPr>
        <w:tc>
          <w:tcPr>
            <w:tcW w:w="2552" w:type="dxa"/>
            <w:tcBorders>
              <w:top w:val="single" w:sz="4" w:space="0" w:color="auto"/>
              <w:left w:val="single" w:sz="4" w:space="0" w:color="auto"/>
              <w:bottom w:val="single" w:sz="4" w:space="0" w:color="auto"/>
              <w:right w:val="single" w:sz="4" w:space="0" w:color="auto"/>
            </w:tcBorders>
            <w:vAlign w:val="bottom"/>
            <w:hideMark/>
          </w:tcPr>
          <w:p w14:paraId="61808DF6" w14:textId="32ED9A8F" w:rsidR="00AB21F8" w:rsidRPr="00E7418B" w:rsidRDefault="00AB21F8" w:rsidP="00E7418B">
            <w:pPr>
              <w:spacing w:after="0"/>
              <w:jc w:val="center"/>
              <w:rPr>
                <w:rFonts w:eastAsia="Times New Roman" w:cs="Arial"/>
                <w:noProof w:val="0"/>
                <w:color w:val="000000" w:themeColor="text1"/>
                <w:szCs w:val="24"/>
                <w:lang w:eastAsia="en-GB"/>
              </w:rPr>
            </w:pPr>
          </w:p>
        </w:tc>
        <w:tc>
          <w:tcPr>
            <w:tcW w:w="1002" w:type="dxa"/>
            <w:tcBorders>
              <w:top w:val="single" w:sz="4" w:space="0" w:color="auto"/>
              <w:left w:val="nil"/>
              <w:bottom w:val="single" w:sz="4" w:space="0" w:color="auto"/>
              <w:right w:val="single" w:sz="4" w:space="0" w:color="auto"/>
            </w:tcBorders>
            <w:noWrap/>
            <w:hideMark/>
          </w:tcPr>
          <w:p w14:paraId="1BD2FD9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57" w:type="dxa"/>
            <w:tcBorders>
              <w:top w:val="single" w:sz="4" w:space="0" w:color="auto"/>
              <w:left w:val="nil"/>
              <w:bottom w:val="single" w:sz="4" w:space="0" w:color="auto"/>
              <w:right w:val="single" w:sz="4" w:space="0" w:color="auto"/>
            </w:tcBorders>
            <w:noWrap/>
            <w:hideMark/>
          </w:tcPr>
          <w:p w14:paraId="08587BC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57" w:type="dxa"/>
            <w:tcBorders>
              <w:top w:val="single" w:sz="4" w:space="0" w:color="auto"/>
              <w:left w:val="nil"/>
              <w:bottom w:val="single" w:sz="4" w:space="0" w:color="auto"/>
              <w:right w:val="single" w:sz="4" w:space="0" w:color="auto"/>
            </w:tcBorders>
            <w:noWrap/>
            <w:hideMark/>
          </w:tcPr>
          <w:p w14:paraId="459151E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57" w:type="dxa"/>
            <w:tcBorders>
              <w:top w:val="single" w:sz="4" w:space="0" w:color="auto"/>
              <w:left w:val="nil"/>
              <w:bottom w:val="single" w:sz="4" w:space="0" w:color="auto"/>
              <w:right w:val="single" w:sz="4" w:space="0" w:color="auto"/>
            </w:tcBorders>
            <w:noWrap/>
            <w:hideMark/>
          </w:tcPr>
          <w:p w14:paraId="730068E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57" w:type="dxa"/>
            <w:tcBorders>
              <w:top w:val="single" w:sz="4" w:space="0" w:color="auto"/>
              <w:left w:val="nil"/>
              <w:bottom w:val="single" w:sz="4" w:space="0" w:color="auto"/>
              <w:right w:val="single" w:sz="4" w:space="0" w:color="auto"/>
            </w:tcBorders>
            <w:noWrap/>
            <w:hideMark/>
          </w:tcPr>
          <w:p w14:paraId="71C6540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6E5BEE2E" w14:textId="77777777" w:rsidTr="00FA7D76">
        <w:trPr>
          <w:trHeight w:val="615"/>
        </w:trPr>
        <w:tc>
          <w:tcPr>
            <w:tcW w:w="2552" w:type="dxa"/>
            <w:tcBorders>
              <w:top w:val="nil"/>
              <w:left w:val="single" w:sz="4" w:space="0" w:color="000000"/>
              <w:bottom w:val="single" w:sz="4" w:space="0" w:color="000000"/>
              <w:right w:val="single" w:sz="4" w:space="0" w:color="000000"/>
            </w:tcBorders>
            <w:hideMark/>
          </w:tcPr>
          <w:p w14:paraId="5DA2E92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Cost of sales</w:t>
            </w:r>
          </w:p>
        </w:tc>
        <w:tc>
          <w:tcPr>
            <w:tcW w:w="1002" w:type="dxa"/>
            <w:tcBorders>
              <w:top w:val="nil"/>
              <w:left w:val="nil"/>
              <w:bottom w:val="single" w:sz="4" w:space="0" w:color="000000"/>
              <w:right w:val="single" w:sz="4" w:space="0" w:color="000000"/>
            </w:tcBorders>
            <w:noWrap/>
            <w:hideMark/>
          </w:tcPr>
          <w:p w14:paraId="4DD705DC" w14:textId="604F1E10"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280,885</w:t>
            </w:r>
          </w:p>
        </w:tc>
        <w:tc>
          <w:tcPr>
            <w:tcW w:w="1557" w:type="dxa"/>
            <w:tcBorders>
              <w:top w:val="nil"/>
              <w:left w:val="nil"/>
              <w:bottom w:val="single" w:sz="4" w:space="0" w:color="000000"/>
              <w:right w:val="single" w:sz="4" w:space="0" w:color="000000"/>
            </w:tcBorders>
            <w:noWrap/>
            <w:hideMark/>
          </w:tcPr>
          <w:p w14:paraId="4D08A575" w14:textId="56413BE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322,897</w:t>
            </w:r>
          </w:p>
        </w:tc>
        <w:tc>
          <w:tcPr>
            <w:tcW w:w="1557" w:type="dxa"/>
            <w:tcBorders>
              <w:top w:val="nil"/>
              <w:left w:val="nil"/>
              <w:bottom w:val="single" w:sz="4" w:space="0" w:color="000000"/>
              <w:right w:val="single" w:sz="4" w:space="0" w:color="000000"/>
            </w:tcBorders>
            <w:noWrap/>
            <w:hideMark/>
          </w:tcPr>
          <w:p w14:paraId="5FC05FDB" w14:textId="1FA402EF"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390,459</w:t>
            </w:r>
          </w:p>
        </w:tc>
        <w:tc>
          <w:tcPr>
            <w:tcW w:w="1557" w:type="dxa"/>
            <w:tcBorders>
              <w:top w:val="nil"/>
              <w:left w:val="nil"/>
              <w:bottom w:val="single" w:sz="4" w:space="0" w:color="000000"/>
              <w:right w:val="single" w:sz="4" w:space="0" w:color="000000"/>
            </w:tcBorders>
            <w:noWrap/>
            <w:hideMark/>
          </w:tcPr>
          <w:p w14:paraId="722A330A" w14:textId="72114185"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428,586</w:t>
            </w:r>
          </w:p>
        </w:tc>
        <w:tc>
          <w:tcPr>
            <w:tcW w:w="1557" w:type="dxa"/>
            <w:tcBorders>
              <w:top w:val="nil"/>
              <w:left w:val="nil"/>
              <w:bottom w:val="single" w:sz="4" w:space="0" w:color="000000"/>
              <w:right w:val="single" w:sz="4" w:space="0" w:color="000000"/>
            </w:tcBorders>
            <w:noWrap/>
            <w:hideMark/>
          </w:tcPr>
          <w:p w14:paraId="57F508B5" w14:textId="1B0B7C16"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438,424</w:t>
            </w:r>
          </w:p>
        </w:tc>
      </w:tr>
      <w:tr w:rsidR="003A11CD" w:rsidRPr="00E7418B" w14:paraId="2A18DE2C" w14:textId="77777777" w:rsidTr="00FA7D76">
        <w:trPr>
          <w:trHeight w:val="564"/>
        </w:trPr>
        <w:tc>
          <w:tcPr>
            <w:tcW w:w="2552" w:type="dxa"/>
            <w:tcBorders>
              <w:top w:val="nil"/>
              <w:left w:val="single" w:sz="4" w:space="0" w:color="000000"/>
              <w:bottom w:val="single" w:sz="4" w:space="0" w:color="000000"/>
              <w:right w:val="single" w:sz="4" w:space="0" w:color="000000"/>
            </w:tcBorders>
            <w:hideMark/>
          </w:tcPr>
          <w:p w14:paraId="57CD40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Inventories</w:t>
            </w:r>
          </w:p>
        </w:tc>
        <w:tc>
          <w:tcPr>
            <w:tcW w:w="1002" w:type="dxa"/>
            <w:tcBorders>
              <w:top w:val="nil"/>
              <w:left w:val="nil"/>
              <w:bottom w:val="nil"/>
              <w:right w:val="single" w:sz="4" w:space="0" w:color="000000"/>
            </w:tcBorders>
            <w:noWrap/>
            <w:hideMark/>
          </w:tcPr>
          <w:p w14:paraId="782362D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79,355</w:t>
            </w:r>
          </w:p>
        </w:tc>
        <w:tc>
          <w:tcPr>
            <w:tcW w:w="1557" w:type="dxa"/>
            <w:tcBorders>
              <w:top w:val="nil"/>
              <w:left w:val="nil"/>
              <w:bottom w:val="nil"/>
              <w:right w:val="single" w:sz="4" w:space="0" w:color="000000"/>
            </w:tcBorders>
            <w:noWrap/>
            <w:hideMark/>
          </w:tcPr>
          <w:p w14:paraId="009405A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88,273</w:t>
            </w:r>
          </w:p>
        </w:tc>
        <w:tc>
          <w:tcPr>
            <w:tcW w:w="1557" w:type="dxa"/>
            <w:tcBorders>
              <w:top w:val="nil"/>
              <w:left w:val="nil"/>
              <w:bottom w:val="nil"/>
              <w:right w:val="single" w:sz="4" w:space="0" w:color="000000"/>
            </w:tcBorders>
            <w:noWrap/>
            <w:hideMark/>
          </w:tcPr>
          <w:p w14:paraId="49A8F9C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140,181</w:t>
            </w:r>
          </w:p>
        </w:tc>
        <w:tc>
          <w:tcPr>
            <w:tcW w:w="1557" w:type="dxa"/>
            <w:tcBorders>
              <w:top w:val="nil"/>
              <w:left w:val="nil"/>
              <w:bottom w:val="nil"/>
              <w:right w:val="single" w:sz="4" w:space="0" w:color="000000"/>
            </w:tcBorders>
            <w:noWrap/>
            <w:hideMark/>
          </w:tcPr>
          <w:p w14:paraId="728357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134,469</w:t>
            </w:r>
          </w:p>
        </w:tc>
        <w:tc>
          <w:tcPr>
            <w:tcW w:w="1557" w:type="dxa"/>
            <w:tcBorders>
              <w:top w:val="nil"/>
              <w:left w:val="nil"/>
              <w:bottom w:val="nil"/>
              <w:right w:val="single" w:sz="4" w:space="0" w:color="000000"/>
            </w:tcBorders>
            <w:noWrap/>
            <w:hideMark/>
          </w:tcPr>
          <w:p w14:paraId="33ADB58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120,430</w:t>
            </w:r>
          </w:p>
        </w:tc>
      </w:tr>
      <w:tr w:rsidR="003A11CD" w:rsidRPr="00E7418B" w14:paraId="11A0532B" w14:textId="77777777" w:rsidTr="00FA7D76">
        <w:trPr>
          <w:trHeight w:val="1119"/>
        </w:trPr>
        <w:tc>
          <w:tcPr>
            <w:tcW w:w="2552" w:type="dxa"/>
            <w:tcBorders>
              <w:top w:val="nil"/>
              <w:left w:val="single" w:sz="4" w:space="0" w:color="auto"/>
              <w:bottom w:val="single" w:sz="4" w:space="0" w:color="auto"/>
              <w:right w:val="single" w:sz="4" w:space="0" w:color="auto"/>
            </w:tcBorders>
            <w:vAlign w:val="center"/>
            <w:hideMark/>
          </w:tcPr>
          <w:p w14:paraId="170FFC5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Inventory Turnover = Cost of Sales ÷ Average Inventory</w:t>
            </w:r>
          </w:p>
        </w:tc>
        <w:tc>
          <w:tcPr>
            <w:tcW w:w="1002" w:type="dxa"/>
            <w:tcBorders>
              <w:top w:val="single" w:sz="4" w:space="0" w:color="auto"/>
              <w:left w:val="nil"/>
              <w:bottom w:val="single" w:sz="4" w:space="0" w:color="auto"/>
              <w:right w:val="single" w:sz="4" w:space="0" w:color="auto"/>
            </w:tcBorders>
            <w:noWrap/>
            <w:vAlign w:val="center"/>
            <w:hideMark/>
          </w:tcPr>
          <w:p w14:paraId="5B4FDAC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3.54</w:t>
            </w:r>
          </w:p>
        </w:tc>
        <w:tc>
          <w:tcPr>
            <w:tcW w:w="1557" w:type="dxa"/>
            <w:tcBorders>
              <w:top w:val="single" w:sz="4" w:space="0" w:color="auto"/>
              <w:left w:val="nil"/>
              <w:bottom w:val="single" w:sz="4" w:space="0" w:color="auto"/>
              <w:right w:val="single" w:sz="4" w:space="0" w:color="auto"/>
            </w:tcBorders>
            <w:noWrap/>
            <w:vAlign w:val="center"/>
            <w:hideMark/>
          </w:tcPr>
          <w:p w14:paraId="21893AA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3.66</w:t>
            </w:r>
          </w:p>
        </w:tc>
        <w:tc>
          <w:tcPr>
            <w:tcW w:w="1557" w:type="dxa"/>
            <w:tcBorders>
              <w:top w:val="single" w:sz="4" w:space="0" w:color="auto"/>
              <w:left w:val="nil"/>
              <w:bottom w:val="single" w:sz="4" w:space="0" w:color="auto"/>
              <w:right w:val="single" w:sz="4" w:space="0" w:color="auto"/>
            </w:tcBorders>
            <w:noWrap/>
            <w:vAlign w:val="center"/>
            <w:hideMark/>
          </w:tcPr>
          <w:p w14:paraId="289C904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2.79</w:t>
            </w:r>
          </w:p>
        </w:tc>
        <w:tc>
          <w:tcPr>
            <w:tcW w:w="1557" w:type="dxa"/>
            <w:tcBorders>
              <w:top w:val="single" w:sz="4" w:space="0" w:color="auto"/>
              <w:left w:val="nil"/>
              <w:bottom w:val="single" w:sz="4" w:space="0" w:color="auto"/>
              <w:right w:val="single" w:sz="4" w:space="0" w:color="auto"/>
            </w:tcBorders>
            <w:noWrap/>
            <w:vAlign w:val="center"/>
            <w:hideMark/>
          </w:tcPr>
          <w:p w14:paraId="1958E68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3.19</w:t>
            </w:r>
          </w:p>
        </w:tc>
        <w:tc>
          <w:tcPr>
            <w:tcW w:w="1557" w:type="dxa"/>
            <w:tcBorders>
              <w:top w:val="single" w:sz="4" w:space="0" w:color="auto"/>
              <w:left w:val="nil"/>
              <w:bottom w:val="single" w:sz="4" w:space="0" w:color="auto"/>
              <w:right w:val="single" w:sz="4" w:space="0" w:color="auto"/>
            </w:tcBorders>
            <w:noWrap/>
            <w:vAlign w:val="center"/>
            <w:hideMark/>
          </w:tcPr>
          <w:p w14:paraId="02910CA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3.64</w:t>
            </w:r>
          </w:p>
        </w:tc>
      </w:tr>
    </w:tbl>
    <w:p w14:paraId="6BA43E5B" w14:textId="77777777" w:rsidR="00FA7D76" w:rsidRDefault="00FA7D76" w:rsidP="00E7418B">
      <w:pPr>
        <w:spacing w:after="0"/>
        <w:rPr>
          <w:rFonts w:eastAsia="Times New Roman" w:cs="Arial"/>
          <w:b/>
          <w:bCs/>
          <w:color w:val="000000" w:themeColor="text1"/>
          <w:szCs w:val="24"/>
          <w:lang w:eastAsia="en-GB"/>
        </w:rPr>
      </w:pPr>
    </w:p>
    <w:p w14:paraId="79C89485" w14:textId="24805E09"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Receivables Turnover</w:t>
      </w:r>
    </w:p>
    <w:tbl>
      <w:tblPr>
        <w:tblW w:w="9807" w:type="dxa"/>
        <w:tblInd w:w="-5" w:type="dxa"/>
        <w:tblLook w:val="04A0" w:firstRow="1" w:lastRow="0" w:firstColumn="1" w:lastColumn="0" w:noHBand="0" w:noVBand="1"/>
      </w:tblPr>
      <w:tblGrid>
        <w:gridCol w:w="2552"/>
        <w:gridCol w:w="1131"/>
        <w:gridCol w:w="1531"/>
        <w:gridCol w:w="1531"/>
        <w:gridCol w:w="1531"/>
        <w:gridCol w:w="1531"/>
      </w:tblGrid>
      <w:tr w:rsidR="003A11CD" w:rsidRPr="00E7418B" w14:paraId="13525ED7" w14:textId="77777777" w:rsidTr="00FA7D76">
        <w:trPr>
          <w:trHeight w:val="268"/>
        </w:trPr>
        <w:tc>
          <w:tcPr>
            <w:tcW w:w="2552" w:type="dxa"/>
            <w:tcBorders>
              <w:top w:val="single" w:sz="4" w:space="0" w:color="auto"/>
              <w:left w:val="single" w:sz="4" w:space="0" w:color="auto"/>
              <w:bottom w:val="single" w:sz="4" w:space="0" w:color="auto"/>
              <w:right w:val="single" w:sz="4" w:space="0" w:color="auto"/>
            </w:tcBorders>
            <w:vAlign w:val="bottom"/>
            <w:hideMark/>
          </w:tcPr>
          <w:p w14:paraId="1EF6BC90" w14:textId="39CEFA82" w:rsidR="00AB21F8" w:rsidRPr="00E7418B" w:rsidRDefault="00AB21F8" w:rsidP="00E7418B">
            <w:pPr>
              <w:spacing w:after="0"/>
              <w:jc w:val="center"/>
              <w:rPr>
                <w:rFonts w:eastAsia="Times New Roman" w:cs="Arial"/>
                <w:noProof w:val="0"/>
                <w:color w:val="000000" w:themeColor="text1"/>
                <w:szCs w:val="24"/>
                <w:lang w:eastAsia="en-GB"/>
              </w:rPr>
            </w:pPr>
          </w:p>
        </w:tc>
        <w:tc>
          <w:tcPr>
            <w:tcW w:w="1131" w:type="dxa"/>
            <w:tcBorders>
              <w:top w:val="single" w:sz="4" w:space="0" w:color="auto"/>
              <w:left w:val="nil"/>
              <w:bottom w:val="single" w:sz="4" w:space="0" w:color="auto"/>
              <w:right w:val="single" w:sz="4" w:space="0" w:color="auto"/>
            </w:tcBorders>
            <w:noWrap/>
            <w:hideMark/>
          </w:tcPr>
          <w:p w14:paraId="7AAC98B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31" w:type="dxa"/>
            <w:tcBorders>
              <w:top w:val="single" w:sz="4" w:space="0" w:color="auto"/>
              <w:left w:val="nil"/>
              <w:bottom w:val="single" w:sz="4" w:space="0" w:color="auto"/>
              <w:right w:val="single" w:sz="4" w:space="0" w:color="auto"/>
            </w:tcBorders>
            <w:noWrap/>
            <w:hideMark/>
          </w:tcPr>
          <w:p w14:paraId="4A6C358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531" w:type="dxa"/>
            <w:tcBorders>
              <w:top w:val="single" w:sz="4" w:space="0" w:color="auto"/>
              <w:left w:val="nil"/>
              <w:bottom w:val="single" w:sz="4" w:space="0" w:color="auto"/>
              <w:right w:val="single" w:sz="4" w:space="0" w:color="auto"/>
            </w:tcBorders>
            <w:noWrap/>
            <w:hideMark/>
          </w:tcPr>
          <w:p w14:paraId="344E05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531" w:type="dxa"/>
            <w:tcBorders>
              <w:top w:val="single" w:sz="4" w:space="0" w:color="auto"/>
              <w:left w:val="nil"/>
              <w:bottom w:val="single" w:sz="4" w:space="0" w:color="auto"/>
              <w:right w:val="single" w:sz="4" w:space="0" w:color="auto"/>
            </w:tcBorders>
            <w:noWrap/>
            <w:hideMark/>
          </w:tcPr>
          <w:p w14:paraId="302C9BE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531" w:type="dxa"/>
            <w:tcBorders>
              <w:top w:val="single" w:sz="4" w:space="0" w:color="auto"/>
              <w:left w:val="nil"/>
              <w:bottom w:val="single" w:sz="4" w:space="0" w:color="auto"/>
              <w:right w:val="single" w:sz="4" w:space="0" w:color="auto"/>
            </w:tcBorders>
            <w:noWrap/>
            <w:hideMark/>
          </w:tcPr>
          <w:p w14:paraId="3A66C2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74AACFCB" w14:textId="77777777" w:rsidTr="00FA7D76">
        <w:trPr>
          <w:trHeight w:val="292"/>
        </w:trPr>
        <w:tc>
          <w:tcPr>
            <w:tcW w:w="2552" w:type="dxa"/>
            <w:tcBorders>
              <w:top w:val="nil"/>
              <w:left w:val="single" w:sz="4" w:space="0" w:color="auto"/>
              <w:bottom w:val="single" w:sz="4" w:space="0" w:color="auto"/>
              <w:right w:val="single" w:sz="4" w:space="0" w:color="auto"/>
            </w:tcBorders>
            <w:vAlign w:val="center"/>
            <w:hideMark/>
          </w:tcPr>
          <w:p w14:paraId="5A0D21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131" w:type="dxa"/>
            <w:tcBorders>
              <w:top w:val="nil"/>
              <w:left w:val="nil"/>
              <w:bottom w:val="single" w:sz="4" w:space="0" w:color="auto"/>
              <w:right w:val="single" w:sz="4" w:space="0" w:color="auto"/>
            </w:tcBorders>
            <w:noWrap/>
            <w:vAlign w:val="center"/>
            <w:hideMark/>
          </w:tcPr>
          <w:p w14:paraId="44BE37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531" w:type="dxa"/>
            <w:tcBorders>
              <w:top w:val="nil"/>
              <w:left w:val="nil"/>
              <w:bottom w:val="single" w:sz="4" w:space="0" w:color="auto"/>
              <w:right w:val="single" w:sz="4" w:space="0" w:color="auto"/>
            </w:tcBorders>
            <w:noWrap/>
            <w:vAlign w:val="center"/>
            <w:hideMark/>
          </w:tcPr>
          <w:p w14:paraId="5073651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531" w:type="dxa"/>
            <w:tcBorders>
              <w:top w:val="nil"/>
              <w:left w:val="nil"/>
              <w:bottom w:val="single" w:sz="4" w:space="0" w:color="auto"/>
              <w:right w:val="single" w:sz="4" w:space="0" w:color="auto"/>
            </w:tcBorders>
            <w:noWrap/>
            <w:vAlign w:val="center"/>
            <w:hideMark/>
          </w:tcPr>
          <w:p w14:paraId="75FB25A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531" w:type="dxa"/>
            <w:tcBorders>
              <w:top w:val="nil"/>
              <w:left w:val="nil"/>
              <w:bottom w:val="single" w:sz="4" w:space="0" w:color="auto"/>
              <w:right w:val="single" w:sz="4" w:space="0" w:color="auto"/>
            </w:tcBorders>
            <w:noWrap/>
            <w:vAlign w:val="center"/>
            <w:hideMark/>
          </w:tcPr>
          <w:p w14:paraId="3EE1991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531" w:type="dxa"/>
            <w:tcBorders>
              <w:top w:val="nil"/>
              <w:left w:val="nil"/>
              <w:bottom w:val="single" w:sz="4" w:space="0" w:color="auto"/>
              <w:right w:val="single" w:sz="4" w:space="0" w:color="auto"/>
            </w:tcBorders>
            <w:noWrap/>
            <w:vAlign w:val="center"/>
            <w:hideMark/>
          </w:tcPr>
          <w:p w14:paraId="6FBB048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6CA48859" w14:textId="77777777" w:rsidTr="00FA7D76">
        <w:trPr>
          <w:trHeight w:val="684"/>
        </w:trPr>
        <w:tc>
          <w:tcPr>
            <w:tcW w:w="2552" w:type="dxa"/>
            <w:tcBorders>
              <w:top w:val="nil"/>
              <w:left w:val="single" w:sz="4" w:space="0" w:color="auto"/>
              <w:bottom w:val="single" w:sz="4" w:space="0" w:color="auto"/>
              <w:right w:val="single" w:sz="4" w:space="0" w:color="auto"/>
            </w:tcBorders>
            <w:hideMark/>
          </w:tcPr>
          <w:p w14:paraId="57F2838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Accounts receivable</w:t>
            </w:r>
          </w:p>
        </w:tc>
        <w:tc>
          <w:tcPr>
            <w:tcW w:w="1131" w:type="dxa"/>
            <w:tcBorders>
              <w:top w:val="nil"/>
              <w:left w:val="nil"/>
              <w:bottom w:val="single" w:sz="4" w:space="0" w:color="auto"/>
              <w:right w:val="single" w:sz="4" w:space="0" w:color="auto"/>
            </w:tcBorders>
            <w:noWrap/>
            <w:hideMark/>
          </w:tcPr>
          <w:p w14:paraId="0DAC915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114,182</w:t>
            </w:r>
          </w:p>
        </w:tc>
        <w:tc>
          <w:tcPr>
            <w:tcW w:w="1531" w:type="dxa"/>
            <w:tcBorders>
              <w:top w:val="nil"/>
              <w:left w:val="nil"/>
              <w:bottom w:val="single" w:sz="4" w:space="0" w:color="auto"/>
              <w:right w:val="single" w:sz="4" w:space="0" w:color="auto"/>
            </w:tcBorders>
            <w:noWrap/>
            <w:hideMark/>
          </w:tcPr>
          <w:p w14:paraId="30513C8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112,596</w:t>
            </w:r>
          </w:p>
        </w:tc>
        <w:tc>
          <w:tcPr>
            <w:tcW w:w="1531" w:type="dxa"/>
            <w:tcBorders>
              <w:top w:val="nil"/>
              <w:left w:val="nil"/>
              <w:bottom w:val="single" w:sz="4" w:space="0" w:color="auto"/>
              <w:right w:val="single" w:sz="4" w:space="0" w:color="auto"/>
            </w:tcBorders>
            <w:noWrap/>
            <w:hideMark/>
          </w:tcPr>
          <w:p w14:paraId="378CEE0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112,346</w:t>
            </w:r>
          </w:p>
        </w:tc>
        <w:tc>
          <w:tcPr>
            <w:tcW w:w="1531" w:type="dxa"/>
            <w:tcBorders>
              <w:top w:val="nil"/>
              <w:left w:val="nil"/>
              <w:bottom w:val="single" w:sz="4" w:space="0" w:color="auto"/>
              <w:right w:val="single" w:sz="4" w:space="0" w:color="auto"/>
            </w:tcBorders>
            <w:noWrap/>
            <w:hideMark/>
          </w:tcPr>
          <w:p w14:paraId="34943F3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129,215</w:t>
            </w:r>
          </w:p>
        </w:tc>
        <w:tc>
          <w:tcPr>
            <w:tcW w:w="1531" w:type="dxa"/>
            <w:tcBorders>
              <w:top w:val="nil"/>
              <w:left w:val="nil"/>
              <w:bottom w:val="single" w:sz="4" w:space="0" w:color="auto"/>
              <w:right w:val="single" w:sz="4" w:space="0" w:color="auto"/>
            </w:tcBorders>
            <w:noWrap/>
            <w:hideMark/>
          </w:tcPr>
          <w:p w14:paraId="364ABF9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129,433</w:t>
            </w:r>
          </w:p>
        </w:tc>
      </w:tr>
      <w:tr w:rsidR="003A11CD" w:rsidRPr="00E7418B" w14:paraId="572905DE" w14:textId="77777777" w:rsidTr="00FA7D76">
        <w:trPr>
          <w:trHeight w:val="797"/>
        </w:trPr>
        <w:tc>
          <w:tcPr>
            <w:tcW w:w="2552" w:type="dxa"/>
            <w:tcBorders>
              <w:top w:val="nil"/>
              <w:left w:val="single" w:sz="4" w:space="0" w:color="auto"/>
              <w:bottom w:val="single" w:sz="4" w:space="0" w:color="auto"/>
              <w:right w:val="single" w:sz="4" w:space="0" w:color="auto"/>
            </w:tcBorders>
            <w:vAlign w:val="center"/>
            <w:hideMark/>
          </w:tcPr>
          <w:p w14:paraId="7F0FBAA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Receivables Turnover = Net Sales ÷ Accounts Receivable</w:t>
            </w:r>
          </w:p>
        </w:tc>
        <w:tc>
          <w:tcPr>
            <w:tcW w:w="1131" w:type="dxa"/>
            <w:tcBorders>
              <w:top w:val="nil"/>
              <w:left w:val="nil"/>
              <w:bottom w:val="single" w:sz="4" w:space="0" w:color="auto"/>
              <w:right w:val="single" w:sz="4" w:space="0" w:color="auto"/>
            </w:tcBorders>
            <w:noWrap/>
            <w:vAlign w:val="center"/>
            <w:hideMark/>
          </w:tcPr>
          <w:p w14:paraId="1977E63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3.46</w:t>
            </w:r>
          </w:p>
        </w:tc>
        <w:tc>
          <w:tcPr>
            <w:tcW w:w="1531" w:type="dxa"/>
            <w:tcBorders>
              <w:top w:val="nil"/>
              <w:left w:val="nil"/>
              <w:bottom w:val="single" w:sz="4" w:space="0" w:color="auto"/>
              <w:right w:val="single" w:sz="4" w:space="0" w:color="auto"/>
            </w:tcBorders>
            <w:noWrap/>
            <w:vAlign w:val="center"/>
            <w:hideMark/>
          </w:tcPr>
          <w:p w14:paraId="27C8A91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3.73</w:t>
            </w:r>
          </w:p>
        </w:tc>
        <w:tc>
          <w:tcPr>
            <w:tcW w:w="1531" w:type="dxa"/>
            <w:tcBorders>
              <w:top w:val="nil"/>
              <w:left w:val="nil"/>
              <w:bottom w:val="single" w:sz="4" w:space="0" w:color="auto"/>
              <w:right w:val="single" w:sz="4" w:space="0" w:color="auto"/>
            </w:tcBorders>
            <w:noWrap/>
            <w:vAlign w:val="center"/>
            <w:hideMark/>
          </w:tcPr>
          <w:p w14:paraId="580AFB7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4.83</w:t>
            </w:r>
          </w:p>
        </w:tc>
        <w:tc>
          <w:tcPr>
            <w:tcW w:w="1531" w:type="dxa"/>
            <w:tcBorders>
              <w:top w:val="nil"/>
              <w:left w:val="nil"/>
              <w:bottom w:val="single" w:sz="4" w:space="0" w:color="auto"/>
              <w:right w:val="single" w:sz="4" w:space="0" w:color="auto"/>
            </w:tcBorders>
            <w:noWrap/>
            <w:vAlign w:val="center"/>
            <w:hideMark/>
          </w:tcPr>
          <w:p w14:paraId="385EF6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4.66</w:t>
            </w:r>
          </w:p>
        </w:tc>
        <w:tc>
          <w:tcPr>
            <w:tcW w:w="1531" w:type="dxa"/>
            <w:tcBorders>
              <w:top w:val="nil"/>
              <w:left w:val="nil"/>
              <w:bottom w:val="single" w:sz="4" w:space="0" w:color="auto"/>
              <w:right w:val="single" w:sz="4" w:space="0" w:color="auto"/>
            </w:tcBorders>
            <w:noWrap/>
            <w:vAlign w:val="center"/>
            <w:hideMark/>
          </w:tcPr>
          <w:p w14:paraId="2E21864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4.75</w:t>
            </w:r>
          </w:p>
        </w:tc>
      </w:tr>
    </w:tbl>
    <w:p w14:paraId="2A87CD36" w14:textId="77777777" w:rsidR="003A11CD" w:rsidRPr="00E7418B" w:rsidRDefault="003A11CD" w:rsidP="00E7418B">
      <w:pPr>
        <w:spacing w:after="0"/>
        <w:rPr>
          <w:rFonts w:eastAsia="Times New Roman" w:cs="Arial"/>
          <w:noProof w:val="0"/>
          <w:color w:val="000000" w:themeColor="text1"/>
          <w:szCs w:val="24"/>
          <w:lang w:eastAsia="en-GB"/>
        </w:rPr>
      </w:pPr>
    </w:p>
    <w:p w14:paraId="2AF96618" w14:textId="77777777" w:rsidR="00FA7D76" w:rsidRDefault="00FA7D76" w:rsidP="00E7418B">
      <w:pPr>
        <w:spacing w:after="0"/>
        <w:rPr>
          <w:rFonts w:eastAsia="Times New Roman" w:cs="Arial"/>
          <w:b/>
          <w:bCs/>
          <w:noProof w:val="0"/>
          <w:color w:val="000000" w:themeColor="text1"/>
          <w:szCs w:val="24"/>
          <w:lang w:eastAsia="en-GB"/>
        </w:rPr>
      </w:pPr>
    </w:p>
    <w:p w14:paraId="55190E4F" w14:textId="77777777" w:rsidR="00FA7D76" w:rsidRDefault="00FA7D76" w:rsidP="00E7418B">
      <w:pPr>
        <w:spacing w:after="0"/>
        <w:rPr>
          <w:rFonts w:eastAsia="Times New Roman" w:cs="Arial"/>
          <w:b/>
          <w:bCs/>
          <w:noProof w:val="0"/>
          <w:color w:val="000000" w:themeColor="text1"/>
          <w:szCs w:val="24"/>
          <w:lang w:eastAsia="en-GB"/>
        </w:rPr>
      </w:pPr>
    </w:p>
    <w:p w14:paraId="479BF02D" w14:textId="3CCE6582"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Payables Turnover</w:t>
      </w:r>
    </w:p>
    <w:tbl>
      <w:tblPr>
        <w:tblW w:w="9808" w:type="dxa"/>
        <w:tblInd w:w="-5" w:type="dxa"/>
        <w:tblLook w:val="04A0" w:firstRow="1" w:lastRow="0" w:firstColumn="1" w:lastColumn="0" w:noHBand="0" w:noVBand="1"/>
      </w:tblPr>
      <w:tblGrid>
        <w:gridCol w:w="2268"/>
        <w:gridCol w:w="1120"/>
        <w:gridCol w:w="1605"/>
        <w:gridCol w:w="1605"/>
        <w:gridCol w:w="1605"/>
        <w:gridCol w:w="1605"/>
      </w:tblGrid>
      <w:tr w:rsidR="003A11CD" w:rsidRPr="00E7418B" w14:paraId="41DC432C" w14:textId="77777777" w:rsidTr="00FA7D76">
        <w:trPr>
          <w:trHeight w:val="480"/>
        </w:trPr>
        <w:tc>
          <w:tcPr>
            <w:tcW w:w="2268" w:type="dxa"/>
            <w:tcBorders>
              <w:top w:val="single" w:sz="4" w:space="0" w:color="auto"/>
              <w:left w:val="single" w:sz="4" w:space="0" w:color="auto"/>
              <w:bottom w:val="single" w:sz="4" w:space="0" w:color="auto"/>
              <w:right w:val="single" w:sz="4" w:space="0" w:color="auto"/>
            </w:tcBorders>
            <w:vAlign w:val="bottom"/>
            <w:hideMark/>
          </w:tcPr>
          <w:p w14:paraId="4459BF92" w14:textId="4FFDD8BF" w:rsidR="00AB21F8" w:rsidRPr="00E7418B" w:rsidRDefault="00AB21F8" w:rsidP="00E7418B">
            <w:pPr>
              <w:spacing w:after="0"/>
              <w:jc w:val="center"/>
              <w:rPr>
                <w:rFonts w:eastAsia="Times New Roman" w:cs="Arial"/>
                <w:noProof w:val="0"/>
                <w:color w:val="000000" w:themeColor="text1"/>
                <w:szCs w:val="24"/>
                <w:lang w:eastAsia="en-GB"/>
              </w:rPr>
            </w:pPr>
          </w:p>
        </w:tc>
        <w:tc>
          <w:tcPr>
            <w:tcW w:w="1120" w:type="dxa"/>
            <w:tcBorders>
              <w:top w:val="single" w:sz="4" w:space="0" w:color="auto"/>
              <w:left w:val="nil"/>
              <w:bottom w:val="single" w:sz="4" w:space="0" w:color="auto"/>
              <w:right w:val="single" w:sz="4" w:space="0" w:color="auto"/>
            </w:tcBorders>
            <w:noWrap/>
            <w:hideMark/>
          </w:tcPr>
          <w:p w14:paraId="421719F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605" w:type="dxa"/>
            <w:tcBorders>
              <w:top w:val="single" w:sz="4" w:space="0" w:color="auto"/>
              <w:left w:val="nil"/>
              <w:bottom w:val="single" w:sz="4" w:space="0" w:color="auto"/>
              <w:right w:val="single" w:sz="4" w:space="0" w:color="auto"/>
            </w:tcBorders>
            <w:noWrap/>
            <w:hideMark/>
          </w:tcPr>
          <w:p w14:paraId="0B4C992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605" w:type="dxa"/>
            <w:tcBorders>
              <w:top w:val="single" w:sz="4" w:space="0" w:color="auto"/>
              <w:left w:val="nil"/>
              <w:bottom w:val="single" w:sz="4" w:space="0" w:color="auto"/>
              <w:right w:val="single" w:sz="4" w:space="0" w:color="auto"/>
            </w:tcBorders>
            <w:noWrap/>
            <w:hideMark/>
          </w:tcPr>
          <w:p w14:paraId="149B9D3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605" w:type="dxa"/>
            <w:tcBorders>
              <w:top w:val="single" w:sz="4" w:space="0" w:color="auto"/>
              <w:left w:val="nil"/>
              <w:bottom w:val="single" w:sz="4" w:space="0" w:color="auto"/>
              <w:right w:val="single" w:sz="4" w:space="0" w:color="auto"/>
            </w:tcBorders>
            <w:noWrap/>
            <w:hideMark/>
          </w:tcPr>
          <w:p w14:paraId="30EB4E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605" w:type="dxa"/>
            <w:tcBorders>
              <w:top w:val="single" w:sz="4" w:space="0" w:color="auto"/>
              <w:left w:val="nil"/>
              <w:bottom w:val="single" w:sz="4" w:space="0" w:color="auto"/>
              <w:right w:val="single" w:sz="4" w:space="0" w:color="auto"/>
            </w:tcBorders>
            <w:noWrap/>
            <w:hideMark/>
          </w:tcPr>
          <w:p w14:paraId="4E2D7B3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42D178BD" w14:textId="77777777" w:rsidTr="00FA7D76">
        <w:trPr>
          <w:trHeight w:val="264"/>
        </w:trPr>
        <w:tc>
          <w:tcPr>
            <w:tcW w:w="2268" w:type="dxa"/>
            <w:tcBorders>
              <w:top w:val="nil"/>
              <w:left w:val="single" w:sz="4" w:space="0" w:color="auto"/>
              <w:bottom w:val="single" w:sz="4" w:space="0" w:color="auto"/>
              <w:right w:val="single" w:sz="4" w:space="0" w:color="auto"/>
            </w:tcBorders>
            <w:hideMark/>
          </w:tcPr>
          <w:p w14:paraId="3A09BB3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Cost of sales</w:t>
            </w:r>
          </w:p>
        </w:tc>
        <w:tc>
          <w:tcPr>
            <w:tcW w:w="1120" w:type="dxa"/>
            <w:tcBorders>
              <w:top w:val="nil"/>
              <w:left w:val="nil"/>
              <w:bottom w:val="single" w:sz="4" w:space="0" w:color="auto"/>
              <w:right w:val="single" w:sz="4" w:space="0" w:color="auto"/>
            </w:tcBorders>
            <w:noWrap/>
            <w:hideMark/>
          </w:tcPr>
          <w:p w14:paraId="225EEFDD" w14:textId="5870FCFE"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280,885</w:t>
            </w:r>
          </w:p>
        </w:tc>
        <w:tc>
          <w:tcPr>
            <w:tcW w:w="1605" w:type="dxa"/>
            <w:tcBorders>
              <w:top w:val="nil"/>
              <w:left w:val="nil"/>
              <w:bottom w:val="single" w:sz="4" w:space="0" w:color="auto"/>
              <w:right w:val="single" w:sz="4" w:space="0" w:color="auto"/>
            </w:tcBorders>
            <w:noWrap/>
            <w:hideMark/>
          </w:tcPr>
          <w:p w14:paraId="2F24B971" w14:textId="01A67272"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322,897</w:t>
            </w:r>
          </w:p>
        </w:tc>
        <w:tc>
          <w:tcPr>
            <w:tcW w:w="1605" w:type="dxa"/>
            <w:tcBorders>
              <w:top w:val="nil"/>
              <w:left w:val="nil"/>
              <w:bottom w:val="single" w:sz="4" w:space="0" w:color="auto"/>
              <w:right w:val="single" w:sz="4" w:space="0" w:color="auto"/>
            </w:tcBorders>
            <w:noWrap/>
            <w:hideMark/>
          </w:tcPr>
          <w:p w14:paraId="2EEAFAD2" w14:textId="69812E8B"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390,459</w:t>
            </w:r>
          </w:p>
        </w:tc>
        <w:tc>
          <w:tcPr>
            <w:tcW w:w="1605" w:type="dxa"/>
            <w:tcBorders>
              <w:top w:val="nil"/>
              <w:left w:val="nil"/>
              <w:bottom w:val="single" w:sz="4" w:space="0" w:color="auto"/>
              <w:right w:val="single" w:sz="4" w:space="0" w:color="auto"/>
            </w:tcBorders>
            <w:noWrap/>
            <w:hideMark/>
          </w:tcPr>
          <w:p w14:paraId="07A50ACE" w14:textId="1BE36E01"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428,586</w:t>
            </w:r>
          </w:p>
        </w:tc>
        <w:tc>
          <w:tcPr>
            <w:tcW w:w="1605" w:type="dxa"/>
            <w:tcBorders>
              <w:top w:val="nil"/>
              <w:left w:val="nil"/>
              <w:bottom w:val="single" w:sz="4" w:space="0" w:color="auto"/>
              <w:right w:val="single" w:sz="4" w:space="0" w:color="auto"/>
            </w:tcBorders>
            <w:noWrap/>
            <w:hideMark/>
          </w:tcPr>
          <w:p w14:paraId="619C435F" w14:textId="7EFFE3B1"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438,424</w:t>
            </w:r>
          </w:p>
        </w:tc>
      </w:tr>
      <w:tr w:rsidR="003A11CD" w:rsidRPr="00E7418B" w14:paraId="24CC6F79" w14:textId="77777777" w:rsidTr="00FA7D76">
        <w:trPr>
          <w:trHeight w:val="264"/>
        </w:trPr>
        <w:tc>
          <w:tcPr>
            <w:tcW w:w="2268" w:type="dxa"/>
            <w:tcBorders>
              <w:top w:val="nil"/>
              <w:left w:val="single" w:sz="4" w:space="0" w:color="auto"/>
              <w:bottom w:val="single" w:sz="4" w:space="0" w:color="auto"/>
              <w:right w:val="single" w:sz="4" w:space="0" w:color="auto"/>
            </w:tcBorders>
            <w:hideMark/>
          </w:tcPr>
          <w:p w14:paraId="7911D3B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Accounts payable</w:t>
            </w:r>
          </w:p>
        </w:tc>
        <w:tc>
          <w:tcPr>
            <w:tcW w:w="1120" w:type="dxa"/>
            <w:tcBorders>
              <w:top w:val="nil"/>
              <w:left w:val="nil"/>
              <w:bottom w:val="single" w:sz="4" w:space="0" w:color="auto"/>
              <w:right w:val="single" w:sz="4" w:space="0" w:color="auto"/>
            </w:tcBorders>
            <w:noWrap/>
            <w:hideMark/>
          </w:tcPr>
          <w:p w14:paraId="3BF3B9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72,031</w:t>
            </w:r>
          </w:p>
        </w:tc>
        <w:tc>
          <w:tcPr>
            <w:tcW w:w="1605" w:type="dxa"/>
            <w:tcBorders>
              <w:top w:val="nil"/>
              <w:left w:val="nil"/>
              <w:bottom w:val="single" w:sz="4" w:space="0" w:color="auto"/>
              <w:right w:val="single" w:sz="4" w:space="0" w:color="auto"/>
            </w:tcBorders>
            <w:noWrap/>
            <w:hideMark/>
          </w:tcPr>
          <w:p w14:paraId="10304D4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57,033</w:t>
            </w:r>
          </w:p>
        </w:tc>
        <w:tc>
          <w:tcPr>
            <w:tcW w:w="1605" w:type="dxa"/>
            <w:tcBorders>
              <w:top w:val="nil"/>
              <w:left w:val="nil"/>
              <w:bottom w:val="single" w:sz="4" w:space="0" w:color="auto"/>
              <w:right w:val="single" w:sz="4" w:space="0" w:color="auto"/>
            </w:tcBorders>
            <w:noWrap/>
            <w:hideMark/>
          </w:tcPr>
          <w:p w14:paraId="28108B2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71,373</w:t>
            </w:r>
          </w:p>
        </w:tc>
        <w:tc>
          <w:tcPr>
            <w:tcW w:w="1605" w:type="dxa"/>
            <w:tcBorders>
              <w:top w:val="nil"/>
              <w:left w:val="nil"/>
              <w:bottom w:val="single" w:sz="4" w:space="0" w:color="auto"/>
              <w:right w:val="single" w:sz="4" w:space="0" w:color="auto"/>
            </w:tcBorders>
            <w:noWrap/>
            <w:hideMark/>
          </w:tcPr>
          <w:p w14:paraId="1DB66C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92,707</w:t>
            </w:r>
          </w:p>
        </w:tc>
        <w:tc>
          <w:tcPr>
            <w:tcW w:w="1605" w:type="dxa"/>
            <w:tcBorders>
              <w:top w:val="nil"/>
              <w:left w:val="nil"/>
              <w:bottom w:val="single" w:sz="4" w:space="0" w:color="auto"/>
              <w:right w:val="single" w:sz="4" w:space="0" w:color="auto"/>
            </w:tcBorders>
            <w:noWrap/>
            <w:hideMark/>
          </w:tcPr>
          <w:p w14:paraId="7A803D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83,229</w:t>
            </w:r>
          </w:p>
        </w:tc>
      </w:tr>
      <w:tr w:rsidR="003A11CD" w:rsidRPr="00E7418B" w14:paraId="5143B722" w14:textId="77777777" w:rsidTr="00FA7D76">
        <w:trPr>
          <w:trHeight w:val="1018"/>
        </w:trPr>
        <w:tc>
          <w:tcPr>
            <w:tcW w:w="2268" w:type="dxa"/>
            <w:tcBorders>
              <w:top w:val="nil"/>
              <w:left w:val="single" w:sz="4" w:space="0" w:color="auto"/>
              <w:bottom w:val="single" w:sz="4" w:space="0" w:color="auto"/>
              <w:right w:val="single" w:sz="4" w:space="0" w:color="auto"/>
            </w:tcBorders>
            <w:vAlign w:val="center"/>
            <w:hideMark/>
          </w:tcPr>
          <w:p w14:paraId="51DD2E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Payables Turnover = Cost of Sales ÷ Accounts Payable</w:t>
            </w:r>
          </w:p>
        </w:tc>
        <w:tc>
          <w:tcPr>
            <w:tcW w:w="1120" w:type="dxa"/>
            <w:tcBorders>
              <w:top w:val="nil"/>
              <w:left w:val="nil"/>
              <w:bottom w:val="single" w:sz="4" w:space="0" w:color="auto"/>
              <w:right w:val="single" w:sz="4" w:space="0" w:color="auto"/>
            </w:tcBorders>
            <w:noWrap/>
            <w:hideMark/>
          </w:tcPr>
          <w:p w14:paraId="2D4531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3.90</w:t>
            </w:r>
          </w:p>
        </w:tc>
        <w:tc>
          <w:tcPr>
            <w:tcW w:w="1605" w:type="dxa"/>
            <w:tcBorders>
              <w:top w:val="nil"/>
              <w:left w:val="nil"/>
              <w:bottom w:val="single" w:sz="4" w:space="0" w:color="auto"/>
              <w:right w:val="single" w:sz="4" w:space="0" w:color="auto"/>
            </w:tcBorders>
            <w:noWrap/>
            <w:hideMark/>
          </w:tcPr>
          <w:p w14:paraId="5298827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5.66</w:t>
            </w:r>
          </w:p>
        </w:tc>
        <w:tc>
          <w:tcPr>
            <w:tcW w:w="1605" w:type="dxa"/>
            <w:tcBorders>
              <w:top w:val="nil"/>
              <w:left w:val="nil"/>
              <w:bottom w:val="single" w:sz="4" w:space="0" w:color="auto"/>
              <w:right w:val="single" w:sz="4" w:space="0" w:color="auto"/>
            </w:tcBorders>
            <w:noWrap/>
            <w:hideMark/>
          </w:tcPr>
          <w:p w14:paraId="3FD32D9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5.47</w:t>
            </w:r>
          </w:p>
        </w:tc>
        <w:tc>
          <w:tcPr>
            <w:tcW w:w="1605" w:type="dxa"/>
            <w:tcBorders>
              <w:top w:val="nil"/>
              <w:left w:val="nil"/>
              <w:bottom w:val="single" w:sz="4" w:space="0" w:color="auto"/>
              <w:right w:val="single" w:sz="4" w:space="0" w:color="auto"/>
            </w:tcBorders>
            <w:noWrap/>
            <w:hideMark/>
          </w:tcPr>
          <w:p w14:paraId="2388991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4.62</w:t>
            </w:r>
          </w:p>
        </w:tc>
        <w:tc>
          <w:tcPr>
            <w:tcW w:w="1605" w:type="dxa"/>
            <w:tcBorders>
              <w:top w:val="nil"/>
              <w:left w:val="nil"/>
              <w:bottom w:val="single" w:sz="4" w:space="0" w:color="auto"/>
              <w:right w:val="single" w:sz="4" w:space="0" w:color="auto"/>
            </w:tcBorders>
            <w:noWrap/>
            <w:hideMark/>
          </w:tcPr>
          <w:p w14:paraId="4A664A7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5.27</w:t>
            </w:r>
          </w:p>
        </w:tc>
      </w:tr>
    </w:tbl>
    <w:p w14:paraId="2DD56F84" w14:textId="77777777" w:rsidR="00AB21F8" w:rsidRPr="00E7418B" w:rsidRDefault="00AB21F8" w:rsidP="00E7418B">
      <w:pPr>
        <w:rPr>
          <w:rFonts w:cs="Arial"/>
          <w:color w:val="000000" w:themeColor="text1"/>
          <w:szCs w:val="24"/>
        </w:rPr>
      </w:pPr>
    </w:p>
    <w:p w14:paraId="7023DE76" w14:textId="77777777"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Total Asset Turnover</w:t>
      </w:r>
    </w:p>
    <w:tbl>
      <w:tblPr>
        <w:tblW w:w="9767" w:type="dxa"/>
        <w:tblInd w:w="-5" w:type="dxa"/>
        <w:tblLook w:val="04A0" w:firstRow="1" w:lastRow="0" w:firstColumn="1" w:lastColumn="0" w:noHBand="0" w:noVBand="1"/>
      </w:tblPr>
      <w:tblGrid>
        <w:gridCol w:w="2263"/>
        <w:gridCol w:w="1084"/>
        <w:gridCol w:w="1605"/>
        <w:gridCol w:w="1605"/>
        <w:gridCol w:w="1605"/>
        <w:gridCol w:w="1605"/>
      </w:tblGrid>
      <w:tr w:rsidR="003A11CD" w:rsidRPr="00E7418B" w14:paraId="2DAE9BFA" w14:textId="77777777" w:rsidTr="00FA7D76">
        <w:trPr>
          <w:trHeight w:val="275"/>
        </w:trPr>
        <w:tc>
          <w:tcPr>
            <w:tcW w:w="2268" w:type="dxa"/>
            <w:tcBorders>
              <w:top w:val="single" w:sz="4" w:space="0" w:color="auto"/>
              <w:left w:val="single" w:sz="4" w:space="0" w:color="auto"/>
              <w:bottom w:val="single" w:sz="4" w:space="0" w:color="auto"/>
              <w:right w:val="single" w:sz="4" w:space="0" w:color="auto"/>
            </w:tcBorders>
            <w:vAlign w:val="bottom"/>
            <w:hideMark/>
          </w:tcPr>
          <w:p w14:paraId="2B1A47F5" w14:textId="022E9459" w:rsidR="00AB21F8" w:rsidRPr="00E7418B" w:rsidRDefault="00AB21F8" w:rsidP="00E7418B">
            <w:pPr>
              <w:spacing w:after="0"/>
              <w:jc w:val="center"/>
              <w:rPr>
                <w:rFonts w:eastAsia="Times New Roman" w:cs="Arial"/>
                <w:noProof w:val="0"/>
                <w:color w:val="000000" w:themeColor="text1"/>
                <w:szCs w:val="24"/>
                <w:lang w:eastAsia="en-GB"/>
              </w:rPr>
            </w:pPr>
          </w:p>
        </w:tc>
        <w:tc>
          <w:tcPr>
            <w:tcW w:w="1079" w:type="dxa"/>
            <w:tcBorders>
              <w:top w:val="single" w:sz="4" w:space="0" w:color="auto"/>
              <w:left w:val="nil"/>
              <w:bottom w:val="single" w:sz="4" w:space="0" w:color="auto"/>
              <w:right w:val="single" w:sz="4" w:space="0" w:color="auto"/>
            </w:tcBorders>
            <w:noWrap/>
            <w:hideMark/>
          </w:tcPr>
          <w:p w14:paraId="2A475BD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605" w:type="dxa"/>
            <w:tcBorders>
              <w:top w:val="single" w:sz="4" w:space="0" w:color="auto"/>
              <w:left w:val="nil"/>
              <w:bottom w:val="single" w:sz="4" w:space="0" w:color="auto"/>
              <w:right w:val="single" w:sz="4" w:space="0" w:color="auto"/>
            </w:tcBorders>
            <w:noWrap/>
            <w:hideMark/>
          </w:tcPr>
          <w:p w14:paraId="0E9B3F2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605" w:type="dxa"/>
            <w:tcBorders>
              <w:top w:val="single" w:sz="4" w:space="0" w:color="auto"/>
              <w:left w:val="nil"/>
              <w:bottom w:val="single" w:sz="4" w:space="0" w:color="auto"/>
              <w:right w:val="single" w:sz="4" w:space="0" w:color="auto"/>
            </w:tcBorders>
            <w:noWrap/>
            <w:hideMark/>
          </w:tcPr>
          <w:p w14:paraId="74D221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605" w:type="dxa"/>
            <w:tcBorders>
              <w:top w:val="single" w:sz="4" w:space="0" w:color="auto"/>
              <w:left w:val="nil"/>
              <w:bottom w:val="single" w:sz="4" w:space="0" w:color="auto"/>
              <w:right w:val="single" w:sz="4" w:space="0" w:color="auto"/>
            </w:tcBorders>
            <w:noWrap/>
            <w:hideMark/>
          </w:tcPr>
          <w:p w14:paraId="3C5AC6D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605" w:type="dxa"/>
            <w:tcBorders>
              <w:top w:val="single" w:sz="4" w:space="0" w:color="auto"/>
              <w:left w:val="nil"/>
              <w:bottom w:val="single" w:sz="4" w:space="0" w:color="auto"/>
              <w:right w:val="single" w:sz="4" w:space="0" w:color="auto"/>
            </w:tcBorders>
            <w:noWrap/>
            <w:hideMark/>
          </w:tcPr>
          <w:p w14:paraId="018A320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D50756E" w14:textId="77777777" w:rsidTr="00FA7D76">
        <w:trPr>
          <w:trHeight w:val="275"/>
        </w:trPr>
        <w:tc>
          <w:tcPr>
            <w:tcW w:w="2268" w:type="dxa"/>
            <w:tcBorders>
              <w:top w:val="nil"/>
              <w:left w:val="single" w:sz="4" w:space="0" w:color="auto"/>
              <w:bottom w:val="single" w:sz="4" w:space="0" w:color="auto"/>
              <w:right w:val="single" w:sz="4" w:space="0" w:color="auto"/>
            </w:tcBorders>
            <w:hideMark/>
          </w:tcPr>
          <w:p w14:paraId="1EA2805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079" w:type="dxa"/>
            <w:tcBorders>
              <w:top w:val="nil"/>
              <w:left w:val="nil"/>
              <w:bottom w:val="single" w:sz="4" w:space="0" w:color="auto"/>
              <w:right w:val="single" w:sz="4" w:space="0" w:color="auto"/>
            </w:tcBorders>
            <w:noWrap/>
            <w:hideMark/>
          </w:tcPr>
          <w:p w14:paraId="5B2269A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605" w:type="dxa"/>
            <w:tcBorders>
              <w:top w:val="nil"/>
              <w:left w:val="nil"/>
              <w:bottom w:val="single" w:sz="4" w:space="0" w:color="auto"/>
              <w:right w:val="single" w:sz="4" w:space="0" w:color="auto"/>
            </w:tcBorders>
            <w:noWrap/>
            <w:hideMark/>
          </w:tcPr>
          <w:p w14:paraId="523B03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605" w:type="dxa"/>
            <w:tcBorders>
              <w:top w:val="nil"/>
              <w:left w:val="nil"/>
              <w:bottom w:val="single" w:sz="4" w:space="0" w:color="auto"/>
              <w:right w:val="single" w:sz="4" w:space="0" w:color="auto"/>
            </w:tcBorders>
            <w:noWrap/>
            <w:hideMark/>
          </w:tcPr>
          <w:p w14:paraId="3CFEEB6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605" w:type="dxa"/>
            <w:tcBorders>
              <w:top w:val="nil"/>
              <w:left w:val="nil"/>
              <w:bottom w:val="single" w:sz="4" w:space="0" w:color="auto"/>
              <w:right w:val="single" w:sz="4" w:space="0" w:color="auto"/>
            </w:tcBorders>
            <w:noWrap/>
            <w:hideMark/>
          </w:tcPr>
          <w:p w14:paraId="1A99857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605" w:type="dxa"/>
            <w:tcBorders>
              <w:top w:val="nil"/>
              <w:left w:val="nil"/>
              <w:bottom w:val="single" w:sz="4" w:space="0" w:color="auto"/>
              <w:right w:val="single" w:sz="4" w:space="0" w:color="auto"/>
            </w:tcBorders>
            <w:noWrap/>
            <w:hideMark/>
          </w:tcPr>
          <w:p w14:paraId="0EA2F9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BCF7B52" w14:textId="77777777" w:rsidTr="00FA7D76">
        <w:trPr>
          <w:trHeight w:val="275"/>
        </w:trPr>
        <w:tc>
          <w:tcPr>
            <w:tcW w:w="2268" w:type="dxa"/>
            <w:tcBorders>
              <w:top w:val="nil"/>
              <w:left w:val="single" w:sz="4" w:space="0" w:color="auto"/>
              <w:bottom w:val="single" w:sz="4" w:space="0" w:color="auto"/>
              <w:right w:val="single" w:sz="4" w:space="0" w:color="auto"/>
            </w:tcBorders>
            <w:hideMark/>
          </w:tcPr>
          <w:p w14:paraId="32B5B6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079" w:type="dxa"/>
            <w:tcBorders>
              <w:top w:val="nil"/>
              <w:left w:val="nil"/>
              <w:bottom w:val="single" w:sz="4" w:space="0" w:color="auto"/>
              <w:right w:val="single" w:sz="4" w:space="0" w:color="auto"/>
            </w:tcBorders>
            <w:noWrap/>
            <w:hideMark/>
          </w:tcPr>
          <w:p w14:paraId="0032DF5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605" w:type="dxa"/>
            <w:tcBorders>
              <w:top w:val="nil"/>
              <w:left w:val="nil"/>
              <w:bottom w:val="single" w:sz="4" w:space="0" w:color="auto"/>
              <w:right w:val="single" w:sz="4" w:space="0" w:color="auto"/>
            </w:tcBorders>
            <w:noWrap/>
            <w:hideMark/>
          </w:tcPr>
          <w:p w14:paraId="3AAFED8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605" w:type="dxa"/>
            <w:tcBorders>
              <w:top w:val="nil"/>
              <w:left w:val="nil"/>
              <w:bottom w:val="single" w:sz="4" w:space="0" w:color="auto"/>
              <w:right w:val="single" w:sz="4" w:space="0" w:color="auto"/>
            </w:tcBorders>
            <w:noWrap/>
            <w:hideMark/>
          </w:tcPr>
          <w:p w14:paraId="0A37CF0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605" w:type="dxa"/>
            <w:tcBorders>
              <w:top w:val="nil"/>
              <w:left w:val="nil"/>
              <w:bottom w:val="single" w:sz="4" w:space="0" w:color="auto"/>
              <w:right w:val="single" w:sz="4" w:space="0" w:color="auto"/>
            </w:tcBorders>
            <w:noWrap/>
            <w:hideMark/>
          </w:tcPr>
          <w:p w14:paraId="1A0DFAE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605" w:type="dxa"/>
            <w:tcBorders>
              <w:top w:val="nil"/>
              <w:left w:val="nil"/>
              <w:bottom w:val="single" w:sz="4" w:space="0" w:color="auto"/>
              <w:right w:val="single" w:sz="4" w:space="0" w:color="auto"/>
            </w:tcBorders>
            <w:noWrap/>
            <w:hideMark/>
          </w:tcPr>
          <w:p w14:paraId="255EAA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3656D409" w14:textId="77777777" w:rsidTr="00FA7D76">
        <w:trPr>
          <w:trHeight w:val="1102"/>
        </w:trPr>
        <w:tc>
          <w:tcPr>
            <w:tcW w:w="2268" w:type="dxa"/>
            <w:tcBorders>
              <w:top w:val="nil"/>
              <w:left w:val="single" w:sz="4" w:space="0" w:color="auto"/>
              <w:bottom w:val="single" w:sz="4" w:space="0" w:color="auto"/>
              <w:right w:val="single" w:sz="4" w:space="0" w:color="auto"/>
            </w:tcBorders>
            <w:vAlign w:val="center"/>
            <w:hideMark/>
          </w:tcPr>
          <w:p w14:paraId="21BAC7F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 Turnover = Net Sales ÷ Total Assets</w:t>
            </w:r>
          </w:p>
        </w:tc>
        <w:tc>
          <w:tcPr>
            <w:tcW w:w="1079" w:type="dxa"/>
            <w:tcBorders>
              <w:top w:val="nil"/>
              <w:left w:val="nil"/>
              <w:bottom w:val="single" w:sz="4" w:space="0" w:color="auto"/>
              <w:right w:val="single" w:sz="4" w:space="0" w:color="auto"/>
            </w:tcBorders>
            <w:noWrap/>
            <w:vAlign w:val="center"/>
            <w:hideMark/>
          </w:tcPr>
          <w:p w14:paraId="15970E8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1.22</w:t>
            </w:r>
          </w:p>
        </w:tc>
        <w:tc>
          <w:tcPr>
            <w:tcW w:w="1605" w:type="dxa"/>
            <w:tcBorders>
              <w:top w:val="nil"/>
              <w:left w:val="nil"/>
              <w:bottom w:val="single" w:sz="4" w:space="0" w:color="auto"/>
              <w:right w:val="single" w:sz="4" w:space="0" w:color="auto"/>
            </w:tcBorders>
            <w:noWrap/>
            <w:vAlign w:val="center"/>
            <w:hideMark/>
          </w:tcPr>
          <w:p w14:paraId="5F150D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605" w:type="dxa"/>
            <w:tcBorders>
              <w:top w:val="nil"/>
              <w:left w:val="nil"/>
              <w:bottom w:val="single" w:sz="4" w:space="0" w:color="auto"/>
              <w:right w:val="single" w:sz="4" w:space="0" w:color="auto"/>
            </w:tcBorders>
            <w:noWrap/>
            <w:vAlign w:val="center"/>
            <w:hideMark/>
          </w:tcPr>
          <w:p w14:paraId="45BFA3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1.08</w:t>
            </w:r>
          </w:p>
        </w:tc>
        <w:tc>
          <w:tcPr>
            <w:tcW w:w="1605" w:type="dxa"/>
            <w:tcBorders>
              <w:top w:val="nil"/>
              <w:left w:val="nil"/>
              <w:bottom w:val="single" w:sz="4" w:space="0" w:color="auto"/>
              <w:right w:val="single" w:sz="4" w:space="0" w:color="auto"/>
            </w:tcBorders>
            <w:noWrap/>
            <w:vAlign w:val="center"/>
            <w:hideMark/>
          </w:tcPr>
          <w:p w14:paraId="640194B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605" w:type="dxa"/>
            <w:tcBorders>
              <w:top w:val="nil"/>
              <w:left w:val="nil"/>
              <w:bottom w:val="single" w:sz="4" w:space="0" w:color="auto"/>
              <w:right w:val="single" w:sz="4" w:space="0" w:color="auto"/>
            </w:tcBorders>
            <w:noWrap/>
            <w:vAlign w:val="center"/>
            <w:hideMark/>
          </w:tcPr>
          <w:p w14:paraId="2BB4135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w:t>
            </w:r>
          </w:p>
        </w:tc>
      </w:tr>
    </w:tbl>
    <w:p w14:paraId="3C113888" w14:textId="77777777" w:rsidR="00AB21F8" w:rsidRPr="00E7418B" w:rsidRDefault="00AB21F8" w:rsidP="00E7418B">
      <w:pPr>
        <w:rPr>
          <w:rFonts w:cs="Arial"/>
          <w:color w:val="000000" w:themeColor="text1"/>
          <w:szCs w:val="24"/>
        </w:rPr>
      </w:pPr>
    </w:p>
    <w:p w14:paraId="7BB29C62" w14:textId="1A4985FE"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Debt-to-Equity Ratio</w:t>
      </w:r>
    </w:p>
    <w:tbl>
      <w:tblPr>
        <w:tblW w:w="9751" w:type="dxa"/>
        <w:tblInd w:w="-5" w:type="dxa"/>
        <w:tblLook w:val="04A0" w:firstRow="1" w:lastRow="0" w:firstColumn="1" w:lastColumn="0" w:noHBand="0" w:noVBand="1"/>
      </w:tblPr>
      <w:tblGrid>
        <w:gridCol w:w="2851"/>
        <w:gridCol w:w="1380"/>
        <w:gridCol w:w="1380"/>
        <w:gridCol w:w="1380"/>
        <w:gridCol w:w="1380"/>
        <w:gridCol w:w="1380"/>
      </w:tblGrid>
      <w:tr w:rsidR="003A11CD" w:rsidRPr="00E7418B" w14:paraId="16FF1B32" w14:textId="77777777" w:rsidTr="003A11CD">
        <w:trPr>
          <w:trHeight w:val="314"/>
        </w:trPr>
        <w:tc>
          <w:tcPr>
            <w:tcW w:w="2851" w:type="dxa"/>
            <w:tcBorders>
              <w:top w:val="single" w:sz="4" w:space="0" w:color="auto"/>
              <w:left w:val="single" w:sz="4" w:space="0" w:color="auto"/>
              <w:bottom w:val="single" w:sz="4" w:space="0" w:color="auto"/>
              <w:right w:val="single" w:sz="4" w:space="0" w:color="auto"/>
            </w:tcBorders>
            <w:vAlign w:val="bottom"/>
            <w:hideMark/>
          </w:tcPr>
          <w:p w14:paraId="0E2659C9" w14:textId="6F35E8BD" w:rsidR="00AB21F8" w:rsidRPr="00E7418B" w:rsidRDefault="00AB21F8" w:rsidP="00E7418B">
            <w:pPr>
              <w:spacing w:after="0"/>
              <w:jc w:val="center"/>
              <w:rPr>
                <w:rFonts w:eastAsia="Times New Roman" w:cs="Arial"/>
                <w:noProof w:val="0"/>
                <w:color w:val="000000" w:themeColor="text1"/>
                <w:szCs w:val="24"/>
                <w:lang w:eastAsia="en-GB"/>
              </w:rPr>
            </w:pPr>
          </w:p>
        </w:tc>
        <w:tc>
          <w:tcPr>
            <w:tcW w:w="1380" w:type="dxa"/>
            <w:tcBorders>
              <w:top w:val="single" w:sz="4" w:space="0" w:color="auto"/>
              <w:left w:val="nil"/>
              <w:bottom w:val="single" w:sz="4" w:space="0" w:color="auto"/>
              <w:right w:val="single" w:sz="4" w:space="0" w:color="auto"/>
            </w:tcBorders>
            <w:noWrap/>
            <w:hideMark/>
          </w:tcPr>
          <w:p w14:paraId="704F22F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80" w:type="dxa"/>
            <w:tcBorders>
              <w:top w:val="single" w:sz="4" w:space="0" w:color="auto"/>
              <w:left w:val="nil"/>
              <w:bottom w:val="single" w:sz="4" w:space="0" w:color="auto"/>
              <w:right w:val="single" w:sz="4" w:space="0" w:color="auto"/>
            </w:tcBorders>
            <w:noWrap/>
            <w:hideMark/>
          </w:tcPr>
          <w:p w14:paraId="26FE8C9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380" w:type="dxa"/>
            <w:tcBorders>
              <w:top w:val="single" w:sz="4" w:space="0" w:color="auto"/>
              <w:left w:val="nil"/>
              <w:bottom w:val="single" w:sz="4" w:space="0" w:color="auto"/>
              <w:right w:val="single" w:sz="4" w:space="0" w:color="auto"/>
            </w:tcBorders>
            <w:noWrap/>
            <w:hideMark/>
          </w:tcPr>
          <w:p w14:paraId="0E63812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380" w:type="dxa"/>
            <w:tcBorders>
              <w:top w:val="single" w:sz="4" w:space="0" w:color="auto"/>
              <w:left w:val="nil"/>
              <w:bottom w:val="single" w:sz="4" w:space="0" w:color="auto"/>
              <w:right w:val="single" w:sz="4" w:space="0" w:color="auto"/>
            </w:tcBorders>
            <w:noWrap/>
            <w:hideMark/>
          </w:tcPr>
          <w:p w14:paraId="1A5E6C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380" w:type="dxa"/>
            <w:tcBorders>
              <w:top w:val="single" w:sz="4" w:space="0" w:color="auto"/>
              <w:left w:val="nil"/>
              <w:bottom w:val="single" w:sz="4" w:space="0" w:color="auto"/>
              <w:right w:val="single" w:sz="4" w:space="0" w:color="auto"/>
            </w:tcBorders>
            <w:noWrap/>
            <w:hideMark/>
          </w:tcPr>
          <w:p w14:paraId="33852C3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536D3C8B" w14:textId="77777777" w:rsidTr="003A11CD">
        <w:trPr>
          <w:trHeight w:val="301"/>
        </w:trPr>
        <w:tc>
          <w:tcPr>
            <w:tcW w:w="2851" w:type="dxa"/>
            <w:tcBorders>
              <w:top w:val="nil"/>
              <w:left w:val="single" w:sz="4" w:space="0" w:color="000000"/>
              <w:bottom w:val="single" w:sz="4" w:space="0" w:color="000000"/>
              <w:right w:val="single" w:sz="4" w:space="0" w:color="000000"/>
            </w:tcBorders>
            <w:noWrap/>
            <w:hideMark/>
          </w:tcPr>
          <w:p w14:paraId="53C30A6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liabilities</w:t>
            </w:r>
          </w:p>
        </w:tc>
        <w:tc>
          <w:tcPr>
            <w:tcW w:w="1380" w:type="dxa"/>
            <w:tcBorders>
              <w:top w:val="nil"/>
              <w:left w:val="nil"/>
              <w:bottom w:val="single" w:sz="4" w:space="0" w:color="000000"/>
              <w:right w:val="single" w:sz="4" w:space="0" w:color="000000"/>
            </w:tcBorders>
            <w:noWrap/>
            <w:hideMark/>
          </w:tcPr>
          <w:p w14:paraId="7C72146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170,249</w:t>
            </w:r>
          </w:p>
        </w:tc>
        <w:tc>
          <w:tcPr>
            <w:tcW w:w="1380" w:type="dxa"/>
            <w:tcBorders>
              <w:top w:val="nil"/>
              <w:left w:val="nil"/>
              <w:bottom w:val="single" w:sz="4" w:space="0" w:color="000000"/>
              <w:right w:val="single" w:sz="4" w:space="0" w:color="000000"/>
            </w:tcBorders>
            <w:noWrap/>
            <w:hideMark/>
          </w:tcPr>
          <w:p w14:paraId="3F86E76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176,952</w:t>
            </w:r>
          </w:p>
        </w:tc>
        <w:tc>
          <w:tcPr>
            <w:tcW w:w="1380" w:type="dxa"/>
            <w:tcBorders>
              <w:top w:val="nil"/>
              <w:left w:val="nil"/>
              <w:bottom w:val="single" w:sz="4" w:space="0" w:color="000000"/>
              <w:right w:val="single" w:sz="4" w:space="0" w:color="000000"/>
            </w:tcBorders>
            <w:noWrap/>
            <w:hideMark/>
          </w:tcPr>
          <w:p w14:paraId="3569193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235,757</w:t>
            </w:r>
          </w:p>
        </w:tc>
        <w:tc>
          <w:tcPr>
            <w:tcW w:w="1380" w:type="dxa"/>
            <w:tcBorders>
              <w:top w:val="nil"/>
              <w:left w:val="nil"/>
              <w:bottom w:val="single" w:sz="4" w:space="0" w:color="000000"/>
              <w:right w:val="single" w:sz="4" w:space="0" w:color="000000"/>
            </w:tcBorders>
            <w:noWrap/>
            <w:hideMark/>
          </w:tcPr>
          <w:p w14:paraId="1BFA0E6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234,399</w:t>
            </w:r>
          </w:p>
        </w:tc>
        <w:tc>
          <w:tcPr>
            <w:tcW w:w="1380" w:type="dxa"/>
            <w:tcBorders>
              <w:top w:val="nil"/>
              <w:left w:val="nil"/>
              <w:bottom w:val="single" w:sz="4" w:space="0" w:color="000000"/>
              <w:right w:val="single" w:sz="4" w:space="0" w:color="000000"/>
            </w:tcBorders>
            <w:noWrap/>
            <w:hideMark/>
          </w:tcPr>
          <w:p w14:paraId="6308608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196,989</w:t>
            </w:r>
          </w:p>
        </w:tc>
      </w:tr>
      <w:tr w:rsidR="003A11CD" w:rsidRPr="00E7418B" w14:paraId="5821E2AD" w14:textId="77777777" w:rsidTr="003A11CD">
        <w:trPr>
          <w:trHeight w:val="276"/>
        </w:trPr>
        <w:tc>
          <w:tcPr>
            <w:tcW w:w="2851" w:type="dxa"/>
            <w:tcBorders>
              <w:top w:val="nil"/>
              <w:left w:val="single" w:sz="4" w:space="0" w:color="000000"/>
              <w:bottom w:val="single" w:sz="4" w:space="0" w:color="000000"/>
              <w:right w:val="single" w:sz="4" w:space="0" w:color="000000"/>
            </w:tcBorders>
            <w:hideMark/>
          </w:tcPr>
          <w:p w14:paraId="20B87E3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shareholders' equity</w:t>
            </w:r>
          </w:p>
        </w:tc>
        <w:tc>
          <w:tcPr>
            <w:tcW w:w="1380" w:type="dxa"/>
            <w:tcBorders>
              <w:top w:val="nil"/>
              <w:left w:val="nil"/>
              <w:bottom w:val="nil"/>
              <w:right w:val="single" w:sz="4" w:space="0" w:color="000000"/>
            </w:tcBorders>
            <w:noWrap/>
            <w:hideMark/>
          </w:tcPr>
          <w:p w14:paraId="60CF803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153,105</w:t>
            </w:r>
          </w:p>
        </w:tc>
        <w:tc>
          <w:tcPr>
            <w:tcW w:w="1380" w:type="dxa"/>
            <w:tcBorders>
              <w:top w:val="nil"/>
              <w:left w:val="nil"/>
              <w:bottom w:val="nil"/>
              <w:right w:val="single" w:sz="4" w:space="0" w:color="000000"/>
            </w:tcBorders>
            <w:noWrap/>
            <w:hideMark/>
          </w:tcPr>
          <w:p w14:paraId="13759AB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178,920</w:t>
            </w:r>
          </w:p>
        </w:tc>
        <w:tc>
          <w:tcPr>
            <w:tcW w:w="1380" w:type="dxa"/>
            <w:tcBorders>
              <w:top w:val="nil"/>
              <w:left w:val="nil"/>
              <w:bottom w:val="nil"/>
              <w:right w:val="single" w:sz="4" w:space="0" w:color="000000"/>
            </w:tcBorders>
            <w:noWrap/>
            <w:hideMark/>
          </w:tcPr>
          <w:p w14:paraId="21BD19D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268,406</w:t>
            </w:r>
          </w:p>
        </w:tc>
        <w:tc>
          <w:tcPr>
            <w:tcW w:w="1380" w:type="dxa"/>
            <w:tcBorders>
              <w:top w:val="nil"/>
              <w:left w:val="nil"/>
              <w:bottom w:val="nil"/>
              <w:right w:val="single" w:sz="4" w:space="0" w:color="000000"/>
            </w:tcBorders>
            <w:noWrap/>
            <w:hideMark/>
          </w:tcPr>
          <w:p w14:paraId="6E94881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275,949</w:t>
            </w:r>
          </w:p>
        </w:tc>
        <w:tc>
          <w:tcPr>
            <w:tcW w:w="1380" w:type="dxa"/>
            <w:tcBorders>
              <w:top w:val="nil"/>
              <w:left w:val="nil"/>
              <w:bottom w:val="nil"/>
              <w:right w:val="single" w:sz="4" w:space="0" w:color="000000"/>
            </w:tcBorders>
            <w:noWrap/>
            <w:hideMark/>
          </w:tcPr>
          <w:p w14:paraId="5335F5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313,301</w:t>
            </w:r>
          </w:p>
        </w:tc>
      </w:tr>
      <w:tr w:rsidR="003A11CD" w:rsidRPr="00E7418B" w14:paraId="0BC2B8F9" w14:textId="77777777" w:rsidTr="003A11CD">
        <w:trPr>
          <w:trHeight w:val="1060"/>
        </w:trPr>
        <w:tc>
          <w:tcPr>
            <w:tcW w:w="2851" w:type="dxa"/>
            <w:tcBorders>
              <w:top w:val="nil"/>
              <w:left w:val="single" w:sz="4" w:space="0" w:color="auto"/>
              <w:bottom w:val="single" w:sz="4" w:space="0" w:color="auto"/>
              <w:right w:val="single" w:sz="4" w:space="0" w:color="auto"/>
            </w:tcBorders>
            <w:vAlign w:val="center"/>
            <w:hideMark/>
          </w:tcPr>
          <w:p w14:paraId="2701E0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Debt-to-Equity Ratio = Total Liabilities ÷ Total Equity</w:t>
            </w:r>
          </w:p>
        </w:tc>
        <w:tc>
          <w:tcPr>
            <w:tcW w:w="1380" w:type="dxa"/>
            <w:tcBorders>
              <w:top w:val="single" w:sz="4" w:space="0" w:color="auto"/>
              <w:left w:val="nil"/>
              <w:bottom w:val="single" w:sz="4" w:space="0" w:color="auto"/>
              <w:right w:val="single" w:sz="4" w:space="0" w:color="auto"/>
            </w:tcBorders>
            <w:noWrap/>
            <w:vAlign w:val="center"/>
            <w:hideMark/>
          </w:tcPr>
          <w:p w14:paraId="0E0CF20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1.11</w:t>
            </w:r>
          </w:p>
        </w:tc>
        <w:tc>
          <w:tcPr>
            <w:tcW w:w="1380" w:type="dxa"/>
            <w:tcBorders>
              <w:top w:val="single" w:sz="4" w:space="0" w:color="auto"/>
              <w:left w:val="nil"/>
              <w:bottom w:val="single" w:sz="4" w:space="0" w:color="auto"/>
              <w:right w:val="single" w:sz="4" w:space="0" w:color="auto"/>
            </w:tcBorders>
            <w:noWrap/>
            <w:vAlign w:val="center"/>
            <w:hideMark/>
          </w:tcPr>
          <w:p w14:paraId="21ACA96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0.99</w:t>
            </w:r>
          </w:p>
        </w:tc>
        <w:tc>
          <w:tcPr>
            <w:tcW w:w="1380" w:type="dxa"/>
            <w:tcBorders>
              <w:top w:val="single" w:sz="4" w:space="0" w:color="auto"/>
              <w:left w:val="nil"/>
              <w:bottom w:val="single" w:sz="4" w:space="0" w:color="auto"/>
              <w:right w:val="single" w:sz="4" w:space="0" w:color="auto"/>
            </w:tcBorders>
            <w:noWrap/>
            <w:vAlign w:val="center"/>
            <w:hideMark/>
          </w:tcPr>
          <w:p w14:paraId="77EB2E6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0.88</w:t>
            </w:r>
          </w:p>
        </w:tc>
        <w:tc>
          <w:tcPr>
            <w:tcW w:w="1380" w:type="dxa"/>
            <w:tcBorders>
              <w:top w:val="single" w:sz="4" w:space="0" w:color="auto"/>
              <w:left w:val="nil"/>
              <w:bottom w:val="single" w:sz="4" w:space="0" w:color="auto"/>
              <w:right w:val="single" w:sz="4" w:space="0" w:color="auto"/>
            </w:tcBorders>
            <w:noWrap/>
            <w:vAlign w:val="center"/>
            <w:hideMark/>
          </w:tcPr>
          <w:p w14:paraId="1461084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0.85</w:t>
            </w:r>
          </w:p>
        </w:tc>
        <w:tc>
          <w:tcPr>
            <w:tcW w:w="1380" w:type="dxa"/>
            <w:tcBorders>
              <w:top w:val="single" w:sz="4" w:space="0" w:color="auto"/>
              <w:left w:val="nil"/>
              <w:bottom w:val="single" w:sz="4" w:space="0" w:color="auto"/>
              <w:right w:val="single" w:sz="4" w:space="0" w:color="auto"/>
            </w:tcBorders>
            <w:noWrap/>
            <w:vAlign w:val="center"/>
            <w:hideMark/>
          </w:tcPr>
          <w:p w14:paraId="69876F3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0.63</w:t>
            </w:r>
          </w:p>
        </w:tc>
      </w:tr>
    </w:tbl>
    <w:p w14:paraId="483EE513" w14:textId="77777777" w:rsidR="00AB21F8" w:rsidRPr="00E7418B" w:rsidRDefault="00AB21F8" w:rsidP="00E7418B">
      <w:pPr>
        <w:rPr>
          <w:rFonts w:cs="Arial"/>
          <w:color w:val="000000" w:themeColor="text1"/>
          <w:szCs w:val="24"/>
        </w:rPr>
      </w:pPr>
    </w:p>
    <w:p w14:paraId="476E2530" w14:textId="77777777" w:rsidR="00AB21F8" w:rsidRPr="00E7418B" w:rsidRDefault="00AB21F8" w:rsidP="00E7418B">
      <w:pPr>
        <w:rPr>
          <w:rFonts w:cs="Arial"/>
          <w:color w:val="000000" w:themeColor="text1"/>
          <w:szCs w:val="24"/>
        </w:rPr>
      </w:pPr>
    </w:p>
    <w:p w14:paraId="1ACC6F13" w14:textId="77777777" w:rsidR="00FA7D76" w:rsidRDefault="00FA7D76" w:rsidP="00E7418B">
      <w:pPr>
        <w:spacing w:after="0"/>
        <w:rPr>
          <w:rFonts w:eastAsia="Times New Roman" w:cs="Arial"/>
          <w:b/>
          <w:bCs/>
          <w:noProof w:val="0"/>
          <w:color w:val="000000" w:themeColor="text1"/>
          <w:szCs w:val="24"/>
          <w:lang w:eastAsia="en-GB"/>
        </w:rPr>
      </w:pPr>
    </w:p>
    <w:p w14:paraId="08BFF540" w14:textId="77777777" w:rsidR="00FA7D76" w:rsidRDefault="00FA7D76" w:rsidP="00E7418B">
      <w:pPr>
        <w:spacing w:after="0"/>
        <w:rPr>
          <w:rFonts w:eastAsia="Times New Roman" w:cs="Arial"/>
          <w:b/>
          <w:bCs/>
          <w:noProof w:val="0"/>
          <w:color w:val="000000" w:themeColor="text1"/>
          <w:szCs w:val="24"/>
          <w:lang w:eastAsia="en-GB"/>
        </w:rPr>
      </w:pPr>
    </w:p>
    <w:p w14:paraId="67957801" w14:textId="2FCDE466"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Interest Coverage Ratio</w:t>
      </w:r>
    </w:p>
    <w:tbl>
      <w:tblPr>
        <w:tblW w:w="9730" w:type="dxa"/>
        <w:tblInd w:w="-5" w:type="dxa"/>
        <w:tblLook w:val="04A0" w:firstRow="1" w:lastRow="0" w:firstColumn="1" w:lastColumn="0" w:noHBand="0" w:noVBand="1"/>
      </w:tblPr>
      <w:tblGrid>
        <w:gridCol w:w="2681"/>
        <w:gridCol w:w="1534"/>
        <w:gridCol w:w="1534"/>
        <w:gridCol w:w="1327"/>
        <w:gridCol w:w="1327"/>
        <w:gridCol w:w="1327"/>
      </w:tblGrid>
      <w:tr w:rsidR="003A11CD" w:rsidRPr="00E7418B" w14:paraId="468FC79D" w14:textId="77777777" w:rsidTr="003A11CD">
        <w:trPr>
          <w:trHeight w:val="266"/>
        </w:trPr>
        <w:tc>
          <w:tcPr>
            <w:tcW w:w="2681" w:type="dxa"/>
            <w:tcBorders>
              <w:top w:val="single" w:sz="4" w:space="0" w:color="auto"/>
              <w:left w:val="single" w:sz="4" w:space="0" w:color="auto"/>
              <w:bottom w:val="single" w:sz="4" w:space="0" w:color="auto"/>
              <w:right w:val="single" w:sz="4" w:space="0" w:color="auto"/>
            </w:tcBorders>
            <w:vAlign w:val="bottom"/>
            <w:hideMark/>
          </w:tcPr>
          <w:p w14:paraId="6C29A8D6" w14:textId="6E125306" w:rsidR="00AB21F8" w:rsidRPr="00E7418B" w:rsidRDefault="00AB21F8" w:rsidP="00E7418B">
            <w:pPr>
              <w:spacing w:after="0"/>
              <w:jc w:val="center"/>
              <w:rPr>
                <w:rFonts w:eastAsia="Times New Roman" w:cs="Arial"/>
                <w:noProof w:val="0"/>
                <w:color w:val="000000" w:themeColor="text1"/>
                <w:szCs w:val="24"/>
                <w:lang w:eastAsia="en-GB"/>
              </w:rPr>
            </w:pPr>
          </w:p>
        </w:tc>
        <w:tc>
          <w:tcPr>
            <w:tcW w:w="1534" w:type="dxa"/>
            <w:tcBorders>
              <w:top w:val="single" w:sz="4" w:space="0" w:color="auto"/>
              <w:left w:val="nil"/>
              <w:bottom w:val="single" w:sz="4" w:space="0" w:color="auto"/>
              <w:right w:val="single" w:sz="4" w:space="0" w:color="auto"/>
            </w:tcBorders>
            <w:noWrap/>
            <w:hideMark/>
          </w:tcPr>
          <w:p w14:paraId="153EF7D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534" w:type="dxa"/>
            <w:tcBorders>
              <w:top w:val="single" w:sz="4" w:space="0" w:color="auto"/>
              <w:left w:val="nil"/>
              <w:bottom w:val="single" w:sz="4" w:space="0" w:color="auto"/>
              <w:right w:val="single" w:sz="4" w:space="0" w:color="auto"/>
            </w:tcBorders>
            <w:noWrap/>
            <w:hideMark/>
          </w:tcPr>
          <w:p w14:paraId="2BB7456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327" w:type="dxa"/>
            <w:tcBorders>
              <w:top w:val="single" w:sz="4" w:space="0" w:color="auto"/>
              <w:left w:val="nil"/>
              <w:bottom w:val="single" w:sz="4" w:space="0" w:color="auto"/>
              <w:right w:val="single" w:sz="4" w:space="0" w:color="auto"/>
            </w:tcBorders>
            <w:noWrap/>
            <w:hideMark/>
          </w:tcPr>
          <w:p w14:paraId="30EF61A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327" w:type="dxa"/>
            <w:tcBorders>
              <w:top w:val="single" w:sz="4" w:space="0" w:color="auto"/>
              <w:left w:val="nil"/>
              <w:bottom w:val="single" w:sz="4" w:space="0" w:color="auto"/>
              <w:right w:val="single" w:sz="4" w:space="0" w:color="auto"/>
            </w:tcBorders>
            <w:noWrap/>
            <w:hideMark/>
          </w:tcPr>
          <w:p w14:paraId="6A8141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327" w:type="dxa"/>
            <w:tcBorders>
              <w:top w:val="single" w:sz="4" w:space="0" w:color="auto"/>
              <w:left w:val="nil"/>
              <w:bottom w:val="single" w:sz="4" w:space="0" w:color="auto"/>
              <w:right w:val="single" w:sz="4" w:space="0" w:color="auto"/>
            </w:tcBorders>
            <w:noWrap/>
            <w:hideMark/>
          </w:tcPr>
          <w:p w14:paraId="7BAA125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2C5ECEA7" w14:textId="77777777" w:rsidTr="003A11CD">
        <w:trPr>
          <w:trHeight w:val="290"/>
        </w:trPr>
        <w:tc>
          <w:tcPr>
            <w:tcW w:w="2681" w:type="dxa"/>
            <w:tcBorders>
              <w:top w:val="nil"/>
              <w:left w:val="single" w:sz="4" w:space="0" w:color="000000"/>
              <w:bottom w:val="single" w:sz="4" w:space="0" w:color="000000"/>
              <w:right w:val="single" w:sz="4" w:space="0" w:color="000000"/>
            </w:tcBorders>
            <w:hideMark/>
          </w:tcPr>
          <w:p w14:paraId="14E9AAA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income (loss)</w:t>
            </w:r>
          </w:p>
        </w:tc>
        <w:tc>
          <w:tcPr>
            <w:tcW w:w="1534" w:type="dxa"/>
            <w:tcBorders>
              <w:top w:val="nil"/>
              <w:left w:val="nil"/>
              <w:bottom w:val="single" w:sz="4" w:space="0" w:color="000000"/>
              <w:right w:val="single" w:sz="4" w:space="0" w:color="000000"/>
            </w:tcBorders>
            <w:noWrap/>
            <w:hideMark/>
          </w:tcPr>
          <w:p w14:paraId="6345841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(15,297)</w:t>
            </w:r>
          </w:p>
        </w:tc>
        <w:tc>
          <w:tcPr>
            <w:tcW w:w="1534" w:type="dxa"/>
            <w:tcBorders>
              <w:top w:val="nil"/>
              <w:left w:val="nil"/>
              <w:bottom w:val="single" w:sz="4" w:space="0" w:color="000000"/>
              <w:right w:val="single" w:sz="4" w:space="0" w:color="000000"/>
            </w:tcBorders>
            <w:noWrap/>
            <w:hideMark/>
          </w:tcPr>
          <w:p w14:paraId="7CEA417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(85,301)</w:t>
            </w:r>
          </w:p>
        </w:tc>
        <w:tc>
          <w:tcPr>
            <w:tcW w:w="1327" w:type="dxa"/>
            <w:tcBorders>
              <w:top w:val="nil"/>
              <w:left w:val="nil"/>
              <w:bottom w:val="single" w:sz="4" w:space="0" w:color="000000"/>
              <w:right w:val="single" w:sz="4" w:space="0" w:color="000000"/>
            </w:tcBorders>
            <w:noWrap/>
            <w:hideMark/>
          </w:tcPr>
          <w:p w14:paraId="41DF93B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14,548</w:t>
            </w:r>
          </w:p>
        </w:tc>
        <w:tc>
          <w:tcPr>
            <w:tcW w:w="1327" w:type="dxa"/>
            <w:tcBorders>
              <w:top w:val="nil"/>
              <w:left w:val="nil"/>
              <w:bottom w:val="single" w:sz="4" w:space="0" w:color="000000"/>
              <w:right w:val="single" w:sz="4" w:space="0" w:color="000000"/>
            </w:tcBorders>
            <w:noWrap/>
            <w:hideMark/>
          </w:tcPr>
          <w:p w14:paraId="39334AA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23,253</w:t>
            </w:r>
          </w:p>
        </w:tc>
        <w:tc>
          <w:tcPr>
            <w:tcW w:w="1327" w:type="dxa"/>
            <w:tcBorders>
              <w:top w:val="nil"/>
              <w:left w:val="nil"/>
              <w:bottom w:val="single" w:sz="4" w:space="0" w:color="000000"/>
              <w:right w:val="single" w:sz="4" w:space="0" w:color="000000"/>
            </w:tcBorders>
            <w:noWrap/>
            <w:hideMark/>
          </w:tcPr>
          <w:p w14:paraId="7FC464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37,267</w:t>
            </w:r>
          </w:p>
        </w:tc>
      </w:tr>
      <w:tr w:rsidR="003A11CD" w:rsidRPr="00E7418B" w14:paraId="06EC9C1B" w14:textId="77777777" w:rsidTr="003A11CD">
        <w:trPr>
          <w:trHeight w:val="696"/>
        </w:trPr>
        <w:tc>
          <w:tcPr>
            <w:tcW w:w="2681" w:type="dxa"/>
            <w:tcBorders>
              <w:top w:val="nil"/>
              <w:left w:val="single" w:sz="4" w:space="0" w:color="000000"/>
              <w:bottom w:val="single" w:sz="4" w:space="0" w:color="000000"/>
              <w:right w:val="single" w:sz="4" w:space="0" w:color="000000"/>
            </w:tcBorders>
            <w:hideMark/>
          </w:tcPr>
          <w:p w14:paraId="4C2A981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Interest income (expenses)</w:t>
            </w:r>
          </w:p>
        </w:tc>
        <w:tc>
          <w:tcPr>
            <w:tcW w:w="1534" w:type="dxa"/>
            <w:tcBorders>
              <w:top w:val="nil"/>
              <w:left w:val="nil"/>
              <w:bottom w:val="nil"/>
              <w:right w:val="single" w:sz="4" w:space="0" w:color="000000"/>
            </w:tcBorders>
            <w:noWrap/>
            <w:hideMark/>
          </w:tcPr>
          <w:p w14:paraId="19195F68" w14:textId="5007FB40"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3,361</w:t>
            </w:r>
          </w:p>
        </w:tc>
        <w:tc>
          <w:tcPr>
            <w:tcW w:w="1534" w:type="dxa"/>
            <w:tcBorders>
              <w:top w:val="nil"/>
              <w:left w:val="nil"/>
              <w:bottom w:val="nil"/>
              <w:right w:val="single" w:sz="4" w:space="0" w:color="000000"/>
            </w:tcBorders>
            <w:noWrap/>
            <w:hideMark/>
          </w:tcPr>
          <w:p w14:paraId="7D6DE355" w14:textId="5D3E99A5"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4,332</w:t>
            </w:r>
          </w:p>
        </w:tc>
        <w:tc>
          <w:tcPr>
            <w:tcW w:w="1327" w:type="dxa"/>
            <w:tcBorders>
              <w:top w:val="nil"/>
              <w:left w:val="nil"/>
              <w:bottom w:val="nil"/>
              <w:right w:val="single" w:sz="4" w:space="0" w:color="000000"/>
            </w:tcBorders>
            <w:noWrap/>
            <w:hideMark/>
          </w:tcPr>
          <w:p w14:paraId="7BB729D0" w14:textId="45992F26"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2,200</w:t>
            </w:r>
          </w:p>
        </w:tc>
        <w:tc>
          <w:tcPr>
            <w:tcW w:w="1327" w:type="dxa"/>
            <w:tcBorders>
              <w:top w:val="nil"/>
              <w:left w:val="nil"/>
              <w:bottom w:val="nil"/>
              <w:right w:val="single" w:sz="4" w:space="0" w:color="000000"/>
            </w:tcBorders>
            <w:noWrap/>
            <w:hideMark/>
          </w:tcPr>
          <w:p w14:paraId="3CCC0D05" w14:textId="20B2A756"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566</w:t>
            </w:r>
          </w:p>
        </w:tc>
        <w:tc>
          <w:tcPr>
            <w:tcW w:w="1327" w:type="dxa"/>
            <w:tcBorders>
              <w:top w:val="nil"/>
              <w:left w:val="nil"/>
              <w:bottom w:val="nil"/>
              <w:right w:val="single" w:sz="4" w:space="0" w:color="000000"/>
            </w:tcBorders>
            <w:noWrap/>
            <w:hideMark/>
          </w:tcPr>
          <w:p w14:paraId="7B1C476A" w14:textId="00CA629E"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1,422</w:t>
            </w:r>
          </w:p>
        </w:tc>
      </w:tr>
      <w:tr w:rsidR="003A11CD" w:rsidRPr="00E7418B" w14:paraId="11DE2A9D" w14:textId="77777777" w:rsidTr="003A11CD">
        <w:trPr>
          <w:trHeight w:val="1028"/>
        </w:trPr>
        <w:tc>
          <w:tcPr>
            <w:tcW w:w="2681" w:type="dxa"/>
            <w:tcBorders>
              <w:top w:val="nil"/>
              <w:left w:val="single" w:sz="4" w:space="0" w:color="auto"/>
              <w:bottom w:val="single" w:sz="4" w:space="0" w:color="auto"/>
              <w:right w:val="single" w:sz="4" w:space="0" w:color="auto"/>
            </w:tcBorders>
            <w:vAlign w:val="center"/>
            <w:hideMark/>
          </w:tcPr>
          <w:p w14:paraId="3E2D6F2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Interest Coverage Ratio = Operating Income ÷ Interest Expense</w:t>
            </w:r>
          </w:p>
        </w:tc>
        <w:tc>
          <w:tcPr>
            <w:tcW w:w="1534" w:type="dxa"/>
            <w:tcBorders>
              <w:top w:val="single" w:sz="4" w:space="0" w:color="auto"/>
              <w:left w:val="nil"/>
              <w:bottom w:val="single" w:sz="4" w:space="0" w:color="auto"/>
              <w:right w:val="single" w:sz="4" w:space="0" w:color="auto"/>
            </w:tcBorders>
            <w:noWrap/>
            <w:vAlign w:val="center"/>
            <w:hideMark/>
          </w:tcPr>
          <w:p w14:paraId="700F1A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-4.55</w:t>
            </w:r>
          </w:p>
        </w:tc>
        <w:tc>
          <w:tcPr>
            <w:tcW w:w="1534" w:type="dxa"/>
            <w:tcBorders>
              <w:top w:val="single" w:sz="4" w:space="0" w:color="auto"/>
              <w:left w:val="nil"/>
              <w:bottom w:val="single" w:sz="4" w:space="0" w:color="auto"/>
              <w:right w:val="single" w:sz="4" w:space="0" w:color="auto"/>
            </w:tcBorders>
            <w:noWrap/>
            <w:vAlign w:val="center"/>
            <w:hideMark/>
          </w:tcPr>
          <w:p w14:paraId="0E77308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-19.69</w:t>
            </w:r>
          </w:p>
        </w:tc>
        <w:tc>
          <w:tcPr>
            <w:tcW w:w="1327" w:type="dxa"/>
            <w:tcBorders>
              <w:top w:val="single" w:sz="4" w:space="0" w:color="auto"/>
              <w:left w:val="nil"/>
              <w:bottom w:val="single" w:sz="4" w:space="0" w:color="auto"/>
              <w:right w:val="single" w:sz="4" w:space="0" w:color="auto"/>
            </w:tcBorders>
            <w:noWrap/>
            <w:vAlign w:val="center"/>
            <w:hideMark/>
          </w:tcPr>
          <w:p w14:paraId="0D8CA6A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6.61</w:t>
            </w:r>
          </w:p>
        </w:tc>
        <w:tc>
          <w:tcPr>
            <w:tcW w:w="1327" w:type="dxa"/>
            <w:tcBorders>
              <w:top w:val="single" w:sz="4" w:space="0" w:color="auto"/>
              <w:left w:val="nil"/>
              <w:bottom w:val="single" w:sz="4" w:space="0" w:color="auto"/>
              <w:right w:val="single" w:sz="4" w:space="0" w:color="auto"/>
            </w:tcBorders>
            <w:noWrap/>
            <w:vAlign w:val="center"/>
            <w:hideMark/>
          </w:tcPr>
          <w:p w14:paraId="67E1E35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41.08</w:t>
            </w:r>
          </w:p>
        </w:tc>
        <w:tc>
          <w:tcPr>
            <w:tcW w:w="1327" w:type="dxa"/>
            <w:tcBorders>
              <w:top w:val="single" w:sz="4" w:space="0" w:color="auto"/>
              <w:left w:val="nil"/>
              <w:bottom w:val="single" w:sz="4" w:space="0" w:color="auto"/>
              <w:right w:val="single" w:sz="4" w:space="0" w:color="auto"/>
            </w:tcBorders>
            <w:noWrap/>
            <w:vAlign w:val="center"/>
            <w:hideMark/>
          </w:tcPr>
          <w:p w14:paraId="5FDBE49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26.21</w:t>
            </w:r>
          </w:p>
        </w:tc>
      </w:tr>
    </w:tbl>
    <w:p w14:paraId="0FC16D40" w14:textId="77777777" w:rsidR="003A11CD" w:rsidRPr="00E7418B" w:rsidRDefault="003A11CD" w:rsidP="00E7418B">
      <w:pPr>
        <w:spacing w:after="0"/>
        <w:rPr>
          <w:rFonts w:eastAsia="Times New Roman" w:cs="Arial"/>
          <w:noProof w:val="0"/>
          <w:color w:val="000000" w:themeColor="text1"/>
          <w:szCs w:val="24"/>
          <w:lang w:eastAsia="en-GB"/>
        </w:rPr>
      </w:pPr>
    </w:p>
    <w:p w14:paraId="1DD280FF" w14:textId="77777777" w:rsidR="000D507A" w:rsidRPr="00E7418B" w:rsidRDefault="000D507A" w:rsidP="00E7418B">
      <w:pPr>
        <w:spacing w:after="0"/>
        <w:rPr>
          <w:rFonts w:eastAsia="Times New Roman" w:cs="Arial"/>
          <w:b/>
          <w:bCs/>
          <w:noProof w:val="0"/>
          <w:color w:val="000000" w:themeColor="text1"/>
          <w:szCs w:val="24"/>
          <w:lang w:eastAsia="en-GB"/>
        </w:rPr>
      </w:pPr>
    </w:p>
    <w:p w14:paraId="39C6C5BB" w14:textId="6CCA0945"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Long-Term Debt Ratio</w:t>
      </w:r>
    </w:p>
    <w:tbl>
      <w:tblPr>
        <w:tblW w:w="9710" w:type="dxa"/>
        <w:tblInd w:w="-5" w:type="dxa"/>
        <w:tblLook w:val="04A0" w:firstRow="1" w:lastRow="0" w:firstColumn="1" w:lastColumn="0" w:noHBand="0" w:noVBand="1"/>
      </w:tblPr>
      <w:tblGrid>
        <w:gridCol w:w="2840"/>
        <w:gridCol w:w="1374"/>
        <w:gridCol w:w="1374"/>
        <w:gridCol w:w="1374"/>
        <w:gridCol w:w="1374"/>
        <w:gridCol w:w="1374"/>
      </w:tblGrid>
      <w:tr w:rsidR="003A11CD" w:rsidRPr="00E7418B" w14:paraId="7402B8EB" w14:textId="77777777" w:rsidTr="003A11CD">
        <w:trPr>
          <w:trHeight w:val="506"/>
        </w:trPr>
        <w:tc>
          <w:tcPr>
            <w:tcW w:w="2840" w:type="dxa"/>
            <w:tcBorders>
              <w:top w:val="single" w:sz="4" w:space="0" w:color="auto"/>
              <w:left w:val="single" w:sz="4" w:space="0" w:color="auto"/>
              <w:bottom w:val="single" w:sz="4" w:space="0" w:color="auto"/>
              <w:right w:val="single" w:sz="4" w:space="0" w:color="auto"/>
            </w:tcBorders>
            <w:vAlign w:val="bottom"/>
            <w:hideMark/>
          </w:tcPr>
          <w:p w14:paraId="199C5833" w14:textId="7C413EC7" w:rsidR="00AB21F8" w:rsidRPr="00E7418B" w:rsidRDefault="00AB21F8" w:rsidP="00E7418B">
            <w:pPr>
              <w:spacing w:after="0"/>
              <w:jc w:val="center"/>
              <w:rPr>
                <w:rFonts w:eastAsia="Times New Roman" w:cs="Arial"/>
                <w:noProof w:val="0"/>
                <w:color w:val="000000" w:themeColor="text1"/>
                <w:szCs w:val="24"/>
                <w:lang w:eastAsia="en-GB"/>
              </w:rPr>
            </w:pPr>
          </w:p>
        </w:tc>
        <w:tc>
          <w:tcPr>
            <w:tcW w:w="1374" w:type="dxa"/>
            <w:tcBorders>
              <w:top w:val="single" w:sz="4" w:space="0" w:color="auto"/>
              <w:left w:val="nil"/>
              <w:bottom w:val="single" w:sz="4" w:space="0" w:color="auto"/>
              <w:right w:val="single" w:sz="4" w:space="0" w:color="auto"/>
            </w:tcBorders>
            <w:noWrap/>
            <w:hideMark/>
          </w:tcPr>
          <w:p w14:paraId="1DF0580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74" w:type="dxa"/>
            <w:tcBorders>
              <w:top w:val="single" w:sz="4" w:space="0" w:color="auto"/>
              <w:left w:val="nil"/>
              <w:bottom w:val="single" w:sz="4" w:space="0" w:color="auto"/>
              <w:right w:val="single" w:sz="4" w:space="0" w:color="auto"/>
            </w:tcBorders>
            <w:noWrap/>
            <w:hideMark/>
          </w:tcPr>
          <w:p w14:paraId="286D9A3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374" w:type="dxa"/>
            <w:tcBorders>
              <w:top w:val="single" w:sz="4" w:space="0" w:color="auto"/>
              <w:left w:val="nil"/>
              <w:bottom w:val="single" w:sz="4" w:space="0" w:color="auto"/>
              <w:right w:val="single" w:sz="4" w:space="0" w:color="auto"/>
            </w:tcBorders>
            <w:noWrap/>
            <w:hideMark/>
          </w:tcPr>
          <w:p w14:paraId="0FC15C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374" w:type="dxa"/>
            <w:tcBorders>
              <w:top w:val="single" w:sz="4" w:space="0" w:color="auto"/>
              <w:left w:val="nil"/>
              <w:bottom w:val="single" w:sz="4" w:space="0" w:color="auto"/>
              <w:right w:val="single" w:sz="4" w:space="0" w:color="auto"/>
            </w:tcBorders>
            <w:noWrap/>
            <w:hideMark/>
          </w:tcPr>
          <w:p w14:paraId="0818195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374" w:type="dxa"/>
            <w:tcBorders>
              <w:top w:val="single" w:sz="4" w:space="0" w:color="auto"/>
              <w:left w:val="nil"/>
              <w:bottom w:val="single" w:sz="4" w:space="0" w:color="auto"/>
              <w:right w:val="single" w:sz="4" w:space="0" w:color="auto"/>
            </w:tcBorders>
            <w:noWrap/>
            <w:hideMark/>
          </w:tcPr>
          <w:p w14:paraId="1F900B0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664FF9CE" w14:textId="77777777" w:rsidTr="003A11CD">
        <w:trPr>
          <w:trHeight w:val="278"/>
        </w:trPr>
        <w:tc>
          <w:tcPr>
            <w:tcW w:w="2840" w:type="dxa"/>
            <w:tcBorders>
              <w:top w:val="nil"/>
              <w:left w:val="single" w:sz="4" w:space="0" w:color="auto"/>
              <w:bottom w:val="single" w:sz="4" w:space="0" w:color="auto"/>
              <w:right w:val="single" w:sz="4" w:space="0" w:color="auto"/>
            </w:tcBorders>
            <w:noWrap/>
            <w:hideMark/>
          </w:tcPr>
          <w:p w14:paraId="277CF8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Long-term liabilities</w:t>
            </w:r>
          </w:p>
        </w:tc>
        <w:tc>
          <w:tcPr>
            <w:tcW w:w="1374" w:type="dxa"/>
            <w:tcBorders>
              <w:top w:val="nil"/>
              <w:left w:val="nil"/>
              <w:bottom w:val="single" w:sz="4" w:space="0" w:color="auto"/>
              <w:right w:val="single" w:sz="4" w:space="0" w:color="auto"/>
            </w:tcBorders>
            <w:noWrap/>
            <w:hideMark/>
          </w:tcPr>
          <w:p w14:paraId="0064534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11,958</w:t>
            </w:r>
          </w:p>
        </w:tc>
        <w:tc>
          <w:tcPr>
            <w:tcW w:w="1374" w:type="dxa"/>
            <w:tcBorders>
              <w:top w:val="nil"/>
              <w:left w:val="nil"/>
              <w:bottom w:val="single" w:sz="4" w:space="0" w:color="auto"/>
              <w:right w:val="single" w:sz="4" w:space="0" w:color="auto"/>
            </w:tcBorders>
            <w:noWrap/>
            <w:hideMark/>
          </w:tcPr>
          <w:p w14:paraId="23DAF96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15,804</w:t>
            </w:r>
          </w:p>
        </w:tc>
        <w:tc>
          <w:tcPr>
            <w:tcW w:w="1374" w:type="dxa"/>
            <w:tcBorders>
              <w:top w:val="nil"/>
              <w:left w:val="nil"/>
              <w:bottom w:val="single" w:sz="4" w:space="0" w:color="auto"/>
              <w:right w:val="single" w:sz="4" w:space="0" w:color="auto"/>
            </w:tcBorders>
            <w:noWrap/>
            <w:hideMark/>
          </w:tcPr>
          <w:p w14:paraId="229F740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19,284</w:t>
            </w:r>
          </w:p>
        </w:tc>
        <w:tc>
          <w:tcPr>
            <w:tcW w:w="1374" w:type="dxa"/>
            <w:tcBorders>
              <w:top w:val="nil"/>
              <w:left w:val="nil"/>
              <w:bottom w:val="single" w:sz="4" w:space="0" w:color="auto"/>
              <w:right w:val="single" w:sz="4" w:space="0" w:color="auto"/>
            </w:tcBorders>
            <w:noWrap/>
            <w:hideMark/>
          </w:tcPr>
          <w:p w14:paraId="5A33504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17,612</w:t>
            </w:r>
          </w:p>
        </w:tc>
        <w:tc>
          <w:tcPr>
            <w:tcW w:w="1374" w:type="dxa"/>
            <w:tcBorders>
              <w:top w:val="nil"/>
              <w:left w:val="nil"/>
              <w:bottom w:val="single" w:sz="4" w:space="0" w:color="auto"/>
              <w:right w:val="single" w:sz="4" w:space="0" w:color="auto"/>
            </w:tcBorders>
            <w:noWrap/>
            <w:hideMark/>
          </w:tcPr>
          <w:p w14:paraId="7D9C0A9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17,187</w:t>
            </w:r>
          </w:p>
        </w:tc>
      </w:tr>
      <w:tr w:rsidR="003A11CD" w:rsidRPr="00E7418B" w14:paraId="44FAE503" w14:textId="77777777" w:rsidTr="003A11CD">
        <w:trPr>
          <w:trHeight w:val="278"/>
        </w:trPr>
        <w:tc>
          <w:tcPr>
            <w:tcW w:w="2840" w:type="dxa"/>
            <w:tcBorders>
              <w:top w:val="nil"/>
              <w:left w:val="single" w:sz="4" w:space="0" w:color="auto"/>
              <w:bottom w:val="single" w:sz="4" w:space="0" w:color="auto"/>
              <w:right w:val="single" w:sz="4" w:space="0" w:color="auto"/>
            </w:tcBorders>
            <w:hideMark/>
          </w:tcPr>
          <w:p w14:paraId="252F4CB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374" w:type="dxa"/>
            <w:tcBorders>
              <w:top w:val="nil"/>
              <w:left w:val="nil"/>
              <w:bottom w:val="single" w:sz="4" w:space="0" w:color="auto"/>
              <w:right w:val="single" w:sz="4" w:space="0" w:color="auto"/>
            </w:tcBorders>
            <w:noWrap/>
            <w:hideMark/>
          </w:tcPr>
          <w:p w14:paraId="229E21F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374" w:type="dxa"/>
            <w:tcBorders>
              <w:top w:val="nil"/>
              <w:left w:val="nil"/>
              <w:bottom w:val="single" w:sz="4" w:space="0" w:color="auto"/>
              <w:right w:val="single" w:sz="4" w:space="0" w:color="auto"/>
            </w:tcBorders>
            <w:noWrap/>
            <w:hideMark/>
          </w:tcPr>
          <w:p w14:paraId="278A617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374" w:type="dxa"/>
            <w:tcBorders>
              <w:top w:val="nil"/>
              <w:left w:val="nil"/>
              <w:bottom w:val="single" w:sz="4" w:space="0" w:color="auto"/>
              <w:right w:val="single" w:sz="4" w:space="0" w:color="auto"/>
            </w:tcBorders>
            <w:noWrap/>
            <w:hideMark/>
          </w:tcPr>
          <w:p w14:paraId="02C8FBE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374" w:type="dxa"/>
            <w:tcBorders>
              <w:top w:val="nil"/>
              <w:left w:val="nil"/>
              <w:bottom w:val="single" w:sz="4" w:space="0" w:color="auto"/>
              <w:right w:val="single" w:sz="4" w:space="0" w:color="auto"/>
            </w:tcBorders>
            <w:noWrap/>
            <w:hideMark/>
          </w:tcPr>
          <w:p w14:paraId="73757EB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374" w:type="dxa"/>
            <w:tcBorders>
              <w:top w:val="nil"/>
              <w:left w:val="nil"/>
              <w:bottom w:val="single" w:sz="4" w:space="0" w:color="auto"/>
              <w:right w:val="single" w:sz="4" w:space="0" w:color="auto"/>
            </w:tcBorders>
            <w:noWrap/>
            <w:hideMark/>
          </w:tcPr>
          <w:p w14:paraId="7D8A7D6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23325629" w14:textId="77777777" w:rsidTr="003A11CD">
        <w:trPr>
          <w:trHeight w:val="721"/>
        </w:trPr>
        <w:tc>
          <w:tcPr>
            <w:tcW w:w="2840" w:type="dxa"/>
            <w:tcBorders>
              <w:top w:val="nil"/>
              <w:left w:val="single" w:sz="4" w:space="0" w:color="auto"/>
              <w:bottom w:val="single" w:sz="4" w:space="0" w:color="auto"/>
              <w:right w:val="single" w:sz="4" w:space="0" w:color="auto"/>
            </w:tcBorders>
            <w:vAlign w:val="center"/>
            <w:hideMark/>
          </w:tcPr>
          <w:p w14:paraId="68308E4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Long-Term Debt Ratio = Long-Term Liabilities ÷ Total Assets</w:t>
            </w:r>
          </w:p>
        </w:tc>
        <w:tc>
          <w:tcPr>
            <w:tcW w:w="1374" w:type="dxa"/>
            <w:tcBorders>
              <w:top w:val="nil"/>
              <w:left w:val="nil"/>
              <w:bottom w:val="single" w:sz="4" w:space="0" w:color="auto"/>
              <w:right w:val="single" w:sz="4" w:space="0" w:color="auto"/>
            </w:tcBorders>
            <w:noWrap/>
            <w:vAlign w:val="center"/>
            <w:hideMark/>
          </w:tcPr>
          <w:p w14:paraId="29CE88F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0.04</w:t>
            </w:r>
          </w:p>
        </w:tc>
        <w:tc>
          <w:tcPr>
            <w:tcW w:w="1374" w:type="dxa"/>
            <w:tcBorders>
              <w:top w:val="nil"/>
              <w:left w:val="nil"/>
              <w:bottom w:val="single" w:sz="4" w:space="0" w:color="auto"/>
              <w:right w:val="single" w:sz="4" w:space="0" w:color="auto"/>
            </w:tcBorders>
            <w:noWrap/>
            <w:vAlign w:val="center"/>
            <w:hideMark/>
          </w:tcPr>
          <w:p w14:paraId="73684EE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0.04</w:t>
            </w:r>
          </w:p>
        </w:tc>
        <w:tc>
          <w:tcPr>
            <w:tcW w:w="1374" w:type="dxa"/>
            <w:tcBorders>
              <w:top w:val="nil"/>
              <w:left w:val="nil"/>
              <w:bottom w:val="single" w:sz="4" w:space="0" w:color="auto"/>
              <w:right w:val="single" w:sz="4" w:space="0" w:color="auto"/>
            </w:tcBorders>
            <w:noWrap/>
            <w:vAlign w:val="center"/>
            <w:hideMark/>
          </w:tcPr>
          <w:p w14:paraId="03A7ED7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0.04</w:t>
            </w:r>
          </w:p>
        </w:tc>
        <w:tc>
          <w:tcPr>
            <w:tcW w:w="1374" w:type="dxa"/>
            <w:tcBorders>
              <w:top w:val="nil"/>
              <w:left w:val="nil"/>
              <w:bottom w:val="single" w:sz="4" w:space="0" w:color="auto"/>
              <w:right w:val="single" w:sz="4" w:space="0" w:color="auto"/>
            </w:tcBorders>
            <w:noWrap/>
            <w:vAlign w:val="center"/>
            <w:hideMark/>
          </w:tcPr>
          <w:p w14:paraId="5C4D467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0.03</w:t>
            </w:r>
          </w:p>
        </w:tc>
        <w:tc>
          <w:tcPr>
            <w:tcW w:w="1374" w:type="dxa"/>
            <w:tcBorders>
              <w:top w:val="nil"/>
              <w:left w:val="nil"/>
              <w:bottom w:val="single" w:sz="4" w:space="0" w:color="auto"/>
              <w:right w:val="single" w:sz="4" w:space="0" w:color="auto"/>
            </w:tcBorders>
            <w:noWrap/>
            <w:vAlign w:val="center"/>
            <w:hideMark/>
          </w:tcPr>
          <w:p w14:paraId="1B944BF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0.03</w:t>
            </w:r>
          </w:p>
        </w:tc>
      </w:tr>
    </w:tbl>
    <w:p w14:paraId="5D20352A" w14:textId="77777777" w:rsidR="00AB21F8" w:rsidRPr="00E7418B" w:rsidRDefault="00AB21F8" w:rsidP="00E7418B">
      <w:pPr>
        <w:rPr>
          <w:rFonts w:cs="Arial"/>
          <w:color w:val="000000" w:themeColor="text1"/>
          <w:szCs w:val="24"/>
        </w:rPr>
      </w:pPr>
    </w:p>
    <w:tbl>
      <w:tblPr>
        <w:tblW w:w="9461" w:type="dxa"/>
        <w:tblInd w:w="-5" w:type="dxa"/>
        <w:tblLook w:val="04A0" w:firstRow="1" w:lastRow="0" w:firstColumn="1" w:lastColumn="0" w:noHBand="0" w:noVBand="1"/>
      </w:tblPr>
      <w:tblGrid>
        <w:gridCol w:w="3011"/>
        <w:gridCol w:w="1290"/>
        <w:gridCol w:w="1290"/>
        <w:gridCol w:w="1290"/>
        <w:gridCol w:w="1290"/>
        <w:gridCol w:w="1290"/>
      </w:tblGrid>
      <w:tr w:rsidR="003A11CD" w:rsidRPr="00E7418B" w14:paraId="4D23F398" w14:textId="77777777" w:rsidTr="003A11CD">
        <w:trPr>
          <w:trHeight w:val="260"/>
        </w:trPr>
        <w:tc>
          <w:tcPr>
            <w:tcW w:w="3011" w:type="dxa"/>
            <w:tcBorders>
              <w:top w:val="single" w:sz="4" w:space="0" w:color="000000"/>
              <w:left w:val="single" w:sz="4" w:space="0" w:color="000000"/>
              <w:bottom w:val="single" w:sz="4" w:space="0" w:color="000000"/>
              <w:right w:val="single" w:sz="4" w:space="0" w:color="000000"/>
            </w:tcBorders>
            <w:hideMark/>
          </w:tcPr>
          <w:p w14:paraId="37A47708" w14:textId="77777777" w:rsidR="00AB21F8" w:rsidRPr="00E7418B" w:rsidRDefault="00AB21F8" w:rsidP="00E7418B">
            <w:pPr>
              <w:spacing w:after="0"/>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Long-term liabilities</w:t>
            </w:r>
          </w:p>
        </w:tc>
        <w:tc>
          <w:tcPr>
            <w:tcW w:w="1290" w:type="dxa"/>
            <w:tcBorders>
              <w:top w:val="single" w:sz="4" w:space="0" w:color="auto"/>
              <w:left w:val="nil"/>
              <w:bottom w:val="single" w:sz="4" w:space="0" w:color="auto"/>
              <w:right w:val="single" w:sz="4" w:space="0" w:color="auto"/>
            </w:tcBorders>
            <w:noWrap/>
            <w:hideMark/>
          </w:tcPr>
          <w:p w14:paraId="3B77418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290" w:type="dxa"/>
            <w:tcBorders>
              <w:top w:val="single" w:sz="4" w:space="0" w:color="auto"/>
              <w:left w:val="nil"/>
              <w:bottom w:val="single" w:sz="4" w:space="0" w:color="auto"/>
              <w:right w:val="single" w:sz="4" w:space="0" w:color="auto"/>
            </w:tcBorders>
            <w:noWrap/>
            <w:hideMark/>
          </w:tcPr>
          <w:p w14:paraId="6919A6C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290" w:type="dxa"/>
            <w:tcBorders>
              <w:top w:val="single" w:sz="4" w:space="0" w:color="auto"/>
              <w:left w:val="nil"/>
              <w:bottom w:val="single" w:sz="4" w:space="0" w:color="auto"/>
              <w:right w:val="single" w:sz="4" w:space="0" w:color="auto"/>
            </w:tcBorders>
            <w:noWrap/>
            <w:hideMark/>
          </w:tcPr>
          <w:p w14:paraId="18208F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290" w:type="dxa"/>
            <w:tcBorders>
              <w:top w:val="single" w:sz="4" w:space="0" w:color="auto"/>
              <w:left w:val="nil"/>
              <w:bottom w:val="single" w:sz="4" w:space="0" w:color="auto"/>
              <w:right w:val="single" w:sz="4" w:space="0" w:color="auto"/>
            </w:tcBorders>
            <w:noWrap/>
            <w:hideMark/>
          </w:tcPr>
          <w:p w14:paraId="343DD98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290" w:type="dxa"/>
            <w:tcBorders>
              <w:top w:val="single" w:sz="4" w:space="0" w:color="auto"/>
              <w:left w:val="nil"/>
              <w:bottom w:val="single" w:sz="4" w:space="0" w:color="auto"/>
              <w:right w:val="single" w:sz="4" w:space="0" w:color="auto"/>
            </w:tcBorders>
            <w:noWrap/>
            <w:hideMark/>
          </w:tcPr>
          <w:p w14:paraId="43CDE70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0EF4036E" w14:textId="77777777" w:rsidTr="003A11CD">
        <w:trPr>
          <w:trHeight w:val="260"/>
        </w:trPr>
        <w:tc>
          <w:tcPr>
            <w:tcW w:w="3011" w:type="dxa"/>
            <w:tcBorders>
              <w:top w:val="nil"/>
              <w:left w:val="single" w:sz="4" w:space="0" w:color="000000"/>
              <w:bottom w:val="single" w:sz="4" w:space="0" w:color="000000"/>
              <w:right w:val="single" w:sz="4" w:space="0" w:color="000000"/>
            </w:tcBorders>
            <w:hideMark/>
          </w:tcPr>
          <w:p w14:paraId="7744ED1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lease obligations</w:t>
            </w:r>
          </w:p>
        </w:tc>
        <w:tc>
          <w:tcPr>
            <w:tcW w:w="1290" w:type="dxa"/>
            <w:tcBorders>
              <w:top w:val="nil"/>
              <w:left w:val="nil"/>
              <w:bottom w:val="single" w:sz="4" w:space="0" w:color="000000"/>
              <w:right w:val="single" w:sz="4" w:space="0" w:color="000000"/>
            </w:tcBorders>
            <w:noWrap/>
            <w:hideMark/>
          </w:tcPr>
          <w:p w14:paraId="2A47F07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9,232</w:t>
            </w:r>
          </w:p>
        </w:tc>
        <w:tc>
          <w:tcPr>
            <w:tcW w:w="1290" w:type="dxa"/>
            <w:tcBorders>
              <w:top w:val="nil"/>
              <w:left w:val="nil"/>
              <w:bottom w:val="single" w:sz="4" w:space="0" w:color="000000"/>
              <w:right w:val="single" w:sz="4" w:space="0" w:color="000000"/>
            </w:tcBorders>
            <w:noWrap/>
            <w:hideMark/>
          </w:tcPr>
          <w:p w14:paraId="24E08A6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12,560</w:t>
            </w:r>
          </w:p>
        </w:tc>
        <w:tc>
          <w:tcPr>
            <w:tcW w:w="1290" w:type="dxa"/>
            <w:tcBorders>
              <w:top w:val="nil"/>
              <w:left w:val="nil"/>
              <w:bottom w:val="single" w:sz="4" w:space="0" w:color="000000"/>
              <w:right w:val="single" w:sz="4" w:space="0" w:color="000000"/>
            </w:tcBorders>
            <w:noWrap/>
            <w:hideMark/>
          </w:tcPr>
          <w:p w14:paraId="552A595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15,027</w:t>
            </w:r>
          </w:p>
        </w:tc>
        <w:tc>
          <w:tcPr>
            <w:tcW w:w="1290" w:type="dxa"/>
            <w:tcBorders>
              <w:top w:val="nil"/>
              <w:left w:val="nil"/>
              <w:bottom w:val="single" w:sz="4" w:space="0" w:color="000000"/>
              <w:right w:val="single" w:sz="4" w:space="0" w:color="000000"/>
            </w:tcBorders>
            <w:noWrap/>
            <w:hideMark/>
          </w:tcPr>
          <w:p w14:paraId="54B2938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14,266</w:t>
            </w:r>
          </w:p>
        </w:tc>
        <w:tc>
          <w:tcPr>
            <w:tcW w:w="1290" w:type="dxa"/>
            <w:tcBorders>
              <w:top w:val="nil"/>
              <w:left w:val="nil"/>
              <w:bottom w:val="single" w:sz="4" w:space="0" w:color="000000"/>
              <w:right w:val="single" w:sz="4" w:space="0" w:color="000000"/>
            </w:tcBorders>
            <w:noWrap/>
            <w:hideMark/>
          </w:tcPr>
          <w:p w14:paraId="61D3A1D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13,681</w:t>
            </w:r>
          </w:p>
        </w:tc>
      </w:tr>
      <w:tr w:rsidR="003A11CD" w:rsidRPr="00E7418B" w14:paraId="5318D670" w14:textId="77777777" w:rsidTr="003A11CD">
        <w:trPr>
          <w:trHeight w:val="260"/>
        </w:trPr>
        <w:tc>
          <w:tcPr>
            <w:tcW w:w="3011" w:type="dxa"/>
            <w:tcBorders>
              <w:top w:val="nil"/>
              <w:left w:val="single" w:sz="4" w:space="0" w:color="000000"/>
              <w:bottom w:val="single" w:sz="4" w:space="0" w:color="000000"/>
              <w:right w:val="single" w:sz="4" w:space="0" w:color="000000"/>
            </w:tcBorders>
            <w:hideMark/>
          </w:tcPr>
          <w:p w14:paraId="42345C6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Deferred income taxes</w:t>
            </w:r>
          </w:p>
        </w:tc>
        <w:tc>
          <w:tcPr>
            <w:tcW w:w="1290" w:type="dxa"/>
            <w:tcBorders>
              <w:top w:val="nil"/>
              <w:left w:val="nil"/>
              <w:bottom w:val="single" w:sz="4" w:space="0" w:color="000000"/>
              <w:right w:val="single" w:sz="4" w:space="0" w:color="000000"/>
            </w:tcBorders>
            <w:noWrap/>
            <w:hideMark/>
          </w:tcPr>
          <w:p w14:paraId="6DC942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1,931</w:t>
            </w:r>
          </w:p>
        </w:tc>
        <w:tc>
          <w:tcPr>
            <w:tcW w:w="1290" w:type="dxa"/>
            <w:tcBorders>
              <w:top w:val="nil"/>
              <w:left w:val="nil"/>
              <w:bottom w:val="single" w:sz="4" w:space="0" w:color="000000"/>
              <w:right w:val="single" w:sz="4" w:space="0" w:color="000000"/>
            </w:tcBorders>
            <w:noWrap/>
            <w:hideMark/>
          </w:tcPr>
          <w:p w14:paraId="5D07BCC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1,992</w:t>
            </w:r>
          </w:p>
        </w:tc>
        <w:tc>
          <w:tcPr>
            <w:tcW w:w="1290" w:type="dxa"/>
            <w:tcBorders>
              <w:top w:val="nil"/>
              <w:left w:val="nil"/>
              <w:bottom w:val="single" w:sz="4" w:space="0" w:color="000000"/>
              <w:right w:val="single" w:sz="4" w:space="0" w:color="000000"/>
            </w:tcBorders>
            <w:noWrap/>
            <w:hideMark/>
          </w:tcPr>
          <w:p w14:paraId="0CE1E73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2,724</w:t>
            </w:r>
          </w:p>
        </w:tc>
        <w:tc>
          <w:tcPr>
            <w:tcW w:w="1290" w:type="dxa"/>
            <w:tcBorders>
              <w:top w:val="nil"/>
              <w:left w:val="nil"/>
              <w:bottom w:val="single" w:sz="4" w:space="0" w:color="000000"/>
              <w:right w:val="single" w:sz="4" w:space="0" w:color="000000"/>
            </w:tcBorders>
            <w:noWrap/>
            <w:hideMark/>
          </w:tcPr>
          <w:p w14:paraId="516F5F4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2,394</w:t>
            </w:r>
          </w:p>
        </w:tc>
        <w:tc>
          <w:tcPr>
            <w:tcW w:w="1290" w:type="dxa"/>
            <w:tcBorders>
              <w:top w:val="nil"/>
              <w:left w:val="nil"/>
              <w:bottom w:val="single" w:sz="4" w:space="0" w:color="000000"/>
              <w:right w:val="single" w:sz="4" w:space="0" w:color="000000"/>
            </w:tcBorders>
            <w:noWrap/>
            <w:hideMark/>
          </w:tcPr>
          <w:p w14:paraId="38A5FE4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1,913</w:t>
            </w:r>
          </w:p>
        </w:tc>
      </w:tr>
      <w:tr w:rsidR="003A11CD" w:rsidRPr="00E7418B" w14:paraId="2AB5C365" w14:textId="77777777" w:rsidTr="003A11CD">
        <w:trPr>
          <w:trHeight w:val="260"/>
        </w:trPr>
        <w:tc>
          <w:tcPr>
            <w:tcW w:w="3011" w:type="dxa"/>
            <w:tcBorders>
              <w:top w:val="nil"/>
              <w:left w:val="single" w:sz="4" w:space="0" w:color="000000"/>
              <w:bottom w:val="single" w:sz="4" w:space="0" w:color="000000"/>
              <w:right w:val="single" w:sz="4" w:space="0" w:color="000000"/>
            </w:tcBorders>
            <w:hideMark/>
          </w:tcPr>
          <w:p w14:paraId="7AE76F0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Income tax payable</w:t>
            </w:r>
          </w:p>
        </w:tc>
        <w:tc>
          <w:tcPr>
            <w:tcW w:w="1290" w:type="dxa"/>
            <w:tcBorders>
              <w:top w:val="nil"/>
              <w:left w:val="nil"/>
              <w:bottom w:val="single" w:sz="4" w:space="0" w:color="000000"/>
              <w:right w:val="single" w:sz="4" w:space="0" w:color="000000"/>
            </w:tcBorders>
            <w:noWrap/>
            <w:hideMark/>
          </w:tcPr>
          <w:p w14:paraId="1B9C93A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w:t>
            </w:r>
          </w:p>
        </w:tc>
        <w:tc>
          <w:tcPr>
            <w:tcW w:w="1290" w:type="dxa"/>
            <w:tcBorders>
              <w:top w:val="nil"/>
              <w:left w:val="nil"/>
              <w:bottom w:val="single" w:sz="4" w:space="0" w:color="000000"/>
              <w:right w:val="single" w:sz="4" w:space="0" w:color="000000"/>
            </w:tcBorders>
            <w:noWrap/>
            <w:hideMark/>
          </w:tcPr>
          <w:p w14:paraId="60D840A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435</w:t>
            </w:r>
          </w:p>
        </w:tc>
        <w:tc>
          <w:tcPr>
            <w:tcW w:w="1290" w:type="dxa"/>
            <w:tcBorders>
              <w:top w:val="nil"/>
              <w:left w:val="nil"/>
              <w:bottom w:val="single" w:sz="4" w:space="0" w:color="000000"/>
              <w:right w:val="single" w:sz="4" w:space="0" w:color="000000"/>
            </w:tcBorders>
            <w:noWrap/>
            <w:hideMark/>
          </w:tcPr>
          <w:p w14:paraId="63355D9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723</w:t>
            </w:r>
          </w:p>
        </w:tc>
        <w:tc>
          <w:tcPr>
            <w:tcW w:w="1290" w:type="dxa"/>
            <w:tcBorders>
              <w:top w:val="nil"/>
              <w:left w:val="nil"/>
              <w:bottom w:val="single" w:sz="4" w:space="0" w:color="000000"/>
              <w:right w:val="single" w:sz="4" w:space="0" w:color="000000"/>
            </w:tcBorders>
            <w:noWrap/>
            <w:hideMark/>
          </w:tcPr>
          <w:p w14:paraId="1153A38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939</w:t>
            </w:r>
          </w:p>
        </w:tc>
        <w:tc>
          <w:tcPr>
            <w:tcW w:w="1290" w:type="dxa"/>
            <w:tcBorders>
              <w:top w:val="nil"/>
              <w:left w:val="nil"/>
              <w:bottom w:val="single" w:sz="4" w:space="0" w:color="000000"/>
              <w:right w:val="single" w:sz="4" w:space="0" w:color="000000"/>
            </w:tcBorders>
            <w:noWrap/>
            <w:hideMark/>
          </w:tcPr>
          <w:p w14:paraId="50B429D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1,054</w:t>
            </w:r>
          </w:p>
        </w:tc>
      </w:tr>
      <w:tr w:rsidR="003A11CD" w:rsidRPr="00E7418B" w14:paraId="02F1622B" w14:textId="77777777" w:rsidTr="003A11CD">
        <w:trPr>
          <w:trHeight w:val="260"/>
        </w:trPr>
        <w:tc>
          <w:tcPr>
            <w:tcW w:w="3011" w:type="dxa"/>
            <w:tcBorders>
              <w:top w:val="nil"/>
              <w:left w:val="single" w:sz="4" w:space="0" w:color="000000"/>
              <w:bottom w:val="nil"/>
              <w:right w:val="single" w:sz="4" w:space="0" w:color="000000"/>
            </w:tcBorders>
            <w:hideMark/>
          </w:tcPr>
          <w:p w14:paraId="1A15CC9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Other long-term liabilities</w:t>
            </w:r>
          </w:p>
        </w:tc>
        <w:tc>
          <w:tcPr>
            <w:tcW w:w="1290" w:type="dxa"/>
            <w:tcBorders>
              <w:top w:val="nil"/>
              <w:left w:val="nil"/>
              <w:bottom w:val="nil"/>
              <w:right w:val="single" w:sz="4" w:space="0" w:color="000000"/>
            </w:tcBorders>
            <w:noWrap/>
            <w:hideMark/>
          </w:tcPr>
          <w:p w14:paraId="5155861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723</w:t>
            </w:r>
          </w:p>
        </w:tc>
        <w:tc>
          <w:tcPr>
            <w:tcW w:w="1290" w:type="dxa"/>
            <w:tcBorders>
              <w:top w:val="nil"/>
              <w:left w:val="nil"/>
              <w:bottom w:val="nil"/>
              <w:right w:val="single" w:sz="4" w:space="0" w:color="000000"/>
            </w:tcBorders>
            <w:noWrap/>
            <w:hideMark/>
          </w:tcPr>
          <w:p w14:paraId="590692D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817</w:t>
            </w:r>
          </w:p>
        </w:tc>
        <w:tc>
          <w:tcPr>
            <w:tcW w:w="1290" w:type="dxa"/>
            <w:tcBorders>
              <w:top w:val="nil"/>
              <w:left w:val="nil"/>
              <w:bottom w:val="nil"/>
              <w:right w:val="single" w:sz="4" w:space="0" w:color="000000"/>
            </w:tcBorders>
            <w:noWrap/>
            <w:hideMark/>
          </w:tcPr>
          <w:p w14:paraId="6C3B7A6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810</w:t>
            </w:r>
          </w:p>
        </w:tc>
        <w:tc>
          <w:tcPr>
            <w:tcW w:w="1290" w:type="dxa"/>
            <w:tcBorders>
              <w:top w:val="nil"/>
              <w:left w:val="nil"/>
              <w:bottom w:val="nil"/>
              <w:right w:val="single" w:sz="4" w:space="0" w:color="000000"/>
            </w:tcBorders>
            <w:noWrap/>
            <w:hideMark/>
          </w:tcPr>
          <w:p w14:paraId="40D37B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13</w:t>
            </w:r>
          </w:p>
        </w:tc>
        <w:tc>
          <w:tcPr>
            <w:tcW w:w="1290" w:type="dxa"/>
            <w:tcBorders>
              <w:top w:val="nil"/>
              <w:left w:val="nil"/>
              <w:bottom w:val="nil"/>
              <w:right w:val="single" w:sz="4" w:space="0" w:color="000000"/>
            </w:tcBorders>
            <w:noWrap/>
            <w:hideMark/>
          </w:tcPr>
          <w:p w14:paraId="0C325B9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539</w:t>
            </w:r>
          </w:p>
        </w:tc>
      </w:tr>
      <w:tr w:rsidR="003A11CD" w:rsidRPr="00E7418B" w14:paraId="524DD89D" w14:textId="77777777" w:rsidTr="003A11CD">
        <w:trPr>
          <w:trHeight w:val="260"/>
        </w:trPr>
        <w:tc>
          <w:tcPr>
            <w:tcW w:w="3011" w:type="dxa"/>
            <w:tcBorders>
              <w:top w:val="single" w:sz="4" w:space="0" w:color="auto"/>
              <w:left w:val="single" w:sz="4" w:space="0" w:color="auto"/>
              <w:bottom w:val="single" w:sz="4" w:space="0" w:color="auto"/>
              <w:right w:val="single" w:sz="4" w:space="0" w:color="auto"/>
            </w:tcBorders>
            <w:noWrap/>
            <w:hideMark/>
          </w:tcPr>
          <w:p w14:paraId="014FADB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1290" w:type="dxa"/>
            <w:tcBorders>
              <w:top w:val="single" w:sz="4" w:space="0" w:color="auto"/>
              <w:left w:val="nil"/>
              <w:bottom w:val="single" w:sz="4" w:space="0" w:color="auto"/>
              <w:right w:val="single" w:sz="4" w:space="0" w:color="auto"/>
            </w:tcBorders>
            <w:noWrap/>
            <w:hideMark/>
          </w:tcPr>
          <w:p w14:paraId="68C811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11,958</w:t>
            </w:r>
          </w:p>
        </w:tc>
        <w:tc>
          <w:tcPr>
            <w:tcW w:w="1290" w:type="dxa"/>
            <w:tcBorders>
              <w:top w:val="single" w:sz="4" w:space="0" w:color="auto"/>
              <w:left w:val="nil"/>
              <w:bottom w:val="single" w:sz="4" w:space="0" w:color="auto"/>
              <w:right w:val="single" w:sz="4" w:space="0" w:color="auto"/>
            </w:tcBorders>
            <w:noWrap/>
            <w:hideMark/>
          </w:tcPr>
          <w:p w14:paraId="5E5E2CD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15,804</w:t>
            </w:r>
          </w:p>
        </w:tc>
        <w:tc>
          <w:tcPr>
            <w:tcW w:w="1290" w:type="dxa"/>
            <w:tcBorders>
              <w:top w:val="single" w:sz="4" w:space="0" w:color="auto"/>
              <w:left w:val="nil"/>
              <w:bottom w:val="single" w:sz="4" w:space="0" w:color="auto"/>
              <w:right w:val="single" w:sz="4" w:space="0" w:color="auto"/>
            </w:tcBorders>
            <w:noWrap/>
            <w:hideMark/>
          </w:tcPr>
          <w:p w14:paraId="5DEC0E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19,284</w:t>
            </w:r>
          </w:p>
        </w:tc>
        <w:tc>
          <w:tcPr>
            <w:tcW w:w="1290" w:type="dxa"/>
            <w:tcBorders>
              <w:top w:val="single" w:sz="4" w:space="0" w:color="auto"/>
              <w:left w:val="nil"/>
              <w:bottom w:val="single" w:sz="4" w:space="0" w:color="auto"/>
              <w:right w:val="single" w:sz="4" w:space="0" w:color="auto"/>
            </w:tcBorders>
            <w:noWrap/>
            <w:hideMark/>
          </w:tcPr>
          <w:p w14:paraId="4403732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17,612</w:t>
            </w:r>
          </w:p>
        </w:tc>
        <w:tc>
          <w:tcPr>
            <w:tcW w:w="1290" w:type="dxa"/>
            <w:tcBorders>
              <w:top w:val="single" w:sz="4" w:space="0" w:color="auto"/>
              <w:left w:val="nil"/>
              <w:bottom w:val="single" w:sz="4" w:space="0" w:color="auto"/>
              <w:right w:val="single" w:sz="4" w:space="0" w:color="auto"/>
            </w:tcBorders>
            <w:noWrap/>
            <w:hideMark/>
          </w:tcPr>
          <w:p w14:paraId="536484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17,187</w:t>
            </w:r>
          </w:p>
        </w:tc>
      </w:tr>
    </w:tbl>
    <w:p w14:paraId="0F7BD38F" w14:textId="77777777" w:rsidR="00AB21F8" w:rsidRPr="00E7418B" w:rsidRDefault="00AB21F8" w:rsidP="00E7418B">
      <w:pPr>
        <w:rPr>
          <w:rFonts w:cs="Arial"/>
          <w:color w:val="000000" w:themeColor="text1"/>
          <w:szCs w:val="24"/>
        </w:rPr>
      </w:pPr>
    </w:p>
    <w:p w14:paraId="127E3579" w14:textId="77777777" w:rsidR="003A11CD" w:rsidRPr="00E7418B" w:rsidRDefault="003A11CD" w:rsidP="00E7418B">
      <w:pPr>
        <w:spacing w:after="0"/>
        <w:rPr>
          <w:rFonts w:eastAsia="Times New Roman" w:cs="Arial"/>
          <w:noProof w:val="0"/>
          <w:color w:val="000000" w:themeColor="text1"/>
          <w:szCs w:val="24"/>
          <w:lang w:eastAsia="en-GB"/>
        </w:rPr>
      </w:pPr>
    </w:p>
    <w:p w14:paraId="1C6FC43B" w14:textId="314DD8AD" w:rsidR="00AB21F8" w:rsidRPr="00E7418B" w:rsidRDefault="00AB21F8" w:rsidP="00E7418B">
      <w:pPr>
        <w:spacing w:after="0"/>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Free Cash Flow</w:t>
      </w:r>
    </w:p>
    <w:tbl>
      <w:tblPr>
        <w:tblW w:w="9454" w:type="dxa"/>
        <w:tblInd w:w="-5" w:type="dxa"/>
        <w:tblLook w:val="04A0" w:firstRow="1" w:lastRow="0" w:firstColumn="1" w:lastColumn="0" w:noHBand="0" w:noVBand="1"/>
      </w:tblPr>
      <w:tblGrid>
        <w:gridCol w:w="2552"/>
        <w:gridCol w:w="1089"/>
        <w:gridCol w:w="1319"/>
        <w:gridCol w:w="1498"/>
        <w:gridCol w:w="1498"/>
        <w:gridCol w:w="1498"/>
      </w:tblGrid>
      <w:tr w:rsidR="003A11CD" w:rsidRPr="00E7418B" w14:paraId="6E076DA7" w14:textId="77777777" w:rsidTr="00FA7D76">
        <w:trPr>
          <w:trHeight w:val="300"/>
        </w:trPr>
        <w:tc>
          <w:tcPr>
            <w:tcW w:w="2552" w:type="dxa"/>
            <w:tcBorders>
              <w:top w:val="single" w:sz="4" w:space="0" w:color="auto"/>
              <w:left w:val="single" w:sz="4" w:space="0" w:color="auto"/>
              <w:bottom w:val="single" w:sz="4" w:space="0" w:color="auto"/>
              <w:right w:val="single" w:sz="4" w:space="0" w:color="auto"/>
            </w:tcBorders>
            <w:noWrap/>
            <w:hideMark/>
          </w:tcPr>
          <w:p w14:paraId="06C7D684" w14:textId="3E10A818" w:rsidR="00AB21F8" w:rsidRPr="00E7418B" w:rsidRDefault="00AB21F8" w:rsidP="00E7418B">
            <w:pPr>
              <w:spacing w:after="0"/>
              <w:jc w:val="center"/>
              <w:rPr>
                <w:rFonts w:eastAsia="Times New Roman" w:cs="Arial"/>
                <w:noProof w:val="0"/>
                <w:color w:val="000000" w:themeColor="text1"/>
                <w:szCs w:val="24"/>
                <w:lang w:eastAsia="en-GB"/>
              </w:rPr>
            </w:pPr>
          </w:p>
        </w:tc>
        <w:tc>
          <w:tcPr>
            <w:tcW w:w="1089" w:type="dxa"/>
            <w:tcBorders>
              <w:top w:val="single" w:sz="4" w:space="0" w:color="auto"/>
              <w:left w:val="nil"/>
              <w:bottom w:val="single" w:sz="4" w:space="0" w:color="auto"/>
              <w:right w:val="single" w:sz="4" w:space="0" w:color="auto"/>
            </w:tcBorders>
            <w:noWrap/>
            <w:hideMark/>
          </w:tcPr>
          <w:p w14:paraId="3B7D399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19" w:type="dxa"/>
            <w:tcBorders>
              <w:top w:val="single" w:sz="4" w:space="0" w:color="auto"/>
              <w:left w:val="nil"/>
              <w:bottom w:val="single" w:sz="4" w:space="0" w:color="auto"/>
              <w:right w:val="single" w:sz="4" w:space="0" w:color="auto"/>
            </w:tcBorders>
            <w:noWrap/>
            <w:hideMark/>
          </w:tcPr>
          <w:p w14:paraId="4E16C26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498" w:type="dxa"/>
            <w:tcBorders>
              <w:top w:val="single" w:sz="4" w:space="0" w:color="auto"/>
              <w:left w:val="nil"/>
              <w:bottom w:val="single" w:sz="4" w:space="0" w:color="auto"/>
              <w:right w:val="single" w:sz="4" w:space="0" w:color="auto"/>
            </w:tcBorders>
            <w:noWrap/>
            <w:hideMark/>
          </w:tcPr>
          <w:p w14:paraId="5A2BAE0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498" w:type="dxa"/>
            <w:tcBorders>
              <w:top w:val="single" w:sz="4" w:space="0" w:color="auto"/>
              <w:left w:val="nil"/>
              <w:bottom w:val="single" w:sz="4" w:space="0" w:color="auto"/>
              <w:right w:val="single" w:sz="4" w:space="0" w:color="auto"/>
            </w:tcBorders>
            <w:noWrap/>
            <w:hideMark/>
          </w:tcPr>
          <w:p w14:paraId="58BFEB2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498" w:type="dxa"/>
            <w:tcBorders>
              <w:top w:val="single" w:sz="4" w:space="0" w:color="auto"/>
              <w:left w:val="nil"/>
              <w:bottom w:val="single" w:sz="4" w:space="0" w:color="auto"/>
              <w:right w:val="single" w:sz="4" w:space="0" w:color="auto"/>
            </w:tcBorders>
            <w:noWrap/>
            <w:hideMark/>
          </w:tcPr>
          <w:p w14:paraId="55AD223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181148FC" w14:textId="77777777" w:rsidTr="00FA7D76">
        <w:trPr>
          <w:trHeight w:val="288"/>
        </w:trPr>
        <w:tc>
          <w:tcPr>
            <w:tcW w:w="2552" w:type="dxa"/>
            <w:tcBorders>
              <w:top w:val="nil"/>
              <w:left w:val="single" w:sz="4" w:space="0" w:color="000000"/>
              <w:bottom w:val="single" w:sz="4" w:space="0" w:color="000000"/>
              <w:right w:val="single" w:sz="4" w:space="0" w:color="000000"/>
            </w:tcBorders>
            <w:vAlign w:val="center"/>
            <w:hideMark/>
          </w:tcPr>
          <w:p w14:paraId="2E06844C" w14:textId="200D6894"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Cash Flow</w:t>
            </w:r>
          </w:p>
        </w:tc>
        <w:tc>
          <w:tcPr>
            <w:tcW w:w="1089" w:type="dxa"/>
            <w:tcBorders>
              <w:top w:val="nil"/>
              <w:left w:val="nil"/>
              <w:bottom w:val="single" w:sz="4" w:space="0" w:color="000000"/>
              <w:right w:val="single" w:sz="4" w:space="0" w:color="000000"/>
            </w:tcBorders>
            <w:noWrap/>
            <w:vAlign w:val="center"/>
            <w:hideMark/>
          </w:tcPr>
          <w:p w14:paraId="4B0E2F5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14,822</w:t>
            </w:r>
          </w:p>
        </w:tc>
        <w:tc>
          <w:tcPr>
            <w:tcW w:w="1319" w:type="dxa"/>
            <w:tcBorders>
              <w:top w:val="nil"/>
              <w:left w:val="nil"/>
              <w:bottom w:val="single" w:sz="4" w:space="0" w:color="000000"/>
              <w:right w:val="single" w:sz="4" w:space="0" w:color="000000"/>
            </w:tcBorders>
            <w:noWrap/>
            <w:vAlign w:val="center"/>
            <w:hideMark/>
          </w:tcPr>
          <w:p w14:paraId="7A3B5E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25,190</w:t>
            </w:r>
          </w:p>
        </w:tc>
        <w:tc>
          <w:tcPr>
            <w:tcW w:w="1498" w:type="dxa"/>
            <w:tcBorders>
              <w:top w:val="nil"/>
              <w:left w:val="nil"/>
              <w:bottom w:val="single" w:sz="4" w:space="0" w:color="000000"/>
              <w:right w:val="single" w:sz="4" w:space="0" w:color="000000"/>
            </w:tcBorders>
            <w:noWrap/>
            <w:vAlign w:val="center"/>
            <w:hideMark/>
          </w:tcPr>
          <w:p w14:paraId="5294B23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10,926</w:t>
            </w:r>
          </w:p>
        </w:tc>
        <w:tc>
          <w:tcPr>
            <w:tcW w:w="1498" w:type="dxa"/>
            <w:tcBorders>
              <w:top w:val="nil"/>
              <w:left w:val="nil"/>
              <w:bottom w:val="single" w:sz="4" w:space="0" w:color="000000"/>
              <w:right w:val="single" w:sz="4" w:space="0" w:color="000000"/>
            </w:tcBorders>
            <w:noWrap/>
            <w:vAlign w:val="center"/>
            <w:hideMark/>
          </w:tcPr>
          <w:p w14:paraId="2D86453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40,283</w:t>
            </w:r>
          </w:p>
        </w:tc>
        <w:tc>
          <w:tcPr>
            <w:tcW w:w="1498" w:type="dxa"/>
            <w:tcBorders>
              <w:top w:val="nil"/>
              <w:left w:val="nil"/>
              <w:bottom w:val="single" w:sz="4" w:space="0" w:color="000000"/>
              <w:right w:val="single" w:sz="4" w:space="0" w:color="000000"/>
            </w:tcBorders>
            <w:noWrap/>
            <w:vAlign w:val="center"/>
            <w:hideMark/>
          </w:tcPr>
          <w:p w14:paraId="131B442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73,392</w:t>
            </w:r>
          </w:p>
        </w:tc>
      </w:tr>
      <w:tr w:rsidR="003A11CD" w:rsidRPr="00E7418B" w14:paraId="76FFA215" w14:textId="77777777" w:rsidTr="00FA7D76">
        <w:trPr>
          <w:trHeight w:val="264"/>
        </w:trPr>
        <w:tc>
          <w:tcPr>
            <w:tcW w:w="2552" w:type="dxa"/>
            <w:tcBorders>
              <w:top w:val="nil"/>
              <w:left w:val="single" w:sz="4" w:space="0" w:color="000000"/>
              <w:bottom w:val="single" w:sz="4" w:space="0" w:color="000000"/>
              <w:right w:val="single" w:sz="4" w:space="0" w:color="000000"/>
            </w:tcBorders>
            <w:noWrap/>
            <w:hideMark/>
          </w:tcPr>
          <w:p w14:paraId="6A29985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Capital Expenditure</w:t>
            </w:r>
          </w:p>
        </w:tc>
        <w:tc>
          <w:tcPr>
            <w:tcW w:w="1089" w:type="dxa"/>
            <w:tcBorders>
              <w:top w:val="nil"/>
              <w:left w:val="nil"/>
              <w:bottom w:val="single" w:sz="4" w:space="0" w:color="auto"/>
              <w:right w:val="single" w:sz="4" w:space="0" w:color="auto"/>
            </w:tcBorders>
            <w:noWrap/>
            <w:hideMark/>
          </w:tcPr>
          <w:p w14:paraId="58C6A65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(4,572)</w:t>
            </w:r>
          </w:p>
        </w:tc>
        <w:tc>
          <w:tcPr>
            <w:tcW w:w="1319" w:type="dxa"/>
            <w:tcBorders>
              <w:top w:val="nil"/>
              <w:left w:val="nil"/>
              <w:bottom w:val="single" w:sz="4" w:space="0" w:color="auto"/>
              <w:right w:val="single" w:sz="4" w:space="0" w:color="auto"/>
            </w:tcBorders>
            <w:noWrap/>
            <w:hideMark/>
          </w:tcPr>
          <w:p w14:paraId="57E9065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(8,116)</w:t>
            </w:r>
          </w:p>
        </w:tc>
        <w:tc>
          <w:tcPr>
            <w:tcW w:w="1498" w:type="dxa"/>
            <w:tcBorders>
              <w:top w:val="nil"/>
              <w:left w:val="nil"/>
              <w:bottom w:val="single" w:sz="4" w:space="0" w:color="auto"/>
              <w:right w:val="single" w:sz="4" w:space="0" w:color="auto"/>
            </w:tcBorders>
            <w:noWrap/>
            <w:hideMark/>
          </w:tcPr>
          <w:p w14:paraId="21A424A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(14,006)</w:t>
            </w:r>
          </w:p>
        </w:tc>
        <w:tc>
          <w:tcPr>
            <w:tcW w:w="1498" w:type="dxa"/>
            <w:tcBorders>
              <w:top w:val="nil"/>
              <w:left w:val="nil"/>
              <w:bottom w:val="single" w:sz="4" w:space="0" w:color="auto"/>
              <w:right w:val="single" w:sz="4" w:space="0" w:color="auto"/>
            </w:tcBorders>
            <w:noWrap/>
            <w:hideMark/>
          </w:tcPr>
          <w:p w14:paraId="311FACC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(12,586)</w:t>
            </w:r>
          </w:p>
        </w:tc>
        <w:tc>
          <w:tcPr>
            <w:tcW w:w="1498" w:type="dxa"/>
            <w:tcBorders>
              <w:top w:val="nil"/>
              <w:left w:val="nil"/>
              <w:bottom w:val="single" w:sz="4" w:space="0" w:color="auto"/>
              <w:right w:val="single" w:sz="4" w:space="0" w:color="auto"/>
            </w:tcBorders>
            <w:noWrap/>
            <w:hideMark/>
          </w:tcPr>
          <w:p w14:paraId="273352E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(16,862)</w:t>
            </w:r>
          </w:p>
        </w:tc>
      </w:tr>
      <w:tr w:rsidR="003A11CD" w:rsidRPr="00E7418B" w14:paraId="192A4019" w14:textId="77777777" w:rsidTr="00FA7D76">
        <w:trPr>
          <w:trHeight w:val="1320"/>
        </w:trPr>
        <w:tc>
          <w:tcPr>
            <w:tcW w:w="2552" w:type="dxa"/>
            <w:tcBorders>
              <w:top w:val="nil"/>
              <w:left w:val="single" w:sz="4" w:space="0" w:color="auto"/>
              <w:bottom w:val="single" w:sz="4" w:space="0" w:color="auto"/>
              <w:right w:val="single" w:sz="4" w:space="0" w:color="auto"/>
            </w:tcBorders>
            <w:vAlign w:val="center"/>
            <w:hideMark/>
          </w:tcPr>
          <w:p w14:paraId="47F9F4B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Free Cash Flow = Capital Expenditure - Operating Cash Flow £/m</w:t>
            </w:r>
          </w:p>
        </w:tc>
        <w:tc>
          <w:tcPr>
            <w:tcW w:w="1089" w:type="dxa"/>
            <w:tcBorders>
              <w:top w:val="nil"/>
              <w:left w:val="nil"/>
              <w:bottom w:val="single" w:sz="4" w:space="0" w:color="auto"/>
              <w:right w:val="single" w:sz="4" w:space="0" w:color="auto"/>
            </w:tcBorders>
            <w:noWrap/>
            <w:vAlign w:val="center"/>
            <w:hideMark/>
          </w:tcPr>
          <w:p w14:paraId="5B2EF34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10,250</w:t>
            </w:r>
          </w:p>
        </w:tc>
        <w:tc>
          <w:tcPr>
            <w:tcW w:w="1319" w:type="dxa"/>
            <w:tcBorders>
              <w:top w:val="nil"/>
              <w:left w:val="nil"/>
              <w:bottom w:val="single" w:sz="4" w:space="0" w:color="auto"/>
              <w:right w:val="single" w:sz="4" w:space="0" w:color="auto"/>
            </w:tcBorders>
            <w:noWrap/>
            <w:vAlign w:val="center"/>
            <w:hideMark/>
          </w:tcPr>
          <w:p w14:paraId="3337542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17,074</w:t>
            </w:r>
          </w:p>
        </w:tc>
        <w:tc>
          <w:tcPr>
            <w:tcW w:w="1498" w:type="dxa"/>
            <w:tcBorders>
              <w:top w:val="nil"/>
              <w:left w:val="nil"/>
              <w:bottom w:val="single" w:sz="4" w:space="0" w:color="auto"/>
              <w:right w:val="single" w:sz="4" w:space="0" w:color="auto"/>
            </w:tcBorders>
            <w:noWrap/>
            <w:vAlign w:val="center"/>
            <w:hideMark/>
          </w:tcPr>
          <w:p w14:paraId="6CA4AEA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-3,080</w:t>
            </w:r>
          </w:p>
        </w:tc>
        <w:tc>
          <w:tcPr>
            <w:tcW w:w="1498" w:type="dxa"/>
            <w:tcBorders>
              <w:top w:val="nil"/>
              <w:left w:val="nil"/>
              <w:bottom w:val="single" w:sz="4" w:space="0" w:color="auto"/>
              <w:right w:val="single" w:sz="4" w:space="0" w:color="auto"/>
            </w:tcBorders>
            <w:noWrap/>
            <w:vAlign w:val="center"/>
            <w:hideMark/>
          </w:tcPr>
          <w:p w14:paraId="04CCAC3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27,697</w:t>
            </w:r>
          </w:p>
        </w:tc>
        <w:tc>
          <w:tcPr>
            <w:tcW w:w="1498" w:type="dxa"/>
            <w:tcBorders>
              <w:top w:val="nil"/>
              <w:left w:val="nil"/>
              <w:bottom w:val="single" w:sz="4" w:space="0" w:color="auto"/>
              <w:right w:val="single" w:sz="4" w:space="0" w:color="auto"/>
            </w:tcBorders>
            <w:noWrap/>
            <w:vAlign w:val="center"/>
            <w:hideMark/>
          </w:tcPr>
          <w:p w14:paraId="3AF662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56,530</w:t>
            </w:r>
          </w:p>
        </w:tc>
      </w:tr>
    </w:tbl>
    <w:p w14:paraId="1388343B" w14:textId="6C3BDC0E" w:rsidR="00AB21F8" w:rsidRPr="00E7418B" w:rsidRDefault="00AB21F8" w:rsidP="00E7418B">
      <w:pPr>
        <w:jc w:val="left"/>
        <w:rPr>
          <w:rFonts w:cs="Arial"/>
          <w:color w:val="000000" w:themeColor="text1"/>
          <w:szCs w:val="24"/>
        </w:rPr>
      </w:pPr>
    </w:p>
    <w:p w14:paraId="6B48671D" w14:textId="77777777" w:rsidR="00AB21F8" w:rsidRPr="00E7418B" w:rsidRDefault="00AB21F8" w:rsidP="00E7418B">
      <w:pPr>
        <w:pStyle w:val="Heading2"/>
        <w:rPr>
          <w:rFonts w:ascii="Arial" w:hAnsi="Arial" w:cs="Arial"/>
          <w:b/>
          <w:bCs/>
          <w:color w:val="000000" w:themeColor="text1"/>
          <w:sz w:val="24"/>
          <w:szCs w:val="24"/>
        </w:rPr>
      </w:pPr>
      <w:bookmarkStart w:id="29" w:name="_Toc217162987"/>
      <w:r w:rsidRPr="00E7418B">
        <w:rPr>
          <w:rFonts w:ascii="Arial" w:eastAsia="Times New Roman" w:hAnsi="Arial" w:cs="Arial"/>
          <w:b/>
          <w:bCs/>
          <w:color w:val="000000" w:themeColor="text1"/>
          <w:sz w:val="24"/>
          <w:szCs w:val="24"/>
          <w:lang w:eastAsia="en-GB"/>
        </w:rPr>
        <w:t>Altman Z-Score</w:t>
      </w:r>
      <w:bookmarkEnd w:id="29"/>
    </w:p>
    <w:tbl>
      <w:tblPr>
        <w:tblW w:w="9500" w:type="dxa"/>
        <w:tblInd w:w="-5" w:type="dxa"/>
        <w:tblLook w:val="04A0" w:firstRow="1" w:lastRow="0" w:firstColumn="1" w:lastColumn="0" w:noHBand="0" w:noVBand="1"/>
      </w:tblPr>
      <w:tblGrid>
        <w:gridCol w:w="3013"/>
        <w:gridCol w:w="1316"/>
        <w:gridCol w:w="1316"/>
        <w:gridCol w:w="1285"/>
        <w:gridCol w:w="1285"/>
        <w:gridCol w:w="1285"/>
      </w:tblGrid>
      <w:tr w:rsidR="003A11CD" w:rsidRPr="00E7418B" w14:paraId="483CED85" w14:textId="77777777" w:rsidTr="003A11CD">
        <w:trPr>
          <w:trHeight w:val="63"/>
        </w:trPr>
        <w:tc>
          <w:tcPr>
            <w:tcW w:w="3013" w:type="dxa"/>
            <w:tcBorders>
              <w:top w:val="single" w:sz="4" w:space="0" w:color="auto"/>
              <w:left w:val="single" w:sz="4" w:space="0" w:color="auto"/>
              <w:bottom w:val="single" w:sz="4" w:space="0" w:color="auto"/>
              <w:right w:val="single" w:sz="4" w:space="0" w:color="auto"/>
            </w:tcBorders>
            <w:vAlign w:val="bottom"/>
            <w:hideMark/>
          </w:tcPr>
          <w:p w14:paraId="53A8BFC4" w14:textId="5285A8A6"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single" w:sz="4" w:space="0" w:color="auto"/>
              <w:left w:val="nil"/>
              <w:bottom w:val="single" w:sz="4" w:space="0" w:color="auto"/>
              <w:right w:val="single" w:sz="4" w:space="0" w:color="auto"/>
            </w:tcBorders>
            <w:noWrap/>
            <w:hideMark/>
          </w:tcPr>
          <w:p w14:paraId="0BD1A23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2024</w:t>
            </w:r>
          </w:p>
        </w:tc>
        <w:tc>
          <w:tcPr>
            <w:tcW w:w="1316" w:type="dxa"/>
            <w:tcBorders>
              <w:top w:val="single" w:sz="4" w:space="0" w:color="auto"/>
              <w:left w:val="nil"/>
              <w:bottom w:val="single" w:sz="4" w:space="0" w:color="auto"/>
              <w:right w:val="single" w:sz="4" w:space="0" w:color="auto"/>
            </w:tcBorders>
            <w:noWrap/>
            <w:hideMark/>
          </w:tcPr>
          <w:p w14:paraId="0447D9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2023</w:t>
            </w:r>
          </w:p>
        </w:tc>
        <w:tc>
          <w:tcPr>
            <w:tcW w:w="1285" w:type="dxa"/>
            <w:tcBorders>
              <w:top w:val="single" w:sz="4" w:space="0" w:color="auto"/>
              <w:left w:val="nil"/>
              <w:bottom w:val="single" w:sz="4" w:space="0" w:color="auto"/>
              <w:right w:val="single" w:sz="4" w:space="0" w:color="auto"/>
            </w:tcBorders>
            <w:noWrap/>
            <w:hideMark/>
          </w:tcPr>
          <w:p w14:paraId="535F1B8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2022</w:t>
            </w:r>
          </w:p>
        </w:tc>
        <w:tc>
          <w:tcPr>
            <w:tcW w:w="1285" w:type="dxa"/>
            <w:tcBorders>
              <w:top w:val="single" w:sz="4" w:space="0" w:color="auto"/>
              <w:left w:val="nil"/>
              <w:bottom w:val="single" w:sz="4" w:space="0" w:color="auto"/>
              <w:right w:val="single" w:sz="4" w:space="0" w:color="auto"/>
            </w:tcBorders>
            <w:noWrap/>
            <w:hideMark/>
          </w:tcPr>
          <w:p w14:paraId="02B0907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2021</w:t>
            </w:r>
          </w:p>
        </w:tc>
        <w:tc>
          <w:tcPr>
            <w:tcW w:w="1285" w:type="dxa"/>
            <w:tcBorders>
              <w:top w:val="single" w:sz="4" w:space="0" w:color="auto"/>
              <w:left w:val="nil"/>
              <w:bottom w:val="single" w:sz="4" w:space="0" w:color="auto"/>
              <w:right w:val="single" w:sz="4" w:space="0" w:color="auto"/>
            </w:tcBorders>
            <w:noWrap/>
            <w:hideMark/>
          </w:tcPr>
          <w:p w14:paraId="4AA21CF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2020</w:t>
            </w:r>
          </w:p>
        </w:tc>
      </w:tr>
      <w:tr w:rsidR="003A11CD" w:rsidRPr="00E7418B" w14:paraId="23BBB451" w14:textId="77777777" w:rsidTr="003A11CD">
        <w:trPr>
          <w:trHeight w:val="268"/>
        </w:trPr>
        <w:tc>
          <w:tcPr>
            <w:tcW w:w="3013" w:type="dxa"/>
            <w:tcBorders>
              <w:top w:val="nil"/>
              <w:left w:val="single" w:sz="4" w:space="0" w:color="000000"/>
              <w:bottom w:val="nil"/>
              <w:right w:val="single" w:sz="4" w:space="0" w:color="000000"/>
            </w:tcBorders>
            <w:hideMark/>
          </w:tcPr>
          <w:p w14:paraId="6470D8F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assets</w:t>
            </w:r>
          </w:p>
        </w:tc>
        <w:tc>
          <w:tcPr>
            <w:tcW w:w="1316" w:type="dxa"/>
            <w:tcBorders>
              <w:top w:val="nil"/>
              <w:left w:val="nil"/>
              <w:bottom w:val="nil"/>
              <w:right w:val="single" w:sz="4" w:space="0" w:color="000000"/>
            </w:tcBorders>
            <w:noWrap/>
            <w:hideMark/>
          </w:tcPr>
          <w:p w14:paraId="58413B4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242,494</w:t>
            </w:r>
          </w:p>
        </w:tc>
        <w:tc>
          <w:tcPr>
            <w:tcW w:w="1316" w:type="dxa"/>
            <w:tcBorders>
              <w:top w:val="nil"/>
              <w:left w:val="nil"/>
              <w:bottom w:val="nil"/>
              <w:right w:val="single" w:sz="4" w:space="0" w:color="000000"/>
            </w:tcBorders>
            <w:noWrap/>
            <w:hideMark/>
          </w:tcPr>
          <w:p w14:paraId="598CC73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258,851</w:t>
            </w:r>
          </w:p>
        </w:tc>
        <w:tc>
          <w:tcPr>
            <w:tcW w:w="1285" w:type="dxa"/>
            <w:tcBorders>
              <w:top w:val="nil"/>
              <w:left w:val="nil"/>
              <w:bottom w:val="nil"/>
              <w:right w:val="single" w:sz="4" w:space="0" w:color="000000"/>
            </w:tcBorders>
            <w:noWrap/>
            <w:hideMark/>
          </w:tcPr>
          <w:p w14:paraId="08C2BB4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338,040</w:t>
            </w:r>
          </w:p>
        </w:tc>
        <w:tc>
          <w:tcPr>
            <w:tcW w:w="1285" w:type="dxa"/>
            <w:tcBorders>
              <w:top w:val="nil"/>
              <w:left w:val="nil"/>
              <w:bottom w:val="nil"/>
              <w:right w:val="single" w:sz="4" w:space="0" w:color="000000"/>
            </w:tcBorders>
            <w:noWrap/>
            <w:hideMark/>
          </w:tcPr>
          <w:p w14:paraId="3197852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337,146</w:t>
            </w:r>
          </w:p>
        </w:tc>
        <w:tc>
          <w:tcPr>
            <w:tcW w:w="1285" w:type="dxa"/>
            <w:tcBorders>
              <w:top w:val="nil"/>
              <w:left w:val="nil"/>
              <w:bottom w:val="nil"/>
              <w:right w:val="single" w:sz="4" w:space="0" w:color="000000"/>
            </w:tcBorders>
            <w:noWrap/>
            <w:hideMark/>
          </w:tcPr>
          <w:p w14:paraId="1CDB4A3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326,843</w:t>
            </w:r>
          </w:p>
        </w:tc>
      </w:tr>
      <w:tr w:rsidR="003A11CD" w:rsidRPr="00E7418B" w14:paraId="51C6BF3C" w14:textId="77777777" w:rsidTr="003A11CD">
        <w:trPr>
          <w:trHeight w:val="268"/>
        </w:trPr>
        <w:tc>
          <w:tcPr>
            <w:tcW w:w="3013" w:type="dxa"/>
            <w:tcBorders>
              <w:top w:val="single" w:sz="4" w:space="0" w:color="auto"/>
              <w:left w:val="single" w:sz="4" w:space="0" w:color="auto"/>
              <w:bottom w:val="single" w:sz="4" w:space="0" w:color="auto"/>
              <w:right w:val="single" w:sz="4" w:space="0" w:color="auto"/>
            </w:tcBorders>
            <w:hideMark/>
          </w:tcPr>
          <w:p w14:paraId="73015D1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current liabilities</w:t>
            </w:r>
          </w:p>
        </w:tc>
        <w:tc>
          <w:tcPr>
            <w:tcW w:w="1316" w:type="dxa"/>
            <w:tcBorders>
              <w:top w:val="single" w:sz="4" w:space="0" w:color="auto"/>
              <w:left w:val="nil"/>
              <w:bottom w:val="single" w:sz="4" w:space="0" w:color="auto"/>
              <w:right w:val="single" w:sz="4" w:space="0" w:color="auto"/>
            </w:tcBorders>
            <w:noWrap/>
            <w:hideMark/>
          </w:tcPr>
          <w:p w14:paraId="165C469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158,291</w:t>
            </w:r>
          </w:p>
        </w:tc>
        <w:tc>
          <w:tcPr>
            <w:tcW w:w="1316" w:type="dxa"/>
            <w:tcBorders>
              <w:top w:val="single" w:sz="4" w:space="0" w:color="auto"/>
              <w:left w:val="nil"/>
              <w:bottom w:val="single" w:sz="4" w:space="0" w:color="auto"/>
              <w:right w:val="single" w:sz="4" w:space="0" w:color="auto"/>
            </w:tcBorders>
            <w:noWrap/>
            <w:hideMark/>
          </w:tcPr>
          <w:p w14:paraId="6D0DF5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161,148</w:t>
            </w:r>
          </w:p>
        </w:tc>
        <w:tc>
          <w:tcPr>
            <w:tcW w:w="1285" w:type="dxa"/>
            <w:tcBorders>
              <w:top w:val="single" w:sz="4" w:space="0" w:color="auto"/>
              <w:left w:val="nil"/>
              <w:bottom w:val="single" w:sz="4" w:space="0" w:color="auto"/>
              <w:right w:val="single" w:sz="4" w:space="0" w:color="auto"/>
            </w:tcBorders>
            <w:noWrap/>
            <w:hideMark/>
          </w:tcPr>
          <w:p w14:paraId="4B8BB69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216,473</w:t>
            </w:r>
          </w:p>
        </w:tc>
        <w:tc>
          <w:tcPr>
            <w:tcW w:w="1285" w:type="dxa"/>
            <w:tcBorders>
              <w:top w:val="single" w:sz="4" w:space="0" w:color="auto"/>
              <w:left w:val="nil"/>
              <w:bottom w:val="single" w:sz="4" w:space="0" w:color="auto"/>
              <w:right w:val="single" w:sz="4" w:space="0" w:color="auto"/>
            </w:tcBorders>
            <w:noWrap/>
            <w:hideMark/>
          </w:tcPr>
          <w:p w14:paraId="49E7F6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216,787</w:t>
            </w:r>
          </w:p>
        </w:tc>
        <w:tc>
          <w:tcPr>
            <w:tcW w:w="1285" w:type="dxa"/>
            <w:tcBorders>
              <w:top w:val="single" w:sz="4" w:space="0" w:color="auto"/>
              <w:left w:val="nil"/>
              <w:bottom w:val="single" w:sz="4" w:space="0" w:color="auto"/>
              <w:right w:val="single" w:sz="4" w:space="0" w:color="auto"/>
            </w:tcBorders>
            <w:noWrap/>
            <w:hideMark/>
          </w:tcPr>
          <w:p w14:paraId="62EA4E3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179,510</w:t>
            </w:r>
          </w:p>
        </w:tc>
      </w:tr>
      <w:tr w:rsidR="003A11CD" w:rsidRPr="00E7418B" w14:paraId="78841ECC" w14:textId="77777777" w:rsidTr="003A11CD">
        <w:trPr>
          <w:trHeight w:val="293"/>
        </w:trPr>
        <w:tc>
          <w:tcPr>
            <w:tcW w:w="3013" w:type="dxa"/>
            <w:tcBorders>
              <w:top w:val="nil"/>
              <w:left w:val="single" w:sz="4" w:space="0" w:color="auto"/>
              <w:bottom w:val="single" w:sz="4" w:space="0" w:color="auto"/>
              <w:right w:val="single" w:sz="4" w:space="0" w:color="auto"/>
            </w:tcBorders>
            <w:hideMark/>
          </w:tcPr>
          <w:p w14:paraId="50A3504A" w14:textId="6CA3B9F9"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Working Capital</w:t>
            </w:r>
          </w:p>
        </w:tc>
        <w:tc>
          <w:tcPr>
            <w:tcW w:w="1316" w:type="dxa"/>
            <w:tcBorders>
              <w:top w:val="nil"/>
              <w:left w:val="nil"/>
              <w:bottom w:val="nil"/>
              <w:right w:val="single" w:sz="4" w:space="0" w:color="000000"/>
            </w:tcBorders>
            <w:noWrap/>
            <w:hideMark/>
          </w:tcPr>
          <w:p w14:paraId="244C0B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84,203</w:t>
            </w:r>
          </w:p>
        </w:tc>
        <w:tc>
          <w:tcPr>
            <w:tcW w:w="1316" w:type="dxa"/>
            <w:tcBorders>
              <w:top w:val="nil"/>
              <w:left w:val="nil"/>
              <w:bottom w:val="nil"/>
              <w:right w:val="single" w:sz="4" w:space="0" w:color="000000"/>
            </w:tcBorders>
            <w:noWrap/>
            <w:hideMark/>
          </w:tcPr>
          <w:p w14:paraId="1462784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97,703</w:t>
            </w:r>
          </w:p>
        </w:tc>
        <w:tc>
          <w:tcPr>
            <w:tcW w:w="1285" w:type="dxa"/>
            <w:tcBorders>
              <w:top w:val="nil"/>
              <w:left w:val="nil"/>
              <w:bottom w:val="nil"/>
              <w:right w:val="single" w:sz="4" w:space="0" w:color="000000"/>
            </w:tcBorders>
            <w:noWrap/>
            <w:hideMark/>
          </w:tcPr>
          <w:p w14:paraId="20AC43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121,567</w:t>
            </w:r>
          </w:p>
        </w:tc>
        <w:tc>
          <w:tcPr>
            <w:tcW w:w="1285" w:type="dxa"/>
            <w:tcBorders>
              <w:top w:val="nil"/>
              <w:left w:val="nil"/>
              <w:bottom w:val="nil"/>
              <w:right w:val="single" w:sz="4" w:space="0" w:color="000000"/>
            </w:tcBorders>
            <w:noWrap/>
            <w:hideMark/>
          </w:tcPr>
          <w:p w14:paraId="0BA1E46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120,359</w:t>
            </w:r>
          </w:p>
        </w:tc>
        <w:tc>
          <w:tcPr>
            <w:tcW w:w="1285" w:type="dxa"/>
            <w:tcBorders>
              <w:top w:val="nil"/>
              <w:left w:val="nil"/>
              <w:bottom w:val="nil"/>
              <w:right w:val="single" w:sz="4" w:space="0" w:color="000000"/>
            </w:tcBorders>
            <w:noWrap/>
            <w:hideMark/>
          </w:tcPr>
          <w:p w14:paraId="5CC479D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147,333</w:t>
            </w:r>
          </w:p>
        </w:tc>
      </w:tr>
      <w:tr w:rsidR="003A11CD" w:rsidRPr="00E7418B" w14:paraId="5ADBC386"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7F9E80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assets</w:t>
            </w:r>
          </w:p>
        </w:tc>
        <w:tc>
          <w:tcPr>
            <w:tcW w:w="1316" w:type="dxa"/>
            <w:tcBorders>
              <w:top w:val="single" w:sz="4" w:space="0" w:color="000000"/>
              <w:left w:val="nil"/>
              <w:bottom w:val="single" w:sz="4" w:space="0" w:color="000000"/>
              <w:right w:val="single" w:sz="4" w:space="0" w:color="000000"/>
            </w:tcBorders>
            <w:noWrap/>
            <w:hideMark/>
          </w:tcPr>
          <w:p w14:paraId="7EB6989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323,354</w:t>
            </w:r>
          </w:p>
        </w:tc>
        <w:tc>
          <w:tcPr>
            <w:tcW w:w="1316" w:type="dxa"/>
            <w:tcBorders>
              <w:top w:val="single" w:sz="4" w:space="0" w:color="000000"/>
              <w:left w:val="nil"/>
              <w:bottom w:val="single" w:sz="4" w:space="0" w:color="000000"/>
              <w:right w:val="single" w:sz="4" w:space="0" w:color="000000"/>
            </w:tcBorders>
            <w:noWrap/>
            <w:hideMark/>
          </w:tcPr>
          <w:p w14:paraId="3E08739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355,872</w:t>
            </w:r>
          </w:p>
        </w:tc>
        <w:tc>
          <w:tcPr>
            <w:tcW w:w="1285" w:type="dxa"/>
            <w:tcBorders>
              <w:top w:val="single" w:sz="4" w:space="0" w:color="000000"/>
              <w:left w:val="nil"/>
              <w:bottom w:val="single" w:sz="4" w:space="0" w:color="000000"/>
              <w:right w:val="single" w:sz="4" w:space="0" w:color="000000"/>
            </w:tcBorders>
            <w:noWrap/>
            <w:hideMark/>
          </w:tcPr>
          <w:p w14:paraId="6547D54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504,163</w:t>
            </w:r>
          </w:p>
        </w:tc>
        <w:tc>
          <w:tcPr>
            <w:tcW w:w="1285" w:type="dxa"/>
            <w:tcBorders>
              <w:top w:val="single" w:sz="4" w:space="0" w:color="000000"/>
              <w:left w:val="nil"/>
              <w:bottom w:val="single" w:sz="4" w:space="0" w:color="000000"/>
              <w:right w:val="single" w:sz="4" w:space="0" w:color="000000"/>
            </w:tcBorders>
            <w:noWrap/>
            <w:hideMark/>
          </w:tcPr>
          <w:p w14:paraId="0FCEDC9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510,348</w:t>
            </w:r>
          </w:p>
        </w:tc>
        <w:tc>
          <w:tcPr>
            <w:tcW w:w="1285" w:type="dxa"/>
            <w:tcBorders>
              <w:top w:val="single" w:sz="4" w:space="0" w:color="000000"/>
              <w:left w:val="nil"/>
              <w:bottom w:val="single" w:sz="4" w:space="0" w:color="000000"/>
              <w:right w:val="single" w:sz="4" w:space="0" w:color="000000"/>
            </w:tcBorders>
            <w:noWrap/>
            <w:hideMark/>
          </w:tcPr>
          <w:p w14:paraId="0DF0683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510,290</w:t>
            </w:r>
          </w:p>
        </w:tc>
      </w:tr>
      <w:tr w:rsidR="003A11CD" w:rsidRPr="00E7418B" w14:paraId="76587125"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3BE8E3F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Retained earnings</w:t>
            </w:r>
          </w:p>
        </w:tc>
        <w:tc>
          <w:tcPr>
            <w:tcW w:w="1316" w:type="dxa"/>
            <w:tcBorders>
              <w:top w:val="nil"/>
              <w:left w:val="nil"/>
              <w:bottom w:val="single" w:sz="4" w:space="0" w:color="000000"/>
              <w:right w:val="single" w:sz="4" w:space="0" w:color="000000"/>
            </w:tcBorders>
            <w:noWrap/>
            <w:hideMark/>
          </w:tcPr>
          <w:p w14:paraId="707D5C7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208,431</w:t>
            </w:r>
          </w:p>
        </w:tc>
        <w:tc>
          <w:tcPr>
            <w:tcW w:w="1316" w:type="dxa"/>
            <w:tcBorders>
              <w:top w:val="nil"/>
              <w:left w:val="nil"/>
              <w:bottom w:val="single" w:sz="4" w:space="0" w:color="000000"/>
              <w:right w:val="single" w:sz="4" w:space="0" w:color="000000"/>
            </w:tcBorders>
            <w:noWrap/>
            <w:hideMark/>
          </w:tcPr>
          <w:p w14:paraId="1451C2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232,460</w:t>
            </w:r>
          </w:p>
        </w:tc>
        <w:tc>
          <w:tcPr>
            <w:tcW w:w="1285" w:type="dxa"/>
            <w:tcBorders>
              <w:top w:val="nil"/>
              <w:left w:val="nil"/>
              <w:bottom w:val="single" w:sz="4" w:space="0" w:color="000000"/>
              <w:right w:val="single" w:sz="4" w:space="0" w:color="000000"/>
            </w:tcBorders>
            <w:noWrap/>
            <w:hideMark/>
          </w:tcPr>
          <w:p w14:paraId="1FAF319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330,698</w:t>
            </w:r>
          </w:p>
        </w:tc>
        <w:tc>
          <w:tcPr>
            <w:tcW w:w="1285" w:type="dxa"/>
            <w:tcBorders>
              <w:top w:val="nil"/>
              <w:left w:val="nil"/>
              <w:bottom w:val="single" w:sz="4" w:space="0" w:color="000000"/>
              <w:right w:val="single" w:sz="4" w:space="0" w:color="000000"/>
            </w:tcBorders>
            <w:noWrap/>
            <w:hideMark/>
          </w:tcPr>
          <w:p w14:paraId="1F0E82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330,291</w:t>
            </w:r>
          </w:p>
        </w:tc>
        <w:tc>
          <w:tcPr>
            <w:tcW w:w="1285" w:type="dxa"/>
            <w:tcBorders>
              <w:top w:val="nil"/>
              <w:left w:val="nil"/>
              <w:bottom w:val="single" w:sz="4" w:space="0" w:color="000000"/>
              <w:right w:val="single" w:sz="4" w:space="0" w:color="000000"/>
            </w:tcBorders>
            <w:noWrap/>
            <w:hideMark/>
          </w:tcPr>
          <w:p w14:paraId="0AC3030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324,990</w:t>
            </w:r>
          </w:p>
        </w:tc>
      </w:tr>
      <w:tr w:rsidR="003A11CD" w:rsidRPr="00E7418B" w14:paraId="635A158B"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39F9827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Operating income (loss)</w:t>
            </w:r>
          </w:p>
        </w:tc>
        <w:tc>
          <w:tcPr>
            <w:tcW w:w="1316" w:type="dxa"/>
            <w:tcBorders>
              <w:top w:val="nil"/>
              <w:left w:val="nil"/>
              <w:bottom w:val="single" w:sz="4" w:space="0" w:color="000000"/>
              <w:right w:val="single" w:sz="4" w:space="0" w:color="000000"/>
            </w:tcBorders>
            <w:noWrap/>
            <w:hideMark/>
          </w:tcPr>
          <w:p w14:paraId="340EE9F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(15,297)</w:t>
            </w:r>
          </w:p>
        </w:tc>
        <w:tc>
          <w:tcPr>
            <w:tcW w:w="1316" w:type="dxa"/>
            <w:tcBorders>
              <w:top w:val="nil"/>
              <w:left w:val="nil"/>
              <w:bottom w:val="single" w:sz="4" w:space="0" w:color="000000"/>
              <w:right w:val="single" w:sz="4" w:space="0" w:color="000000"/>
            </w:tcBorders>
            <w:noWrap/>
            <w:hideMark/>
          </w:tcPr>
          <w:p w14:paraId="3B32A7A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(85,301)</w:t>
            </w:r>
          </w:p>
        </w:tc>
        <w:tc>
          <w:tcPr>
            <w:tcW w:w="1285" w:type="dxa"/>
            <w:tcBorders>
              <w:top w:val="nil"/>
              <w:left w:val="nil"/>
              <w:bottom w:val="single" w:sz="4" w:space="0" w:color="000000"/>
              <w:right w:val="single" w:sz="4" w:space="0" w:color="000000"/>
            </w:tcBorders>
            <w:noWrap/>
            <w:hideMark/>
          </w:tcPr>
          <w:p w14:paraId="2156CCB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14,548</w:t>
            </w:r>
          </w:p>
        </w:tc>
        <w:tc>
          <w:tcPr>
            <w:tcW w:w="1285" w:type="dxa"/>
            <w:tcBorders>
              <w:top w:val="nil"/>
              <w:left w:val="nil"/>
              <w:bottom w:val="single" w:sz="4" w:space="0" w:color="000000"/>
              <w:right w:val="single" w:sz="4" w:space="0" w:color="000000"/>
            </w:tcBorders>
            <w:noWrap/>
            <w:hideMark/>
          </w:tcPr>
          <w:p w14:paraId="19F79B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23,253</w:t>
            </w:r>
          </w:p>
        </w:tc>
        <w:tc>
          <w:tcPr>
            <w:tcW w:w="1285" w:type="dxa"/>
            <w:tcBorders>
              <w:top w:val="nil"/>
              <w:left w:val="nil"/>
              <w:bottom w:val="single" w:sz="4" w:space="0" w:color="000000"/>
              <w:right w:val="single" w:sz="4" w:space="0" w:color="000000"/>
            </w:tcBorders>
            <w:noWrap/>
            <w:hideMark/>
          </w:tcPr>
          <w:p w14:paraId="4B10ECD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37,267</w:t>
            </w:r>
          </w:p>
        </w:tc>
      </w:tr>
      <w:tr w:rsidR="003A11CD" w:rsidRPr="00E7418B" w14:paraId="2B424473"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11F96CD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liabilities</w:t>
            </w:r>
          </w:p>
        </w:tc>
        <w:tc>
          <w:tcPr>
            <w:tcW w:w="1316" w:type="dxa"/>
            <w:tcBorders>
              <w:top w:val="nil"/>
              <w:left w:val="nil"/>
              <w:bottom w:val="single" w:sz="4" w:space="0" w:color="000000"/>
              <w:right w:val="single" w:sz="4" w:space="0" w:color="000000"/>
            </w:tcBorders>
            <w:noWrap/>
            <w:hideMark/>
          </w:tcPr>
          <w:p w14:paraId="28D1F4F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170,249</w:t>
            </w:r>
          </w:p>
        </w:tc>
        <w:tc>
          <w:tcPr>
            <w:tcW w:w="1316" w:type="dxa"/>
            <w:tcBorders>
              <w:top w:val="nil"/>
              <w:left w:val="nil"/>
              <w:bottom w:val="single" w:sz="4" w:space="0" w:color="000000"/>
              <w:right w:val="single" w:sz="4" w:space="0" w:color="000000"/>
            </w:tcBorders>
            <w:noWrap/>
            <w:hideMark/>
          </w:tcPr>
          <w:p w14:paraId="19AF4E52"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176,952</w:t>
            </w:r>
          </w:p>
        </w:tc>
        <w:tc>
          <w:tcPr>
            <w:tcW w:w="1285" w:type="dxa"/>
            <w:tcBorders>
              <w:top w:val="nil"/>
              <w:left w:val="nil"/>
              <w:bottom w:val="single" w:sz="4" w:space="0" w:color="000000"/>
              <w:right w:val="single" w:sz="4" w:space="0" w:color="000000"/>
            </w:tcBorders>
            <w:noWrap/>
            <w:hideMark/>
          </w:tcPr>
          <w:p w14:paraId="755C682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235,757</w:t>
            </w:r>
          </w:p>
        </w:tc>
        <w:tc>
          <w:tcPr>
            <w:tcW w:w="1285" w:type="dxa"/>
            <w:tcBorders>
              <w:top w:val="nil"/>
              <w:left w:val="nil"/>
              <w:bottom w:val="single" w:sz="4" w:space="0" w:color="000000"/>
              <w:right w:val="single" w:sz="4" w:space="0" w:color="000000"/>
            </w:tcBorders>
            <w:noWrap/>
            <w:hideMark/>
          </w:tcPr>
          <w:p w14:paraId="7515254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234,399</w:t>
            </w:r>
          </w:p>
        </w:tc>
        <w:tc>
          <w:tcPr>
            <w:tcW w:w="1285" w:type="dxa"/>
            <w:tcBorders>
              <w:top w:val="nil"/>
              <w:left w:val="nil"/>
              <w:bottom w:val="single" w:sz="4" w:space="0" w:color="000000"/>
              <w:right w:val="single" w:sz="4" w:space="0" w:color="000000"/>
            </w:tcBorders>
            <w:noWrap/>
            <w:hideMark/>
          </w:tcPr>
          <w:p w14:paraId="474488D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196,989</w:t>
            </w:r>
          </w:p>
        </w:tc>
      </w:tr>
      <w:tr w:rsidR="003A11CD" w:rsidRPr="00E7418B" w14:paraId="4B4D9129"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2848A6E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 shareholders' equity</w:t>
            </w:r>
          </w:p>
        </w:tc>
        <w:tc>
          <w:tcPr>
            <w:tcW w:w="1316" w:type="dxa"/>
            <w:tcBorders>
              <w:top w:val="nil"/>
              <w:left w:val="nil"/>
              <w:bottom w:val="single" w:sz="4" w:space="0" w:color="000000"/>
              <w:right w:val="single" w:sz="4" w:space="0" w:color="000000"/>
            </w:tcBorders>
            <w:noWrap/>
            <w:hideMark/>
          </w:tcPr>
          <w:p w14:paraId="06389F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153,105</w:t>
            </w:r>
          </w:p>
        </w:tc>
        <w:tc>
          <w:tcPr>
            <w:tcW w:w="1316" w:type="dxa"/>
            <w:tcBorders>
              <w:top w:val="nil"/>
              <w:left w:val="nil"/>
              <w:bottom w:val="single" w:sz="4" w:space="0" w:color="000000"/>
              <w:right w:val="single" w:sz="4" w:space="0" w:color="000000"/>
            </w:tcBorders>
            <w:noWrap/>
            <w:hideMark/>
          </w:tcPr>
          <w:p w14:paraId="455CFC8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178,920</w:t>
            </w:r>
          </w:p>
        </w:tc>
        <w:tc>
          <w:tcPr>
            <w:tcW w:w="1285" w:type="dxa"/>
            <w:tcBorders>
              <w:top w:val="nil"/>
              <w:left w:val="nil"/>
              <w:bottom w:val="single" w:sz="4" w:space="0" w:color="000000"/>
              <w:right w:val="single" w:sz="4" w:space="0" w:color="000000"/>
            </w:tcBorders>
            <w:noWrap/>
            <w:hideMark/>
          </w:tcPr>
          <w:p w14:paraId="1B518DC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268,406</w:t>
            </w:r>
          </w:p>
        </w:tc>
        <w:tc>
          <w:tcPr>
            <w:tcW w:w="1285" w:type="dxa"/>
            <w:tcBorders>
              <w:top w:val="nil"/>
              <w:left w:val="nil"/>
              <w:bottom w:val="single" w:sz="4" w:space="0" w:color="000000"/>
              <w:right w:val="single" w:sz="4" w:space="0" w:color="000000"/>
            </w:tcBorders>
            <w:noWrap/>
            <w:hideMark/>
          </w:tcPr>
          <w:p w14:paraId="22B9F6D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275,949</w:t>
            </w:r>
          </w:p>
        </w:tc>
        <w:tc>
          <w:tcPr>
            <w:tcW w:w="1285" w:type="dxa"/>
            <w:tcBorders>
              <w:top w:val="nil"/>
              <w:left w:val="nil"/>
              <w:bottom w:val="single" w:sz="4" w:space="0" w:color="000000"/>
              <w:right w:val="single" w:sz="4" w:space="0" w:color="000000"/>
            </w:tcBorders>
            <w:noWrap/>
            <w:hideMark/>
          </w:tcPr>
          <w:p w14:paraId="533FA29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313,301</w:t>
            </w:r>
          </w:p>
        </w:tc>
      </w:tr>
      <w:tr w:rsidR="003A11CD" w:rsidRPr="00E7418B" w14:paraId="5DD52AF3" w14:textId="77777777" w:rsidTr="003A11CD">
        <w:trPr>
          <w:trHeight w:val="268"/>
        </w:trPr>
        <w:tc>
          <w:tcPr>
            <w:tcW w:w="3013" w:type="dxa"/>
            <w:tcBorders>
              <w:top w:val="nil"/>
              <w:left w:val="single" w:sz="4" w:space="0" w:color="000000"/>
              <w:bottom w:val="single" w:sz="4" w:space="0" w:color="000000"/>
              <w:right w:val="single" w:sz="4" w:space="0" w:color="000000"/>
            </w:tcBorders>
            <w:hideMark/>
          </w:tcPr>
          <w:p w14:paraId="79C6B9F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Net sales</w:t>
            </w:r>
          </w:p>
        </w:tc>
        <w:tc>
          <w:tcPr>
            <w:tcW w:w="1316" w:type="dxa"/>
            <w:tcBorders>
              <w:top w:val="nil"/>
              <w:left w:val="nil"/>
              <w:bottom w:val="single" w:sz="4" w:space="0" w:color="000000"/>
              <w:right w:val="single" w:sz="4" w:space="0" w:color="000000"/>
            </w:tcBorders>
            <w:noWrap/>
            <w:hideMark/>
          </w:tcPr>
          <w:p w14:paraId="57D9446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394,879</w:t>
            </w:r>
          </w:p>
        </w:tc>
        <w:tc>
          <w:tcPr>
            <w:tcW w:w="1316" w:type="dxa"/>
            <w:tcBorders>
              <w:top w:val="nil"/>
              <w:left w:val="nil"/>
              <w:bottom w:val="single" w:sz="4" w:space="0" w:color="000000"/>
              <w:right w:val="single" w:sz="4" w:space="0" w:color="000000"/>
            </w:tcBorders>
            <w:noWrap/>
            <w:hideMark/>
          </w:tcPr>
          <w:p w14:paraId="4521C6B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420,457</w:t>
            </w:r>
          </w:p>
        </w:tc>
        <w:tc>
          <w:tcPr>
            <w:tcW w:w="1285" w:type="dxa"/>
            <w:tcBorders>
              <w:top w:val="nil"/>
              <w:left w:val="nil"/>
              <w:bottom w:val="single" w:sz="4" w:space="0" w:color="000000"/>
              <w:right w:val="single" w:sz="4" w:space="0" w:color="000000"/>
            </w:tcBorders>
            <w:noWrap/>
            <w:hideMark/>
          </w:tcPr>
          <w:p w14:paraId="3BD0FCCC"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542,751</w:t>
            </w:r>
          </w:p>
        </w:tc>
        <w:tc>
          <w:tcPr>
            <w:tcW w:w="1285" w:type="dxa"/>
            <w:tcBorders>
              <w:top w:val="nil"/>
              <w:left w:val="nil"/>
              <w:bottom w:val="single" w:sz="4" w:space="0" w:color="000000"/>
              <w:right w:val="single" w:sz="4" w:space="0" w:color="000000"/>
            </w:tcBorders>
            <w:noWrap/>
            <w:hideMark/>
          </w:tcPr>
          <w:p w14:paraId="5B7EFF4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601,602</w:t>
            </w:r>
          </w:p>
        </w:tc>
        <w:tc>
          <w:tcPr>
            <w:tcW w:w="1285" w:type="dxa"/>
            <w:tcBorders>
              <w:top w:val="nil"/>
              <w:left w:val="nil"/>
              <w:bottom w:val="single" w:sz="4" w:space="0" w:color="000000"/>
              <w:right w:val="single" w:sz="4" w:space="0" w:color="000000"/>
            </w:tcBorders>
            <w:noWrap/>
            <w:hideMark/>
          </w:tcPr>
          <w:p w14:paraId="3214AA4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614,680</w:t>
            </w:r>
          </w:p>
        </w:tc>
      </w:tr>
      <w:tr w:rsidR="003A11CD" w:rsidRPr="00E7418B" w14:paraId="312AF4EB" w14:textId="77777777" w:rsidTr="003A11CD">
        <w:trPr>
          <w:trHeight w:val="268"/>
        </w:trPr>
        <w:tc>
          <w:tcPr>
            <w:tcW w:w="3013" w:type="dxa"/>
            <w:tcBorders>
              <w:top w:val="nil"/>
              <w:left w:val="nil"/>
              <w:bottom w:val="nil"/>
              <w:right w:val="nil"/>
            </w:tcBorders>
            <w:noWrap/>
            <w:hideMark/>
          </w:tcPr>
          <w:p w14:paraId="55DD9F37"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3231F33F"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414D91CD"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57DF3E1D"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2A5EB3CE"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0E24B470" w14:textId="77777777" w:rsidR="00AB21F8" w:rsidRPr="00E7418B" w:rsidRDefault="00AB21F8" w:rsidP="00E7418B">
            <w:pPr>
              <w:spacing w:after="0"/>
              <w:jc w:val="center"/>
              <w:rPr>
                <w:rFonts w:eastAsia="Times New Roman" w:cs="Arial"/>
                <w:noProof w:val="0"/>
                <w:color w:val="000000" w:themeColor="text1"/>
                <w:szCs w:val="24"/>
                <w:lang w:eastAsia="en-GB"/>
              </w:rPr>
            </w:pPr>
          </w:p>
        </w:tc>
      </w:tr>
      <w:tr w:rsidR="003A11CD" w:rsidRPr="00E7418B" w14:paraId="27E3F2C1" w14:textId="77777777" w:rsidTr="003A11CD">
        <w:trPr>
          <w:trHeight w:val="268"/>
        </w:trPr>
        <w:tc>
          <w:tcPr>
            <w:tcW w:w="3013" w:type="dxa"/>
            <w:tcBorders>
              <w:top w:val="single" w:sz="4" w:space="0" w:color="auto"/>
              <w:left w:val="single" w:sz="4" w:space="0" w:color="auto"/>
              <w:bottom w:val="single" w:sz="4" w:space="0" w:color="auto"/>
              <w:right w:val="single" w:sz="4" w:space="0" w:color="auto"/>
            </w:tcBorders>
            <w:noWrap/>
            <w:hideMark/>
          </w:tcPr>
          <w:p w14:paraId="5802B91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₁</w:t>
            </w:r>
          </w:p>
        </w:tc>
        <w:tc>
          <w:tcPr>
            <w:tcW w:w="1316" w:type="dxa"/>
            <w:tcBorders>
              <w:top w:val="single" w:sz="4" w:space="0" w:color="auto"/>
              <w:left w:val="nil"/>
              <w:bottom w:val="single" w:sz="4" w:space="0" w:color="auto"/>
              <w:right w:val="single" w:sz="4" w:space="0" w:color="auto"/>
            </w:tcBorders>
            <w:noWrap/>
            <w:vAlign w:val="center"/>
            <w:hideMark/>
          </w:tcPr>
          <w:p w14:paraId="7B84239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0.26</w:t>
            </w:r>
          </w:p>
        </w:tc>
        <w:tc>
          <w:tcPr>
            <w:tcW w:w="1316" w:type="dxa"/>
            <w:tcBorders>
              <w:top w:val="single" w:sz="4" w:space="0" w:color="auto"/>
              <w:left w:val="nil"/>
              <w:bottom w:val="single" w:sz="4" w:space="0" w:color="auto"/>
              <w:right w:val="single" w:sz="4" w:space="0" w:color="auto"/>
            </w:tcBorders>
            <w:noWrap/>
            <w:vAlign w:val="center"/>
            <w:hideMark/>
          </w:tcPr>
          <w:p w14:paraId="1755349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0.27</w:t>
            </w:r>
          </w:p>
        </w:tc>
        <w:tc>
          <w:tcPr>
            <w:tcW w:w="1285" w:type="dxa"/>
            <w:tcBorders>
              <w:top w:val="single" w:sz="4" w:space="0" w:color="auto"/>
              <w:left w:val="nil"/>
              <w:bottom w:val="single" w:sz="4" w:space="0" w:color="auto"/>
              <w:right w:val="single" w:sz="4" w:space="0" w:color="auto"/>
            </w:tcBorders>
            <w:noWrap/>
            <w:vAlign w:val="center"/>
            <w:hideMark/>
          </w:tcPr>
          <w:p w14:paraId="3ACF404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0.24</w:t>
            </w:r>
          </w:p>
        </w:tc>
        <w:tc>
          <w:tcPr>
            <w:tcW w:w="1285" w:type="dxa"/>
            <w:tcBorders>
              <w:top w:val="single" w:sz="4" w:space="0" w:color="auto"/>
              <w:left w:val="nil"/>
              <w:bottom w:val="single" w:sz="4" w:space="0" w:color="auto"/>
              <w:right w:val="single" w:sz="4" w:space="0" w:color="auto"/>
            </w:tcBorders>
            <w:noWrap/>
            <w:vAlign w:val="center"/>
            <w:hideMark/>
          </w:tcPr>
          <w:p w14:paraId="3BE198D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0.24</w:t>
            </w:r>
          </w:p>
        </w:tc>
        <w:tc>
          <w:tcPr>
            <w:tcW w:w="1285" w:type="dxa"/>
            <w:tcBorders>
              <w:top w:val="single" w:sz="4" w:space="0" w:color="auto"/>
              <w:left w:val="nil"/>
              <w:bottom w:val="single" w:sz="4" w:space="0" w:color="auto"/>
              <w:right w:val="single" w:sz="4" w:space="0" w:color="auto"/>
            </w:tcBorders>
            <w:noWrap/>
            <w:vAlign w:val="center"/>
            <w:hideMark/>
          </w:tcPr>
          <w:p w14:paraId="58B1610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0.29</w:t>
            </w:r>
          </w:p>
        </w:tc>
      </w:tr>
      <w:tr w:rsidR="003A11CD" w:rsidRPr="00E7418B" w14:paraId="1ED7CF39"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6EE4AC3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₂</w:t>
            </w:r>
          </w:p>
        </w:tc>
        <w:tc>
          <w:tcPr>
            <w:tcW w:w="1316" w:type="dxa"/>
            <w:tcBorders>
              <w:top w:val="nil"/>
              <w:left w:val="nil"/>
              <w:bottom w:val="single" w:sz="4" w:space="0" w:color="auto"/>
              <w:right w:val="single" w:sz="4" w:space="0" w:color="auto"/>
            </w:tcBorders>
            <w:noWrap/>
            <w:hideMark/>
          </w:tcPr>
          <w:p w14:paraId="55AF3BC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0.64</w:t>
            </w:r>
          </w:p>
        </w:tc>
        <w:tc>
          <w:tcPr>
            <w:tcW w:w="1316" w:type="dxa"/>
            <w:tcBorders>
              <w:top w:val="nil"/>
              <w:left w:val="nil"/>
              <w:bottom w:val="single" w:sz="4" w:space="0" w:color="auto"/>
              <w:right w:val="single" w:sz="4" w:space="0" w:color="auto"/>
            </w:tcBorders>
            <w:noWrap/>
            <w:hideMark/>
          </w:tcPr>
          <w:p w14:paraId="3E9528EB"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0.65</w:t>
            </w:r>
          </w:p>
        </w:tc>
        <w:tc>
          <w:tcPr>
            <w:tcW w:w="1285" w:type="dxa"/>
            <w:tcBorders>
              <w:top w:val="nil"/>
              <w:left w:val="nil"/>
              <w:bottom w:val="single" w:sz="4" w:space="0" w:color="auto"/>
              <w:right w:val="single" w:sz="4" w:space="0" w:color="auto"/>
            </w:tcBorders>
            <w:noWrap/>
            <w:hideMark/>
          </w:tcPr>
          <w:p w14:paraId="7B4FA13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0.66</w:t>
            </w:r>
          </w:p>
        </w:tc>
        <w:tc>
          <w:tcPr>
            <w:tcW w:w="1285" w:type="dxa"/>
            <w:tcBorders>
              <w:top w:val="nil"/>
              <w:left w:val="nil"/>
              <w:bottom w:val="single" w:sz="4" w:space="0" w:color="auto"/>
              <w:right w:val="single" w:sz="4" w:space="0" w:color="auto"/>
            </w:tcBorders>
            <w:noWrap/>
            <w:hideMark/>
          </w:tcPr>
          <w:p w14:paraId="38E9107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0.65</w:t>
            </w:r>
          </w:p>
        </w:tc>
        <w:tc>
          <w:tcPr>
            <w:tcW w:w="1285" w:type="dxa"/>
            <w:tcBorders>
              <w:top w:val="nil"/>
              <w:left w:val="nil"/>
              <w:bottom w:val="single" w:sz="4" w:space="0" w:color="auto"/>
              <w:right w:val="single" w:sz="4" w:space="0" w:color="auto"/>
            </w:tcBorders>
            <w:noWrap/>
            <w:hideMark/>
          </w:tcPr>
          <w:p w14:paraId="6028F8A6"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0.64</w:t>
            </w:r>
          </w:p>
        </w:tc>
      </w:tr>
      <w:tr w:rsidR="003A11CD" w:rsidRPr="00E7418B" w14:paraId="0B9D5D50"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58358C2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₃</w:t>
            </w:r>
          </w:p>
        </w:tc>
        <w:tc>
          <w:tcPr>
            <w:tcW w:w="1316" w:type="dxa"/>
            <w:tcBorders>
              <w:top w:val="nil"/>
              <w:left w:val="nil"/>
              <w:bottom w:val="single" w:sz="4" w:space="0" w:color="auto"/>
              <w:right w:val="single" w:sz="4" w:space="0" w:color="auto"/>
            </w:tcBorders>
            <w:noWrap/>
            <w:hideMark/>
          </w:tcPr>
          <w:p w14:paraId="194EBB3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-0.05</w:t>
            </w:r>
          </w:p>
        </w:tc>
        <w:tc>
          <w:tcPr>
            <w:tcW w:w="1316" w:type="dxa"/>
            <w:tcBorders>
              <w:top w:val="nil"/>
              <w:left w:val="nil"/>
              <w:bottom w:val="single" w:sz="4" w:space="0" w:color="auto"/>
              <w:right w:val="single" w:sz="4" w:space="0" w:color="auto"/>
            </w:tcBorders>
            <w:noWrap/>
            <w:hideMark/>
          </w:tcPr>
          <w:p w14:paraId="7C70066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-0.24</w:t>
            </w:r>
          </w:p>
        </w:tc>
        <w:tc>
          <w:tcPr>
            <w:tcW w:w="1285" w:type="dxa"/>
            <w:tcBorders>
              <w:top w:val="nil"/>
              <w:left w:val="nil"/>
              <w:bottom w:val="single" w:sz="4" w:space="0" w:color="auto"/>
              <w:right w:val="single" w:sz="4" w:space="0" w:color="auto"/>
            </w:tcBorders>
            <w:noWrap/>
            <w:hideMark/>
          </w:tcPr>
          <w:p w14:paraId="70B2F2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0.03</w:t>
            </w:r>
          </w:p>
        </w:tc>
        <w:tc>
          <w:tcPr>
            <w:tcW w:w="1285" w:type="dxa"/>
            <w:tcBorders>
              <w:top w:val="nil"/>
              <w:left w:val="nil"/>
              <w:bottom w:val="single" w:sz="4" w:space="0" w:color="auto"/>
              <w:right w:val="single" w:sz="4" w:space="0" w:color="auto"/>
            </w:tcBorders>
            <w:noWrap/>
            <w:hideMark/>
          </w:tcPr>
          <w:p w14:paraId="1C0E7BE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0.05</w:t>
            </w:r>
          </w:p>
        </w:tc>
        <w:tc>
          <w:tcPr>
            <w:tcW w:w="1285" w:type="dxa"/>
            <w:tcBorders>
              <w:top w:val="nil"/>
              <w:left w:val="nil"/>
              <w:bottom w:val="single" w:sz="4" w:space="0" w:color="auto"/>
              <w:right w:val="single" w:sz="4" w:space="0" w:color="auto"/>
            </w:tcBorders>
            <w:noWrap/>
            <w:hideMark/>
          </w:tcPr>
          <w:p w14:paraId="72B457E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0.07</w:t>
            </w:r>
          </w:p>
        </w:tc>
      </w:tr>
      <w:tr w:rsidR="003A11CD" w:rsidRPr="00E7418B" w14:paraId="778C8FAD"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2F118D78"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₄</w:t>
            </w:r>
          </w:p>
        </w:tc>
        <w:tc>
          <w:tcPr>
            <w:tcW w:w="1316" w:type="dxa"/>
            <w:tcBorders>
              <w:top w:val="nil"/>
              <w:left w:val="nil"/>
              <w:bottom w:val="single" w:sz="4" w:space="0" w:color="auto"/>
              <w:right w:val="single" w:sz="4" w:space="0" w:color="auto"/>
            </w:tcBorders>
            <w:noWrap/>
            <w:hideMark/>
          </w:tcPr>
          <w:p w14:paraId="4F6D126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w:t>
            </w:r>
          </w:p>
        </w:tc>
        <w:tc>
          <w:tcPr>
            <w:tcW w:w="1316" w:type="dxa"/>
            <w:tcBorders>
              <w:top w:val="nil"/>
              <w:left w:val="nil"/>
              <w:bottom w:val="single" w:sz="4" w:space="0" w:color="auto"/>
              <w:right w:val="single" w:sz="4" w:space="0" w:color="auto"/>
            </w:tcBorders>
            <w:noWrap/>
            <w:hideMark/>
          </w:tcPr>
          <w:p w14:paraId="2667E32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1.01</w:t>
            </w:r>
          </w:p>
        </w:tc>
        <w:tc>
          <w:tcPr>
            <w:tcW w:w="1285" w:type="dxa"/>
            <w:tcBorders>
              <w:top w:val="nil"/>
              <w:left w:val="nil"/>
              <w:bottom w:val="single" w:sz="4" w:space="0" w:color="auto"/>
              <w:right w:val="single" w:sz="4" w:space="0" w:color="auto"/>
            </w:tcBorders>
            <w:noWrap/>
            <w:hideMark/>
          </w:tcPr>
          <w:p w14:paraId="7A81C13A"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1.14</w:t>
            </w:r>
          </w:p>
        </w:tc>
        <w:tc>
          <w:tcPr>
            <w:tcW w:w="1285" w:type="dxa"/>
            <w:tcBorders>
              <w:top w:val="nil"/>
              <w:left w:val="nil"/>
              <w:bottom w:val="single" w:sz="4" w:space="0" w:color="auto"/>
              <w:right w:val="single" w:sz="4" w:space="0" w:color="auto"/>
            </w:tcBorders>
            <w:noWrap/>
            <w:hideMark/>
          </w:tcPr>
          <w:p w14:paraId="5EDED68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285" w:type="dxa"/>
            <w:tcBorders>
              <w:top w:val="nil"/>
              <w:left w:val="nil"/>
              <w:bottom w:val="single" w:sz="4" w:space="0" w:color="auto"/>
              <w:right w:val="single" w:sz="4" w:space="0" w:color="auto"/>
            </w:tcBorders>
            <w:noWrap/>
            <w:hideMark/>
          </w:tcPr>
          <w:p w14:paraId="25D856F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1.59</w:t>
            </w:r>
          </w:p>
        </w:tc>
      </w:tr>
      <w:tr w:rsidR="003A11CD" w:rsidRPr="00E7418B" w14:paraId="2A6022AD" w14:textId="77777777" w:rsidTr="003A11CD">
        <w:trPr>
          <w:trHeight w:val="268"/>
        </w:trPr>
        <w:tc>
          <w:tcPr>
            <w:tcW w:w="3013" w:type="dxa"/>
            <w:tcBorders>
              <w:top w:val="nil"/>
              <w:left w:val="single" w:sz="4" w:space="0" w:color="auto"/>
              <w:bottom w:val="single" w:sz="4" w:space="0" w:color="auto"/>
              <w:right w:val="single" w:sz="4" w:space="0" w:color="auto"/>
            </w:tcBorders>
            <w:noWrap/>
            <w:hideMark/>
          </w:tcPr>
          <w:p w14:paraId="6670D32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X</w:t>
            </w:r>
            <w:r w:rsidRPr="00E7418B">
              <w:rPr>
                <w:rFonts w:ascii="Cambria Math" w:eastAsia="Times New Roman" w:hAnsi="Cambria Math" w:cs="Cambria Math"/>
                <w:noProof w:val="0"/>
                <w:color w:val="000000" w:themeColor="text1"/>
                <w:szCs w:val="24"/>
                <w:lang w:eastAsia="en-GB"/>
              </w:rPr>
              <w:t>₅</w:t>
            </w:r>
          </w:p>
        </w:tc>
        <w:tc>
          <w:tcPr>
            <w:tcW w:w="1316" w:type="dxa"/>
            <w:tcBorders>
              <w:top w:val="nil"/>
              <w:left w:val="nil"/>
              <w:bottom w:val="single" w:sz="4" w:space="0" w:color="auto"/>
              <w:right w:val="single" w:sz="4" w:space="0" w:color="auto"/>
            </w:tcBorders>
            <w:noWrap/>
            <w:hideMark/>
          </w:tcPr>
          <w:p w14:paraId="1161BAB7"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1.22</w:t>
            </w:r>
          </w:p>
        </w:tc>
        <w:tc>
          <w:tcPr>
            <w:tcW w:w="1316" w:type="dxa"/>
            <w:tcBorders>
              <w:top w:val="nil"/>
              <w:left w:val="nil"/>
              <w:bottom w:val="single" w:sz="4" w:space="0" w:color="auto"/>
              <w:right w:val="single" w:sz="4" w:space="0" w:color="auto"/>
            </w:tcBorders>
            <w:noWrap/>
            <w:hideMark/>
          </w:tcPr>
          <w:p w14:paraId="6D44CAC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285" w:type="dxa"/>
            <w:tcBorders>
              <w:top w:val="nil"/>
              <w:left w:val="nil"/>
              <w:bottom w:val="single" w:sz="4" w:space="0" w:color="auto"/>
              <w:right w:val="single" w:sz="4" w:space="0" w:color="auto"/>
            </w:tcBorders>
            <w:noWrap/>
            <w:hideMark/>
          </w:tcPr>
          <w:p w14:paraId="03234ADF"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1.08</w:t>
            </w:r>
          </w:p>
        </w:tc>
        <w:tc>
          <w:tcPr>
            <w:tcW w:w="1285" w:type="dxa"/>
            <w:tcBorders>
              <w:top w:val="nil"/>
              <w:left w:val="nil"/>
              <w:bottom w:val="single" w:sz="4" w:space="0" w:color="auto"/>
              <w:right w:val="single" w:sz="4" w:space="0" w:color="auto"/>
            </w:tcBorders>
            <w:noWrap/>
            <w:hideMark/>
          </w:tcPr>
          <w:p w14:paraId="7BFC111E"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1.18</w:t>
            </w:r>
          </w:p>
        </w:tc>
        <w:tc>
          <w:tcPr>
            <w:tcW w:w="1285" w:type="dxa"/>
            <w:tcBorders>
              <w:top w:val="nil"/>
              <w:left w:val="nil"/>
              <w:bottom w:val="single" w:sz="4" w:space="0" w:color="auto"/>
              <w:right w:val="single" w:sz="4" w:space="0" w:color="auto"/>
            </w:tcBorders>
            <w:noWrap/>
            <w:hideMark/>
          </w:tcPr>
          <w:p w14:paraId="1029B061"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1.20</w:t>
            </w:r>
          </w:p>
        </w:tc>
      </w:tr>
      <w:tr w:rsidR="003A11CD" w:rsidRPr="00E7418B" w14:paraId="655DEA0B" w14:textId="77777777" w:rsidTr="003A11CD">
        <w:trPr>
          <w:trHeight w:val="268"/>
        </w:trPr>
        <w:tc>
          <w:tcPr>
            <w:tcW w:w="3013" w:type="dxa"/>
            <w:tcBorders>
              <w:top w:val="nil"/>
              <w:left w:val="nil"/>
              <w:bottom w:val="nil"/>
              <w:right w:val="nil"/>
            </w:tcBorders>
            <w:noWrap/>
            <w:hideMark/>
          </w:tcPr>
          <w:p w14:paraId="451F0B7B"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53085635"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316" w:type="dxa"/>
            <w:tcBorders>
              <w:top w:val="nil"/>
              <w:left w:val="nil"/>
              <w:bottom w:val="nil"/>
              <w:right w:val="nil"/>
            </w:tcBorders>
            <w:noWrap/>
            <w:hideMark/>
          </w:tcPr>
          <w:p w14:paraId="01E01802"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0D05B5A8"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2F16B8F7" w14:textId="77777777" w:rsidR="00AB21F8" w:rsidRPr="00E7418B" w:rsidRDefault="00AB21F8" w:rsidP="00E7418B">
            <w:pPr>
              <w:spacing w:after="0"/>
              <w:jc w:val="center"/>
              <w:rPr>
                <w:rFonts w:eastAsia="Times New Roman" w:cs="Arial"/>
                <w:noProof w:val="0"/>
                <w:color w:val="000000" w:themeColor="text1"/>
                <w:szCs w:val="24"/>
                <w:lang w:eastAsia="en-GB"/>
              </w:rPr>
            </w:pPr>
          </w:p>
        </w:tc>
        <w:tc>
          <w:tcPr>
            <w:tcW w:w="1285" w:type="dxa"/>
            <w:tcBorders>
              <w:top w:val="nil"/>
              <w:left w:val="nil"/>
              <w:bottom w:val="nil"/>
              <w:right w:val="nil"/>
            </w:tcBorders>
            <w:noWrap/>
            <w:hideMark/>
          </w:tcPr>
          <w:p w14:paraId="15C2986A" w14:textId="77777777" w:rsidR="00AB21F8" w:rsidRPr="00E7418B" w:rsidRDefault="00AB21F8" w:rsidP="00E7418B">
            <w:pPr>
              <w:spacing w:after="0"/>
              <w:jc w:val="center"/>
              <w:rPr>
                <w:rFonts w:eastAsia="Times New Roman" w:cs="Arial"/>
                <w:noProof w:val="0"/>
                <w:color w:val="000000" w:themeColor="text1"/>
                <w:szCs w:val="24"/>
                <w:lang w:eastAsia="en-GB"/>
              </w:rPr>
            </w:pPr>
          </w:p>
        </w:tc>
      </w:tr>
      <w:tr w:rsidR="003A11CD" w:rsidRPr="00E7418B" w14:paraId="29D4703C" w14:textId="77777777" w:rsidTr="003A11CD">
        <w:trPr>
          <w:trHeight w:val="63"/>
        </w:trPr>
        <w:tc>
          <w:tcPr>
            <w:tcW w:w="3013" w:type="dxa"/>
            <w:tcBorders>
              <w:top w:val="single" w:sz="4" w:space="0" w:color="auto"/>
              <w:left w:val="single" w:sz="4" w:space="0" w:color="auto"/>
              <w:bottom w:val="single" w:sz="4" w:space="0" w:color="auto"/>
              <w:right w:val="single" w:sz="4" w:space="0" w:color="auto"/>
            </w:tcBorders>
            <w:noWrap/>
            <w:vAlign w:val="center"/>
            <w:hideMark/>
          </w:tcPr>
          <w:p w14:paraId="5EE88DC9"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Z Score</w:t>
            </w:r>
          </w:p>
        </w:tc>
        <w:tc>
          <w:tcPr>
            <w:tcW w:w="1316" w:type="dxa"/>
            <w:tcBorders>
              <w:top w:val="single" w:sz="4" w:space="0" w:color="auto"/>
              <w:left w:val="nil"/>
              <w:bottom w:val="single" w:sz="4" w:space="0" w:color="auto"/>
              <w:right w:val="single" w:sz="4" w:space="0" w:color="auto"/>
            </w:tcBorders>
            <w:noWrap/>
            <w:hideMark/>
          </w:tcPr>
          <w:p w14:paraId="1A943BD4"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2.82</w:t>
            </w:r>
          </w:p>
        </w:tc>
        <w:tc>
          <w:tcPr>
            <w:tcW w:w="1316" w:type="dxa"/>
            <w:tcBorders>
              <w:top w:val="single" w:sz="4" w:space="0" w:color="auto"/>
              <w:left w:val="nil"/>
              <w:bottom w:val="single" w:sz="4" w:space="0" w:color="auto"/>
              <w:right w:val="single" w:sz="4" w:space="0" w:color="auto"/>
            </w:tcBorders>
            <w:noWrap/>
            <w:hideMark/>
          </w:tcPr>
          <w:p w14:paraId="43C7E565"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2.24</w:t>
            </w:r>
          </w:p>
        </w:tc>
        <w:tc>
          <w:tcPr>
            <w:tcW w:w="1285" w:type="dxa"/>
            <w:tcBorders>
              <w:top w:val="single" w:sz="4" w:space="0" w:color="auto"/>
              <w:left w:val="nil"/>
              <w:bottom w:val="single" w:sz="4" w:space="0" w:color="auto"/>
              <w:right w:val="single" w:sz="4" w:space="0" w:color="auto"/>
            </w:tcBorders>
            <w:noWrap/>
            <w:hideMark/>
          </w:tcPr>
          <w:p w14:paraId="66B82210"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3.06</w:t>
            </w:r>
          </w:p>
        </w:tc>
        <w:tc>
          <w:tcPr>
            <w:tcW w:w="1285" w:type="dxa"/>
            <w:tcBorders>
              <w:top w:val="single" w:sz="4" w:space="0" w:color="auto"/>
              <w:left w:val="nil"/>
              <w:bottom w:val="single" w:sz="4" w:space="0" w:color="auto"/>
              <w:right w:val="single" w:sz="4" w:space="0" w:color="auto"/>
            </w:tcBorders>
            <w:noWrap/>
            <w:hideMark/>
          </w:tcPr>
          <w:p w14:paraId="40FFBFDD"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3.22</w:t>
            </w:r>
          </w:p>
        </w:tc>
        <w:tc>
          <w:tcPr>
            <w:tcW w:w="1285" w:type="dxa"/>
            <w:tcBorders>
              <w:top w:val="single" w:sz="4" w:space="0" w:color="auto"/>
              <w:left w:val="nil"/>
              <w:bottom w:val="single" w:sz="4" w:space="0" w:color="auto"/>
              <w:right w:val="single" w:sz="4" w:space="0" w:color="auto"/>
            </w:tcBorders>
            <w:noWrap/>
            <w:hideMark/>
          </w:tcPr>
          <w:p w14:paraId="2E706B63" w14:textId="77777777" w:rsidR="00AB21F8" w:rsidRPr="00E7418B" w:rsidRDefault="00AB21F8" w:rsidP="00E7418B">
            <w:pPr>
              <w:spacing w:after="0"/>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3.64</w:t>
            </w:r>
          </w:p>
        </w:tc>
      </w:tr>
    </w:tbl>
    <w:p w14:paraId="6EA12571" w14:textId="77777777" w:rsidR="00FA7D76" w:rsidRDefault="00FA7D76" w:rsidP="00E7418B">
      <w:pPr>
        <w:pStyle w:val="Heading2"/>
        <w:rPr>
          <w:rFonts w:ascii="Arial" w:hAnsi="Arial" w:cs="Arial"/>
          <w:b/>
          <w:bCs/>
          <w:color w:val="000000" w:themeColor="text1"/>
          <w:sz w:val="24"/>
          <w:szCs w:val="24"/>
          <w:lang w:val="en-US"/>
        </w:rPr>
      </w:pPr>
    </w:p>
    <w:p w14:paraId="542B07AC" w14:textId="77777777" w:rsidR="00FA7D76" w:rsidRPr="00FA7D76" w:rsidRDefault="00FA7D76" w:rsidP="00FA7D76">
      <w:pPr>
        <w:rPr>
          <w:lang w:val="en-US"/>
        </w:rPr>
      </w:pPr>
    </w:p>
    <w:p w14:paraId="6C9FFF39" w14:textId="5C7AD097" w:rsidR="00AB21F8" w:rsidRPr="00E7418B" w:rsidRDefault="00AB21F8" w:rsidP="00E7418B">
      <w:pPr>
        <w:pStyle w:val="Heading2"/>
        <w:rPr>
          <w:rFonts w:ascii="Arial" w:hAnsi="Arial" w:cs="Arial"/>
          <w:b/>
          <w:bCs/>
          <w:color w:val="000000" w:themeColor="text1"/>
          <w:sz w:val="24"/>
          <w:szCs w:val="24"/>
          <w:lang w:val="en-US"/>
        </w:rPr>
      </w:pPr>
      <w:bookmarkStart w:id="30" w:name="_Toc217162988"/>
      <w:r w:rsidRPr="00E7418B">
        <w:rPr>
          <w:rFonts w:ascii="Arial" w:hAnsi="Arial" w:cs="Arial"/>
          <w:b/>
          <w:bCs/>
          <w:color w:val="000000" w:themeColor="text1"/>
          <w:sz w:val="24"/>
          <w:szCs w:val="24"/>
          <w:lang w:val="en-US"/>
        </w:rPr>
        <w:t>Investment Appraisal</w:t>
      </w:r>
      <w:bookmarkEnd w:id="30"/>
    </w:p>
    <w:p w14:paraId="510F22E5" w14:textId="77777777" w:rsidR="00AB21F8" w:rsidRPr="00E7418B" w:rsidRDefault="00600028" w:rsidP="00E7418B">
      <w:pPr>
        <w:rPr>
          <w:rFonts w:cs="Arial"/>
          <w:b/>
          <w:color w:val="000000" w:themeColor="text1"/>
          <w:szCs w:val="24"/>
        </w:rPr>
      </w:pPr>
      <w:r w:rsidRPr="00E7418B">
        <w:rPr>
          <w:rFonts w:cs="Arial"/>
          <w:b/>
          <w:color w:val="000000" w:themeColor="text1"/>
          <w:szCs w:val="24"/>
        </w:rPr>
        <w:t>1. Payback Period (PBP)</w:t>
      </w:r>
    </w:p>
    <w:p w14:paraId="4CBA8854" w14:textId="77777777" w:rsidR="00600028" w:rsidRPr="00E7418B" w:rsidRDefault="00600028" w:rsidP="00E7418B">
      <w:pPr>
        <w:rPr>
          <w:rFonts w:cs="Arial"/>
          <w:b/>
          <w:color w:val="000000" w:themeColor="text1"/>
          <w:szCs w:val="24"/>
        </w:rPr>
      </w:pPr>
      <w:r w:rsidRPr="00E7418B">
        <w:rPr>
          <w:rFonts w:cs="Arial"/>
          <w:color w:val="000000" w:themeColor="text1"/>
          <w:szCs w:val="24"/>
        </w:rPr>
        <w:t>Project A – Payback Table</w:t>
      </w:r>
    </w:p>
    <w:tbl>
      <w:tblPr>
        <w:tblStyle w:val="TableGrid"/>
        <w:tblW w:w="9577" w:type="dxa"/>
        <w:tblLook w:val="04A0" w:firstRow="1" w:lastRow="0" w:firstColumn="1" w:lastColumn="0" w:noHBand="0" w:noVBand="1"/>
      </w:tblPr>
      <w:tblGrid>
        <w:gridCol w:w="1391"/>
        <w:gridCol w:w="2948"/>
        <w:gridCol w:w="5238"/>
      </w:tblGrid>
      <w:tr w:rsidR="003A11CD" w:rsidRPr="00E7418B" w14:paraId="58C62677" w14:textId="77777777" w:rsidTr="003A11CD">
        <w:trPr>
          <w:trHeight w:val="276"/>
        </w:trPr>
        <w:tc>
          <w:tcPr>
            <w:tcW w:w="0" w:type="auto"/>
            <w:hideMark/>
          </w:tcPr>
          <w:p w14:paraId="2B0CCFE4"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25901B59"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2475DDAE"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Cumulative Cash Flow</w:t>
            </w:r>
          </w:p>
        </w:tc>
      </w:tr>
      <w:tr w:rsidR="003A11CD" w:rsidRPr="00E7418B" w14:paraId="7756AD8F" w14:textId="77777777" w:rsidTr="003A11CD">
        <w:trPr>
          <w:trHeight w:val="289"/>
        </w:trPr>
        <w:tc>
          <w:tcPr>
            <w:tcW w:w="0" w:type="auto"/>
            <w:hideMark/>
          </w:tcPr>
          <w:p w14:paraId="44BE7D4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0" w:type="auto"/>
            <w:hideMark/>
          </w:tcPr>
          <w:p w14:paraId="5AD98CD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w:t>
            </w:r>
          </w:p>
        </w:tc>
        <w:tc>
          <w:tcPr>
            <w:tcW w:w="0" w:type="auto"/>
            <w:hideMark/>
          </w:tcPr>
          <w:p w14:paraId="66FC47A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–40</w:t>
            </w:r>
          </w:p>
        </w:tc>
      </w:tr>
      <w:tr w:rsidR="003A11CD" w:rsidRPr="00E7418B" w14:paraId="125804A8" w14:textId="77777777" w:rsidTr="003A11CD">
        <w:trPr>
          <w:trHeight w:val="276"/>
        </w:trPr>
        <w:tc>
          <w:tcPr>
            <w:tcW w:w="0" w:type="auto"/>
            <w:hideMark/>
          </w:tcPr>
          <w:p w14:paraId="534D2E8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52FDBF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BA41F7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r>
      <w:tr w:rsidR="003A11CD" w:rsidRPr="00E7418B" w14:paraId="66E3212E" w14:textId="77777777" w:rsidTr="003A11CD">
        <w:trPr>
          <w:trHeight w:val="289"/>
        </w:trPr>
        <w:tc>
          <w:tcPr>
            <w:tcW w:w="0" w:type="auto"/>
            <w:hideMark/>
          </w:tcPr>
          <w:p w14:paraId="55B74E3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74405BC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0" w:type="auto"/>
            <w:hideMark/>
          </w:tcPr>
          <w:p w14:paraId="640D222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–18</w:t>
            </w:r>
          </w:p>
        </w:tc>
      </w:tr>
      <w:tr w:rsidR="003A11CD" w:rsidRPr="00E7418B" w14:paraId="6D8A53E5" w14:textId="77777777" w:rsidTr="003A11CD">
        <w:trPr>
          <w:trHeight w:val="276"/>
        </w:trPr>
        <w:tc>
          <w:tcPr>
            <w:tcW w:w="0" w:type="auto"/>
            <w:hideMark/>
          </w:tcPr>
          <w:p w14:paraId="327CCFB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9391F1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0" w:type="auto"/>
            <w:hideMark/>
          </w:tcPr>
          <w:p w14:paraId="1F6B2C2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r>
      <w:tr w:rsidR="003A11CD" w:rsidRPr="00E7418B" w14:paraId="3707A729" w14:textId="77777777" w:rsidTr="003A11CD">
        <w:trPr>
          <w:trHeight w:val="289"/>
        </w:trPr>
        <w:tc>
          <w:tcPr>
            <w:tcW w:w="0" w:type="auto"/>
            <w:hideMark/>
          </w:tcPr>
          <w:p w14:paraId="6EC1761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0EDB706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372D2A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r>
      <w:tr w:rsidR="003A11CD" w:rsidRPr="00E7418B" w14:paraId="34F68AFB" w14:textId="77777777" w:rsidTr="003A11CD">
        <w:trPr>
          <w:trHeight w:val="276"/>
        </w:trPr>
        <w:tc>
          <w:tcPr>
            <w:tcW w:w="0" w:type="auto"/>
            <w:hideMark/>
          </w:tcPr>
          <w:p w14:paraId="3BA4919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3372CC9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56206CB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r>
    </w:tbl>
    <w:p w14:paraId="713EA05D" w14:textId="77777777" w:rsidR="00600028" w:rsidRPr="00E7418B" w:rsidRDefault="00600028" w:rsidP="00E7418B">
      <w:pPr>
        <w:rPr>
          <w:rFonts w:cs="Arial"/>
          <w:b/>
          <w:color w:val="000000" w:themeColor="text1"/>
          <w:szCs w:val="24"/>
          <w:lang w:val="en-US"/>
        </w:rPr>
      </w:pPr>
    </w:p>
    <w:p w14:paraId="0A9B002E" w14:textId="77777777" w:rsidR="00600028" w:rsidRPr="00E7418B" w:rsidRDefault="00600028" w:rsidP="00E7418B">
      <w:pPr>
        <w:rPr>
          <w:rFonts w:cs="Arial"/>
          <w:color w:val="000000" w:themeColor="text1"/>
          <w:szCs w:val="24"/>
        </w:rPr>
      </w:pPr>
      <w:r w:rsidRPr="00E7418B">
        <w:rPr>
          <w:rFonts w:cs="Arial"/>
          <w:color w:val="000000" w:themeColor="text1"/>
          <w:szCs w:val="24"/>
        </w:rPr>
        <w:t>Project B – Payback Table</w:t>
      </w:r>
    </w:p>
    <w:tbl>
      <w:tblPr>
        <w:tblStyle w:val="TableGrid"/>
        <w:tblW w:w="9537" w:type="dxa"/>
        <w:tblLook w:val="04A0" w:firstRow="1" w:lastRow="0" w:firstColumn="1" w:lastColumn="0" w:noHBand="0" w:noVBand="1"/>
      </w:tblPr>
      <w:tblGrid>
        <w:gridCol w:w="1384"/>
        <w:gridCol w:w="2936"/>
        <w:gridCol w:w="5217"/>
      </w:tblGrid>
      <w:tr w:rsidR="003A11CD" w:rsidRPr="00E7418B" w14:paraId="6BE9A463" w14:textId="77777777" w:rsidTr="003A11CD">
        <w:trPr>
          <w:trHeight w:val="273"/>
        </w:trPr>
        <w:tc>
          <w:tcPr>
            <w:tcW w:w="0" w:type="auto"/>
            <w:hideMark/>
          </w:tcPr>
          <w:p w14:paraId="7762A9DE"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1F1B9C9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015318C3"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Cumulative Cash Flow</w:t>
            </w:r>
          </w:p>
        </w:tc>
      </w:tr>
      <w:tr w:rsidR="003A11CD" w:rsidRPr="00E7418B" w14:paraId="74890C56" w14:textId="77777777" w:rsidTr="003A11CD">
        <w:trPr>
          <w:trHeight w:val="286"/>
        </w:trPr>
        <w:tc>
          <w:tcPr>
            <w:tcW w:w="0" w:type="auto"/>
            <w:hideMark/>
          </w:tcPr>
          <w:p w14:paraId="7D5468F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0" w:type="auto"/>
            <w:hideMark/>
          </w:tcPr>
          <w:p w14:paraId="2A4BD2D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c>
          <w:tcPr>
            <w:tcW w:w="0" w:type="auto"/>
            <w:hideMark/>
          </w:tcPr>
          <w:p w14:paraId="39E3D5A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–30</w:t>
            </w:r>
          </w:p>
        </w:tc>
      </w:tr>
      <w:tr w:rsidR="003A11CD" w:rsidRPr="00E7418B" w14:paraId="3C38DD98" w14:textId="77777777" w:rsidTr="003A11CD">
        <w:trPr>
          <w:trHeight w:val="273"/>
        </w:trPr>
        <w:tc>
          <w:tcPr>
            <w:tcW w:w="0" w:type="auto"/>
            <w:hideMark/>
          </w:tcPr>
          <w:p w14:paraId="48AB2BD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69BCAC0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62107E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–24</w:t>
            </w:r>
          </w:p>
        </w:tc>
      </w:tr>
      <w:tr w:rsidR="003A11CD" w:rsidRPr="00E7418B" w14:paraId="4C9D35EE" w14:textId="77777777" w:rsidTr="003A11CD">
        <w:trPr>
          <w:trHeight w:val="286"/>
        </w:trPr>
        <w:tc>
          <w:tcPr>
            <w:tcW w:w="0" w:type="auto"/>
            <w:hideMark/>
          </w:tcPr>
          <w:p w14:paraId="6C99DE4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65F1C76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77C74E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–18</w:t>
            </w:r>
          </w:p>
        </w:tc>
      </w:tr>
      <w:tr w:rsidR="003A11CD" w:rsidRPr="00E7418B" w14:paraId="701437B0" w14:textId="77777777" w:rsidTr="003A11CD">
        <w:trPr>
          <w:trHeight w:val="273"/>
        </w:trPr>
        <w:tc>
          <w:tcPr>
            <w:tcW w:w="0" w:type="auto"/>
            <w:hideMark/>
          </w:tcPr>
          <w:p w14:paraId="462AC2E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183F0C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6DB912D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r>
      <w:tr w:rsidR="003A11CD" w:rsidRPr="00E7418B" w14:paraId="601313A5" w14:textId="77777777" w:rsidTr="003A11CD">
        <w:trPr>
          <w:trHeight w:val="286"/>
        </w:trPr>
        <w:tc>
          <w:tcPr>
            <w:tcW w:w="0" w:type="auto"/>
            <w:hideMark/>
          </w:tcPr>
          <w:p w14:paraId="52A951B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44B0161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324D71C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r>
      <w:tr w:rsidR="003A11CD" w:rsidRPr="00E7418B" w14:paraId="44526734" w14:textId="77777777" w:rsidTr="003A11CD">
        <w:trPr>
          <w:trHeight w:val="273"/>
        </w:trPr>
        <w:tc>
          <w:tcPr>
            <w:tcW w:w="0" w:type="auto"/>
            <w:hideMark/>
          </w:tcPr>
          <w:p w14:paraId="56E582C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3DD7AE7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64DDE3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bl>
    <w:p w14:paraId="284E0877" w14:textId="77777777" w:rsidR="00600028" w:rsidRPr="00E7418B" w:rsidRDefault="00600028" w:rsidP="00E7418B">
      <w:pPr>
        <w:rPr>
          <w:rFonts w:cs="Arial"/>
          <w:color w:val="000000" w:themeColor="text1"/>
          <w:szCs w:val="24"/>
        </w:rPr>
      </w:pPr>
      <w:r w:rsidRPr="00E7418B">
        <w:rPr>
          <w:rFonts w:cs="Arial"/>
          <w:color w:val="000000" w:themeColor="text1"/>
          <w:szCs w:val="24"/>
        </w:rPr>
        <w:t>Project C – Payback Table</w:t>
      </w:r>
    </w:p>
    <w:tbl>
      <w:tblPr>
        <w:tblStyle w:val="TableGrid"/>
        <w:tblW w:w="9552" w:type="dxa"/>
        <w:tblLook w:val="04A0" w:firstRow="1" w:lastRow="0" w:firstColumn="1" w:lastColumn="0" w:noHBand="0" w:noVBand="1"/>
      </w:tblPr>
      <w:tblGrid>
        <w:gridCol w:w="1386"/>
        <w:gridCol w:w="2941"/>
        <w:gridCol w:w="5225"/>
      </w:tblGrid>
      <w:tr w:rsidR="003A11CD" w:rsidRPr="00E7418B" w14:paraId="4A51C893" w14:textId="77777777" w:rsidTr="003A11CD">
        <w:trPr>
          <w:trHeight w:val="277"/>
        </w:trPr>
        <w:tc>
          <w:tcPr>
            <w:tcW w:w="0" w:type="auto"/>
            <w:hideMark/>
          </w:tcPr>
          <w:p w14:paraId="54A77726"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3792D64E"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7343E96"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Cumulative Cash Flow</w:t>
            </w:r>
          </w:p>
        </w:tc>
      </w:tr>
      <w:tr w:rsidR="003A11CD" w:rsidRPr="00E7418B" w14:paraId="06385EA5" w14:textId="77777777" w:rsidTr="003A11CD">
        <w:trPr>
          <w:trHeight w:val="291"/>
        </w:trPr>
        <w:tc>
          <w:tcPr>
            <w:tcW w:w="0" w:type="auto"/>
            <w:hideMark/>
          </w:tcPr>
          <w:p w14:paraId="3E887F3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c>
          <w:tcPr>
            <w:tcW w:w="0" w:type="auto"/>
            <w:hideMark/>
          </w:tcPr>
          <w:p w14:paraId="1584B28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w:t>
            </w:r>
          </w:p>
        </w:tc>
        <w:tc>
          <w:tcPr>
            <w:tcW w:w="0" w:type="auto"/>
            <w:hideMark/>
          </w:tcPr>
          <w:p w14:paraId="1EC1A73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–50</w:t>
            </w:r>
          </w:p>
        </w:tc>
      </w:tr>
      <w:tr w:rsidR="003A11CD" w:rsidRPr="00E7418B" w14:paraId="60490DCB" w14:textId="77777777" w:rsidTr="003A11CD">
        <w:trPr>
          <w:trHeight w:val="277"/>
        </w:trPr>
        <w:tc>
          <w:tcPr>
            <w:tcW w:w="0" w:type="auto"/>
            <w:hideMark/>
          </w:tcPr>
          <w:p w14:paraId="3B9390D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272985F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7F043A9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w:t>
            </w:r>
          </w:p>
        </w:tc>
      </w:tr>
      <w:tr w:rsidR="003A11CD" w:rsidRPr="00E7418B" w14:paraId="27F452CD" w14:textId="77777777" w:rsidTr="003A11CD">
        <w:trPr>
          <w:trHeight w:val="291"/>
        </w:trPr>
        <w:tc>
          <w:tcPr>
            <w:tcW w:w="0" w:type="auto"/>
            <w:hideMark/>
          </w:tcPr>
          <w:p w14:paraId="6DA31B8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2563203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6D8D87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–35</w:t>
            </w:r>
          </w:p>
        </w:tc>
      </w:tr>
      <w:tr w:rsidR="003A11CD" w:rsidRPr="00E7418B" w14:paraId="23821608" w14:textId="77777777" w:rsidTr="003A11CD">
        <w:trPr>
          <w:trHeight w:val="277"/>
        </w:trPr>
        <w:tc>
          <w:tcPr>
            <w:tcW w:w="0" w:type="auto"/>
            <w:hideMark/>
          </w:tcPr>
          <w:p w14:paraId="63193D9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5A5CAFC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c>
          <w:tcPr>
            <w:tcW w:w="0" w:type="auto"/>
            <w:hideMark/>
          </w:tcPr>
          <w:p w14:paraId="30CF808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0F667D80" w14:textId="77777777" w:rsidTr="003A11CD">
        <w:trPr>
          <w:trHeight w:val="291"/>
        </w:trPr>
        <w:tc>
          <w:tcPr>
            <w:tcW w:w="0" w:type="auto"/>
            <w:hideMark/>
          </w:tcPr>
          <w:p w14:paraId="5093EEB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563A036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c>
          <w:tcPr>
            <w:tcW w:w="0" w:type="auto"/>
            <w:hideMark/>
          </w:tcPr>
          <w:p w14:paraId="0AA24CB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r>
      <w:tr w:rsidR="003A11CD" w:rsidRPr="00E7418B" w14:paraId="72FF5ED5" w14:textId="77777777" w:rsidTr="003A11CD">
        <w:trPr>
          <w:trHeight w:val="277"/>
        </w:trPr>
        <w:tc>
          <w:tcPr>
            <w:tcW w:w="0" w:type="auto"/>
            <w:hideMark/>
          </w:tcPr>
          <w:p w14:paraId="69E949A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35BA6CD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c>
          <w:tcPr>
            <w:tcW w:w="0" w:type="auto"/>
            <w:hideMark/>
          </w:tcPr>
          <w:p w14:paraId="4BED8B2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r>
    </w:tbl>
    <w:p w14:paraId="48EE68A4" w14:textId="77777777" w:rsidR="00FA7D76" w:rsidRDefault="00FA7D76" w:rsidP="00E7418B">
      <w:pPr>
        <w:rPr>
          <w:rFonts w:cs="Arial"/>
          <w:b/>
          <w:color w:val="000000" w:themeColor="text1"/>
          <w:szCs w:val="24"/>
        </w:rPr>
      </w:pPr>
    </w:p>
    <w:p w14:paraId="16214236" w14:textId="11D23957" w:rsidR="00600028" w:rsidRPr="00E7418B" w:rsidRDefault="00600028" w:rsidP="00E7418B">
      <w:pPr>
        <w:rPr>
          <w:rFonts w:cs="Arial"/>
          <w:b/>
          <w:color w:val="000000" w:themeColor="text1"/>
          <w:szCs w:val="24"/>
        </w:rPr>
      </w:pPr>
      <w:r w:rsidRPr="00E7418B">
        <w:rPr>
          <w:rFonts w:cs="Arial"/>
          <w:b/>
          <w:color w:val="000000" w:themeColor="text1"/>
          <w:szCs w:val="24"/>
        </w:rPr>
        <w:t>2. Accounting Rate of Return (ARR)</w:t>
      </w:r>
    </w:p>
    <w:p w14:paraId="14F5D7C1" w14:textId="77777777" w:rsidR="00600028" w:rsidRPr="00E7418B" w:rsidRDefault="00600028" w:rsidP="00E7418B">
      <w:pPr>
        <w:rPr>
          <w:rFonts w:cs="Arial"/>
          <w:color w:val="000000" w:themeColor="text1"/>
          <w:szCs w:val="24"/>
        </w:rPr>
      </w:pPr>
      <w:r w:rsidRPr="00E7418B">
        <w:rPr>
          <w:rFonts w:cs="Arial"/>
          <w:color w:val="000000" w:themeColor="text1"/>
          <w:szCs w:val="24"/>
        </w:rPr>
        <w:t xml:space="preserve">Project A – </w:t>
      </w:r>
    </w:p>
    <w:tbl>
      <w:tblPr>
        <w:tblStyle w:val="TableGrid"/>
        <w:tblW w:w="9638" w:type="dxa"/>
        <w:tblLook w:val="04A0" w:firstRow="1" w:lastRow="0" w:firstColumn="1" w:lastColumn="0" w:noHBand="0" w:noVBand="1"/>
      </w:tblPr>
      <w:tblGrid>
        <w:gridCol w:w="1145"/>
        <w:gridCol w:w="2430"/>
        <w:gridCol w:w="2596"/>
        <w:gridCol w:w="3467"/>
      </w:tblGrid>
      <w:tr w:rsidR="003A11CD" w:rsidRPr="00E7418B" w14:paraId="3B681FED" w14:textId="77777777" w:rsidTr="003A11CD">
        <w:trPr>
          <w:trHeight w:val="273"/>
        </w:trPr>
        <w:tc>
          <w:tcPr>
            <w:tcW w:w="0" w:type="auto"/>
            <w:hideMark/>
          </w:tcPr>
          <w:p w14:paraId="3662BB3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04B4037F"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08F6D79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Depreciation</w:t>
            </w:r>
          </w:p>
        </w:tc>
        <w:tc>
          <w:tcPr>
            <w:tcW w:w="0" w:type="auto"/>
            <w:hideMark/>
          </w:tcPr>
          <w:p w14:paraId="00B85A2D"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Accounting Profit</w:t>
            </w:r>
          </w:p>
        </w:tc>
      </w:tr>
      <w:tr w:rsidR="003A11CD" w:rsidRPr="00E7418B" w14:paraId="07546B3D" w14:textId="77777777" w:rsidTr="003A11CD">
        <w:trPr>
          <w:trHeight w:val="286"/>
        </w:trPr>
        <w:tc>
          <w:tcPr>
            <w:tcW w:w="0" w:type="auto"/>
            <w:hideMark/>
          </w:tcPr>
          <w:p w14:paraId="249DAE0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502AFDB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C53486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420CFD0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r>
      <w:tr w:rsidR="003A11CD" w:rsidRPr="00E7418B" w14:paraId="47BA8821" w14:textId="77777777" w:rsidTr="003A11CD">
        <w:trPr>
          <w:trHeight w:val="273"/>
        </w:trPr>
        <w:tc>
          <w:tcPr>
            <w:tcW w:w="0" w:type="auto"/>
            <w:hideMark/>
          </w:tcPr>
          <w:p w14:paraId="4CA2A74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16F8176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0" w:type="auto"/>
            <w:hideMark/>
          </w:tcPr>
          <w:p w14:paraId="46A67E4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7C46EB3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r>
      <w:tr w:rsidR="003A11CD" w:rsidRPr="00E7418B" w14:paraId="1D408CCF" w14:textId="77777777" w:rsidTr="003A11CD">
        <w:trPr>
          <w:trHeight w:val="286"/>
        </w:trPr>
        <w:tc>
          <w:tcPr>
            <w:tcW w:w="0" w:type="auto"/>
            <w:hideMark/>
          </w:tcPr>
          <w:p w14:paraId="5A052A1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132C6E8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0" w:type="auto"/>
            <w:hideMark/>
          </w:tcPr>
          <w:p w14:paraId="2A97FC8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23C0246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r>
      <w:tr w:rsidR="003A11CD" w:rsidRPr="00E7418B" w14:paraId="50ECAD63" w14:textId="77777777" w:rsidTr="003A11CD">
        <w:trPr>
          <w:trHeight w:val="273"/>
        </w:trPr>
        <w:tc>
          <w:tcPr>
            <w:tcW w:w="0" w:type="auto"/>
            <w:hideMark/>
          </w:tcPr>
          <w:p w14:paraId="5066A66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0D0BC3D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76609C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40928B0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r>
      <w:tr w:rsidR="003A11CD" w:rsidRPr="00E7418B" w14:paraId="7526F1D1" w14:textId="77777777" w:rsidTr="003A11CD">
        <w:trPr>
          <w:trHeight w:val="286"/>
        </w:trPr>
        <w:tc>
          <w:tcPr>
            <w:tcW w:w="0" w:type="auto"/>
            <w:hideMark/>
          </w:tcPr>
          <w:p w14:paraId="22C495F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6ABB01B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233ED96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3D25FB5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480C6ED3" w14:textId="77777777" w:rsidTr="003A11CD">
        <w:trPr>
          <w:trHeight w:val="273"/>
        </w:trPr>
        <w:tc>
          <w:tcPr>
            <w:tcW w:w="0" w:type="auto"/>
          </w:tcPr>
          <w:p w14:paraId="7217E33F"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1975DF8D"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5A0DDAD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60917A4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r>
    </w:tbl>
    <w:p w14:paraId="2004729D" w14:textId="77777777" w:rsidR="00600028" w:rsidRPr="00E7418B" w:rsidRDefault="00600028" w:rsidP="00E7418B">
      <w:pPr>
        <w:rPr>
          <w:rFonts w:cs="Arial"/>
          <w:color w:val="000000" w:themeColor="text1"/>
          <w:szCs w:val="24"/>
          <w:lang w:val="en-US"/>
        </w:rPr>
      </w:pPr>
    </w:p>
    <w:p w14:paraId="65ADC255" w14:textId="77777777" w:rsidR="00600028" w:rsidRPr="00E7418B" w:rsidRDefault="00600028" w:rsidP="00E7418B">
      <w:pPr>
        <w:rPr>
          <w:rFonts w:cs="Arial"/>
          <w:color w:val="000000" w:themeColor="text1"/>
          <w:szCs w:val="24"/>
        </w:rPr>
      </w:pPr>
      <w:r w:rsidRPr="00E7418B">
        <w:rPr>
          <w:rFonts w:cs="Arial"/>
          <w:color w:val="000000" w:themeColor="text1"/>
          <w:szCs w:val="24"/>
        </w:rPr>
        <w:t xml:space="preserve">Project B – </w:t>
      </w:r>
    </w:p>
    <w:tbl>
      <w:tblPr>
        <w:tblStyle w:val="TableGrid"/>
        <w:tblW w:w="9517" w:type="dxa"/>
        <w:tblLook w:val="04A0" w:firstRow="1" w:lastRow="0" w:firstColumn="1" w:lastColumn="0" w:noHBand="0" w:noVBand="1"/>
      </w:tblPr>
      <w:tblGrid>
        <w:gridCol w:w="1132"/>
        <w:gridCol w:w="2399"/>
        <w:gridCol w:w="2563"/>
        <w:gridCol w:w="3423"/>
      </w:tblGrid>
      <w:tr w:rsidR="003A11CD" w:rsidRPr="00E7418B" w14:paraId="26F37B0C" w14:textId="77777777" w:rsidTr="003A11CD">
        <w:trPr>
          <w:trHeight w:val="273"/>
        </w:trPr>
        <w:tc>
          <w:tcPr>
            <w:tcW w:w="0" w:type="auto"/>
            <w:hideMark/>
          </w:tcPr>
          <w:p w14:paraId="560513CA"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1BD50F3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57B57ADC"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Depreciation</w:t>
            </w:r>
          </w:p>
        </w:tc>
        <w:tc>
          <w:tcPr>
            <w:tcW w:w="0" w:type="auto"/>
            <w:hideMark/>
          </w:tcPr>
          <w:p w14:paraId="68372781"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Accounting Profit</w:t>
            </w:r>
          </w:p>
        </w:tc>
      </w:tr>
      <w:tr w:rsidR="003A11CD" w:rsidRPr="00E7418B" w14:paraId="28A07E03" w14:textId="77777777" w:rsidTr="003A11CD">
        <w:trPr>
          <w:trHeight w:val="286"/>
        </w:trPr>
        <w:tc>
          <w:tcPr>
            <w:tcW w:w="0" w:type="auto"/>
            <w:hideMark/>
          </w:tcPr>
          <w:p w14:paraId="65C4468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35D1F08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206065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4C2E55D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67BAA965" w14:textId="77777777" w:rsidTr="003A11CD">
        <w:trPr>
          <w:trHeight w:val="273"/>
        </w:trPr>
        <w:tc>
          <w:tcPr>
            <w:tcW w:w="0" w:type="auto"/>
            <w:hideMark/>
          </w:tcPr>
          <w:p w14:paraId="300F0F8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4CD4ABF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5D582A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3B02712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4BD1D15D" w14:textId="77777777" w:rsidTr="003A11CD">
        <w:trPr>
          <w:trHeight w:val="286"/>
        </w:trPr>
        <w:tc>
          <w:tcPr>
            <w:tcW w:w="0" w:type="auto"/>
            <w:hideMark/>
          </w:tcPr>
          <w:p w14:paraId="7F01808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7AD7A8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542C7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7DE8174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1B15210F" w14:textId="77777777" w:rsidTr="003A11CD">
        <w:trPr>
          <w:trHeight w:val="273"/>
        </w:trPr>
        <w:tc>
          <w:tcPr>
            <w:tcW w:w="0" w:type="auto"/>
            <w:hideMark/>
          </w:tcPr>
          <w:p w14:paraId="4B59BD1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4CB71EA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2820A31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71DBE2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3A1231B0" w14:textId="77777777" w:rsidTr="003A11CD">
        <w:trPr>
          <w:trHeight w:val="286"/>
        </w:trPr>
        <w:tc>
          <w:tcPr>
            <w:tcW w:w="0" w:type="auto"/>
            <w:hideMark/>
          </w:tcPr>
          <w:p w14:paraId="14A2011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26106B2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EEB9FE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062D1A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01321C46" w14:textId="77777777" w:rsidTr="003A11CD">
        <w:trPr>
          <w:trHeight w:val="273"/>
        </w:trPr>
        <w:tc>
          <w:tcPr>
            <w:tcW w:w="0" w:type="auto"/>
          </w:tcPr>
          <w:p w14:paraId="6708F8FD"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5E44E9C2"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14C8AE3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71D1302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bl>
    <w:p w14:paraId="7A734886" w14:textId="77777777" w:rsidR="00600028" w:rsidRPr="00E7418B" w:rsidRDefault="00600028" w:rsidP="00E7418B">
      <w:pPr>
        <w:rPr>
          <w:rFonts w:cs="Arial"/>
          <w:color w:val="000000" w:themeColor="text1"/>
          <w:szCs w:val="24"/>
          <w:lang w:val="en-US"/>
        </w:rPr>
      </w:pPr>
    </w:p>
    <w:p w14:paraId="33B22522" w14:textId="77777777" w:rsidR="00600028" w:rsidRPr="00E7418B" w:rsidRDefault="00600028" w:rsidP="00E7418B">
      <w:pPr>
        <w:rPr>
          <w:rFonts w:cs="Arial"/>
          <w:color w:val="000000" w:themeColor="text1"/>
          <w:szCs w:val="24"/>
        </w:rPr>
      </w:pPr>
      <w:r w:rsidRPr="00E7418B">
        <w:rPr>
          <w:rFonts w:cs="Arial"/>
          <w:color w:val="000000" w:themeColor="text1"/>
          <w:szCs w:val="24"/>
        </w:rPr>
        <w:t>Project C –</w:t>
      </w:r>
    </w:p>
    <w:tbl>
      <w:tblPr>
        <w:tblStyle w:val="TableGrid"/>
        <w:tblW w:w="9477" w:type="dxa"/>
        <w:tblLook w:val="04A0" w:firstRow="1" w:lastRow="0" w:firstColumn="1" w:lastColumn="0" w:noHBand="0" w:noVBand="1"/>
      </w:tblPr>
      <w:tblGrid>
        <w:gridCol w:w="1126"/>
        <w:gridCol w:w="2389"/>
        <w:gridCol w:w="2553"/>
        <w:gridCol w:w="3409"/>
      </w:tblGrid>
      <w:tr w:rsidR="003A11CD" w:rsidRPr="00E7418B" w14:paraId="37D0FFB7" w14:textId="77777777" w:rsidTr="003A11CD">
        <w:trPr>
          <w:trHeight w:val="288"/>
        </w:trPr>
        <w:tc>
          <w:tcPr>
            <w:tcW w:w="0" w:type="auto"/>
            <w:hideMark/>
          </w:tcPr>
          <w:p w14:paraId="5447504F"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4EE0C11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F5B5EE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Depreciation</w:t>
            </w:r>
          </w:p>
        </w:tc>
        <w:tc>
          <w:tcPr>
            <w:tcW w:w="0" w:type="auto"/>
            <w:hideMark/>
          </w:tcPr>
          <w:p w14:paraId="0F548077"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Accounting Profit</w:t>
            </w:r>
          </w:p>
        </w:tc>
      </w:tr>
      <w:tr w:rsidR="003A11CD" w:rsidRPr="00E7418B" w14:paraId="7C5C93CB" w14:textId="77777777" w:rsidTr="003A11CD">
        <w:trPr>
          <w:trHeight w:val="302"/>
        </w:trPr>
        <w:tc>
          <w:tcPr>
            <w:tcW w:w="0" w:type="auto"/>
            <w:hideMark/>
          </w:tcPr>
          <w:p w14:paraId="67EEE8F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536B611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597936C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1A38493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r>
      <w:tr w:rsidR="003A11CD" w:rsidRPr="00E7418B" w14:paraId="5E56439D" w14:textId="77777777" w:rsidTr="003A11CD">
        <w:trPr>
          <w:trHeight w:val="288"/>
        </w:trPr>
        <w:tc>
          <w:tcPr>
            <w:tcW w:w="0" w:type="auto"/>
            <w:hideMark/>
          </w:tcPr>
          <w:p w14:paraId="069EDF6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17ECB08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E3E1E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60209DE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w:t>
            </w:r>
          </w:p>
        </w:tc>
      </w:tr>
      <w:tr w:rsidR="003A11CD" w:rsidRPr="00E7418B" w14:paraId="39E65D07" w14:textId="77777777" w:rsidTr="003A11CD">
        <w:trPr>
          <w:trHeight w:val="302"/>
        </w:trPr>
        <w:tc>
          <w:tcPr>
            <w:tcW w:w="0" w:type="auto"/>
            <w:hideMark/>
          </w:tcPr>
          <w:p w14:paraId="2E6CCDA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1F1B586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c>
          <w:tcPr>
            <w:tcW w:w="0" w:type="auto"/>
            <w:hideMark/>
          </w:tcPr>
          <w:p w14:paraId="771BA9E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7B52FDF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r>
      <w:tr w:rsidR="003A11CD" w:rsidRPr="00E7418B" w14:paraId="26E1A5AC" w14:textId="77777777" w:rsidTr="003A11CD">
        <w:trPr>
          <w:trHeight w:val="288"/>
        </w:trPr>
        <w:tc>
          <w:tcPr>
            <w:tcW w:w="0" w:type="auto"/>
            <w:hideMark/>
          </w:tcPr>
          <w:p w14:paraId="558B9D1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6816B3D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c>
          <w:tcPr>
            <w:tcW w:w="0" w:type="auto"/>
            <w:hideMark/>
          </w:tcPr>
          <w:p w14:paraId="49FDAD7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23F5C70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r>
      <w:tr w:rsidR="003A11CD" w:rsidRPr="00E7418B" w14:paraId="1AAC4388" w14:textId="77777777" w:rsidTr="003A11CD">
        <w:trPr>
          <w:trHeight w:val="302"/>
        </w:trPr>
        <w:tc>
          <w:tcPr>
            <w:tcW w:w="0" w:type="auto"/>
            <w:hideMark/>
          </w:tcPr>
          <w:p w14:paraId="399D858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6B19A32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c>
          <w:tcPr>
            <w:tcW w:w="0" w:type="auto"/>
            <w:hideMark/>
          </w:tcPr>
          <w:p w14:paraId="5193FD3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3565BA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r>
      <w:tr w:rsidR="003A11CD" w:rsidRPr="00E7418B" w14:paraId="185F0B70" w14:textId="77777777" w:rsidTr="003A11CD">
        <w:trPr>
          <w:trHeight w:val="288"/>
        </w:trPr>
        <w:tc>
          <w:tcPr>
            <w:tcW w:w="0" w:type="auto"/>
          </w:tcPr>
          <w:p w14:paraId="5DA76A88"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7AAED119"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1F98A94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3EA3437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r>
    </w:tbl>
    <w:p w14:paraId="114682CF" w14:textId="77777777" w:rsidR="00600028" w:rsidRPr="00E7418B" w:rsidRDefault="00600028" w:rsidP="00E7418B">
      <w:pPr>
        <w:rPr>
          <w:rFonts w:cs="Arial"/>
          <w:color w:val="000000" w:themeColor="text1"/>
          <w:szCs w:val="24"/>
          <w:lang w:val="en-US"/>
        </w:rPr>
      </w:pPr>
    </w:p>
    <w:p w14:paraId="157D73B3" w14:textId="77777777" w:rsidR="00600028" w:rsidRPr="00E7418B" w:rsidRDefault="00600028" w:rsidP="00E7418B">
      <w:pPr>
        <w:rPr>
          <w:rFonts w:cs="Arial"/>
          <w:b/>
          <w:color w:val="000000" w:themeColor="text1"/>
          <w:szCs w:val="24"/>
        </w:rPr>
      </w:pPr>
      <w:r w:rsidRPr="00E7418B">
        <w:rPr>
          <w:rFonts w:cs="Arial"/>
          <w:b/>
          <w:color w:val="000000" w:themeColor="text1"/>
          <w:szCs w:val="24"/>
        </w:rPr>
        <w:t>3. NPV Calculations</w:t>
      </w:r>
    </w:p>
    <w:p w14:paraId="08CC681B" w14:textId="77777777" w:rsidR="00600028" w:rsidRPr="00E7418B" w:rsidRDefault="00600028" w:rsidP="00E7418B">
      <w:pPr>
        <w:rPr>
          <w:rFonts w:cs="Arial"/>
          <w:b/>
          <w:color w:val="000000" w:themeColor="text1"/>
          <w:szCs w:val="24"/>
        </w:rPr>
      </w:pPr>
      <w:r w:rsidRPr="00E7418B">
        <w:rPr>
          <w:rFonts w:cs="Arial"/>
          <w:color w:val="000000" w:themeColor="text1"/>
          <w:szCs w:val="24"/>
        </w:rPr>
        <w:t>Project A –</w:t>
      </w:r>
    </w:p>
    <w:tbl>
      <w:tblPr>
        <w:tblStyle w:val="TableGrid"/>
        <w:tblW w:w="9399" w:type="dxa"/>
        <w:tblLook w:val="04A0" w:firstRow="1" w:lastRow="0" w:firstColumn="1" w:lastColumn="0" w:noHBand="0" w:noVBand="1"/>
      </w:tblPr>
      <w:tblGrid>
        <w:gridCol w:w="1127"/>
        <w:gridCol w:w="2390"/>
        <w:gridCol w:w="3124"/>
        <w:gridCol w:w="2758"/>
      </w:tblGrid>
      <w:tr w:rsidR="003A11CD" w:rsidRPr="00E7418B" w14:paraId="5FE73937" w14:textId="77777777" w:rsidTr="003A11CD">
        <w:trPr>
          <w:trHeight w:val="273"/>
        </w:trPr>
        <w:tc>
          <w:tcPr>
            <w:tcW w:w="0" w:type="auto"/>
            <w:hideMark/>
          </w:tcPr>
          <w:p w14:paraId="24C291A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57597B58"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EDDBF1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Discount Factor</w:t>
            </w:r>
          </w:p>
        </w:tc>
        <w:tc>
          <w:tcPr>
            <w:tcW w:w="0" w:type="auto"/>
            <w:hideMark/>
          </w:tcPr>
          <w:p w14:paraId="3BF92402"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Present Value</w:t>
            </w:r>
          </w:p>
        </w:tc>
      </w:tr>
      <w:tr w:rsidR="003A11CD" w:rsidRPr="00E7418B" w14:paraId="7DCCF4EC" w14:textId="77777777" w:rsidTr="003A11CD">
        <w:trPr>
          <w:trHeight w:val="286"/>
        </w:trPr>
        <w:tc>
          <w:tcPr>
            <w:tcW w:w="0" w:type="auto"/>
            <w:hideMark/>
          </w:tcPr>
          <w:p w14:paraId="448AE0A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1EDA23B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319804C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0.909</w:t>
            </w:r>
          </w:p>
        </w:tc>
        <w:tc>
          <w:tcPr>
            <w:tcW w:w="0" w:type="auto"/>
            <w:hideMark/>
          </w:tcPr>
          <w:p w14:paraId="2FFC517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9.09</w:t>
            </w:r>
          </w:p>
        </w:tc>
      </w:tr>
      <w:tr w:rsidR="003A11CD" w:rsidRPr="00E7418B" w14:paraId="5DDA0166" w14:textId="77777777" w:rsidTr="003A11CD">
        <w:trPr>
          <w:trHeight w:val="273"/>
        </w:trPr>
        <w:tc>
          <w:tcPr>
            <w:tcW w:w="0" w:type="auto"/>
            <w:hideMark/>
          </w:tcPr>
          <w:p w14:paraId="3ADD0DA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4D6091C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12</w:t>
            </w:r>
          </w:p>
        </w:tc>
        <w:tc>
          <w:tcPr>
            <w:tcW w:w="0" w:type="auto"/>
            <w:hideMark/>
          </w:tcPr>
          <w:p w14:paraId="0CC4A92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0.826</w:t>
            </w:r>
          </w:p>
        </w:tc>
        <w:tc>
          <w:tcPr>
            <w:tcW w:w="0" w:type="auto"/>
            <w:hideMark/>
          </w:tcPr>
          <w:p w14:paraId="6F990EC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9.91</w:t>
            </w:r>
          </w:p>
        </w:tc>
      </w:tr>
      <w:tr w:rsidR="003A11CD" w:rsidRPr="00E7418B" w14:paraId="10CC46D5" w14:textId="77777777" w:rsidTr="003A11CD">
        <w:trPr>
          <w:trHeight w:val="286"/>
        </w:trPr>
        <w:tc>
          <w:tcPr>
            <w:tcW w:w="0" w:type="auto"/>
            <w:hideMark/>
          </w:tcPr>
          <w:p w14:paraId="0F749CF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07B693B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14</w:t>
            </w:r>
          </w:p>
        </w:tc>
        <w:tc>
          <w:tcPr>
            <w:tcW w:w="0" w:type="auto"/>
            <w:hideMark/>
          </w:tcPr>
          <w:p w14:paraId="024C864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0.751</w:t>
            </w:r>
          </w:p>
        </w:tc>
        <w:tc>
          <w:tcPr>
            <w:tcW w:w="0" w:type="auto"/>
            <w:hideMark/>
          </w:tcPr>
          <w:p w14:paraId="4CC731B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10.51</w:t>
            </w:r>
          </w:p>
        </w:tc>
      </w:tr>
      <w:tr w:rsidR="003A11CD" w:rsidRPr="00E7418B" w14:paraId="198BEE3C" w14:textId="77777777" w:rsidTr="003A11CD">
        <w:trPr>
          <w:trHeight w:val="273"/>
        </w:trPr>
        <w:tc>
          <w:tcPr>
            <w:tcW w:w="0" w:type="auto"/>
            <w:hideMark/>
          </w:tcPr>
          <w:p w14:paraId="07C606B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52FC49D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33A968C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0.683</w:t>
            </w:r>
          </w:p>
        </w:tc>
        <w:tc>
          <w:tcPr>
            <w:tcW w:w="0" w:type="auto"/>
            <w:hideMark/>
          </w:tcPr>
          <w:p w14:paraId="0525E34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6.83</w:t>
            </w:r>
          </w:p>
        </w:tc>
      </w:tr>
      <w:tr w:rsidR="003A11CD" w:rsidRPr="00E7418B" w14:paraId="09B624A1" w14:textId="77777777" w:rsidTr="003A11CD">
        <w:trPr>
          <w:trHeight w:val="286"/>
        </w:trPr>
        <w:tc>
          <w:tcPr>
            <w:tcW w:w="0" w:type="auto"/>
            <w:hideMark/>
          </w:tcPr>
          <w:p w14:paraId="283F416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1DBDACF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w:t>
            </w:r>
          </w:p>
        </w:tc>
        <w:tc>
          <w:tcPr>
            <w:tcW w:w="0" w:type="auto"/>
            <w:hideMark/>
          </w:tcPr>
          <w:p w14:paraId="10A16CA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0.621</w:t>
            </w:r>
          </w:p>
        </w:tc>
        <w:tc>
          <w:tcPr>
            <w:tcW w:w="0" w:type="auto"/>
            <w:hideMark/>
          </w:tcPr>
          <w:p w14:paraId="1BD306B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4.97</w:t>
            </w:r>
          </w:p>
        </w:tc>
      </w:tr>
      <w:tr w:rsidR="003A11CD" w:rsidRPr="00E7418B" w14:paraId="716DD3C5" w14:textId="77777777" w:rsidTr="003A11CD">
        <w:trPr>
          <w:trHeight w:val="273"/>
        </w:trPr>
        <w:tc>
          <w:tcPr>
            <w:tcW w:w="0" w:type="auto"/>
          </w:tcPr>
          <w:p w14:paraId="2BA7EF29"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648EB3FC"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519BBE4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5EE0CEE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cs="Arial"/>
                <w:color w:val="000000" w:themeColor="text1"/>
                <w:szCs w:val="24"/>
              </w:rPr>
              <w:t>41.31</w:t>
            </w:r>
          </w:p>
        </w:tc>
      </w:tr>
    </w:tbl>
    <w:p w14:paraId="5ACC6E31" w14:textId="535013D4" w:rsidR="00600028" w:rsidRPr="00E7418B" w:rsidRDefault="00600028" w:rsidP="00E7418B">
      <w:pPr>
        <w:rPr>
          <w:rFonts w:cs="Arial"/>
          <w:color w:val="000000" w:themeColor="text1"/>
          <w:szCs w:val="24"/>
        </w:rPr>
      </w:pPr>
      <w:r w:rsidRPr="00E7418B">
        <w:rPr>
          <w:rFonts w:cs="Arial"/>
          <w:color w:val="000000" w:themeColor="text1"/>
          <w:szCs w:val="24"/>
        </w:rPr>
        <w:t>Project B –</w:t>
      </w:r>
    </w:p>
    <w:tbl>
      <w:tblPr>
        <w:tblStyle w:val="TableGrid"/>
        <w:tblW w:w="9493" w:type="dxa"/>
        <w:tblLook w:val="04A0" w:firstRow="1" w:lastRow="0" w:firstColumn="1" w:lastColumn="0" w:noHBand="0" w:noVBand="1"/>
      </w:tblPr>
      <w:tblGrid>
        <w:gridCol w:w="1138"/>
        <w:gridCol w:w="2414"/>
        <w:gridCol w:w="3155"/>
        <w:gridCol w:w="2786"/>
      </w:tblGrid>
      <w:tr w:rsidR="003A11CD" w:rsidRPr="00E7418B" w14:paraId="3B922766" w14:textId="77777777" w:rsidTr="003A11CD">
        <w:trPr>
          <w:trHeight w:val="273"/>
        </w:trPr>
        <w:tc>
          <w:tcPr>
            <w:tcW w:w="0" w:type="auto"/>
            <w:hideMark/>
          </w:tcPr>
          <w:p w14:paraId="6FAC4648"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3F113B5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131EEE00"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Discount Factor</w:t>
            </w:r>
          </w:p>
        </w:tc>
        <w:tc>
          <w:tcPr>
            <w:tcW w:w="0" w:type="auto"/>
            <w:hideMark/>
          </w:tcPr>
          <w:p w14:paraId="249D249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Present Value</w:t>
            </w:r>
          </w:p>
        </w:tc>
      </w:tr>
      <w:tr w:rsidR="003A11CD" w:rsidRPr="00E7418B" w14:paraId="6342D502" w14:textId="77777777" w:rsidTr="003A11CD">
        <w:trPr>
          <w:trHeight w:val="286"/>
        </w:trPr>
        <w:tc>
          <w:tcPr>
            <w:tcW w:w="0" w:type="auto"/>
            <w:hideMark/>
          </w:tcPr>
          <w:p w14:paraId="70FE4CC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66D3FDC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6DBC926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0.909</w:t>
            </w:r>
          </w:p>
        </w:tc>
        <w:tc>
          <w:tcPr>
            <w:tcW w:w="0" w:type="auto"/>
            <w:hideMark/>
          </w:tcPr>
          <w:p w14:paraId="7648D5E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5.45</w:t>
            </w:r>
          </w:p>
        </w:tc>
      </w:tr>
      <w:tr w:rsidR="003A11CD" w:rsidRPr="00E7418B" w14:paraId="51F0DEA7" w14:textId="77777777" w:rsidTr="003A11CD">
        <w:trPr>
          <w:trHeight w:val="273"/>
        </w:trPr>
        <w:tc>
          <w:tcPr>
            <w:tcW w:w="0" w:type="auto"/>
            <w:hideMark/>
          </w:tcPr>
          <w:p w14:paraId="15F2A2B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18582889"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0917C72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0.826</w:t>
            </w:r>
          </w:p>
        </w:tc>
        <w:tc>
          <w:tcPr>
            <w:tcW w:w="0" w:type="auto"/>
            <w:hideMark/>
          </w:tcPr>
          <w:p w14:paraId="703F92D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4.96</w:t>
            </w:r>
          </w:p>
        </w:tc>
      </w:tr>
      <w:tr w:rsidR="003A11CD" w:rsidRPr="00E7418B" w14:paraId="6A7399F1" w14:textId="77777777" w:rsidTr="003A11CD">
        <w:trPr>
          <w:trHeight w:val="286"/>
        </w:trPr>
        <w:tc>
          <w:tcPr>
            <w:tcW w:w="0" w:type="auto"/>
            <w:hideMark/>
          </w:tcPr>
          <w:p w14:paraId="209A8E7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6457AD3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129BFB5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0.751</w:t>
            </w:r>
          </w:p>
        </w:tc>
        <w:tc>
          <w:tcPr>
            <w:tcW w:w="0" w:type="auto"/>
            <w:hideMark/>
          </w:tcPr>
          <w:p w14:paraId="0506A1A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4.51</w:t>
            </w:r>
          </w:p>
        </w:tc>
      </w:tr>
      <w:tr w:rsidR="003A11CD" w:rsidRPr="00E7418B" w14:paraId="3BCE4670" w14:textId="77777777" w:rsidTr="003A11CD">
        <w:trPr>
          <w:trHeight w:val="273"/>
        </w:trPr>
        <w:tc>
          <w:tcPr>
            <w:tcW w:w="0" w:type="auto"/>
            <w:hideMark/>
          </w:tcPr>
          <w:p w14:paraId="6FE5A77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58555B5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5D9CEDF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0.683</w:t>
            </w:r>
          </w:p>
        </w:tc>
        <w:tc>
          <w:tcPr>
            <w:tcW w:w="0" w:type="auto"/>
            <w:hideMark/>
          </w:tcPr>
          <w:p w14:paraId="6863129F"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4.10</w:t>
            </w:r>
          </w:p>
        </w:tc>
      </w:tr>
      <w:tr w:rsidR="003A11CD" w:rsidRPr="00E7418B" w14:paraId="7E24AFF0" w14:textId="77777777" w:rsidTr="003A11CD">
        <w:trPr>
          <w:trHeight w:val="286"/>
        </w:trPr>
        <w:tc>
          <w:tcPr>
            <w:tcW w:w="0" w:type="auto"/>
            <w:hideMark/>
          </w:tcPr>
          <w:p w14:paraId="7371070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5226CD2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6</w:t>
            </w:r>
          </w:p>
        </w:tc>
        <w:tc>
          <w:tcPr>
            <w:tcW w:w="0" w:type="auto"/>
            <w:hideMark/>
          </w:tcPr>
          <w:p w14:paraId="3598A9D5"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0.621</w:t>
            </w:r>
          </w:p>
        </w:tc>
        <w:tc>
          <w:tcPr>
            <w:tcW w:w="0" w:type="auto"/>
            <w:hideMark/>
          </w:tcPr>
          <w:p w14:paraId="3CB81C5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3.73</w:t>
            </w:r>
          </w:p>
        </w:tc>
      </w:tr>
      <w:tr w:rsidR="003A11CD" w:rsidRPr="00E7418B" w14:paraId="5935CB23" w14:textId="77777777" w:rsidTr="003A11CD">
        <w:trPr>
          <w:trHeight w:val="273"/>
        </w:trPr>
        <w:tc>
          <w:tcPr>
            <w:tcW w:w="0" w:type="auto"/>
          </w:tcPr>
          <w:p w14:paraId="607E8511"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70C3D92E"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246FAB2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6B05D12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cs="Arial"/>
                <w:color w:val="000000" w:themeColor="text1"/>
                <w:szCs w:val="24"/>
              </w:rPr>
              <w:t>22.75</w:t>
            </w:r>
          </w:p>
        </w:tc>
      </w:tr>
    </w:tbl>
    <w:p w14:paraId="5355783B" w14:textId="77777777" w:rsidR="000D507A" w:rsidRPr="00E7418B" w:rsidRDefault="000D507A" w:rsidP="00E7418B">
      <w:pPr>
        <w:rPr>
          <w:rFonts w:cs="Arial"/>
          <w:color w:val="000000" w:themeColor="text1"/>
          <w:szCs w:val="24"/>
          <w:lang w:val="en-US"/>
        </w:rPr>
      </w:pPr>
    </w:p>
    <w:p w14:paraId="5BD2810B" w14:textId="77777777" w:rsidR="00600028" w:rsidRPr="00E7418B" w:rsidRDefault="00600028" w:rsidP="00E7418B">
      <w:pPr>
        <w:rPr>
          <w:rFonts w:cs="Arial"/>
          <w:color w:val="000000" w:themeColor="text1"/>
          <w:szCs w:val="24"/>
        </w:rPr>
      </w:pPr>
      <w:r w:rsidRPr="00E7418B">
        <w:rPr>
          <w:rFonts w:cs="Arial"/>
          <w:color w:val="000000" w:themeColor="text1"/>
          <w:szCs w:val="24"/>
        </w:rPr>
        <w:t>Project C –</w:t>
      </w:r>
    </w:p>
    <w:tbl>
      <w:tblPr>
        <w:tblStyle w:val="TableGrid"/>
        <w:tblW w:w="9559" w:type="dxa"/>
        <w:tblLook w:val="04A0" w:firstRow="1" w:lastRow="0" w:firstColumn="1" w:lastColumn="0" w:noHBand="0" w:noVBand="1"/>
      </w:tblPr>
      <w:tblGrid>
        <w:gridCol w:w="1146"/>
        <w:gridCol w:w="2431"/>
        <w:gridCol w:w="3177"/>
        <w:gridCol w:w="2805"/>
      </w:tblGrid>
      <w:tr w:rsidR="003A11CD" w:rsidRPr="00E7418B" w14:paraId="3D78B247" w14:textId="77777777" w:rsidTr="003A11CD">
        <w:trPr>
          <w:trHeight w:val="273"/>
        </w:trPr>
        <w:tc>
          <w:tcPr>
            <w:tcW w:w="0" w:type="auto"/>
            <w:hideMark/>
          </w:tcPr>
          <w:p w14:paraId="35AD6E12"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Year</w:t>
            </w:r>
          </w:p>
        </w:tc>
        <w:tc>
          <w:tcPr>
            <w:tcW w:w="0" w:type="auto"/>
            <w:hideMark/>
          </w:tcPr>
          <w:p w14:paraId="596471AB"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Cash Inflow</w:t>
            </w:r>
          </w:p>
        </w:tc>
        <w:tc>
          <w:tcPr>
            <w:tcW w:w="0" w:type="auto"/>
            <w:hideMark/>
          </w:tcPr>
          <w:p w14:paraId="7D6991BF"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Discount Factor</w:t>
            </w:r>
          </w:p>
        </w:tc>
        <w:tc>
          <w:tcPr>
            <w:tcW w:w="0" w:type="auto"/>
            <w:hideMark/>
          </w:tcPr>
          <w:p w14:paraId="56094A6A" w14:textId="77777777" w:rsidR="00600028" w:rsidRPr="00E7418B" w:rsidRDefault="00600028" w:rsidP="00E7418B">
            <w:pPr>
              <w:jc w:val="center"/>
              <w:rPr>
                <w:rFonts w:eastAsia="Times New Roman" w:cs="Arial"/>
                <w:b/>
                <w:bCs/>
                <w:noProof w:val="0"/>
                <w:color w:val="000000" w:themeColor="text1"/>
                <w:szCs w:val="24"/>
                <w:lang w:eastAsia="en-GB"/>
              </w:rPr>
            </w:pPr>
            <w:r w:rsidRPr="00E7418B">
              <w:rPr>
                <w:rFonts w:eastAsia="Times New Roman" w:cs="Arial"/>
                <w:b/>
                <w:bCs/>
                <w:noProof w:val="0"/>
                <w:color w:val="000000" w:themeColor="text1"/>
                <w:szCs w:val="24"/>
                <w:lang w:eastAsia="en-GB"/>
              </w:rPr>
              <w:t>Present Value</w:t>
            </w:r>
          </w:p>
        </w:tc>
      </w:tr>
      <w:tr w:rsidR="003A11CD" w:rsidRPr="00E7418B" w14:paraId="4E0F6E83" w14:textId="77777777" w:rsidTr="003A11CD">
        <w:trPr>
          <w:trHeight w:val="286"/>
        </w:trPr>
        <w:tc>
          <w:tcPr>
            <w:tcW w:w="0" w:type="auto"/>
            <w:hideMark/>
          </w:tcPr>
          <w:p w14:paraId="5A5C2B9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w:t>
            </w:r>
          </w:p>
        </w:tc>
        <w:tc>
          <w:tcPr>
            <w:tcW w:w="0" w:type="auto"/>
            <w:hideMark/>
          </w:tcPr>
          <w:p w14:paraId="1D019CAC"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61E4314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0.909</w:t>
            </w:r>
          </w:p>
        </w:tc>
        <w:tc>
          <w:tcPr>
            <w:tcW w:w="0" w:type="auto"/>
            <w:hideMark/>
          </w:tcPr>
          <w:p w14:paraId="0A432C84"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4.55</w:t>
            </w:r>
          </w:p>
        </w:tc>
      </w:tr>
      <w:tr w:rsidR="003A11CD" w:rsidRPr="00E7418B" w14:paraId="709D33F9" w14:textId="77777777" w:rsidTr="003A11CD">
        <w:trPr>
          <w:trHeight w:val="273"/>
        </w:trPr>
        <w:tc>
          <w:tcPr>
            <w:tcW w:w="0" w:type="auto"/>
            <w:hideMark/>
          </w:tcPr>
          <w:p w14:paraId="410F7806"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w:t>
            </w:r>
          </w:p>
        </w:tc>
        <w:tc>
          <w:tcPr>
            <w:tcW w:w="0" w:type="auto"/>
            <w:hideMark/>
          </w:tcPr>
          <w:p w14:paraId="097C4F41"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10</w:t>
            </w:r>
          </w:p>
        </w:tc>
        <w:tc>
          <w:tcPr>
            <w:tcW w:w="0" w:type="auto"/>
            <w:hideMark/>
          </w:tcPr>
          <w:p w14:paraId="00F938A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0.826</w:t>
            </w:r>
          </w:p>
        </w:tc>
        <w:tc>
          <w:tcPr>
            <w:tcW w:w="0" w:type="auto"/>
            <w:hideMark/>
          </w:tcPr>
          <w:p w14:paraId="73FDF49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8.26</w:t>
            </w:r>
          </w:p>
        </w:tc>
      </w:tr>
      <w:tr w:rsidR="003A11CD" w:rsidRPr="00E7418B" w14:paraId="5B3758F5" w14:textId="77777777" w:rsidTr="003A11CD">
        <w:trPr>
          <w:trHeight w:val="286"/>
        </w:trPr>
        <w:tc>
          <w:tcPr>
            <w:tcW w:w="0" w:type="auto"/>
            <w:hideMark/>
          </w:tcPr>
          <w:p w14:paraId="59DFCB12"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3</w:t>
            </w:r>
          </w:p>
        </w:tc>
        <w:tc>
          <w:tcPr>
            <w:tcW w:w="0" w:type="auto"/>
            <w:hideMark/>
          </w:tcPr>
          <w:p w14:paraId="797E55D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20</w:t>
            </w:r>
          </w:p>
        </w:tc>
        <w:tc>
          <w:tcPr>
            <w:tcW w:w="0" w:type="auto"/>
            <w:hideMark/>
          </w:tcPr>
          <w:p w14:paraId="7EB107CD"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0.751</w:t>
            </w:r>
          </w:p>
        </w:tc>
        <w:tc>
          <w:tcPr>
            <w:tcW w:w="0" w:type="auto"/>
            <w:hideMark/>
          </w:tcPr>
          <w:p w14:paraId="688541B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15.02</w:t>
            </w:r>
          </w:p>
        </w:tc>
      </w:tr>
      <w:tr w:rsidR="003A11CD" w:rsidRPr="00E7418B" w14:paraId="63483CDD" w14:textId="77777777" w:rsidTr="003A11CD">
        <w:trPr>
          <w:trHeight w:val="273"/>
        </w:trPr>
        <w:tc>
          <w:tcPr>
            <w:tcW w:w="0" w:type="auto"/>
            <w:hideMark/>
          </w:tcPr>
          <w:p w14:paraId="755C876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4</w:t>
            </w:r>
          </w:p>
        </w:tc>
        <w:tc>
          <w:tcPr>
            <w:tcW w:w="0" w:type="auto"/>
            <w:hideMark/>
          </w:tcPr>
          <w:p w14:paraId="79C3FA9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25</w:t>
            </w:r>
          </w:p>
        </w:tc>
        <w:tc>
          <w:tcPr>
            <w:tcW w:w="0" w:type="auto"/>
            <w:hideMark/>
          </w:tcPr>
          <w:p w14:paraId="6E719A9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0.683</w:t>
            </w:r>
          </w:p>
        </w:tc>
        <w:tc>
          <w:tcPr>
            <w:tcW w:w="0" w:type="auto"/>
            <w:hideMark/>
          </w:tcPr>
          <w:p w14:paraId="174593EA"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17.08</w:t>
            </w:r>
          </w:p>
        </w:tc>
      </w:tr>
      <w:tr w:rsidR="003A11CD" w:rsidRPr="00E7418B" w14:paraId="6E0FE918" w14:textId="77777777" w:rsidTr="003A11CD">
        <w:trPr>
          <w:trHeight w:val="286"/>
        </w:trPr>
        <w:tc>
          <w:tcPr>
            <w:tcW w:w="0" w:type="auto"/>
            <w:hideMark/>
          </w:tcPr>
          <w:p w14:paraId="6553E7B7"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5</w:t>
            </w:r>
          </w:p>
        </w:tc>
        <w:tc>
          <w:tcPr>
            <w:tcW w:w="0" w:type="auto"/>
            <w:hideMark/>
          </w:tcPr>
          <w:p w14:paraId="5EED33DE"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15</w:t>
            </w:r>
          </w:p>
        </w:tc>
        <w:tc>
          <w:tcPr>
            <w:tcW w:w="0" w:type="auto"/>
            <w:hideMark/>
          </w:tcPr>
          <w:p w14:paraId="4CEBA410"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0.621</w:t>
            </w:r>
          </w:p>
        </w:tc>
        <w:tc>
          <w:tcPr>
            <w:tcW w:w="0" w:type="auto"/>
            <w:hideMark/>
          </w:tcPr>
          <w:p w14:paraId="0701E08B"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9.32</w:t>
            </w:r>
          </w:p>
        </w:tc>
      </w:tr>
      <w:tr w:rsidR="003A11CD" w:rsidRPr="00E7418B" w14:paraId="043F3838" w14:textId="77777777" w:rsidTr="003A11CD">
        <w:trPr>
          <w:trHeight w:val="273"/>
        </w:trPr>
        <w:tc>
          <w:tcPr>
            <w:tcW w:w="0" w:type="auto"/>
          </w:tcPr>
          <w:p w14:paraId="736E2B30"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647BB8D0" w14:textId="77777777" w:rsidR="00600028" w:rsidRPr="00E7418B" w:rsidRDefault="00600028" w:rsidP="00E7418B">
            <w:pPr>
              <w:jc w:val="center"/>
              <w:rPr>
                <w:rFonts w:eastAsia="Times New Roman" w:cs="Arial"/>
                <w:noProof w:val="0"/>
                <w:color w:val="000000" w:themeColor="text1"/>
                <w:szCs w:val="24"/>
                <w:lang w:eastAsia="en-GB"/>
              </w:rPr>
            </w:pPr>
          </w:p>
        </w:tc>
        <w:tc>
          <w:tcPr>
            <w:tcW w:w="0" w:type="auto"/>
          </w:tcPr>
          <w:p w14:paraId="796DDE73"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eastAsia="Times New Roman" w:cs="Arial"/>
                <w:noProof w:val="0"/>
                <w:color w:val="000000" w:themeColor="text1"/>
                <w:szCs w:val="24"/>
                <w:lang w:eastAsia="en-GB"/>
              </w:rPr>
              <w:t>Total</w:t>
            </w:r>
          </w:p>
        </w:tc>
        <w:tc>
          <w:tcPr>
            <w:tcW w:w="0" w:type="auto"/>
          </w:tcPr>
          <w:p w14:paraId="06FBC848" w14:textId="77777777" w:rsidR="00600028" w:rsidRPr="00E7418B" w:rsidRDefault="00600028" w:rsidP="00E7418B">
            <w:pPr>
              <w:jc w:val="center"/>
              <w:rPr>
                <w:rFonts w:eastAsia="Times New Roman" w:cs="Arial"/>
                <w:noProof w:val="0"/>
                <w:color w:val="000000" w:themeColor="text1"/>
                <w:szCs w:val="24"/>
                <w:lang w:eastAsia="en-GB"/>
              </w:rPr>
            </w:pPr>
            <w:r w:rsidRPr="00E7418B">
              <w:rPr>
                <w:rFonts w:cs="Arial"/>
                <w:color w:val="000000" w:themeColor="text1"/>
                <w:szCs w:val="24"/>
              </w:rPr>
              <w:t>54.23</w:t>
            </w:r>
          </w:p>
        </w:tc>
      </w:tr>
    </w:tbl>
    <w:p w14:paraId="085C6974" w14:textId="77777777" w:rsidR="00600028" w:rsidRPr="00E7418B" w:rsidRDefault="00600028" w:rsidP="00E7418B">
      <w:pPr>
        <w:rPr>
          <w:rFonts w:cs="Arial"/>
          <w:color w:val="000000" w:themeColor="text1"/>
          <w:szCs w:val="24"/>
          <w:lang w:val="en-US"/>
        </w:rPr>
      </w:pPr>
    </w:p>
    <w:p w14:paraId="5C4647F4" w14:textId="2BCB56AF" w:rsidR="00600028" w:rsidRPr="00E7418B" w:rsidRDefault="00600028" w:rsidP="00E7418B">
      <w:pPr>
        <w:jc w:val="center"/>
        <w:rPr>
          <w:rFonts w:cs="Arial"/>
          <w:color w:val="000000" w:themeColor="text1"/>
          <w:szCs w:val="24"/>
          <w:lang w:val="en-US"/>
        </w:rPr>
      </w:pPr>
    </w:p>
    <w:sectPr w:rsidR="00600028" w:rsidRPr="00E7418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E0475" w14:textId="77777777" w:rsidR="00964F53" w:rsidRDefault="00964F53" w:rsidP="006C5174">
      <w:pPr>
        <w:spacing w:after="0" w:line="240" w:lineRule="auto"/>
      </w:pPr>
      <w:r>
        <w:separator/>
      </w:r>
    </w:p>
  </w:endnote>
  <w:endnote w:type="continuationSeparator" w:id="0">
    <w:p w14:paraId="6BE95B1D" w14:textId="77777777" w:rsidR="00964F53" w:rsidRDefault="00964F53" w:rsidP="006C5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92016962"/>
      <w:docPartObj>
        <w:docPartGallery w:val="Page Numbers (Bottom of Page)"/>
        <w:docPartUnique/>
      </w:docPartObj>
    </w:sdtPr>
    <w:sdtEndPr>
      <w:rPr>
        <w:noProof/>
      </w:rPr>
    </w:sdtEndPr>
    <w:sdtContent>
      <w:p w14:paraId="2CCFBE4F" w14:textId="77777777" w:rsidR="006C5174" w:rsidRDefault="006C5174">
        <w:pPr>
          <w:pStyle w:val="Footer"/>
          <w:jc w:val="right"/>
        </w:pPr>
        <w:r>
          <w:rPr>
            <w:noProof w:val="0"/>
          </w:rPr>
          <w:fldChar w:fldCharType="begin"/>
        </w:r>
        <w:r>
          <w:instrText xml:space="preserve"> PAGE   \* MERGEFORMAT </w:instrText>
        </w:r>
        <w:r>
          <w:rPr>
            <w:noProof w:val="0"/>
          </w:rPr>
          <w:fldChar w:fldCharType="separate"/>
        </w:r>
        <w:r>
          <w:t>3</w:t>
        </w:r>
        <w:r>
          <w:fldChar w:fldCharType="end"/>
        </w:r>
      </w:p>
    </w:sdtContent>
  </w:sdt>
  <w:p w14:paraId="38C49EA3" w14:textId="77777777" w:rsidR="006C5174" w:rsidRDefault="006C5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39904" w14:textId="77777777" w:rsidR="00964F53" w:rsidRDefault="00964F53" w:rsidP="006C5174">
      <w:pPr>
        <w:spacing w:after="0" w:line="240" w:lineRule="auto"/>
      </w:pPr>
      <w:r>
        <w:separator/>
      </w:r>
    </w:p>
  </w:footnote>
  <w:footnote w:type="continuationSeparator" w:id="0">
    <w:p w14:paraId="2F4BDF2E" w14:textId="77777777" w:rsidR="00964F53" w:rsidRDefault="00964F53" w:rsidP="006C51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B4652"/>
    <w:multiLevelType w:val="hybridMultilevel"/>
    <w:tmpl w:val="92C03AE2"/>
    <w:lvl w:ilvl="0" w:tplc="613CB0B4">
      <w:start w:val="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48491C"/>
    <w:multiLevelType w:val="hybridMultilevel"/>
    <w:tmpl w:val="78E43FBA"/>
    <w:lvl w:ilvl="0" w:tplc="239EB59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944D0"/>
    <w:multiLevelType w:val="hybridMultilevel"/>
    <w:tmpl w:val="45E25B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D204BF"/>
    <w:multiLevelType w:val="hybridMultilevel"/>
    <w:tmpl w:val="A2A05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2055767">
    <w:abstractNumId w:val="3"/>
  </w:num>
  <w:num w:numId="2" w16cid:durableId="1526753663">
    <w:abstractNumId w:val="2"/>
  </w:num>
  <w:num w:numId="3" w16cid:durableId="712658038">
    <w:abstractNumId w:val="1"/>
  </w:num>
  <w:num w:numId="4" w16cid:durableId="195895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SwMDU3NTc0MTU1tLBQ0lEKTi0uzszPAykwrgUApvB7RiwAAAA="/>
  </w:docVars>
  <w:rsids>
    <w:rsidRoot w:val="00B935D4"/>
    <w:rsid w:val="000436D7"/>
    <w:rsid w:val="000A4728"/>
    <w:rsid w:val="000D507A"/>
    <w:rsid w:val="001957E9"/>
    <w:rsid w:val="00232C2C"/>
    <w:rsid w:val="00264AC2"/>
    <w:rsid w:val="002B431B"/>
    <w:rsid w:val="003804DD"/>
    <w:rsid w:val="003A11CD"/>
    <w:rsid w:val="004461C8"/>
    <w:rsid w:val="004D2FE0"/>
    <w:rsid w:val="00526D2A"/>
    <w:rsid w:val="00600028"/>
    <w:rsid w:val="00665B45"/>
    <w:rsid w:val="00667222"/>
    <w:rsid w:val="006A4958"/>
    <w:rsid w:val="006C5174"/>
    <w:rsid w:val="006D7A65"/>
    <w:rsid w:val="00700B9E"/>
    <w:rsid w:val="00700E79"/>
    <w:rsid w:val="00762F5F"/>
    <w:rsid w:val="007A4E1A"/>
    <w:rsid w:val="00865F81"/>
    <w:rsid w:val="008B7FA6"/>
    <w:rsid w:val="00964F53"/>
    <w:rsid w:val="009C2B17"/>
    <w:rsid w:val="00A11C65"/>
    <w:rsid w:val="00AB21F8"/>
    <w:rsid w:val="00B44BE5"/>
    <w:rsid w:val="00B935D4"/>
    <w:rsid w:val="00BD007C"/>
    <w:rsid w:val="00CD0D5D"/>
    <w:rsid w:val="00CF3B13"/>
    <w:rsid w:val="00D105CE"/>
    <w:rsid w:val="00D23797"/>
    <w:rsid w:val="00E7418B"/>
    <w:rsid w:val="00F640FB"/>
    <w:rsid w:val="00FA7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2E4B1"/>
  <w15:chartTrackingRefBased/>
  <w15:docId w15:val="{D15135DD-C810-4DD9-A46C-09AB03A8C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D2A"/>
    <w:pPr>
      <w:spacing w:line="360" w:lineRule="auto"/>
      <w:jc w:val="both"/>
    </w:pPr>
    <w:rPr>
      <w:rFonts w:ascii="Arial" w:hAnsi="Arial"/>
      <w:noProof/>
      <w:sz w:val="24"/>
      <w:lang w:val="en-GB"/>
    </w:rPr>
  </w:style>
  <w:style w:type="paragraph" w:styleId="Heading1">
    <w:name w:val="heading 1"/>
    <w:basedOn w:val="Normal"/>
    <w:next w:val="Normal"/>
    <w:link w:val="Heading1Char"/>
    <w:uiPriority w:val="9"/>
    <w:qFormat/>
    <w:rsid w:val="00526D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6D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6D2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6D2A"/>
    <w:pPr>
      <w:spacing w:before="100" w:beforeAutospacing="1" w:after="100" w:afterAutospacing="1" w:line="240" w:lineRule="auto"/>
      <w:jc w:val="left"/>
    </w:pPr>
    <w:rPr>
      <w:rFonts w:ascii="Times New Roman" w:eastAsia="Times New Roman" w:hAnsi="Times New Roman" w:cs="Times New Roman"/>
      <w:noProof w:val="0"/>
      <w:szCs w:val="24"/>
      <w:lang w:eastAsia="en-GB"/>
    </w:rPr>
  </w:style>
  <w:style w:type="table" w:styleId="TableGrid">
    <w:name w:val="Table Grid"/>
    <w:basedOn w:val="TableNormal"/>
    <w:uiPriority w:val="39"/>
    <w:rsid w:val="00526D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26D2A"/>
    <w:rPr>
      <w:rFonts w:asciiTheme="majorHAnsi" w:eastAsiaTheme="majorEastAsia" w:hAnsiTheme="majorHAnsi" w:cstheme="majorBidi"/>
      <w:noProof/>
      <w:color w:val="2E74B5" w:themeColor="accent1" w:themeShade="BF"/>
      <w:sz w:val="32"/>
      <w:szCs w:val="32"/>
      <w:lang w:val="en-GB"/>
    </w:rPr>
  </w:style>
  <w:style w:type="character" w:customStyle="1" w:styleId="Heading2Char">
    <w:name w:val="Heading 2 Char"/>
    <w:basedOn w:val="DefaultParagraphFont"/>
    <w:link w:val="Heading2"/>
    <w:uiPriority w:val="9"/>
    <w:rsid w:val="00526D2A"/>
    <w:rPr>
      <w:rFonts w:asciiTheme="majorHAnsi" w:eastAsiaTheme="majorEastAsia" w:hAnsiTheme="majorHAnsi" w:cstheme="majorBidi"/>
      <w:noProof/>
      <w:color w:val="2E74B5" w:themeColor="accent1" w:themeShade="BF"/>
      <w:sz w:val="26"/>
      <w:szCs w:val="26"/>
      <w:lang w:val="en-GB"/>
    </w:rPr>
  </w:style>
  <w:style w:type="character" w:customStyle="1" w:styleId="Heading3Char">
    <w:name w:val="Heading 3 Char"/>
    <w:basedOn w:val="DefaultParagraphFont"/>
    <w:link w:val="Heading3"/>
    <w:uiPriority w:val="9"/>
    <w:rsid w:val="00526D2A"/>
    <w:rPr>
      <w:rFonts w:asciiTheme="majorHAnsi" w:eastAsiaTheme="majorEastAsia" w:hAnsiTheme="majorHAnsi" w:cstheme="majorBidi"/>
      <w:noProof/>
      <w:color w:val="1F4D78" w:themeColor="accent1" w:themeShade="7F"/>
      <w:sz w:val="24"/>
      <w:szCs w:val="24"/>
      <w:lang w:val="en-GB"/>
    </w:rPr>
  </w:style>
  <w:style w:type="paragraph" w:styleId="ListParagraph">
    <w:name w:val="List Paragraph"/>
    <w:basedOn w:val="Normal"/>
    <w:uiPriority w:val="34"/>
    <w:qFormat/>
    <w:rsid w:val="00AB21F8"/>
    <w:pPr>
      <w:ind w:left="720"/>
      <w:contextualSpacing/>
    </w:pPr>
  </w:style>
  <w:style w:type="table" w:styleId="GridTable5Dark-Accent3">
    <w:name w:val="Grid Table 5 Dark Accent 3"/>
    <w:basedOn w:val="TableNormal"/>
    <w:uiPriority w:val="50"/>
    <w:rsid w:val="00AB21F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Accent5">
    <w:name w:val="Grid Table 1 Light Accent 5"/>
    <w:basedOn w:val="TableNormal"/>
    <w:uiPriority w:val="46"/>
    <w:rsid w:val="00AB21F8"/>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Emphasis">
    <w:name w:val="Emphasis"/>
    <w:basedOn w:val="DefaultParagraphFont"/>
    <w:uiPriority w:val="20"/>
    <w:qFormat/>
    <w:rsid w:val="00AB21F8"/>
    <w:rPr>
      <w:i/>
      <w:iCs/>
    </w:rPr>
  </w:style>
  <w:style w:type="character" w:styleId="Hyperlink">
    <w:name w:val="Hyperlink"/>
    <w:basedOn w:val="DefaultParagraphFont"/>
    <w:uiPriority w:val="99"/>
    <w:unhideWhenUsed/>
    <w:rsid w:val="00AB21F8"/>
    <w:rPr>
      <w:color w:val="0563C1" w:themeColor="hyperlink"/>
      <w:u w:val="single"/>
    </w:rPr>
  </w:style>
  <w:style w:type="character" w:styleId="FollowedHyperlink">
    <w:name w:val="FollowedHyperlink"/>
    <w:basedOn w:val="DefaultParagraphFont"/>
    <w:uiPriority w:val="99"/>
    <w:semiHidden/>
    <w:unhideWhenUsed/>
    <w:rsid w:val="00AB21F8"/>
    <w:rPr>
      <w:color w:val="954F72" w:themeColor="followedHyperlink"/>
      <w:u w:val="single"/>
    </w:rPr>
  </w:style>
  <w:style w:type="paragraph" w:styleId="TOCHeading">
    <w:name w:val="TOC Heading"/>
    <w:basedOn w:val="Heading1"/>
    <w:next w:val="Normal"/>
    <w:uiPriority w:val="39"/>
    <w:unhideWhenUsed/>
    <w:qFormat/>
    <w:rsid w:val="000A4728"/>
    <w:pPr>
      <w:spacing w:line="259" w:lineRule="auto"/>
      <w:jc w:val="left"/>
      <w:outlineLvl w:val="9"/>
    </w:pPr>
    <w:rPr>
      <w:noProof w:val="0"/>
      <w:lang w:val="en-US"/>
    </w:rPr>
  </w:style>
  <w:style w:type="paragraph" w:styleId="TOC1">
    <w:name w:val="toc 1"/>
    <w:basedOn w:val="Normal"/>
    <w:next w:val="Normal"/>
    <w:autoRedefine/>
    <w:uiPriority w:val="39"/>
    <w:unhideWhenUsed/>
    <w:rsid w:val="000A4728"/>
    <w:pPr>
      <w:spacing w:after="100"/>
    </w:pPr>
  </w:style>
  <w:style w:type="paragraph" w:styleId="TOC2">
    <w:name w:val="toc 2"/>
    <w:basedOn w:val="Normal"/>
    <w:next w:val="Normal"/>
    <w:autoRedefine/>
    <w:uiPriority w:val="39"/>
    <w:unhideWhenUsed/>
    <w:rsid w:val="000A4728"/>
    <w:pPr>
      <w:spacing w:after="100"/>
      <w:ind w:left="240"/>
    </w:pPr>
  </w:style>
  <w:style w:type="paragraph" w:styleId="TOC3">
    <w:name w:val="toc 3"/>
    <w:basedOn w:val="Normal"/>
    <w:next w:val="Normal"/>
    <w:autoRedefine/>
    <w:uiPriority w:val="39"/>
    <w:unhideWhenUsed/>
    <w:rsid w:val="000A4728"/>
    <w:pPr>
      <w:spacing w:after="100"/>
      <w:ind w:left="480"/>
    </w:pPr>
  </w:style>
  <w:style w:type="paragraph" w:styleId="Header">
    <w:name w:val="header"/>
    <w:basedOn w:val="Normal"/>
    <w:link w:val="HeaderChar"/>
    <w:uiPriority w:val="99"/>
    <w:unhideWhenUsed/>
    <w:rsid w:val="006C51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174"/>
    <w:rPr>
      <w:rFonts w:ascii="Arial" w:hAnsi="Arial"/>
      <w:noProof/>
      <w:sz w:val="24"/>
      <w:lang w:val="en-GB"/>
    </w:rPr>
  </w:style>
  <w:style w:type="paragraph" w:styleId="Footer">
    <w:name w:val="footer"/>
    <w:basedOn w:val="Normal"/>
    <w:link w:val="FooterChar"/>
    <w:uiPriority w:val="99"/>
    <w:unhideWhenUsed/>
    <w:rsid w:val="006C51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174"/>
    <w:rPr>
      <w:rFonts w:ascii="Arial" w:hAnsi="Arial"/>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8290">
      <w:bodyDiv w:val="1"/>
      <w:marLeft w:val="0"/>
      <w:marRight w:val="0"/>
      <w:marTop w:val="0"/>
      <w:marBottom w:val="0"/>
      <w:divBdr>
        <w:top w:val="none" w:sz="0" w:space="0" w:color="auto"/>
        <w:left w:val="none" w:sz="0" w:space="0" w:color="auto"/>
        <w:bottom w:val="none" w:sz="0" w:space="0" w:color="auto"/>
        <w:right w:val="none" w:sz="0" w:space="0" w:color="auto"/>
      </w:divBdr>
    </w:div>
    <w:div w:id="119614626">
      <w:bodyDiv w:val="1"/>
      <w:marLeft w:val="0"/>
      <w:marRight w:val="0"/>
      <w:marTop w:val="0"/>
      <w:marBottom w:val="0"/>
      <w:divBdr>
        <w:top w:val="none" w:sz="0" w:space="0" w:color="auto"/>
        <w:left w:val="none" w:sz="0" w:space="0" w:color="auto"/>
        <w:bottom w:val="none" w:sz="0" w:space="0" w:color="auto"/>
        <w:right w:val="none" w:sz="0" w:space="0" w:color="auto"/>
      </w:divBdr>
    </w:div>
    <w:div w:id="131338226">
      <w:bodyDiv w:val="1"/>
      <w:marLeft w:val="0"/>
      <w:marRight w:val="0"/>
      <w:marTop w:val="0"/>
      <w:marBottom w:val="0"/>
      <w:divBdr>
        <w:top w:val="none" w:sz="0" w:space="0" w:color="auto"/>
        <w:left w:val="none" w:sz="0" w:space="0" w:color="auto"/>
        <w:bottom w:val="none" w:sz="0" w:space="0" w:color="auto"/>
        <w:right w:val="none" w:sz="0" w:space="0" w:color="auto"/>
      </w:divBdr>
    </w:div>
    <w:div w:id="139808212">
      <w:bodyDiv w:val="1"/>
      <w:marLeft w:val="0"/>
      <w:marRight w:val="0"/>
      <w:marTop w:val="0"/>
      <w:marBottom w:val="0"/>
      <w:divBdr>
        <w:top w:val="none" w:sz="0" w:space="0" w:color="auto"/>
        <w:left w:val="none" w:sz="0" w:space="0" w:color="auto"/>
        <w:bottom w:val="none" w:sz="0" w:space="0" w:color="auto"/>
        <w:right w:val="none" w:sz="0" w:space="0" w:color="auto"/>
      </w:divBdr>
    </w:div>
    <w:div w:id="201865190">
      <w:bodyDiv w:val="1"/>
      <w:marLeft w:val="0"/>
      <w:marRight w:val="0"/>
      <w:marTop w:val="0"/>
      <w:marBottom w:val="0"/>
      <w:divBdr>
        <w:top w:val="none" w:sz="0" w:space="0" w:color="auto"/>
        <w:left w:val="none" w:sz="0" w:space="0" w:color="auto"/>
        <w:bottom w:val="none" w:sz="0" w:space="0" w:color="auto"/>
        <w:right w:val="none" w:sz="0" w:space="0" w:color="auto"/>
      </w:divBdr>
    </w:div>
    <w:div w:id="224920257">
      <w:bodyDiv w:val="1"/>
      <w:marLeft w:val="0"/>
      <w:marRight w:val="0"/>
      <w:marTop w:val="0"/>
      <w:marBottom w:val="0"/>
      <w:divBdr>
        <w:top w:val="none" w:sz="0" w:space="0" w:color="auto"/>
        <w:left w:val="none" w:sz="0" w:space="0" w:color="auto"/>
        <w:bottom w:val="none" w:sz="0" w:space="0" w:color="auto"/>
        <w:right w:val="none" w:sz="0" w:space="0" w:color="auto"/>
      </w:divBdr>
    </w:div>
    <w:div w:id="228349578">
      <w:bodyDiv w:val="1"/>
      <w:marLeft w:val="0"/>
      <w:marRight w:val="0"/>
      <w:marTop w:val="0"/>
      <w:marBottom w:val="0"/>
      <w:divBdr>
        <w:top w:val="none" w:sz="0" w:space="0" w:color="auto"/>
        <w:left w:val="none" w:sz="0" w:space="0" w:color="auto"/>
        <w:bottom w:val="none" w:sz="0" w:space="0" w:color="auto"/>
        <w:right w:val="none" w:sz="0" w:space="0" w:color="auto"/>
      </w:divBdr>
    </w:div>
    <w:div w:id="272518541">
      <w:bodyDiv w:val="1"/>
      <w:marLeft w:val="0"/>
      <w:marRight w:val="0"/>
      <w:marTop w:val="0"/>
      <w:marBottom w:val="0"/>
      <w:divBdr>
        <w:top w:val="none" w:sz="0" w:space="0" w:color="auto"/>
        <w:left w:val="none" w:sz="0" w:space="0" w:color="auto"/>
        <w:bottom w:val="none" w:sz="0" w:space="0" w:color="auto"/>
        <w:right w:val="none" w:sz="0" w:space="0" w:color="auto"/>
      </w:divBdr>
    </w:div>
    <w:div w:id="316957158">
      <w:bodyDiv w:val="1"/>
      <w:marLeft w:val="0"/>
      <w:marRight w:val="0"/>
      <w:marTop w:val="0"/>
      <w:marBottom w:val="0"/>
      <w:divBdr>
        <w:top w:val="none" w:sz="0" w:space="0" w:color="auto"/>
        <w:left w:val="none" w:sz="0" w:space="0" w:color="auto"/>
        <w:bottom w:val="none" w:sz="0" w:space="0" w:color="auto"/>
        <w:right w:val="none" w:sz="0" w:space="0" w:color="auto"/>
      </w:divBdr>
    </w:div>
    <w:div w:id="319698337">
      <w:bodyDiv w:val="1"/>
      <w:marLeft w:val="0"/>
      <w:marRight w:val="0"/>
      <w:marTop w:val="0"/>
      <w:marBottom w:val="0"/>
      <w:divBdr>
        <w:top w:val="none" w:sz="0" w:space="0" w:color="auto"/>
        <w:left w:val="none" w:sz="0" w:space="0" w:color="auto"/>
        <w:bottom w:val="none" w:sz="0" w:space="0" w:color="auto"/>
        <w:right w:val="none" w:sz="0" w:space="0" w:color="auto"/>
      </w:divBdr>
    </w:div>
    <w:div w:id="356082496">
      <w:bodyDiv w:val="1"/>
      <w:marLeft w:val="0"/>
      <w:marRight w:val="0"/>
      <w:marTop w:val="0"/>
      <w:marBottom w:val="0"/>
      <w:divBdr>
        <w:top w:val="none" w:sz="0" w:space="0" w:color="auto"/>
        <w:left w:val="none" w:sz="0" w:space="0" w:color="auto"/>
        <w:bottom w:val="none" w:sz="0" w:space="0" w:color="auto"/>
        <w:right w:val="none" w:sz="0" w:space="0" w:color="auto"/>
      </w:divBdr>
    </w:div>
    <w:div w:id="358287481">
      <w:bodyDiv w:val="1"/>
      <w:marLeft w:val="0"/>
      <w:marRight w:val="0"/>
      <w:marTop w:val="0"/>
      <w:marBottom w:val="0"/>
      <w:divBdr>
        <w:top w:val="none" w:sz="0" w:space="0" w:color="auto"/>
        <w:left w:val="none" w:sz="0" w:space="0" w:color="auto"/>
        <w:bottom w:val="none" w:sz="0" w:space="0" w:color="auto"/>
        <w:right w:val="none" w:sz="0" w:space="0" w:color="auto"/>
      </w:divBdr>
    </w:div>
    <w:div w:id="362630341">
      <w:bodyDiv w:val="1"/>
      <w:marLeft w:val="0"/>
      <w:marRight w:val="0"/>
      <w:marTop w:val="0"/>
      <w:marBottom w:val="0"/>
      <w:divBdr>
        <w:top w:val="none" w:sz="0" w:space="0" w:color="auto"/>
        <w:left w:val="none" w:sz="0" w:space="0" w:color="auto"/>
        <w:bottom w:val="none" w:sz="0" w:space="0" w:color="auto"/>
        <w:right w:val="none" w:sz="0" w:space="0" w:color="auto"/>
      </w:divBdr>
    </w:div>
    <w:div w:id="367074976">
      <w:bodyDiv w:val="1"/>
      <w:marLeft w:val="0"/>
      <w:marRight w:val="0"/>
      <w:marTop w:val="0"/>
      <w:marBottom w:val="0"/>
      <w:divBdr>
        <w:top w:val="none" w:sz="0" w:space="0" w:color="auto"/>
        <w:left w:val="none" w:sz="0" w:space="0" w:color="auto"/>
        <w:bottom w:val="none" w:sz="0" w:space="0" w:color="auto"/>
        <w:right w:val="none" w:sz="0" w:space="0" w:color="auto"/>
      </w:divBdr>
    </w:div>
    <w:div w:id="402529893">
      <w:bodyDiv w:val="1"/>
      <w:marLeft w:val="0"/>
      <w:marRight w:val="0"/>
      <w:marTop w:val="0"/>
      <w:marBottom w:val="0"/>
      <w:divBdr>
        <w:top w:val="none" w:sz="0" w:space="0" w:color="auto"/>
        <w:left w:val="none" w:sz="0" w:space="0" w:color="auto"/>
        <w:bottom w:val="none" w:sz="0" w:space="0" w:color="auto"/>
        <w:right w:val="none" w:sz="0" w:space="0" w:color="auto"/>
      </w:divBdr>
    </w:div>
    <w:div w:id="445662080">
      <w:bodyDiv w:val="1"/>
      <w:marLeft w:val="0"/>
      <w:marRight w:val="0"/>
      <w:marTop w:val="0"/>
      <w:marBottom w:val="0"/>
      <w:divBdr>
        <w:top w:val="none" w:sz="0" w:space="0" w:color="auto"/>
        <w:left w:val="none" w:sz="0" w:space="0" w:color="auto"/>
        <w:bottom w:val="none" w:sz="0" w:space="0" w:color="auto"/>
        <w:right w:val="none" w:sz="0" w:space="0" w:color="auto"/>
      </w:divBdr>
    </w:div>
    <w:div w:id="453065056">
      <w:bodyDiv w:val="1"/>
      <w:marLeft w:val="0"/>
      <w:marRight w:val="0"/>
      <w:marTop w:val="0"/>
      <w:marBottom w:val="0"/>
      <w:divBdr>
        <w:top w:val="none" w:sz="0" w:space="0" w:color="auto"/>
        <w:left w:val="none" w:sz="0" w:space="0" w:color="auto"/>
        <w:bottom w:val="none" w:sz="0" w:space="0" w:color="auto"/>
        <w:right w:val="none" w:sz="0" w:space="0" w:color="auto"/>
      </w:divBdr>
    </w:div>
    <w:div w:id="550113336">
      <w:bodyDiv w:val="1"/>
      <w:marLeft w:val="0"/>
      <w:marRight w:val="0"/>
      <w:marTop w:val="0"/>
      <w:marBottom w:val="0"/>
      <w:divBdr>
        <w:top w:val="none" w:sz="0" w:space="0" w:color="auto"/>
        <w:left w:val="none" w:sz="0" w:space="0" w:color="auto"/>
        <w:bottom w:val="none" w:sz="0" w:space="0" w:color="auto"/>
        <w:right w:val="none" w:sz="0" w:space="0" w:color="auto"/>
      </w:divBdr>
    </w:div>
    <w:div w:id="571550872">
      <w:bodyDiv w:val="1"/>
      <w:marLeft w:val="0"/>
      <w:marRight w:val="0"/>
      <w:marTop w:val="0"/>
      <w:marBottom w:val="0"/>
      <w:divBdr>
        <w:top w:val="none" w:sz="0" w:space="0" w:color="auto"/>
        <w:left w:val="none" w:sz="0" w:space="0" w:color="auto"/>
        <w:bottom w:val="none" w:sz="0" w:space="0" w:color="auto"/>
        <w:right w:val="none" w:sz="0" w:space="0" w:color="auto"/>
      </w:divBdr>
    </w:div>
    <w:div w:id="601374133">
      <w:bodyDiv w:val="1"/>
      <w:marLeft w:val="0"/>
      <w:marRight w:val="0"/>
      <w:marTop w:val="0"/>
      <w:marBottom w:val="0"/>
      <w:divBdr>
        <w:top w:val="none" w:sz="0" w:space="0" w:color="auto"/>
        <w:left w:val="none" w:sz="0" w:space="0" w:color="auto"/>
        <w:bottom w:val="none" w:sz="0" w:space="0" w:color="auto"/>
        <w:right w:val="none" w:sz="0" w:space="0" w:color="auto"/>
      </w:divBdr>
    </w:div>
    <w:div w:id="631180732">
      <w:bodyDiv w:val="1"/>
      <w:marLeft w:val="0"/>
      <w:marRight w:val="0"/>
      <w:marTop w:val="0"/>
      <w:marBottom w:val="0"/>
      <w:divBdr>
        <w:top w:val="none" w:sz="0" w:space="0" w:color="auto"/>
        <w:left w:val="none" w:sz="0" w:space="0" w:color="auto"/>
        <w:bottom w:val="none" w:sz="0" w:space="0" w:color="auto"/>
        <w:right w:val="none" w:sz="0" w:space="0" w:color="auto"/>
      </w:divBdr>
    </w:div>
    <w:div w:id="640110264">
      <w:bodyDiv w:val="1"/>
      <w:marLeft w:val="0"/>
      <w:marRight w:val="0"/>
      <w:marTop w:val="0"/>
      <w:marBottom w:val="0"/>
      <w:divBdr>
        <w:top w:val="none" w:sz="0" w:space="0" w:color="auto"/>
        <w:left w:val="none" w:sz="0" w:space="0" w:color="auto"/>
        <w:bottom w:val="none" w:sz="0" w:space="0" w:color="auto"/>
        <w:right w:val="none" w:sz="0" w:space="0" w:color="auto"/>
      </w:divBdr>
    </w:div>
    <w:div w:id="695883579">
      <w:bodyDiv w:val="1"/>
      <w:marLeft w:val="0"/>
      <w:marRight w:val="0"/>
      <w:marTop w:val="0"/>
      <w:marBottom w:val="0"/>
      <w:divBdr>
        <w:top w:val="none" w:sz="0" w:space="0" w:color="auto"/>
        <w:left w:val="none" w:sz="0" w:space="0" w:color="auto"/>
        <w:bottom w:val="none" w:sz="0" w:space="0" w:color="auto"/>
        <w:right w:val="none" w:sz="0" w:space="0" w:color="auto"/>
      </w:divBdr>
    </w:div>
    <w:div w:id="695927785">
      <w:bodyDiv w:val="1"/>
      <w:marLeft w:val="0"/>
      <w:marRight w:val="0"/>
      <w:marTop w:val="0"/>
      <w:marBottom w:val="0"/>
      <w:divBdr>
        <w:top w:val="none" w:sz="0" w:space="0" w:color="auto"/>
        <w:left w:val="none" w:sz="0" w:space="0" w:color="auto"/>
        <w:bottom w:val="none" w:sz="0" w:space="0" w:color="auto"/>
        <w:right w:val="none" w:sz="0" w:space="0" w:color="auto"/>
      </w:divBdr>
    </w:div>
    <w:div w:id="726614738">
      <w:bodyDiv w:val="1"/>
      <w:marLeft w:val="0"/>
      <w:marRight w:val="0"/>
      <w:marTop w:val="0"/>
      <w:marBottom w:val="0"/>
      <w:divBdr>
        <w:top w:val="none" w:sz="0" w:space="0" w:color="auto"/>
        <w:left w:val="none" w:sz="0" w:space="0" w:color="auto"/>
        <w:bottom w:val="none" w:sz="0" w:space="0" w:color="auto"/>
        <w:right w:val="none" w:sz="0" w:space="0" w:color="auto"/>
      </w:divBdr>
    </w:div>
    <w:div w:id="750156760">
      <w:bodyDiv w:val="1"/>
      <w:marLeft w:val="0"/>
      <w:marRight w:val="0"/>
      <w:marTop w:val="0"/>
      <w:marBottom w:val="0"/>
      <w:divBdr>
        <w:top w:val="none" w:sz="0" w:space="0" w:color="auto"/>
        <w:left w:val="none" w:sz="0" w:space="0" w:color="auto"/>
        <w:bottom w:val="none" w:sz="0" w:space="0" w:color="auto"/>
        <w:right w:val="none" w:sz="0" w:space="0" w:color="auto"/>
      </w:divBdr>
    </w:div>
    <w:div w:id="826946082">
      <w:bodyDiv w:val="1"/>
      <w:marLeft w:val="0"/>
      <w:marRight w:val="0"/>
      <w:marTop w:val="0"/>
      <w:marBottom w:val="0"/>
      <w:divBdr>
        <w:top w:val="none" w:sz="0" w:space="0" w:color="auto"/>
        <w:left w:val="none" w:sz="0" w:space="0" w:color="auto"/>
        <w:bottom w:val="none" w:sz="0" w:space="0" w:color="auto"/>
        <w:right w:val="none" w:sz="0" w:space="0" w:color="auto"/>
      </w:divBdr>
    </w:div>
    <w:div w:id="863831689">
      <w:bodyDiv w:val="1"/>
      <w:marLeft w:val="0"/>
      <w:marRight w:val="0"/>
      <w:marTop w:val="0"/>
      <w:marBottom w:val="0"/>
      <w:divBdr>
        <w:top w:val="none" w:sz="0" w:space="0" w:color="auto"/>
        <w:left w:val="none" w:sz="0" w:space="0" w:color="auto"/>
        <w:bottom w:val="none" w:sz="0" w:space="0" w:color="auto"/>
        <w:right w:val="none" w:sz="0" w:space="0" w:color="auto"/>
      </w:divBdr>
    </w:div>
    <w:div w:id="936062497">
      <w:bodyDiv w:val="1"/>
      <w:marLeft w:val="0"/>
      <w:marRight w:val="0"/>
      <w:marTop w:val="0"/>
      <w:marBottom w:val="0"/>
      <w:divBdr>
        <w:top w:val="none" w:sz="0" w:space="0" w:color="auto"/>
        <w:left w:val="none" w:sz="0" w:space="0" w:color="auto"/>
        <w:bottom w:val="none" w:sz="0" w:space="0" w:color="auto"/>
        <w:right w:val="none" w:sz="0" w:space="0" w:color="auto"/>
      </w:divBdr>
    </w:div>
    <w:div w:id="1023559689">
      <w:bodyDiv w:val="1"/>
      <w:marLeft w:val="0"/>
      <w:marRight w:val="0"/>
      <w:marTop w:val="0"/>
      <w:marBottom w:val="0"/>
      <w:divBdr>
        <w:top w:val="none" w:sz="0" w:space="0" w:color="auto"/>
        <w:left w:val="none" w:sz="0" w:space="0" w:color="auto"/>
        <w:bottom w:val="none" w:sz="0" w:space="0" w:color="auto"/>
        <w:right w:val="none" w:sz="0" w:space="0" w:color="auto"/>
      </w:divBdr>
    </w:div>
    <w:div w:id="1132285662">
      <w:bodyDiv w:val="1"/>
      <w:marLeft w:val="0"/>
      <w:marRight w:val="0"/>
      <w:marTop w:val="0"/>
      <w:marBottom w:val="0"/>
      <w:divBdr>
        <w:top w:val="none" w:sz="0" w:space="0" w:color="auto"/>
        <w:left w:val="none" w:sz="0" w:space="0" w:color="auto"/>
        <w:bottom w:val="none" w:sz="0" w:space="0" w:color="auto"/>
        <w:right w:val="none" w:sz="0" w:space="0" w:color="auto"/>
      </w:divBdr>
    </w:div>
    <w:div w:id="1196237853">
      <w:bodyDiv w:val="1"/>
      <w:marLeft w:val="0"/>
      <w:marRight w:val="0"/>
      <w:marTop w:val="0"/>
      <w:marBottom w:val="0"/>
      <w:divBdr>
        <w:top w:val="none" w:sz="0" w:space="0" w:color="auto"/>
        <w:left w:val="none" w:sz="0" w:space="0" w:color="auto"/>
        <w:bottom w:val="none" w:sz="0" w:space="0" w:color="auto"/>
        <w:right w:val="none" w:sz="0" w:space="0" w:color="auto"/>
      </w:divBdr>
    </w:div>
    <w:div w:id="1217862172">
      <w:bodyDiv w:val="1"/>
      <w:marLeft w:val="0"/>
      <w:marRight w:val="0"/>
      <w:marTop w:val="0"/>
      <w:marBottom w:val="0"/>
      <w:divBdr>
        <w:top w:val="none" w:sz="0" w:space="0" w:color="auto"/>
        <w:left w:val="none" w:sz="0" w:space="0" w:color="auto"/>
        <w:bottom w:val="none" w:sz="0" w:space="0" w:color="auto"/>
        <w:right w:val="none" w:sz="0" w:space="0" w:color="auto"/>
      </w:divBdr>
    </w:div>
    <w:div w:id="1244026969">
      <w:bodyDiv w:val="1"/>
      <w:marLeft w:val="0"/>
      <w:marRight w:val="0"/>
      <w:marTop w:val="0"/>
      <w:marBottom w:val="0"/>
      <w:divBdr>
        <w:top w:val="none" w:sz="0" w:space="0" w:color="auto"/>
        <w:left w:val="none" w:sz="0" w:space="0" w:color="auto"/>
        <w:bottom w:val="none" w:sz="0" w:space="0" w:color="auto"/>
        <w:right w:val="none" w:sz="0" w:space="0" w:color="auto"/>
      </w:divBdr>
    </w:div>
    <w:div w:id="1357346580">
      <w:bodyDiv w:val="1"/>
      <w:marLeft w:val="0"/>
      <w:marRight w:val="0"/>
      <w:marTop w:val="0"/>
      <w:marBottom w:val="0"/>
      <w:divBdr>
        <w:top w:val="none" w:sz="0" w:space="0" w:color="auto"/>
        <w:left w:val="none" w:sz="0" w:space="0" w:color="auto"/>
        <w:bottom w:val="none" w:sz="0" w:space="0" w:color="auto"/>
        <w:right w:val="none" w:sz="0" w:space="0" w:color="auto"/>
      </w:divBdr>
    </w:div>
    <w:div w:id="1399743129">
      <w:bodyDiv w:val="1"/>
      <w:marLeft w:val="0"/>
      <w:marRight w:val="0"/>
      <w:marTop w:val="0"/>
      <w:marBottom w:val="0"/>
      <w:divBdr>
        <w:top w:val="none" w:sz="0" w:space="0" w:color="auto"/>
        <w:left w:val="none" w:sz="0" w:space="0" w:color="auto"/>
        <w:bottom w:val="none" w:sz="0" w:space="0" w:color="auto"/>
        <w:right w:val="none" w:sz="0" w:space="0" w:color="auto"/>
      </w:divBdr>
    </w:div>
    <w:div w:id="1453013729">
      <w:bodyDiv w:val="1"/>
      <w:marLeft w:val="0"/>
      <w:marRight w:val="0"/>
      <w:marTop w:val="0"/>
      <w:marBottom w:val="0"/>
      <w:divBdr>
        <w:top w:val="none" w:sz="0" w:space="0" w:color="auto"/>
        <w:left w:val="none" w:sz="0" w:space="0" w:color="auto"/>
        <w:bottom w:val="none" w:sz="0" w:space="0" w:color="auto"/>
        <w:right w:val="none" w:sz="0" w:space="0" w:color="auto"/>
      </w:divBdr>
    </w:div>
    <w:div w:id="1458177319">
      <w:bodyDiv w:val="1"/>
      <w:marLeft w:val="0"/>
      <w:marRight w:val="0"/>
      <w:marTop w:val="0"/>
      <w:marBottom w:val="0"/>
      <w:divBdr>
        <w:top w:val="none" w:sz="0" w:space="0" w:color="auto"/>
        <w:left w:val="none" w:sz="0" w:space="0" w:color="auto"/>
        <w:bottom w:val="none" w:sz="0" w:space="0" w:color="auto"/>
        <w:right w:val="none" w:sz="0" w:space="0" w:color="auto"/>
      </w:divBdr>
    </w:div>
    <w:div w:id="1474181258">
      <w:bodyDiv w:val="1"/>
      <w:marLeft w:val="0"/>
      <w:marRight w:val="0"/>
      <w:marTop w:val="0"/>
      <w:marBottom w:val="0"/>
      <w:divBdr>
        <w:top w:val="none" w:sz="0" w:space="0" w:color="auto"/>
        <w:left w:val="none" w:sz="0" w:space="0" w:color="auto"/>
        <w:bottom w:val="none" w:sz="0" w:space="0" w:color="auto"/>
        <w:right w:val="none" w:sz="0" w:space="0" w:color="auto"/>
      </w:divBdr>
    </w:div>
    <w:div w:id="1499074986">
      <w:bodyDiv w:val="1"/>
      <w:marLeft w:val="0"/>
      <w:marRight w:val="0"/>
      <w:marTop w:val="0"/>
      <w:marBottom w:val="0"/>
      <w:divBdr>
        <w:top w:val="none" w:sz="0" w:space="0" w:color="auto"/>
        <w:left w:val="none" w:sz="0" w:space="0" w:color="auto"/>
        <w:bottom w:val="none" w:sz="0" w:space="0" w:color="auto"/>
        <w:right w:val="none" w:sz="0" w:space="0" w:color="auto"/>
      </w:divBdr>
    </w:div>
    <w:div w:id="1576432616">
      <w:bodyDiv w:val="1"/>
      <w:marLeft w:val="0"/>
      <w:marRight w:val="0"/>
      <w:marTop w:val="0"/>
      <w:marBottom w:val="0"/>
      <w:divBdr>
        <w:top w:val="none" w:sz="0" w:space="0" w:color="auto"/>
        <w:left w:val="none" w:sz="0" w:space="0" w:color="auto"/>
        <w:bottom w:val="none" w:sz="0" w:space="0" w:color="auto"/>
        <w:right w:val="none" w:sz="0" w:space="0" w:color="auto"/>
      </w:divBdr>
    </w:div>
    <w:div w:id="1635257476">
      <w:bodyDiv w:val="1"/>
      <w:marLeft w:val="0"/>
      <w:marRight w:val="0"/>
      <w:marTop w:val="0"/>
      <w:marBottom w:val="0"/>
      <w:divBdr>
        <w:top w:val="none" w:sz="0" w:space="0" w:color="auto"/>
        <w:left w:val="none" w:sz="0" w:space="0" w:color="auto"/>
        <w:bottom w:val="none" w:sz="0" w:space="0" w:color="auto"/>
        <w:right w:val="none" w:sz="0" w:space="0" w:color="auto"/>
      </w:divBdr>
    </w:div>
    <w:div w:id="1672638994">
      <w:bodyDiv w:val="1"/>
      <w:marLeft w:val="0"/>
      <w:marRight w:val="0"/>
      <w:marTop w:val="0"/>
      <w:marBottom w:val="0"/>
      <w:divBdr>
        <w:top w:val="none" w:sz="0" w:space="0" w:color="auto"/>
        <w:left w:val="none" w:sz="0" w:space="0" w:color="auto"/>
        <w:bottom w:val="none" w:sz="0" w:space="0" w:color="auto"/>
        <w:right w:val="none" w:sz="0" w:space="0" w:color="auto"/>
      </w:divBdr>
    </w:div>
    <w:div w:id="1678846518">
      <w:bodyDiv w:val="1"/>
      <w:marLeft w:val="0"/>
      <w:marRight w:val="0"/>
      <w:marTop w:val="0"/>
      <w:marBottom w:val="0"/>
      <w:divBdr>
        <w:top w:val="none" w:sz="0" w:space="0" w:color="auto"/>
        <w:left w:val="none" w:sz="0" w:space="0" w:color="auto"/>
        <w:bottom w:val="none" w:sz="0" w:space="0" w:color="auto"/>
        <w:right w:val="none" w:sz="0" w:space="0" w:color="auto"/>
      </w:divBdr>
    </w:div>
    <w:div w:id="1686053061">
      <w:bodyDiv w:val="1"/>
      <w:marLeft w:val="0"/>
      <w:marRight w:val="0"/>
      <w:marTop w:val="0"/>
      <w:marBottom w:val="0"/>
      <w:divBdr>
        <w:top w:val="none" w:sz="0" w:space="0" w:color="auto"/>
        <w:left w:val="none" w:sz="0" w:space="0" w:color="auto"/>
        <w:bottom w:val="none" w:sz="0" w:space="0" w:color="auto"/>
        <w:right w:val="none" w:sz="0" w:space="0" w:color="auto"/>
      </w:divBdr>
    </w:div>
    <w:div w:id="1735393510">
      <w:bodyDiv w:val="1"/>
      <w:marLeft w:val="0"/>
      <w:marRight w:val="0"/>
      <w:marTop w:val="0"/>
      <w:marBottom w:val="0"/>
      <w:divBdr>
        <w:top w:val="none" w:sz="0" w:space="0" w:color="auto"/>
        <w:left w:val="none" w:sz="0" w:space="0" w:color="auto"/>
        <w:bottom w:val="none" w:sz="0" w:space="0" w:color="auto"/>
        <w:right w:val="none" w:sz="0" w:space="0" w:color="auto"/>
      </w:divBdr>
    </w:div>
    <w:div w:id="1811557134">
      <w:bodyDiv w:val="1"/>
      <w:marLeft w:val="0"/>
      <w:marRight w:val="0"/>
      <w:marTop w:val="0"/>
      <w:marBottom w:val="0"/>
      <w:divBdr>
        <w:top w:val="none" w:sz="0" w:space="0" w:color="auto"/>
        <w:left w:val="none" w:sz="0" w:space="0" w:color="auto"/>
        <w:bottom w:val="none" w:sz="0" w:space="0" w:color="auto"/>
        <w:right w:val="none" w:sz="0" w:space="0" w:color="auto"/>
      </w:divBdr>
    </w:div>
    <w:div w:id="1831405348">
      <w:bodyDiv w:val="1"/>
      <w:marLeft w:val="0"/>
      <w:marRight w:val="0"/>
      <w:marTop w:val="0"/>
      <w:marBottom w:val="0"/>
      <w:divBdr>
        <w:top w:val="none" w:sz="0" w:space="0" w:color="auto"/>
        <w:left w:val="none" w:sz="0" w:space="0" w:color="auto"/>
        <w:bottom w:val="none" w:sz="0" w:space="0" w:color="auto"/>
        <w:right w:val="none" w:sz="0" w:space="0" w:color="auto"/>
      </w:divBdr>
    </w:div>
    <w:div w:id="1853374368">
      <w:bodyDiv w:val="1"/>
      <w:marLeft w:val="0"/>
      <w:marRight w:val="0"/>
      <w:marTop w:val="0"/>
      <w:marBottom w:val="0"/>
      <w:divBdr>
        <w:top w:val="none" w:sz="0" w:space="0" w:color="auto"/>
        <w:left w:val="none" w:sz="0" w:space="0" w:color="auto"/>
        <w:bottom w:val="none" w:sz="0" w:space="0" w:color="auto"/>
        <w:right w:val="none" w:sz="0" w:space="0" w:color="auto"/>
      </w:divBdr>
    </w:div>
    <w:div w:id="1874733324">
      <w:bodyDiv w:val="1"/>
      <w:marLeft w:val="0"/>
      <w:marRight w:val="0"/>
      <w:marTop w:val="0"/>
      <w:marBottom w:val="0"/>
      <w:divBdr>
        <w:top w:val="none" w:sz="0" w:space="0" w:color="auto"/>
        <w:left w:val="none" w:sz="0" w:space="0" w:color="auto"/>
        <w:bottom w:val="none" w:sz="0" w:space="0" w:color="auto"/>
        <w:right w:val="none" w:sz="0" w:space="0" w:color="auto"/>
      </w:divBdr>
    </w:div>
    <w:div w:id="1876655805">
      <w:bodyDiv w:val="1"/>
      <w:marLeft w:val="0"/>
      <w:marRight w:val="0"/>
      <w:marTop w:val="0"/>
      <w:marBottom w:val="0"/>
      <w:divBdr>
        <w:top w:val="none" w:sz="0" w:space="0" w:color="auto"/>
        <w:left w:val="none" w:sz="0" w:space="0" w:color="auto"/>
        <w:bottom w:val="none" w:sz="0" w:space="0" w:color="auto"/>
        <w:right w:val="none" w:sz="0" w:space="0" w:color="auto"/>
      </w:divBdr>
    </w:div>
    <w:div w:id="1889419235">
      <w:bodyDiv w:val="1"/>
      <w:marLeft w:val="0"/>
      <w:marRight w:val="0"/>
      <w:marTop w:val="0"/>
      <w:marBottom w:val="0"/>
      <w:divBdr>
        <w:top w:val="none" w:sz="0" w:space="0" w:color="auto"/>
        <w:left w:val="none" w:sz="0" w:space="0" w:color="auto"/>
        <w:bottom w:val="none" w:sz="0" w:space="0" w:color="auto"/>
        <w:right w:val="none" w:sz="0" w:space="0" w:color="auto"/>
      </w:divBdr>
    </w:div>
    <w:div w:id="1976982354">
      <w:bodyDiv w:val="1"/>
      <w:marLeft w:val="0"/>
      <w:marRight w:val="0"/>
      <w:marTop w:val="0"/>
      <w:marBottom w:val="0"/>
      <w:divBdr>
        <w:top w:val="none" w:sz="0" w:space="0" w:color="auto"/>
        <w:left w:val="none" w:sz="0" w:space="0" w:color="auto"/>
        <w:bottom w:val="none" w:sz="0" w:space="0" w:color="auto"/>
        <w:right w:val="none" w:sz="0" w:space="0" w:color="auto"/>
      </w:divBdr>
    </w:div>
    <w:div w:id="2025091313">
      <w:bodyDiv w:val="1"/>
      <w:marLeft w:val="0"/>
      <w:marRight w:val="0"/>
      <w:marTop w:val="0"/>
      <w:marBottom w:val="0"/>
      <w:divBdr>
        <w:top w:val="none" w:sz="0" w:space="0" w:color="auto"/>
        <w:left w:val="none" w:sz="0" w:space="0" w:color="auto"/>
        <w:bottom w:val="none" w:sz="0" w:space="0" w:color="auto"/>
        <w:right w:val="none" w:sz="0" w:space="0" w:color="auto"/>
      </w:divBdr>
    </w:div>
    <w:div w:id="2026125359">
      <w:bodyDiv w:val="1"/>
      <w:marLeft w:val="0"/>
      <w:marRight w:val="0"/>
      <w:marTop w:val="0"/>
      <w:marBottom w:val="0"/>
      <w:divBdr>
        <w:top w:val="none" w:sz="0" w:space="0" w:color="auto"/>
        <w:left w:val="none" w:sz="0" w:space="0" w:color="auto"/>
        <w:bottom w:val="none" w:sz="0" w:space="0" w:color="auto"/>
        <w:right w:val="none" w:sz="0" w:space="0" w:color="auto"/>
      </w:divBdr>
    </w:div>
    <w:div w:id="2094426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jrar.org/papers/IJRAR1CBP130.pdf?u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jbmer.com/docs/volumes/vol15issue2/ijbmer2024150203.pdf?u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ijms.ut.ac.ir/article_82863_9593d65c29a5af008b854910b9c558dc.pdf?utm" TargetMode="Externa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managejournal.com/assets/archives/2020/vol6issue2/6-1-39-950.pdf?ut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1.82</c:v>
                </c:pt>
                <c:pt idx="1">
                  <c:v>1.56</c:v>
                </c:pt>
                <c:pt idx="2">
                  <c:v>1.56</c:v>
                </c:pt>
                <c:pt idx="3">
                  <c:v>1.61</c:v>
                </c:pt>
                <c:pt idx="4">
                  <c:v>1.53</c:v>
                </c:pt>
              </c:numCache>
            </c:numRef>
          </c:val>
          <c:smooth val="0"/>
          <c:extLst>
            <c:ext xmlns:c16="http://schemas.microsoft.com/office/drawing/2014/chart" uri="{C3380CC4-5D6E-409C-BE32-E72D297353CC}">
              <c16:uniqueId val="{00000000-A92F-304D-83CD-F4ED6772FAD3}"/>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42543184"/>
        <c:axId val="-142541552"/>
      </c:lineChart>
      <c:catAx>
        <c:axId val="-14254318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42541552"/>
        <c:crosses val="autoZero"/>
        <c:auto val="1"/>
        <c:lblAlgn val="ctr"/>
        <c:lblOffset val="100"/>
        <c:noMultiLvlLbl val="0"/>
      </c:catAx>
      <c:valAx>
        <c:axId val="-1425415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42543184"/>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Quick Ratio</c:v>
                </c:pt>
              </c:strCache>
            </c:strRef>
          </c:tx>
          <c:spPr>
            <a:ln w="22225" cap="rnd" cmpd="sng" algn="ctr">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1.1499999999999999</c:v>
                </c:pt>
                <c:pt idx="1">
                  <c:v>0.93</c:v>
                </c:pt>
                <c:pt idx="2">
                  <c:v>0.91</c:v>
                </c:pt>
                <c:pt idx="3">
                  <c:v>1.06</c:v>
                </c:pt>
                <c:pt idx="4">
                  <c:v>1.03</c:v>
                </c:pt>
              </c:numCache>
            </c:numRef>
          </c:val>
          <c:smooth val="0"/>
          <c:extLst>
            <c:ext xmlns:c16="http://schemas.microsoft.com/office/drawing/2014/chart" uri="{C3380CC4-5D6E-409C-BE32-E72D297353CC}">
              <c16:uniqueId val="{00000000-6EA1-A94E-9C02-077246FE3CF8}"/>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42540464"/>
        <c:axId val="-234783856"/>
      </c:lineChart>
      <c:catAx>
        <c:axId val="-14254046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4783856"/>
        <c:crosses val="autoZero"/>
        <c:auto val="1"/>
        <c:lblAlgn val="ctr"/>
        <c:lblOffset val="100"/>
        <c:noMultiLvlLbl val="0"/>
      </c:catAx>
      <c:valAx>
        <c:axId val="-234783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42540464"/>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 Inventory Turnover</c:v>
                </c:pt>
              </c:strCache>
            </c:strRef>
          </c:tx>
          <c:spPr>
            <a:ln w="22225" cap="rnd" cmpd="sng" algn="ctr">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3.64</c:v>
                </c:pt>
                <c:pt idx="1">
                  <c:v>3.19</c:v>
                </c:pt>
                <c:pt idx="2">
                  <c:v>2.79</c:v>
                </c:pt>
                <c:pt idx="3">
                  <c:v>3.66</c:v>
                </c:pt>
                <c:pt idx="4">
                  <c:v>3.54</c:v>
                </c:pt>
              </c:numCache>
            </c:numRef>
          </c:val>
          <c:smooth val="0"/>
          <c:extLst>
            <c:ext xmlns:c16="http://schemas.microsoft.com/office/drawing/2014/chart" uri="{C3380CC4-5D6E-409C-BE32-E72D297353CC}">
              <c16:uniqueId val="{00000000-F5A7-7241-894A-6D6C96CFB8C4}"/>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34784400"/>
        <c:axId val="-234782224"/>
      </c:lineChart>
      <c:catAx>
        <c:axId val="-23478440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4782224"/>
        <c:crosses val="autoZero"/>
        <c:auto val="1"/>
        <c:lblAlgn val="ctr"/>
        <c:lblOffset val="100"/>
        <c:noMultiLvlLbl val="0"/>
      </c:catAx>
      <c:valAx>
        <c:axId val="-2347822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34784400"/>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200F4-466A-4F09-9704-1CAAFFBC3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1</Pages>
  <Words>7684</Words>
  <Characters>39501</Characters>
  <Application>Microsoft Office Word</Application>
  <DocSecurity>0</DocSecurity>
  <Lines>1881</Lines>
  <Paragraphs>1572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Sadman Ahmed Sunny</cp:lastModifiedBy>
  <cp:revision>5</cp:revision>
  <dcterms:created xsi:type="dcterms:W3CDTF">2025-12-14T20:46:00Z</dcterms:created>
  <dcterms:modified xsi:type="dcterms:W3CDTF">2025-12-20T22:25:00Z</dcterms:modified>
</cp:coreProperties>
</file>