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1D68" w:rsidRDefault="00C77C46">
      <w:pPr>
        <w:jc w:val="center"/>
      </w:pPr>
      <w:r>
        <w:rPr>
          <w:noProof/>
          <w:lang w:val="en-US" w:bidi="gu-IN"/>
        </w:rPr>
        <w:drawing>
          <wp:inline distT="0" distB="0" distL="0" distR="0">
            <wp:extent cx="2816223" cy="673098"/>
            <wp:effectExtent l="0" t="0" r="0" b="0"/>
            <wp:docPr id="15629229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816223" cy="673098"/>
                    </a:xfrm>
                    <a:prstGeom prst="rect">
                      <a:avLst/>
                    </a:prstGeom>
                    <a:noFill/>
                    <a:ln>
                      <a:noFill/>
                      <a:prstDash/>
                    </a:ln>
                  </pic:spPr>
                </pic:pic>
              </a:graphicData>
            </a:graphic>
          </wp:inline>
        </w:drawing>
      </w:r>
    </w:p>
    <w:p w:rsidR="006D1D68" w:rsidRDefault="00C77C46">
      <w:pPr>
        <w:spacing w:line="240" w:lineRule="auto"/>
        <w:jc w:val="center"/>
        <w:rPr>
          <w:sz w:val="38"/>
          <w:szCs w:val="38"/>
        </w:rPr>
      </w:pPr>
      <w:r>
        <w:rPr>
          <w:sz w:val="38"/>
          <w:szCs w:val="38"/>
        </w:rPr>
        <w:t>Master of Business Administration</w:t>
      </w:r>
    </w:p>
    <w:p w:rsidR="006D1D68" w:rsidRDefault="00C77C46">
      <w:pPr>
        <w:spacing w:line="240" w:lineRule="auto"/>
        <w:jc w:val="center"/>
        <w:rPr>
          <w:sz w:val="32"/>
          <w:szCs w:val="32"/>
        </w:rPr>
      </w:pPr>
      <w:r>
        <w:rPr>
          <w:sz w:val="32"/>
          <w:szCs w:val="32"/>
        </w:rPr>
        <w:t>International Business pathway</w:t>
      </w:r>
    </w:p>
    <w:p w:rsidR="006D1D68" w:rsidRDefault="00C77C46">
      <w:pPr>
        <w:jc w:val="center"/>
        <w:rPr>
          <w:rFonts w:ascii="Arial" w:hAnsi="Arial" w:cs="Arial"/>
          <w:b/>
          <w:bCs/>
          <w:color w:val="EE0000"/>
          <w:sz w:val="48"/>
          <w:szCs w:val="48"/>
        </w:rPr>
      </w:pPr>
      <w:r>
        <w:rPr>
          <w:rFonts w:ascii="Arial" w:hAnsi="Arial" w:cs="Arial"/>
          <w:b/>
          <w:bCs/>
          <w:color w:val="EE0000"/>
          <w:sz w:val="48"/>
          <w:szCs w:val="48"/>
        </w:rPr>
        <w:t>International Business Concepts</w:t>
      </w:r>
    </w:p>
    <w:p w:rsidR="006D1D68" w:rsidRDefault="00C77C46">
      <w:pPr>
        <w:jc w:val="center"/>
      </w:pPr>
      <w:r>
        <w:rPr>
          <w:sz w:val="28"/>
          <w:szCs w:val="28"/>
        </w:rPr>
        <w:t xml:space="preserve">Assessment </w:t>
      </w:r>
      <w:r>
        <w:rPr>
          <w:color w:val="EE0000"/>
          <w:sz w:val="28"/>
          <w:szCs w:val="28"/>
        </w:rPr>
        <w:t>1: Individual report</w:t>
      </w:r>
      <w:r>
        <w:rPr>
          <w:sz w:val="28"/>
          <w:szCs w:val="28"/>
        </w:rPr>
        <w:t xml:space="preserve">. Weight: </w:t>
      </w:r>
      <w:r>
        <w:rPr>
          <w:color w:val="EE0000"/>
          <w:sz w:val="28"/>
          <w:szCs w:val="28"/>
        </w:rPr>
        <w:t>100%</w:t>
      </w:r>
    </w:p>
    <w:p w:rsidR="006D1D68" w:rsidRDefault="00C77C46">
      <w:r>
        <w:rPr>
          <w:b/>
          <w:bCs/>
          <w:sz w:val="28"/>
          <w:szCs w:val="28"/>
        </w:rPr>
        <w:t>Module name: International Business Concepts</w:t>
      </w:r>
    </w:p>
    <w:p w:rsidR="006D1D68" w:rsidRDefault="00C77C46">
      <w:r>
        <w:rPr>
          <w:b/>
          <w:bCs/>
          <w:sz w:val="28"/>
          <w:szCs w:val="28"/>
        </w:rPr>
        <w:t>Module code</w:t>
      </w:r>
      <w:r>
        <w:rPr>
          <w:sz w:val="28"/>
          <w:szCs w:val="28"/>
        </w:rPr>
        <w:t>:</w:t>
      </w:r>
      <w:r w:rsidR="001357C3">
        <w:rPr>
          <w:sz w:val="28"/>
          <w:szCs w:val="28"/>
        </w:rPr>
        <w:t xml:space="preserve"> </w:t>
      </w:r>
      <w:r>
        <w:rPr>
          <w:rFonts w:ascii="Arial" w:hAnsi="Arial" w:cs="Arial"/>
          <w:sz w:val="28"/>
          <w:szCs w:val="28"/>
        </w:rPr>
        <w:t>LCMB7034</w:t>
      </w:r>
    </w:p>
    <w:p w:rsidR="006D1D68" w:rsidRDefault="00C77C46">
      <w:r>
        <w:rPr>
          <w:b/>
          <w:bCs/>
          <w:sz w:val="28"/>
          <w:szCs w:val="28"/>
        </w:rPr>
        <w:t xml:space="preserve">Topic name: </w:t>
      </w:r>
      <w:r>
        <w:rPr>
          <w:sz w:val="28"/>
          <w:szCs w:val="28"/>
        </w:rPr>
        <w:t xml:space="preserve">Costco- </w:t>
      </w:r>
      <w:r>
        <w:t>Bangladesh</w:t>
      </w:r>
    </w:p>
    <w:p w:rsidR="006D1D68" w:rsidRDefault="00C77C46">
      <w:r>
        <w:rPr>
          <w:b/>
          <w:bCs/>
          <w:sz w:val="28"/>
          <w:szCs w:val="28"/>
        </w:rPr>
        <w:t>Lecturer name</w:t>
      </w:r>
      <w:r>
        <w:rPr>
          <w:sz w:val="28"/>
          <w:szCs w:val="28"/>
        </w:rPr>
        <w:t>: Jean Wang</w:t>
      </w:r>
    </w:p>
    <w:p w:rsidR="006D1D68" w:rsidRDefault="00C77C46">
      <w:r>
        <w:rPr>
          <w:b/>
          <w:bCs/>
          <w:sz w:val="28"/>
          <w:szCs w:val="28"/>
        </w:rPr>
        <w:t>Student name</w:t>
      </w:r>
      <w:r>
        <w:rPr>
          <w:sz w:val="28"/>
          <w:szCs w:val="28"/>
        </w:rPr>
        <w:t>: Asthaben Rajubhai Chabhadiya</w:t>
      </w:r>
    </w:p>
    <w:p w:rsidR="006D1D68" w:rsidRDefault="00C77C46">
      <w:r>
        <w:rPr>
          <w:b/>
          <w:bCs/>
          <w:sz w:val="28"/>
          <w:szCs w:val="28"/>
        </w:rPr>
        <w:t>Student ID</w:t>
      </w:r>
      <w:r>
        <w:rPr>
          <w:sz w:val="28"/>
          <w:szCs w:val="28"/>
        </w:rPr>
        <w:t>: 2529402</w:t>
      </w:r>
    </w:p>
    <w:p w:rsidR="006D1D68" w:rsidRDefault="00C77C46">
      <w:r>
        <w:rPr>
          <w:b/>
          <w:bCs/>
          <w:sz w:val="28"/>
          <w:szCs w:val="28"/>
        </w:rPr>
        <w:t>Word count</w:t>
      </w:r>
      <w:r>
        <w:rPr>
          <w:sz w:val="28"/>
          <w:szCs w:val="28"/>
        </w:rPr>
        <w:t>:</w:t>
      </w:r>
      <w:r w:rsidR="001357C3">
        <w:rPr>
          <w:sz w:val="28"/>
          <w:szCs w:val="28"/>
        </w:rPr>
        <w:t xml:space="preserve"> </w:t>
      </w:r>
      <w:r>
        <w:rPr>
          <w:sz w:val="28"/>
          <w:szCs w:val="28"/>
        </w:rPr>
        <w:t>5095</w:t>
      </w:r>
    </w:p>
    <w:p w:rsidR="006D1D68" w:rsidRDefault="00C77C46">
      <w:r>
        <w:rPr>
          <w:b/>
          <w:bCs/>
          <w:sz w:val="28"/>
          <w:szCs w:val="28"/>
        </w:rPr>
        <w:t>Submission date</w:t>
      </w:r>
      <w:r>
        <w:rPr>
          <w:sz w:val="28"/>
          <w:szCs w:val="28"/>
        </w:rPr>
        <w:t>: 14</w:t>
      </w:r>
      <w:r>
        <w:rPr>
          <w:sz w:val="28"/>
          <w:szCs w:val="28"/>
          <w:vertAlign w:val="superscript"/>
        </w:rPr>
        <w:t>th</w:t>
      </w:r>
      <w:r>
        <w:rPr>
          <w:sz w:val="28"/>
          <w:szCs w:val="28"/>
        </w:rPr>
        <w:t xml:space="preserve"> August 2026</w:t>
      </w:r>
    </w:p>
    <w:p w:rsidR="006D1D68" w:rsidRDefault="006D1D68">
      <w:pPr>
        <w:pageBreakBefore/>
        <w:spacing w:line="256" w:lineRule="auto"/>
        <w:jc w:val="left"/>
      </w:pPr>
    </w:p>
    <w:p w:rsidR="006D1D68" w:rsidRDefault="00C77C46">
      <w:pPr>
        <w:pStyle w:val="Heading1"/>
      </w:pPr>
      <w:r>
        <w:t>AI use acknowledgement</w:t>
      </w:r>
    </w:p>
    <w:p w:rsidR="006D1D68" w:rsidRDefault="00C77C46">
      <w:pPr>
        <w:rPr>
          <w:b/>
          <w:bCs/>
          <w:u w:val="single"/>
        </w:rPr>
      </w:pPr>
      <w:r>
        <w:rPr>
          <w:b/>
          <w:bCs/>
          <w:u w:val="single"/>
        </w:rPr>
        <w:t>Note: One acknowledgement is needed for each used AI tool.</w:t>
      </w:r>
    </w:p>
    <w:p w:rsidR="006D1D68" w:rsidRDefault="00C77C46">
      <w:pPr>
        <w:rPr>
          <w:b/>
          <w:bCs/>
          <w:lang w:val="en-IN"/>
        </w:rPr>
      </w:pPr>
      <w:r>
        <w:rPr>
          <w:b/>
          <w:bCs/>
          <w:lang w:val="en-IN"/>
        </w:rPr>
        <w:t>1. Grammarly</w:t>
      </w:r>
    </w:p>
    <w:p w:rsidR="006D1D68" w:rsidRDefault="00C77C46">
      <w:r>
        <w:rPr>
          <w:lang w:val="en-IN"/>
        </w:rPr>
        <w:t xml:space="preserve">I acknowledge the use of Grammarly </w:t>
      </w:r>
      <w:r>
        <w:rPr>
          <w:lang w:val="en-IN"/>
        </w:rPr>
        <w:t>(</w:t>
      </w:r>
      <w:hyperlink r:id="rId8" w:history="1">
        <w:r>
          <w:rPr>
            <w:rStyle w:val="Hyperlink"/>
            <w:lang w:val="en-IN"/>
          </w:rPr>
          <w:t>https://www.grammarly.com/</w:t>
        </w:r>
      </w:hyperlink>
      <w:r>
        <w:rPr>
          <w:lang w:val="en-IN"/>
        </w:rPr>
        <w:t>) on 26 July 2026 to check grammar, spelling, sentence structure, clarity and readability of my assignment.</w:t>
      </w:r>
    </w:p>
    <w:p w:rsidR="006D1D68" w:rsidRDefault="00C77C46">
      <w:r>
        <w:rPr>
          <w:b/>
          <w:bCs/>
          <w:lang w:val="en-IN"/>
        </w:rPr>
        <w:t>Prompts used:</w:t>
      </w:r>
    </w:p>
    <w:p w:rsidR="006D1D68" w:rsidRDefault="00C77C46">
      <w:pPr>
        <w:numPr>
          <w:ilvl w:val="0"/>
          <w:numId w:val="1"/>
        </w:numPr>
        <w:rPr>
          <w:lang w:val="en-IN"/>
        </w:rPr>
      </w:pPr>
      <w:r>
        <w:rPr>
          <w:lang w:val="en-IN"/>
        </w:rPr>
        <w:t>“Please check this text for grammar, clarity and readability.”</w:t>
      </w:r>
    </w:p>
    <w:p w:rsidR="006D1D68" w:rsidRDefault="00C77C46">
      <w:pPr>
        <w:numPr>
          <w:ilvl w:val="0"/>
          <w:numId w:val="1"/>
        </w:numPr>
        <w:rPr>
          <w:lang w:val="en-IN"/>
        </w:rPr>
      </w:pPr>
      <w:r>
        <w:rPr>
          <w:lang w:val="en-IN"/>
        </w:rPr>
        <w:t>“Re</w:t>
      </w:r>
      <w:r>
        <w:rPr>
          <w:lang w:val="en-IN"/>
        </w:rPr>
        <w:t>view the citation formatting and referencing consistency in Harvard style.”</w:t>
      </w:r>
    </w:p>
    <w:p w:rsidR="006D1D68" w:rsidRDefault="00C77C46">
      <w:pPr>
        <w:rPr>
          <w:lang w:val="en-IN"/>
        </w:rPr>
      </w:pPr>
      <w:r>
        <w:rPr>
          <w:lang w:val="en-IN"/>
        </w:rPr>
        <w:t>I confirm that Grammarly was used only as a proofreading and editing tool. The research, arguments, analysis, interpretation and conclusions presented in this assignment are my own</w:t>
      </w:r>
      <w:r>
        <w:rPr>
          <w:lang w:val="en-IN"/>
        </w:rPr>
        <w:t xml:space="preserve"> work. I have retained my drafts, notes, sources and other supporting materials that may be used as evidence of my original work.</w:t>
      </w:r>
    </w:p>
    <w:p w:rsidR="006D1D68" w:rsidRDefault="00C77C46">
      <w:pPr>
        <w:rPr>
          <w:b/>
          <w:bCs/>
          <w:lang w:val="en-IN"/>
        </w:rPr>
      </w:pPr>
      <w:r>
        <w:rPr>
          <w:b/>
          <w:bCs/>
          <w:lang w:val="en-IN"/>
        </w:rPr>
        <w:t>2. Claude</w:t>
      </w:r>
    </w:p>
    <w:p w:rsidR="006D1D68" w:rsidRDefault="00C77C46">
      <w:r>
        <w:rPr>
          <w:lang w:val="en-IN"/>
        </w:rPr>
        <w:t>I acknowledge using Claude (</w:t>
      </w:r>
      <w:hyperlink r:id="rId9" w:history="1">
        <w:r>
          <w:rPr>
            <w:rStyle w:val="Hyperlink"/>
            <w:lang w:val="en-IN"/>
          </w:rPr>
          <w:t>https://claude.ai/</w:t>
        </w:r>
      </w:hyperlink>
      <w:r>
        <w:rPr>
          <w:lang w:val="en-IN"/>
        </w:rPr>
        <w:t>) to review my writing for flow, clar</w:t>
      </w:r>
      <w:r>
        <w:rPr>
          <w:lang w:val="en-IN"/>
        </w:rPr>
        <w:t>ity and grammatical correctness and to help me develop and organise ideas.</w:t>
      </w:r>
    </w:p>
    <w:p w:rsidR="006D1D68" w:rsidRDefault="00C77C46">
      <w:r>
        <w:rPr>
          <w:b/>
          <w:bCs/>
          <w:lang w:val="en-IN"/>
        </w:rPr>
        <w:t>Prompts used:</w:t>
      </w:r>
    </w:p>
    <w:p w:rsidR="006D1D68" w:rsidRDefault="00C77C46">
      <w:pPr>
        <w:numPr>
          <w:ilvl w:val="0"/>
          <w:numId w:val="2"/>
        </w:numPr>
        <w:rPr>
          <w:lang w:val="en-IN"/>
        </w:rPr>
      </w:pPr>
      <w:r>
        <w:rPr>
          <w:lang w:val="en-IN"/>
        </w:rPr>
        <w:t>“Check this section for flow and transition between paragraphs.”</w:t>
      </w:r>
    </w:p>
    <w:p w:rsidR="006D1D68" w:rsidRDefault="00C77C46">
      <w:pPr>
        <w:numPr>
          <w:ilvl w:val="0"/>
          <w:numId w:val="2"/>
        </w:numPr>
        <w:rPr>
          <w:lang w:val="en-IN"/>
        </w:rPr>
      </w:pPr>
      <w:r>
        <w:rPr>
          <w:lang w:val="en-IN"/>
        </w:rPr>
        <w:t>“Identify any awkward phrasing or grammatical mistakes in this text.”</w:t>
      </w:r>
    </w:p>
    <w:p w:rsidR="006D1D68" w:rsidRDefault="00C77C46">
      <w:pPr>
        <w:numPr>
          <w:ilvl w:val="0"/>
          <w:numId w:val="2"/>
        </w:numPr>
        <w:rPr>
          <w:lang w:val="en-IN"/>
        </w:rPr>
      </w:pPr>
      <w:r>
        <w:rPr>
          <w:lang w:val="en-IN"/>
        </w:rPr>
        <w:t xml:space="preserve">“Suggest ideas that could help </w:t>
      </w:r>
      <w:r>
        <w:rPr>
          <w:lang w:val="en-IN"/>
        </w:rPr>
        <w:t>me develop this section without writing the assignment for me.”</w:t>
      </w:r>
    </w:p>
    <w:p w:rsidR="006D1D68" w:rsidRDefault="00C77C46">
      <w:pPr>
        <w:rPr>
          <w:lang w:val="en-IN"/>
        </w:rPr>
      </w:pPr>
      <w:r>
        <w:rPr>
          <w:lang w:val="en-IN"/>
        </w:rPr>
        <w:t xml:space="preserve">I declare that the final writing, research, analysis, evaluation and conclusions in this assignment represent my own effort. Claude was used as an editing and idea-development </w:t>
      </w:r>
      <w:r w:rsidR="001357C3">
        <w:rPr>
          <w:lang w:val="en-IN"/>
        </w:rPr>
        <w:t>assistant</w:t>
      </w:r>
      <w:r>
        <w:rPr>
          <w:lang w:val="en-IN"/>
        </w:rPr>
        <w:t xml:space="preserve"> and I</w:t>
      </w:r>
      <w:r>
        <w:rPr>
          <w:lang w:val="en-IN"/>
        </w:rPr>
        <w:t xml:space="preserve"> did not present AI-generated text or analysis as my own work. I retain my drafts, research notes and source materials as evidence of my independent work.</w:t>
      </w:r>
    </w:p>
    <w:p w:rsidR="006D1D68" w:rsidRDefault="006D1D68">
      <w:pPr>
        <w:pageBreakBefore/>
      </w:pPr>
    </w:p>
    <w:p w:rsidR="006D1D68" w:rsidRDefault="00C77C46">
      <w:pPr>
        <w:pStyle w:val="TOCHeading"/>
        <w:spacing w:after="240" w:line="360" w:lineRule="auto"/>
        <w:outlineLvl w:val="9"/>
      </w:pPr>
      <w:r>
        <w:rPr>
          <w:rFonts w:ascii="Times New Roman" w:hAnsi="Times New Roman"/>
          <w:b/>
          <w:bCs/>
          <w:i/>
          <w:iCs/>
          <w:color w:val="000000"/>
          <w:sz w:val="24"/>
          <w:szCs w:val="24"/>
          <w:lang w:val="en-GB"/>
        </w:rPr>
        <w:t>Table of Contents</w:t>
      </w:r>
    </w:p>
    <w:p w:rsidR="006D1D68" w:rsidRDefault="00A470DD">
      <w:pPr>
        <w:pStyle w:val="TOC1"/>
        <w:tabs>
          <w:tab w:val="right" w:leader="dot" w:pos="9016"/>
        </w:tabs>
        <w:spacing w:before="240" w:after="240" w:line="360" w:lineRule="auto"/>
      </w:pPr>
      <w:r w:rsidRPr="00A470DD">
        <w:rPr>
          <w:rFonts w:ascii="Calibri Light" w:eastAsia="Times New Roman" w:hAnsi="Calibri Light"/>
          <w:color w:val="2F5496"/>
          <w:sz w:val="32"/>
          <w:szCs w:val="32"/>
          <w:lang w:val="en-US"/>
        </w:rPr>
        <w:fldChar w:fldCharType="begin"/>
      </w:r>
      <w:r w:rsidR="00C77C46">
        <w:instrText xml:space="preserve"> TOC \o "1-3" \u \h </w:instrText>
      </w:r>
      <w:r w:rsidRPr="00A470DD">
        <w:rPr>
          <w:rFonts w:ascii="Calibri Light" w:eastAsia="Times New Roman" w:hAnsi="Calibri Light"/>
          <w:color w:val="2F5496"/>
          <w:sz w:val="32"/>
          <w:szCs w:val="32"/>
          <w:lang w:val="en-US"/>
        </w:rPr>
        <w:fldChar w:fldCharType="separate"/>
      </w:r>
      <w:hyperlink w:anchor="_Toc236322118" w:history="1">
        <w:r w:rsidR="00C77C46">
          <w:rPr>
            <w:rStyle w:val="Hyperlink"/>
          </w:rPr>
          <w:t>Section 1</w:t>
        </w:r>
        <w:r w:rsidR="00C77C46">
          <w:tab/>
          <w:t>3</w:t>
        </w:r>
      </w:hyperlink>
    </w:p>
    <w:p w:rsidR="006D1D68" w:rsidRDefault="00A470DD">
      <w:pPr>
        <w:pStyle w:val="TOC2"/>
        <w:tabs>
          <w:tab w:val="right" w:leader="dot" w:pos="9016"/>
        </w:tabs>
        <w:spacing w:before="240" w:after="240" w:line="360" w:lineRule="auto"/>
      </w:pPr>
      <w:hyperlink w:anchor="_Toc236322119" w:history="1">
        <w:r w:rsidR="00C77C46">
          <w:rPr>
            <w:rStyle w:val="Hyperlink"/>
          </w:rPr>
          <w:t>1. Introduction</w:t>
        </w:r>
        <w:r w:rsidR="00C77C46">
          <w:tab/>
          <w:t>3</w:t>
        </w:r>
      </w:hyperlink>
    </w:p>
    <w:p w:rsidR="006D1D68" w:rsidRDefault="00A470DD">
      <w:pPr>
        <w:pStyle w:val="TOC2"/>
        <w:tabs>
          <w:tab w:val="right" w:leader="dot" w:pos="9016"/>
        </w:tabs>
        <w:spacing w:before="240" w:after="240" w:line="360" w:lineRule="auto"/>
      </w:pPr>
      <w:hyperlink w:anchor="_Toc236322120" w:history="1">
        <w:r w:rsidR="00C77C46">
          <w:rPr>
            <w:rStyle w:val="Hyperlink"/>
          </w:rPr>
          <w:t>2. Organisational Classification and Global Strategy</w:t>
        </w:r>
        <w:r w:rsidR="00C77C46">
          <w:tab/>
          <w:t>4</w:t>
        </w:r>
      </w:hyperlink>
    </w:p>
    <w:p w:rsidR="006D1D68" w:rsidRDefault="00A470DD">
      <w:pPr>
        <w:pStyle w:val="TOC3"/>
        <w:tabs>
          <w:tab w:val="right" w:leader="dot" w:pos="9016"/>
        </w:tabs>
        <w:spacing w:before="240" w:after="240" w:line="360" w:lineRule="auto"/>
      </w:pPr>
      <w:hyperlink w:anchor="_Toc236322121" w:history="1">
        <w:r w:rsidR="00C77C46">
          <w:rPr>
            <w:rStyle w:val="Hyperlink"/>
          </w:rPr>
          <w:t>2.1 Strategic Categorisation</w:t>
        </w:r>
        <w:r w:rsidR="00C77C46">
          <w:tab/>
          <w:t>4</w:t>
        </w:r>
      </w:hyperlink>
    </w:p>
    <w:p w:rsidR="006D1D68" w:rsidRDefault="00A470DD">
      <w:pPr>
        <w:pStyle w:val="TOC3"/>
        <w:tabs>
          <w:tab w:val="right" w:leader="dot" w:pos="9016"/>
        </w:tabs>
        <w:spacing w:before="240" w:after="240" w:line="360" w:lineRule="auto"/>
      </w:pPr>
      <w:hyperlink w:anchor="_Toc236322122" w:history="1">
        <w:r w:rsidR="00C77C46">
          <w:rPr>
            <w:rStyle w:val="Hyperlink"/>
          </w:rPr>
          <w:t>2.2 Global Configuration</w:t>
        </w:r>
        <w:r w:rsidR="00C77C46">
          <w:tab/>
          <w:t>4</w:t>
        </w:r>
      </w:hyperlink>
    </w:p>
    <w:p w:rsidR="006D1D68" w:rsidRDefault="00A470DD">
      <w:pPr>
        <w:pStyle w:val="TOC1"/>
        <w:tabs>
          <w:tab w:val="right" w:leader="dot" w:pos="9016"/>
        </w:tabs>
        <w:spacing w:before="240" w:after="240" w:line="360" w:lineRule="auto"/>
      </w:pPr>
      <w:hyperlink w:anchor="_Toc236322123" w:history="1">
        <w:r w:rsidR="00C77C46">
          <w:rPr>
            <w:rStyle w:val="Hyperlink"/>
          </w:rPr>
          <w:t>3. Macro-Environmental Appraisal and Market Attractiveness</w:t>
        </w:r>
        <w:r w:rsidR="00C77C46">
          <w:tab/>
          <w:t>7</w:t>
        </w:r>
      </w:hyperlink>
    </w:p>
    <w:p w:rsidR="006D1D68" w:rsidRDefault="00A470DD">
      <w:pPr>
        <w:pStyle w:val="TOC2"/>
        <w:tabs>
          <w:tab w:val="right" w:leader="dot" w:pos="9016"/>
        </w:tabs>
        <w:spacing w:before="240" w:after="240" w:line="360" w:lineRule="auto"/>
      </w:pPr>
      <w:hyperlink w:anchor="_Toc236322124" w:history="1">
        <w:r w:rsidR="00C77C46">
          <w:rPr>
            <w:rStyle w:val="Hyperlink"/>
          </w:rPr>
          <w:t>3.1 Host Country Analysis by macro Analysis</w:t>
        </w:r>
        <w:r w:rsidR="00C77C46">
          <w:tab/>
          <w:t>7</w:t>
        </w:r>
      </w:hyperlink>
    </w:p>
    <w:p w:rsidR="006D1D68" w:rsidRDefault="00A470DD">
      <w:pPr>
        <w:pStyle w:val="TOC2"/>
        <w:tabs>
          <w:tab w:val="right" w:leader="dot" w:pos="9016"/>
        </w:tabs>
        <w:spacing w:before="240" w:after="240" w:line="360" w:lineRule="auto"/>
      </w:pPr>
      <w:hyperlink w:anchor="_Toc236322125" w:history="1">
        <w:r w:rsidR="00C77C46">
          <w:rPr>
            <w:rStyle w:val="Hyperlink"/>
          </w:rPr>
          <w:t xml:space="preserve">3.2 </w:t>
        </w:r>
        <w:r w:rsidR="00C77C46">
          <w:rPr>
            <w:rStyle w:val="Hyperlink"/>
            <w:bCs/>
          </w:rPr>
          <w:t>Market Entry Assessment Using Dunning's Eclectic (OLI) Paradigm</w:t>
        </w:r>
        <w:r w:rsidR="00C77C46">
          <w:tab/>
          <w:t>13</w:t>
        </w:r>
      </w:hyperlink>
    </w:p>
    <w:p w:rsidR="006D1D68" w:rsidRDefault="00A470DD">
      <w:pPr>
        <w:pStyle w:val="TOC1"/>
        <w:tabs>
          <w:tab w:val="right" w:leader="dot" w:pos="9016"/>
        </w:tabs>
        <w:spacing w:before="240" w:after="240" w:line="360" w:lineRule="auto"/>
      </w:pPr>
      <w:hyperlink w:anchor="_Toc236322126" w:history="1">
        <w:r w:rsidR="00C77C46">
          <w:rPr>
            <w:rStyle w:val="Hyperlink"/>
          </w:rPr>
          <w:t>4. Entry Mode Strategy and Strategic Synthesis</w:t>
        </w:r>
        <w:r w:rsidR="00C77C46">
          <w:tab/>
          <w:t>15</w:t>
        </w:r>
      </w:hyperlink>
    </w:p>
    <w:p w:rsidR="006D1D68" w:rsidRDefault="00A470DD">
      <w:pPr>
        <w:pStyle w:val="TOC3"/>
        <w:tabs>
          <w:tab w:val="right" w:leader="dot" w:pos="9016"/>
        </w:tabs>
        <w:spacing w:before="240" w:after="240" w:line="360" w:lineRule="auto"/>
      </w:pPr>
      <w:hyperlink w:anchor="_Toc236322127" w:history="1">
        <w:r w:rsidR="00C77C46">
          <w:rPr>
            <w:rStyle w:val="Hyperlink"/>
          </w:rPr>
          <w:t>4.1 Historical Pattern Recognition</w:t>
        </w:r>
        <w:r w:rsidR="00C77C46">
          <w:tab/>
          <w:t>15</w:t>
        </w:r>
      </w:hyperlink>
    </w:p>
    <w:p w:rsidR="006D1D68" w:rsidRDefault="00A470DD">
      <w:pPr>
        <w:pStyle w:val="TOC3"/>
        <w:tabs>
          <w:tab w:val="right" w:leader="dot" w:pos="9016"/>
        </w:tabs>
        <w:spacing w:before="240" w:after="240" w:line="360" w:lineRule="auto"/>
      </w:pPr>
      <w:hyperlink w:anchor="_Toc236322128" w:history="1">
        <w:r w:rsidR="00C77C46">
          <w:rPr>
            <w:rStyle w:val="Hyperlink"/>
          </w:rPr>
          <w:t>4.2 Strategic Fit and Justification</w:t>
        </w:r>
        <w:r w:rsidR="00C77C46">
          <w:tab/>
          <w:t>15</w:t>
        </w:r>
      </w:hyperlink>
    </w:p>
    <w:p w:rsidR="006D1D68" w:rsidRDefault="00A470DD">
      <w:pPr>
        <w:pStyle w:val="TOC3"/>
        <w:tabs>
          <w:tab w:val="right" w:leader="dot" w:pos="9016"/>
        </w:tabs>
        <w:spacing w:before="240" w:after="240" w:line="360" w:lineRule="auto"/>
      </w:pPr>
      <w:hyperlink w:anchor="_Toc236322129" w:history="1">
        <w:r w:rsidR="00C77C46">
          <w:rPr>
            <w:rStyle w:val="Hyperlink"/>
          </w:rPr>
          <w:t>4.3 Rec</w:t>
        </w:r>
        <w:r w:rsidR="00C77C46">
          <w:rPr>
            <w:rStyle w:val="Hyperlink"/>
          </w:rPr>
          <w:t>ommendations</w:t>
        </w:r>
        <w:r w:rsidR="00C77C46">
          <w:tab/>
          <w:t>16</w:t>
        </w:r>
      </w:hyperlink>
    </w:p>
    <w:p w:rsidR="006D1D68" w:rsidRDefault="00A470DD">
      <w:pPr>
        <w:pStyle w:val="TOC3"/>
        <w:tabs>
          <w:tab w:val="right" w:leader="dot" w:pos="9016"/>
        </w:tabs>
        <w:spacing w:before="240" w:after="240" w:line="360" w:lineRule="auto"/>
      </w:pPr>
      <w:hyperlink w:anchor="_Toc236322130" w:history="1">
        <w:r w:rsidR="00C77C46">
          <w:rPr>
            <w:rStyle w:val="Hyperlink"/>
          </w:rPr>
          <w:t xml:space="preserve"> Conclusion</w:t>
        </w:r>
        <w:r w:rsidR="00C77C46">
          <w:tab/>
          <w:t>17</w:t>
        </w:r>
      </w:hyperlink>
    </w:p>
    <w:p w:rsidR="006D1D68" w:rsidRDefault="00A470DD">
      <w:pPr>
        <w:pStyle w:val="TOC1"/>
        <w:tabs>
          <w:tab w:val="right" w:leader="dot" w:pos="9016"/>
        </w:tabs>
        <w:spacing w:before="240" w:after="240" w:line="360" w:lineRule="auto"/>
      </w:pPr>
      <w:hyperlink w:anchor="_Toc236322131" w:history="1">
        <w:r w:rsidR="00C77C46">
          <w:rPr>
            <w:rStyle w:val="Hyperlink"/>
          </w:rPr>
          <w:t>Section 2</w:t>
        </w:r>
        <w:r w:rsidR="00C77C46">
          <w:tab/>
          <w:t>18</w:t>
        </w:r>
      </w:hyperlink>
    </w:p>
    <w:p w:rsidR="006D1D68" w:rsidRDefault="00A470DD">
      <w:pPr>
        <w:pStyle w:val="TOC2"/>
        <w:tabs>
          <w:tab w:val="right" w:leader="dot" w:pos="9016"/>
        </w:tabs>
        <w:spacing w:before="240" w:after="240" w:line="360" w:lineRule="auto"/>
      </w:pPr>
      <w:hyperlink w:anchor="_Toc236322132" w:history="1">
        <w:r w:rsidR="00C77C46">
          <w:rPr>
            <w:rStyle w:val="Hyperlink"/>
          </w:rPr>
          <w:t>Gibb’s Reflective Cycle</w:t>
        </w:r>
        <w:r w:rsidR="00C77C46">
          <w:tab/>
          <w:t>18</w:t>
        </w:r>
      </w:hyperlink>
    </w:p>
    <w:p w:rsidR="006D1D68" w:rsidRDefault="00A470DD">
      <w:pPr>
        <w:pStyle w:val="TOC1"/>
        <w:tabs>
          <w:tab w:val="right" w:leader="dot" w:pos="9016"/>
        </w:tabs>
        <w:spacing w:before="240" w:after="240" w:line="360" w:lineRule="auto"/>
      </w:pPr>
      <w:hyperlink w:anchor="_Toc236322133" w:history="1">
        <w:r w:rsidR="00C77C46">
          <w:rPr>
            <w:rStyle w:val="Hyperlink"/>
          </w:rPr>
          <w:t>References</w:t>
        </w:r>
        <w:r w:rsidR="00C77C46">
          <w:tab/>
          <w:t>21</w:t>
        </w:r>
      </w:hyperlink>
    </w:p>
    <w:p w:rsidR="006D1D68" w:rsidRDefault="00A470DD">
      <w:pPr>
        <w:spacing w:before="240" w:after="240" w:line="360" w:lineRule="auto"/>
      </w:pPr>
      <w:r>
        <w:fldChar w:fldCharType="end"/>
      </w:r>
    </w:p>
    <w:p w:rsidR="006D1D68" w:rsidRDefault="006D1D68">
      <w:pPr>
        <w:pageBreakBefore/>
        <w:spacing w:before="240" w:after="240" w:line="360" w:lineRule="auto"/>
      </w:pPr>
    </w:p>
    <w:p w:rsidR="006D1D68" w:rsidRDefault="00C77C46">
      <w:pPr>
        <w:pStyle w:val="NoSpacing"/>
      </w:pPr>
      <w:bookmarkStart w:id="0" w:name="_Toc236322118"/>
      <w:r>
        <w:t>Section 1</w:t>
      </w:r>
      <w:bookmarkEnd w:id="0"/>
    </w:p>
    <w:p w:rsidR="006D1D68" w:rsidRDefault="00C77C46">
      <w:pPr>
        <w:pStyle w:val="NoSpacing"/>
      </w:pPr>
      <w:bookmarkStart w:id="1" w:name="_Toc236322119"/>
      <w:r>
        <w:t>1. Introduction</w:t>
      </w:r>
      <w:bookmarkEnd w:id="1"/>
    </w:p>
    <w:p w:rsidR="006D1D68" w:rsidRDefault="00C77C46">
      <w:pPr>
        <w:pStyle w:val="NoSpacing"/>
      </w:pPr>
      <w:r>
        <w:t xml:space="preserve">International </w:t>
      </w:r>
      <w:r>
        <w:t>Business Growth allows multinational companies to gain new customers, improve their market share and sustain growth in emerging economies. However, effective market entry requires an analysis of the external environment of the host nation and the selection</w:t>
      </w:r>
      <w:r>
        <w:t xml:space="preserve"> of an appropriate international strategy. The present report aims to examine the possibility for Costco to expand in the retail industry of Bangladesh through an analysis of the strategic approach adopted by it worldwide, its competitive advantage and the</w:t>
      </w:r>
      <w:r>
        <w:t xml:space="preserve"> political, economic, social, technological, legal and environmental situation of the country. The Eclectic (OLI) Paradigm of Dunning is also used for this purpose.</w:t>
      </w:r>
    </w:p>
    <w:p w:rsidR="006D1D68" w:rsidRDefault="006D1D68">
      <w:pPr>
        <w:spacing w:before="240" w:after="240" w:line="360" w:lineRule="auto"/>
      </w:pPr>
    </w:p>
    <w:p w:rsidR="006D1D68" w:rsidRDefault="006D1D68">
      <w:pPr>
        <w:pageBreakBefore/>
        <w:spacing w:before="240" w:after="240" w:line="360" w:lineRule="auto"/>
      </w:pPr>
    </w:p>
    <w:p w:rsidR="006D1D68" w:rsidRDefault="00C77C46">
      <w:r>
        <w:t>For the purpose of this assessment, Bangladesh is treated as a potential new market becau</w:t>
      </w:r>
      <w:r>
        <w:t>se Costco's current international warehouse footprint does not include Bangladesh. This makes the country suitable for evaluating a future market-entry decision rather than an established foreign operation (Costco, 2025).</w:t>
      </w:r>
    </w:p>
    <w:p w:rsidR="006D1D68" w:rsidRDefault="00C77C46">
      <w:pPr>
        <w:pStyle w:val="Heading2"/>
        <w:spacing w:before="240" w:after="240"/>
      </w:pPr>
      <w:bookmarkStart w:id="2" w:name="_Toc236322120"/>
      <w:r>
        <w:t>2. Organisational Classification a</w:t>
      </w:r>
      <w:r>
        <w:t>nd Global Strategy</w:t>
      </w:r>
      <w:bookmarkEnd w:id="2"/>
    </w:p>
    <w:p w:rsidR="006D1D68" w:rsidRDefault="00C77C46">
      <w:pPr>
        <w:pStyle w:val="Heading3"/>
        <w:spacing w:before="240" w:after="240" w:line="360" w:lineRule="auto"/>
      </w:pPr>
      <w:bookmarkStart w:id="3" w:name="_Toc236322121"/>
      <w:r>
        <w:t>2.1 Strategic Categorisation</w:t>
      </w:r>
      <w:bookmarkEnd w:id="3"/>
    </w:p>
    <w:p w:rsidR="006D1D68" w:rsidRDefault="00C77C46">
      <w:pPr>
        <w:spacing w:before="240" w:after="240" w:line="360" w:lineRule="auto"/>
      </w:pPr>
      <w:r>
        <w:t>Costco Wholesale Corporation is one of the biggest membership-based retail organisations worldwide with warehouse locations at several countries across the globe (Costco, 2026). Its expansion program is inter</w:t>
      </w:r>
      <w:r>
        <w:t>national using a small product range, bulk buying, competitive pricing and good supplier relations to ensure a consistent customer experience. The business has grown slowly intooverseas markets in which its membership-based business and efficiencies can be</w:t>
      </w:r>
      <w:r>
        <w:t xml:space="preserve"> sustained. This strategy enables Costco to gain economies of scale benefits without compromising its core business model in various countries.According to the Bartlett and Ghoshal framework, Costco can be described as adopting a global strategy. This appr</w:t>
      </w:r>
      <w:r>
        <w:t>oach focuses on high level of global integration and relatively low level of local responsiveness (Mehra, et al., 2026). Costco has uniform products, store configurations, pricing and operating systems in stores worldwide. The company's purchasing model is</w:t>
      </w:r>
      <w:r>
        <w:t xml:space="preserve"> centralised with global supplier partnerships and strict inventory control to minimise operating costs and providing value to members globally.</w:t>
      </w:r>
    </w:p>
    <w:p w:rsidR="006D1D68" w:rsidRDefault="00C77C46">
      <w:pPr>
        <w:spacing w:before="240" w:after="240" w:line="360" w:lineRule="auto"/>
      </w:pPr>
      <w:r>
        <w:t>There are a number of competitive advantages to the global strategy. Standardisation helps Costco to get better</w:t>
      </w:r>
      <w:r>
        <w:t xml:space="preserve"> prices from suppliers because of their large orders which is a key element in their low-price strategy. Warehouse operations also enhance the efficiency of the operation of the warehouse which makes employee training, inventory control and supply chain ma</w:t>
      </w:r>
      <w:r>
        <w:t>nagement easier (Al Bashar, 2024). However, when there is a wide variety of consumer purchasing power and expectations or different consumer behaviour, a high level of standardisation can limit flexibility. For instance,market entry in Bangladesh needs con</w:t>
      </w:r>
      <w:r>
        <w:t xml:space="preserve">sideration of shopping habits, the product affordability and the infrastructure while managing the company’s core value proposition of member value. </w:t>
      </w:r>
    </w:p>
    <w:p w:rsidR="006D1D68" w:rsidRDefault="00C77C46">
      <w:r>
        <w:t>However, describing Costco as purely global has limitations. The company standardises its core business mo</w:t>
      </w:r>
      <w:r>
        <w:t xml:space="preserve">del, but some local responsiveness remains necessary because product </w:t>
      </w:r>
      <w:r>
        <w:lastRenderedPageBreak/>
        <w:t>preferences, regulations and consumer expectations vary between countries. Therefore, Costco is best viewed as predominantly global, with selective adaptation at market level.</w:t>
      </w:r>
    </w:p>
    <w:p w:rsidR="006D1D68" w:rsidRDefault="00C77C46">
      <w:pPr>
        <w:pStyle w:val="Heading3"/>
        <w:spacing w:before="240" w:after="240" w:line="360" w:lineRule="auto"/>
      </w:pPr>
      <w:bookmarkStart w:id="4" w:name="_Toc236322122"/>
      <w:r>
        <w:t xml:space="preserve">2.2 Global </w:t>
      </w:r>
      <w:r>
        <w:t>Configuration</w:t>
      </w:r>
      <w:bookmarkEnd w:id="4"/>
    </w:p>
    <w:p w:rsidR="006D1D68" w:rsidRDefault="00C77C46">
      <w:pPr>
        <w:spacing w:before="240" w:after="240" w:line="360" w:lineRule="auto"/>
      </w:pPr>
      <w:r>
        <w:t>Currently, there are 923 locations worldwide where the firm operates such as the United States, Canada, Mexico, the United Kingdom, Japan, South Korea, Taiwan, China, Australia, Spain, France, Iceland, Sweden and New Zealand (Costco, 2026).</w:t>
      </w:r>
    </w:p>
    <w:p w:rsidR="006D1D68" w:rsidRDefault="00C77C46">
      <w:pPr>
        <w:pStyle w:val="Caption"/>
      </w:pPr>
      <w:r>
        <w:rPr>
          <w:noProof/>
          <w:lang w:val="en-US" w:bidi="gu-IN"/>
        </w:rPr>
        <w:drawing>
          <wp:inline distT="0" distB="0" distL="0" distR="0">
            <wp:extent cx="5731514" cy="4313553"/>
            <wp:effectExtent l="0" t="0" r="2536" b="0"/>
            <wp:docPr id="205358816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4313553"/>
                    </a:xfrm>
                    <a:prstGeom prst="rect">
                      <a:avLst/>
                    </a:prstGeom>
                    <a:noFill/>
                    <a:ln>
                      <a:noFill/>
                      <a:prstDash/>
                    </a:ln>
                  </pic:spPr>
                </pic:pic>
              </a:graphicData>
            </a:graphic>
          </wp:inline>
        </w:drawing>
      </w:r>
    </w:p>
    <w:p w:rsidR="006D1D68" w:rsidRDefault="00C77C46">
      <w:pPr>
        <w:pStyle w:val="Caption"/>
      </w:pPr>
      <w:r>
        <w:t>Figure 1: Costco Operations Globally</w:t>
      </w:r>
    </w:p>
    <w:p w:rsidR="006D1D68" w:rsidRDefault="00C77C46">
      <w:pPr>
        <w:pStyle w:val="Caption"/>
      </w:pPr>
      <w:r>
        <w:t>(Source: Costco, 2025)</w:t>
      </w:r>
    </w:p>
    <w:p w:rsidR="006D1D68" w:rsidRDefault="00C77C46">
      <w:pPr>
        <w:spacing w:before="240" w:after="240" w:line="360" w:lineRule="auto"/>
      </w:pPr>
      <w:r>
        <w:t>It retains the U.S. market as its biggest segment, generating most of its warehouses, revenue and international operations are steadily growing as the company seeks for long-term growth opportuni</w:t>
      </w:r>
      <w:r>
        <w:t>ties.A key part of Costco's competitive advantage is its global operating model facilitated by its geographic presence. The firm's global distribution system also helps in managing its stock allowing it to source and distribute its products efficiently bet</w:t>
      </w:r>
      <w:r>
        <w:t xml:space="preserve">ween suppliers and warehouses. Moreover, the subscription-based membership system helps to </w:t>
      </w:r>
      <w:r>
        <w:lastRenderedPageBreak/>
        <w:t xml:space="preserve">create a steady revenue stream for Costco which minimises the need to rise products and ensures consistent profitability across all markets (Costco, 2026).Expansion </w:t>
      </w:r>
      <w:r>
        <w:t>has been gaining significance with the changing retail markets and this has been happening gradually on an international scale. Despite the economic uncertainty, global retail sales have continued to grow reaching an estimated US$29.79 trillion in 2026 whi</w:t>
      </w:r>
      <w:r>
        <w:t>ch is predicted to reach US$41.53 trillion by 203 with 6.87% CAGR (Mordor Intelligence, 2026).</w:t>
      </w:r>
    </w:p>
    <w:p w:rsidR="006D1D68" w:rsidRDefault="00C77C46">
      <w:pPr>
        <w:spacing w:before="240" w:after="240" w:line="360" w:lineRule="auto"/>
        <w:jc w:val="center"/>
      </w:pPr>
      <w:r>
        <w:rPr>
          <w:b/>
          <w:bCs/>
          <w:i/>
          <w:iCs/>
          <w:noProof/>
          <w:lang w:val="en-US" w:bidi="gu-IN"/>
        </w:rPr>
        <w:drawing>
          <wp:inline distT="0" distB="0" distL="0" distR="0">
            <wp:extent cx="3261646" cy="2857746"/>
            <wp:effectExtent l="0" t="0" r="0" b="0"/>
            <wp:docPr id="36227985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261646" cy="2857746"/>
                    </a:xfrm>
                    <a:prstGeom prst="rect">
                      <a:avLst/>
                    </a:prstGeom>
                    <a:noFill/>
                    <a:ln>
                      <a:noFill/>
                      <a:prstDash/>
                    </a:ln>
                  </pic:spPr>
                </pic:pic>
              </a:graphicData>
            </a:graphic>
          </wp:inline>
        </w:drawing>
      </w:r>
    </w:p>
    <w:p w:rsidR="006D1D68" w:rsidRDefault="00C77C46">
      <w:pPr>
        <w:spacing w:before="240" w:after="240" w:line="360" w:lineRule="auto"/>
        <w:jc w:val="center"/>
      </w:pPr>
      <w:r>
        <w:rPr>
          <w:b/>
          <w:bCs/>
          <w:i/>
          <w:iCs/>
        </w:rPr>
        <w:t>Figure 2</w:t>
      </w:r>
      <w:r>
        <w:rPr>
          <w:b/>
          <w:bCs/>
          <w:i/>
          <w:iCs/>
          <w:lang w:val="en-US"/>
        </w:rPr>
        <w:t>: Global Retail Sales</w:t>
      </w:r>
    </w:p>
    <w:p w:rsidR="006D1D68" w:rsidRDefault="00C77C46">
      <w:pPr>
        <w:spacing w:before="240" w:after="240" w:line="360" w:lineRule="auto"/>
        <w:jc w:val="center"/>
      </w:pPr>
      <w:r>
        <w:rPr>
          <w:b/>
          <w:bCs/>
          <w:i/>
          <w:iCs/>
          <w:lang w:val="en-US"/>
        </w:rPr>
        <w:t xml:space="preserve">(Source: </w:t>
      </w:r>
      <w:r>
        <w:rPr>
          <w:b/>
          <w:bCs/>
          <w:i/>
          <w:iCs/>
        </w:rPr>
        <w:t>Mordor Intelligence, 2026)</w:t>
      </w:r>
    </w:p>
    <w:p w:rsidR="006D1D68" w:rsidRDefault="00C77C46">
      <w:pPr>
        <w:spacing w:before="240" w:after="240" w:line="360" w:lineRule="auto"/>
      </w:pPr>
      <w:r>
        <w:t xml:space="preserve">The </w:t>
      </w:r>
      <w:r w:rsidR="001357C3">
        <w:t>trend provides</w:t>
      </w:r>
      <w:r>
        <w:t xml:space="preserve"> opportunity to multinational retailers with a streamlined supply chain and </w:t>
      </w:r>
      <w:r>
        <w:t>a growing business model. Further, future expansion into markets such as Bangladesh will require balancing global efficiency with local responsiveness to meet the market-specific conditions, consumer preferences and regulatory requirements.</w:t>
      </w:r>
    </w:p>
    <w:p w:rsidR="006D1D68" w:rsidRDefault="006D1D68">
      <w:pPr>
        <w:spacing w:before="240" w:after="240" w:line="360" w:lineRule="auto"/>
      </w:pPr>
    </w:p>
    <w:p w:rsidR="006D1D68" w:rsidRDefault="006D1D68">
      <w:pPr>
        <w:pageBreakBefore/>
        <w:spacing w:before="240" w:after="240" w:line="360" w:lineRule="auto"/>
      </w:pPr>
    </w:p>
    <w:p w:rsidR="006D1D68" w:rsidRDefault="00C77C46">
      <w:r>
        <w:t xml:space="preserve">This </w:t>
      </w:r>
      <w:r>
        <w:t>geographic configuration creates value through scale, purchasing power and the transfer of operational knowledge across markets. Nevertheless, these advantages are not automatically transferable to Bangladesh. Differences in income levels, infrastructure a</w:t>
      </w:r>
      <w:r>
        <w:t>nd shopping behaviour mean that Costco would need to adapt selected elements while protecting its core low-cost and membership model.</w:t>
      </w:r>
    </w:p>
    <w:p w:rsidR="006D1D68" w:rsidRDefault="00C77C46">
      <w:pPr>
        <w:pStyle w:val="Heading2"/>
      </w:pPr>
      <w:bookmarkStart w:id="5" w:name="_Toc236322123"/>
      <w:r>
        <w:t>3. Macro-Environmental Appraisal and Market Attractiveness</w:t>
      </w:r>
      <w:bookmarkEnd w:id="5"/>
    </w:p>
    <w:p w:rsidR="006D1D68" w:rsidRDefault="00C77C46">
      <w:pPr>
        <w:spacing w:before="240" w:after="240" w:line="360" w:lineRule="auto"/>
      </w:pPr>
      <w:bookmarkStart w:id="6" w:name="_Toc236322124"/>
      <w:r>
        <w:t xml:space="preserve">3.1 </w:t>
      </w:r>
      <w:bookmarkEnd w:id="6"/>
      <w:r>
        <w:rPr>
          <w:b/>
          <w:bCs/>
          <w:lang w:bidi="th-TH"/>
        </w:rPr>
        <w:t>Political Environment</w:t>
      </w:r>
    </w:p>
    <w:p w:rsidR="006D1D68" w:rsidRDefault="00C77C46">
      <w:pPr>
        <w:spacing w:before="240" w:after="240" w:line="360" w:lineRule="auto"/>
      </w:pPr>
      <w:r>
        <w:t>The political environment in Banglade</w:t>
      </w:r>
      <w:r>
        <w:t>sh is significant for Costco as it can directly affect retail policies, political stability and investment rules. Political factors within the PESTLE framework indicate the level of risk foreign investment may face in the country and how easy it will be fo</w:t>
      </w:r>
      <w:r>
        <w:t>r multinational retailers to set up and operate their businesses (Amega, et al., 2024). The political risk framework suggests that companies could be more successful in countries which have stable policies, foreign investment-friendly regulations and clear</w:t>
      </w:r>
      <w:r>
        <w:t xml:space="preserve"> rules. Such conditions create a low level of uncertainty and enable businesses to plan their activities for the long term. The Bangladeshi government has been actively encouraging foreign direct investment (FDI) to diversify the economy and bring in forei</w:t>
      </w:r>
      <w:r>
        <w:t>gn businesses. The Bangladesh Investment Development Authority (BIDA) has taken several initiatives to facilitate investment, make the business registration process easier and establish economic zones to attract foreign investment (</w:t>
      </w:r>
      <w:r>
        <w:rPr>
          <w:lang w:val="en-IN"/>
        </w:rPr>
        <w:t>Kashemand islam, 2026</w:t>
      </w:r>
      <w:r>
        <w:t xml:space="preserve">). </w:t>
      </w:r>
    </w:p>
    <w:p w:rsidR="006D1D68" w:rsidRDefault="00C77C46">
      <w:pPr>
        <w:spacing w:before="240" w:after="240" w:line="360" w:lineRule="auto"/>
      </w:pPr>
      <w:r>
        <w:t xml:space="preserve">According to UNCTAD, Bangladesh had made significant progress in enhancing its investment framework through institutional and regulatory measures in 2025, but there was a need for better policy implementation and administrative effectiveness. The changes </w:t>
      </w:r>
      <w:r>
        <w:t>improve the business environment for foreign companies looking to invest in the market for the long term. (UNCTAD, 2025). Recent FDI performance is also indicative of the government's foreign investment commitment. The net FDI inflow to Bangladesh has incr</w:t>
      </w:r>
      <w:r>
        <w:t>eased by 39.36% from US$1.27 billion in 2024 to US$1.77 billion in 2025 (</w:t>
      </w:r>
      <w:r>
        <w:rPr>
          <w:lang w:val="en-IN"/>
        </w:rPr>
        <w:t>BIDA</w:t>
      </w:r>
      <w:r>
        <w:t xml:space="preserve">, </w:t>
      </w:r>
      <w:r>
        <w:rPr>
          <w:lang w:val="en-IN"/>
        </w:rPr>
        <w:t>2026</w:t>
      </w:r>
      <w:r>
        <w:t>). The increase reflects rising investor confidence and the government's ongoing efforts to attract foreign companies with its investor-friendly policies. Higher inflows ind</w:t>
      </w:r>
      <w:r>
        <w:t>icate Bangladesh is becoming a more attractive place for large-scale retail investments for Costco. However, a significant part of this increase was due to reinvestment of profits rather than entirely new foreign investors suggesting the need for even furt</w:t>
      </w:r>
      <w:r>
        <w:t xml:space="preserve">her improvement in the business climate. </w:t>
      </w:r>
    </w:p>
    <w:p w:rsidR="006D1D68" w:rsidRDefault="00C77C46">
      <w:pPr>
        <w:spacing w:before="240" w:after="240" w:line="360" w:lineRule="auto"/>
      </w:pPr>
      <w:r>
        <w:lastRenderedPageBreak/>
        <w:t>Despite these positive developments, challenges remain due to political uncertainty. Bangladesh has seen several instances of political change, protests and policy instability which have impacted investor confidenc</w:t>
      </w:r>
      <w:r>
        <w:t>e and business activity. Political uncertainty can also impact supply chains and delay investment approvals, leading to higher operating expenses for retailers who rely on an effective supply chain (Gu, et al., 2021). International retailers such as Costco</w:t>
      </w:r>
      <w:r>
        <w:t xml:space="preserve"> need stable long-term policy environments as investments in the warehouse involve substantial capital investments and supply chain infrastructure. Rapid shifts in government priorities and regulatory practices may therefore reduce the certainty and stabil</w:t>
      </w:r>
      <w:r>
        <w:t>ity required for market entry success.</w:t>
      </w:r>
    </w:p>
    <w:p w:rsidR="006D1D68" w:rsidRDefault="00C77C46">
      <w:pPr>
        <w:spacing w:before="240" w:after="240" w:line="360" w:lineRule="auto"/>
        <w:rPr>
          <w:b/>
          <w:bCs/>
          <w:lang w:bidi="th-TH"/>
        </w:rPr>
      </w:pPr>
      <w:r>
        <w:rPr>
          <w:b/>
          <w:bCs/>
          <w:lang w:bidi="th-TH"/>
        </w:rPr>
        <w:t>Economic Environment</w:t>
      </w:r>
    </w:p>
    <w:p w:rsidR="006D1D68" w:rsidRDefault="00C77C46">
      <w:pPr>
        <w:spacing w:before="240" w:after="240" w:line="360" w:lineRule="auto"/>
      </w:pPr>
      <w:r>
        <w:t>Economic conditions are especially important for Costco as its competitive advantage is based on maximising volume, optimising supply chain and having sufficient consumer spending power. Therefore</w:t>
      </w:r>
      <w:r>
        <w:t>, considering the economic aspect of the PESTLE framework, it is important to see whether Bangladesh actually has enough market potential to adapt Costco's membership-based warehouse retail system. In the last decade, Bangladesh has seen significant econom</w:t>
      </w:r>
      <w:r>
        <w:t>ic growth and is one of the fastest-growing consumer markets in South Asia. The GDP by 2024 was estimated at US$450.1 billion, rising to US$456.3 billion by 2025 and GDP per capita stood above US$2,590 by 2025. Economic growth was slowed due to global econ</w:t>
      </w:r>
      <w:r>
        <w:t>omic pressures in 2024 at around 4.2% and in 2025 at 3.5% (</w:t>
      </w:r>
      <w:r>
        <w:rPr>
          <w:lang w:val="en-IN"/>
        </w:rPr>
        <w:t>Macrotrends</w:t>
      </w:r>
      <w:r>
        <w:t xml:space="preserve">, 2026). However, Bangladesh still continues to demonstrate economic growth potential with the help of industrial growth, urbanisation and domestic consumption. These conditions provide </w:t>
      </w:r>
      <w:r>
        <w:t xml:space="preserve">a growing customer base for organised retailers such as Costco.  </w:t>
      </w:r>
    </w:p>
    <w:p w:rsidR="006D1D68" w:rsidRDefault="00C77C46">
      <w:pPr>
        <w:keepNext/>
        <w:spacing w:before="240" w:after="240" w:line="360" w:lineRule="auto"/>
        <w:jc w:val="center"/>
      </w:pPr>
      <w:r>
        <w:rPr>
          <w:b/>
          <w:bCs/>
          <w:i/>
          <w:iCs/>
          <w:noProof/>
          <w:szCs w:val="24"/>
          <w:lang w:val="en-US" w:bidi="gu-IN"/>
        </w:rPr>
        <w:drawing>
          <wp:inline distT="0" distB="0" distL="0" distR="0">
            <wp:extent cx="4632871" cy="1866802"/>
            <wp:effectExtent l="0" t="0" r="0" b="98"/>
            <wp:docPr id="169149712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4632871" cy="1866802"/>
                    </a:xfrm>
                    <a:prstGeom prst="rect">
                      <a:avLst/>
                    </a:prstGeom>
                    <a:noFill/>
                    <a:ln>
                      <a:noFill/>
                      <a:prstDash/>
                    </a:ln>
                  </pic:spPr>
                </pic:pic>
              </a:graphicData>
            </a:graphic>
          </wp:inline>
        </w:drawing>
      </w:r>
    </w:p>
    <w:p w:rsidR="006D1D68" w:rsidRDefault="00C77C46">
      <w:pPr>
        <w:pStyle w:val="Caption"/>
      </w:pPr>
      <w:r>
        <w:t>Figure 4: GDP Bangladesh</w:t>
      </w:r>
    </w:p>
    <w:p w:rsidR="006D1D68" w:rsidRDefault="00C77C46">
      <w:pPr>
        <w:spacing w:before="240" w:after="240" w:line="360" w:lineRule="auto"/>
        <w:jc w:val="center"/>
        <w:rPr>
          <w:b/>
          <w:bCs/>
          <w:i/>
          <w:iCs/>
          <w:szCs w:val="24"/>
        </w:rPr>
      </w:pPr>
      <w:r>
        <w:rPr>
          <w:b/>
          <w:bCs/>
          <w:i/>
          <w:iCs/>
          <w:szCs w:val="24"/>
        </w:rPr>
        <w:lastRenderedPageBreak/>
        <w:t>(Source: Macrotrends, 2026)</w:t>
      </w:r>
    </w:p>
    <w:p w:rsidR="006D1D68" w:rsidRDefault="00C77C46">
      <w:pPr>
        <w:spacing w:before="240" w:after="240" w:line="360" w:lineRule="auto"/>
      </w:pPr>
      <w:r>
        <w:t>Over 170 million people and a growing middle-class population in cities also constitute a significant asset for Bangladesh (</w:t>
      </w:r>
      <w:r>
        <w:rPr>
          <w:lang w:val="en-IN"/>
        </w:rPr>
        <w:t>BIDA</w:t>
      </w:r>
      <w:r>
        <w:t xml:space="preserve">, </w:t>
      </w:r>
      <w:r>
        <w:rPr>
          <w:lang w:val="en-IN"/>
        </w:rPr>
        <w:t>2026</w:t>
      </w:r>
      <w:r>
        <w:t>)</w:t>
      </w:r>
      <w:r>
        <w:t xml:space="preserve">. Rapid urbanisation and growing household incomes have led to a growing demand for organised retail, packaged consumer goods and better imported goods. The changing consumption patterns may be advantageous to Costco as they can provide families and small </w:t>
      </w:r>
      <w:r>
        <w:t>businesses with value-added products such as their own labels and competitive prices while also providing the option for bulk buying. However, the country's youthful population also offers long-term market potential, since with economic development, consum</w:t>
      </w:r>
      <w:r>
        <w:t xml:space="preserve">er spending will continue to rise. However, there are a few macroeconomic issues that could impact Costco's market performance. Inflation has been relatively high in recent years with 2024 projected to see a rate of 10.5% and 2025 projected at around 8.8% </w:t>
      </w:r>
      <w:r>
        <w:t>(</w:t>
      </w:r>
      <w:r>
        <w:rPr>
          <w:lang w:val="en-IN"/>
        </w:rPr>
        <w:t>World Bank Group</w:t>
      </w:r>
      <w:r>
        <w:t xml:space="preserve">, </w:t>
      </w:r>
      <w:r>
        <w:rPr>
          <w:lang w:val="en-IN"/>
        </w:rPr>
        <w:t>2026</w:t>
      </w:r>
      <w:r>
        <w:t xml:space="preserve">). </w:t>
      </w:r>
    </w:p>
    <w:p w:rsidR="006D1D68" w:rsidRDefault="00C77C46">
      <w:pPr>
        <w:spacing w:before="240" w:after="240" w:line="360" w:lineRule="auto"/>
      </w:pPr>
      <w:r>
        <w:t xml:space="preserve">Higher inflation may decrease the purchasing power of households and can make people less inclined to pay annual subscriptions or to buy in bulk. Since Costco's business model depends on regular high-volume shopping, prolonged </w:t>
      </w:r>
      <w:r>
        <w:t>inflationary pressures could slow customer acquisition during the early stages of market entry. Rising and falling currency is also an economic risk. The weakening of Bangladesh's taka also raises the prices of imported items which include many items (</w:t>
      </w:r>
      <w:r>
        <w:rPr>
          <w:lang w:val="en-IN"/>
        </w:rPr>
        <w:t>Bhow</w:t>
      </w:r>
      <w:r>
        <w:rPr>
          <w:lang w:val="en-IN"/>
        </w:rPr>
        <w:t>mick, 2022</w:t>
      </w:r>
      <w:r>
        <w:t>). Higher import costs could reduce Costco's ability to maintain its low-price strategy unless the company develops relationships with domestic suppliers and increases local sourcing. This would become more significant in order to stay competitiv</w:t>
      </w:r>
      <w:r>
        <w:t>e and protect profit margins.</w:t>
      </w:r>
    </w:p>
    <w:p w:rsidR="006D1D68" w:rsidRDefault="00C77C46">
      <w:pPr>
        <w:spacing w:before="240" w:after="240" w:line="360" w:lineRule="auto"/>
        <w:rPr>
          <w:b/>
          <w:bCs/>
          <w:lang w:bidi="th-TH"/>
        </w:rPr>
      </w:pPr>
      <w:r>
        <w:rPr>
          <w:b/>
          <w:bCs/>
          <w:lang w:bidi="th-TH"/>
        </w:rPr>
        <w:t>Cultural Environment</w:t>
      </w:r>
    </w:p>
    <w:p w:rsidR="006D1D68" w:rsidRDefault="00C77C46">
      <w:pPr>
        <w:spacing w:before="240" w:after="240" w:line="360" w:lineRule="auto"/>
      </w:pPr>
      <w:r>
        <w:t>Cultural factors have an important impact in understanding the acceptance of the membership-based warehouse concept of Costco in Bangladesh. these are the factors that affect customer behaviour, shopping p</w:t>
      </w:r>
      <w:r>
        <w:t>references and buying decisions (Dalirazar and Sabzi, 2023). The knowledge of these characteristics helps Costco to determine opportunities and adjust certain parts of the business to local market conditions. Bangladesh is one of the world's most populated</w:t>
      </w:r>
      <w:r>
        <w:t xml:space="preserve"> countries with a population exceeding 170 million people and a relatively young population structure. The United Nations Population Fund (UNFPA) estimates that the population is of working age with a growing number of consumers purchasing goods and servic</w:t>
      </w:r>
      <w:r>
        <w:t>es (</w:t>
      </w:r>
      <w:r>
        <w:rPr>
          <w:lang w:val="en-IN"/>
        </w:rPr>
        <w:t>The Business Standard</w:t>
      </w:r>
      <w:r>
        <w:t xml:space="preserve">, </w:t>
      </w:r>
      <w:r>
        <w:rPr>
          <w:lang w:val="en-IN"/>
        </w:rPr>
        <w:t>2025</w:t>
      </w:r>
      <w:r>
        <w:t xml:space="preserve">). Demand for quality food </w:t>
      </w:r>
      <w:r>
        <w:lastRenderedPageBreak/>
        <w:t xml:space="preserve">products, household goods and consumer essentials will keep increasing as employment opportunities and household incomes increase. This population structure gives Costco long-term growth prospects, </w:t>
      </w:r>
      <w:r>
        <w:t xml:space="preserve">especially in organised retail centres in the major cities where sales are increasing over time. </w:t>
      </w:r>
    </w:p>
    <w:p w:rsidR="006D1D68" w:rsidRDefault="00C77C46">
      <w:pPr>
        <w:spacing w:before="240" w:after="240" w:line="360" w:lineRule="auto"/>
      </w:pPr>
      <w:r>
        <w:t>Consumer lifestyles are also being influenced by urbanisation. More families are shifting to cities such as Dhaka and Chattogram where consumers are more expo</w:t>
      </w:r>
      <w:r>
        <w:t>sed to the presence of supermarkets, shopping malls and international brands (</w:t>
      </w:r>
      <w:r>
        <w:rPr>
          <w:lang w:val="en-IN"/>
        </w:rPr>
        <w:t>Noyon, 2026</w:t>
      </w:r>
      <w:r>
        <w:t>). Busy lifestyles have fostered a preference for easy shopping, packaged food items and one-stop shopping formats. Costco's warehouse stores which carry a wide variet</w:t>
      </w:r>
      <w:r>
        <w:t>y of products in a single place may be an attractive choice for urban families who are looking for value and convenience. However, a significant number of consumers still shop regularly at traditional neighbourhood markets and Costco would need to inform c</w:t>
      </w:r>
      <w:r>
        <w:t>onsumers about the benefits of purchasing products in bulk. Another factor to consider is customer's buying habits. Bangladesh is still a price-sensitive market where affordability is a key factor in purchasing decisions (Hasan, et al., 2026). This behavio</w:t>
      </w:r>
      <w:r>
        <w:t>ur is well suited to Costco's approach which involves bulk buying at a lower cost. However, the yearly membership costs can discourage those who are not aware of membership retailing. To overcome this challenge, Costco would need to clearly communicate the</w:t>
      </w:r>
      <w:r>
        <w:t xml:space="preserve"> long-term savings generated through its pricing strategy while building trust in the value of membership.</w:t>
      </w:r>
    </w:p>
    <w:p w:rsidR="006D1D68" w:rsidRDefault="00C77C46">
      <w:pPr>
        <w:spacing w:before="240" w:after="240" w:line="360" w:lineRule="auto"/>
        <w:rPr>
          <w:b/>
          <w:bCs/>
          <w:lang w:bidi="th-TH"/>
        </w:rPr>
      </w:pPr>
      <w:r>
        <w:rPr>
          <w:b/>
          <w:bCs/>
          <w:lang w:bidi="th-TH"/>
        </w:rPr>
        <w:t>Legal Environment</w:t>
      </w:r>
    </w:p>
    <w:p w:rsidR="006D1D68" w:rsidRDefault="00C77C46">
      <w:pPr>
        <w:spacing w:before="240" w:after="240" w:line="360" w:lineRule="auto"/>
      </w:pPr>
      <w:r>
        <w:t>The legal framework is a key determinant of Costco's potential entry into Bangladesh as it influences their operational performance</w:t>
      </w:r>
      <w:r>
        <w:t xml:space="preserve"> by meeting investment norms, commercial law and consumer protection regulations. The legal aspects of the PESTLE framework affect the accessibility of retailing, imports and the sustainability of the business (Gürpinar, et al., 2023). Bangladesh has taken</w:t>
      </w:r>
      <w:r>
        <w:t xml:space="preserve"> several steps at the legislative level to enhance the investment environment and promote FDI. Bangladesh Investment Development Authority (BIDA) facilitates investment and works with foreign companies by facilitating business registration, investment clea</w:t>
      </w:r>
      <w:r>
        <w:t>rance and guidance in regulatory matters (BIDA, 2026). The recent changes have been aimed at reducing the administrative paperwork and enhancing transparency to help multinational investors invest in the country. The legislative changes provide a more posi</w:t>
      </w:r>
      <w:r>
        <w:t xml:space="preserve">tive legal framework for the entry of foreign retailers to the market. </w:t>
      </w:r>
    </w:p>
    <w:p w:rsidR="006D1D68" w:rsidRDefault="00C77C46">
      <w:pPr>
        <w:spacing w:before="240" w:after="240" w:line="360" w:lineRule="auto"/>
      </w:pPr>
      <w:r>
        <w:lastRenderedPageBreak/>
        <w:t xml:space="preserve">Foreign investors also need to follow the rules for company formation, tax and commercial activities. Bangladesh is further enhancing the regulatory environment though businesses face </w:t>
      </w:r>
      <w:r>
        <w:t xml:space="preserve">administrative delays in obtaining licenses and customs procedures and in contract enforcement (World Bank, 2024). With the long approval time, it may take longer to build </w:t>
      </w:r>
      <w:r w:rsidR="001357C3">
        <w:t>a warehouse facility which raises</w:t>
      </w:r>
      <w:r>
        <w:t xml:space="preserve"> upfront investment costs for Costco. Close collabo</w:t>
      </w:r>
      <w:r>
        <w:t>ration with the government and complete regulatory compliance would thus be required during market entry. Import regulations are especially significant because Costco carries a variety of items from around the world. Inventory costs and product availabilit</w:t>
      </w:r>
      <w:r>
        <w:t>y may be affected by customs and import procedures and product certification requirements (Gu, et al., 2021). Food retailers are also subject to national food safety laws and product labelling laws to protect consumers. Partnering local suppliers with impo</w:t>
      </w:r>
      <w:r>
        <w:t>rted product lines may minimise the regulatory risk and enhance supply chain resilience.</w:t>
      </w:r>
    </w:p>
    <w:p w:rsidR="006D1D68" w:rsidRDefault="00C77C46">
      <w:pPr>
        <w:spacing w:before="240" w:after="240" w:line="360" w:lineRule="auto"/>
      </w:pPr>
      <w:r>
        <w:t>Another significant factor to consider is employment law. The labour laws are enacted by the Government of the People's Republic of Bangladesh for the regulation of th</w:t>
      </w:r>
      <w:r>
        <w:t>e rights, wages, working conditions and occupational safety of the employees (MCCI, 2021). Costco's global reputation for employee welfare aligns well with these legal expectations and may strengthen its position as a responsible employer. Meanwhile, follo</w:t>
      </w:r>
      <w:r>
        <w:t>wing labour regulations will help to reduce legal disputes and effective management of human resources.</w:t>
      </w:r>
    </w:p>
    <w:p w:rsidR="006D1D68" w:rsidRDefault="00C77C46">
      <w:pPr>
        <w:pStyle w:val="Heading3"/>
      </w:pPr>
      <w:bookmarkStart w:id="7" w:name="_Toc236322125"/>
      <w:r>
        <w:t>3.2 Market Entry Assessment Using Dunning's Eclectic (OLI) Paradigm</w:t>
      </w:r>
      <w:bookmarkEnd w:id="7"/>
    </w:p>
    <w:p w:rsidR="006D1D68" w:rsidRDefault="00C77C46">
      <w:pPr>
        <w:spacing w:before="240" w:after="240" w:line="360" w:lineRule="auto"/>
      </w:pPr>
      <w:r>
        <w:t>According to Dunning's Eclectic Paradigm, the decision made by a multinational company to invest in a foreign country is influenced by the collective effect of the advantages related to the three aspects of Ownership (O), Location (L) and Internalisation (</w:t>
      </w:r>
      <w:r>
        <w:t xml:space="preserve">I) (Li, et al., 2026). Based on this framework, the proposed expansion of Costco stores in Bangladesh shows that it is a good long-term market to expand, although with some operational concerns. </w:t>
      </w:r>
    </w:p>
    <w:p w:rsidR="006D1D68" w:rsidRDefault="00C77C46">
      <w:pPr>
        <w:pStyle w:val="Caption"/>
      </w:pPr>
      <w:r>
        <w:rPr>
          <w:noProof/>
          <w:lang w:val="en-US" w:bidi="gu-IN"/>
        </w:rPr>
        <w:drawing>
          <wp:inline distT="0" distB="0" distL="0" distR="0">
            <wp:extent cx="4619621" cy="1809753"/>
            <wp:effectExtent l="0" t="0" r="0" b="0"/>
            <wp:docPr id="26132968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619621" cy="1809753"/>
                    </a:xfrm>
                    <a:prstGeom prst="rect">
                      <a:avLst/>
                    </a:prstGeom>
                    <a:noFill/>
                    <a:ln>
                      <a:noFill/>
                      <a:prstDash/>
                    </a:ln>
                  </pic:spPr>
                </pic:pic>
              </a:graphicData>
            </a:graphic>
          </wp:inline>
        </w:drawing>
      </w:r>
    </w:p>
    <w:p w:rsidR="006D1D68" w:rsidRDefault="00C77C46">
      <w:pPr>
        <w:pStyle w:val="Caption"/>
      </w:pPr>
      <w:r>
        <w:lastRenderedPageBreak/>
        <w:t>Figure 5: OLI framework</w:t>
      </w:r>
    </w:p>
    <w:p w:rsidR="006D1D68" w:rsidRDefault="00C77C46">
      <w:pPr>
        <w:pStyle w:val="Caption"/>
      </w:pPr>
      <w:r>
        <w:t>(Source: CFI, 2026)</w:t>
      </w:r>
    </w:p>
    <w:p w:rsidR="006D1D68" w:rsidRDefault="00C77C46">
      <w:pPr>
        <w:spacing w:before="240" w:after="240" w:line="360" w:lineRule="auto"/>
      </w:pPr>
      <w:r>
        <w:t>Ownership adva</w:t>
      </w:r>
      <w:r>
        <w:t>ntages are the special assets and strengths that give a company an edge over domestic retailers (Ly, 2021). Costco has built a brand that is known all over the world for its high-quality goods, low prices and trust. It follows the membership model approach</w:t>
      </w:r>
      <w:r>
        <w:t xml:space="preserve"> which brings recurrent revenue and fosters customer loyalty and reordering (EBSCO, 2023). The company also enjoys a powerful buying power which enables it to secure better rates from its suppliers all over the world and consequently give the consumers the</w:t>
      </w:r>
      <w:r>
        <w:t xml:space="preserve"> benefit. Further, the company's leading inventory control systems, streamlined logistics and a proven track record of managing international warehouses help it realise economies of scale and operate with low costs. The competitive strengths are useful in </w:t>
      </w:r>
      <w:r>
        <w:t xml:space="preserve">Bangladesh as organised retailing is still in the early stages of development and will allow Costco to stand out from traditional retailers due to better operational efficiency and value-based pricing. </w:t>
      </w:r>
    </w:p>
    <w:p w:rsidR="006D1D68" w:rsidRDefault="00C77C46">
      <w:pPr>
        <w:spacing w:before="240" w:after="240" w:line="360" w:lineRule="auto"/>
      </w:pPr>
      <w:r>
        <w:t>Location advantages are supported by the findings fro</w:t>
      </w:r>
      <w:r>
        <w:t>m the PESTLE analysis. Bangladesh has a massive consumer market comprising over 170 million consumers, a growing urbanisation rate and growing middle class with its increasing desire for organised retail and premium quality consumer goods (BIDA, 2026). The</w:t>
      </w:r>
      <w:r>
        <w:t xml:space="preserve"> government's efforts to promote foreign direct investment, low-cost labour and development of digital infrastructure make the country even more appealing to multinationals as retailers. But the area also has a number of drawbacks such as inflationary pres</w:t>
      </w:r>
      <w:r>
        <w:t>sure, fluctuations in exchange rates, limited infrastructure and political uncertainty. These risks can have negative impacts on operating expenses and consumer spending power (Iorember, et al., 2024). However, the ability of Costco's cost leadership strat</w:t>
      </w:r>
      <w:r>
        <w:t>egy and efficient supply chain management allows it to control these external factors as well as take advantage of the country's long-term economic growth.</w:t>
      </w:r>
    </w:p>
    <w:p w:rsidR="006D1D68" w:rsidRDefault="00C77C46">
      <w:pPr>
        <w:spacing w:before="240" w:after="240" w:line="360" w:lineRule="auto"/>
      </w:pPr>
      <w:r>
        <w:t>Internalisation advantages indicate that Costco will benefit from controlling its operations directl</w:t>
      </w:r>
      <w:r>
        <w:t>y rather than participating in the market through licensing or franchising arrangements. The company's key to competitive advantage is the standardised warehouse operation, supplier relationship, inventory management systems and membership programme. Allow</w:t>
      </w:r>
      <w:r>
        <w:t xml:space="preserve">ing an external partner to carry out these activities may decrease operational consistency and damage Costco's brand image. It would allow the company to be able to standardise the quality of products, pricing, customer service and supply chain efficiency </w:t>
      </w:r>
      <w:r>
        <w:t xml:space="preserve">in Bangladesh (Das </w:t>
      </w:r>
      <w:r>
        <w:lastRenderedPageBreak/>
        <w:t>and Hassan, 2022). It would also safeguard Costco's business knowledge and help keep the strategic direction aligned with its global goals.</w:t>
      </w:r>
    </w:p>
    <w:p w:rsidR="006D1D68" w:rsidRDefault="006D1D68">
      <w:pPr>
        <w:spacing w:before="240" w:after="240" w:line="360" w:lineRule="auto"/>
      </w:pPr>
    </w:p>
    <w:p w:rsidR="006D1D68" w:rsidRDefault="006D1D68">
      <w:pPr>
        <w:pageBreakBefore/>
        <w:spacing w:before="240" w:after="240" w:line="360" w:lineRule="auto"/>
      </w:pPr>
    </w:p>
    <w:p w:rsidR="006D1D68" w:rsidRDefault="00C77C46">
      <w:r>
        <w:t xml:space="preserve">Taken together, the OLI analysis supports foreign direct investment, but it does not mean that </w:t>
      </w:r>
      <w:r>
        <w:t>immediate large-scale investment is risk-free. Costco's ownership advantages are strong, while Bangladesh's location advantages are attractive but accompanied by political, currency and infrastructure risks. Internalisation therefore supports direct contro</w:t>
      </w:r>
      <w:r>
        <w:t>l, but a phased investment would reduce exposure while allowing Costco to test market acceptance.</w:t>
      </w:r>
    </w:p>
    <w:p w:rsidR="006D1D68" w:rsidRDefault="00C77C46">
      <w:pPr>
        <w:pStyle w:val="Heading2"/>
      </w:pPr>
      <w:bookmarkStart w:id="8" w:name="_Toc236322126"/>
      <w:r>
        <w:t>4. Entry Mode Strategy and Strategic Synthesis</w:t>
      </w:r>
      <w:bookmarkEnd w:id="8"/>
    </w:p>
    <w:p w:rsidR="006D1D68" w:rsidRDefault="00C77C46">
      <w:pPr>
        <w:pStyle w:val="Heading3"/>
        <w:spacing w:before="240" w:after="240" w:line="360" w:lineRule="auto"/>
      </w:pPr>
      <w:bookmarkStart w:id="9" w:name="_Toc236322127"/>
      <w:r>
        <w:t>4.1 Historical Pattern Recognition</w:t>
      </w:r>
      <w:bookmarkEnd w:id="9"/>
    </w:p>
    <w:p w:rsidR="006D1D68" w:rsidRDefault="00C77C46">
      <w:pPr>
        <w:spacing w:before="240" w:after="240" w:line="360" w:lineRule="auto"/>
      </w:pPr>
      <w:r>
        <w:t>The choice of an international entry mode is a key strategic one for multina</w:t>
      </w:r>
      <w:r>
        <w:t>tional companies as it is crucial for them to decide how much control, resources and risk they will take in their international expansion. In all of its international expansion, Costco Wholesale Corporation has preferred to have 100% ownership in foreign f</w:t>
      </w:r>
      <w:r>
        <w:t>irms as its preferred strategy for entering markets. It has allowed the company to keep its warehouse clubs 100% owned and controlled to ensure a uniform membership-based retail format throughout various countries (Costco, 2025).Costco's first internationa</w:t>
      </w:r>
      <w:r>
        <w:t>l expansion was to Canada in 1985and it has since opened wholly owned stores around the world such as the United Kingdom, Japan, South Korea, Taiwan, Australia, Spain, France, Iceland, China, Sweden and New Zealand (Fifield, et al., 2026). Instead of franc</w:t>
      </w:r>
      <w:r>
        <w:t xml:space="preserve">hising or licensing operations, the company has been investing directly in the development of its own chain of supply, distribution centres and warehouse stores. </w:t>
      </w:r>
    </w:p>
    <w:p w:rsidR="006D1D68" w:rsidRDefault="00C77C46">
      <w:pPr>
        <w:spacing w:before="240" w:after="240" w:line="360" w:lineRule="auto"/>
      </w:pPr>
      <w:r>
        <w:t>The company's preference to have all its subsidiaries fully owned is closely connected with i</w:t>
      </w:r>
      <w:r>
        <w:t>ts business model (Costco, 2025). A system of efficient inventory management, worldwide buying power, good supplier relationships and a membership program that provides repeat revenue are the factors behind Costco's competitive edge. By owning these resour</w:t>
      </w:r>
      <w:r>
        <w:t xml:space="preserve">ces the company can safeguard them and focus on pricing policy, merchandising and customer service quality. Centralised management also helps Costco to achieve economies of scale as it centralises procurement and logistics for its international operations </w:t>
      </w:r>
      <w:r>
        <w:t>while reinforcing Costco's cost leadership strategy. However, this type of entry in the international market causes several disadvantages.Formation of wholly owned subsidiaries involves significant investment in property, distribution facilities and operat</w:t>
      </w:r>
      <w:r>
        <w:t xml:space="preserve">ional infrastructure, resulting in greater political, economic and operational risk exposure in host countries. </w:t>
      </w:r>
    </w:p>
    <w:p w:rsidR="006D1D68" w:rsidRDefault="00C77C46">
      <w:r>
        <w:lastRenderedPageBreak/>
        <w:t>The historical pattern therefore provides a useful strategic precedent, but it should not be transferred mechanically to Bangladesh. Costco's p</w:t>
      </w:r>
      <w:r>
        <w:t>revious experience in developed and emerging markets demonstrates the value of ownership and control, yet Bangladesh presents different institutional and consumer conditions. The historical mode should therefore be retained but implemented gradually.</w:t>
      </w:r>
    </w:p>
    <w:p w:rsidR="006D1D68" w:rsidRDefault="00C77C46">
      <w:pPr>
        <w:pStyle w:val="Heading3"/>
        <w:spacing w:before="240" w:after="240" w:line="360" w:lineRule="auto"/>
      </w:pPr>
      <w:bookmarkStart w:id="10" w:name="_Toc236322128"/>
      <w:r>
        <w:t>4.2 S</w:t>
      </w:r>
      <w:r>
        <w:t>trategic Fit and Justification</w:t>
      </w:r>
      <w:bookmarkEnd w:id="10"/>
    </w:p>
    <w:p w:rsidR="006D1D68" w:rsidRDefault="00C77C46">
      <w:pPr>
        <w:spacing w:before="240" w:after="240" w:line="360" w:lineRule="auto"/>
      </w:pPr>
      <w:r>
        <w:t>The success of Costco's past acquisition of fully owned subsidiaries creates a good basis to consider its readiness to enter into Bangladesh. The type of entry mode provides the company with a high degree of operational contr</w:t>
      </w:r>
      <w:r>
        <w:t>ol and the ability to safeguard its membership business model. This is to ensure consistent quality of product and to have standardised operating procedures throughout the international markets. Based on the results of the PESTLE analysis and Dunning's OLI</w:t>
      </w:r>
      <w:r>
        <w:t xml:space="preserve"> framework, wholly owned subsidiaries are still considered as a strategic option for Costco. This is because it can help the company to achieve its long-term goal of providing value through operational efficiency and supply chain integration.Wholly-owned s</w:t>
      </w:r>
      <w:r>
        <w:t>ubsidiary describes as when a company own 100% of the company stocks and shares by another parent company (Mares, 2020).</w:t>
      </w:r>
    </w:p>
    <w:p w:rsidR="006D1D68" w:rsidRDefault="00C77C46">
      <w:pPr>
        <w:spacing w:before="240" w:after="240" w:line="360" w:lineRule="auto"/>
      </w:pPr>
      <w:r>
        <w:t>One of the key benefits of this type of entry is being able to oversee every aspect of the company including financials, logistics, con</w:t>
      </w:r>
      <w:r>
        <w:t xml:space="preserve">sumer experience, management and others (Parchomovskyand Eckstein, 2024).The economies of scale, global supplier relationships and rigorous quality standards that enable Costco to compete are all based on a centralised decision-making process.Establishing </w:t>
      </w:r>
      <w:r>
        <w:t>a warehouse facility, distribution network and supply chain operation takes a lot of capital, putting Costco at a higher financial and operational risk than less capital-intensive options such as franchising or licensing. A joint venture can lower the risk</w:t>
      </w:r>
      <w:r>
        <w:t xml:space="preserve"> of the investment, as it would share the financial burden and share the local market knowledge (Paul and Mas, 2020). However, it would also reduce Costco's ability to make strategic decisions and to set standards for the business which could lead to a les</w:t>
      </w:r>
      <w:r>
        <w:t>s consistent business model globally.</w:t>
      </w:r>
    </w:p>
    <w:p w:rsidR="006D1D68" w:rsidRDefault="00C77C46">
      <w:pPr>
        <w:spacing w:before="240" w:after="240" w:line="360" w:lineRule="auto"/>
      </w:pPr>
      <w:r>
        <w:t>In view of these, the wholly owned subsidiary structure appears to be the best entry option for Bangladesh. The ownership benefits of Costco and the future market potential of Bangladesh make direct investment a valuab</w:t>
      </w:r>
      <w:r>
        <w:t xml:space="preserve">le option even with the initial expenses. </w:t>
      </w:r>
    </w:p>
    <w:p w:rsidR="006D1D68" w:rsidRDefault="00C77C46">
      <w:r>
        <w:t xml:space="preserve">A joint venture would provide local knowledge and distribute financial risk, which is particularly relevant given Bangladesh's regulatory and infrastructure uncertainties. However, </w:t>
      </w:r>
      <w:r>
        <w:lastRenderedPageBreak/>
        <w:t>shared ownership could create co</w:t>
      </w:r>
      <w:r>
        <w:t>nflicts over pricing, sourcing, quality standards and the membership model. On balance, the additional control provided by a wholly owned subsidiary better protects Costco's distinctive capabilities, provided that the investment is phased rather than under</w:t>
      </w:r>
      <w:r>
        <w:t>taken as an immediate nationwide rollout.</w:t>
      </w:r>
    </w:p>
    <w:p w:rsidR="006D1D68" w:rsidRDefault="00C77C46">
      <w:pPr>
        <w:pStyle w:val="Heading3"/>
        <w:spacing w:before="240" w:after="240" w:line="360" w:lineRule="auto"/>
      </w:pPr>
      <w:bookmarkStart w:id="11" w:name="_Toc236322129"/>
      <w:r>
        <w:t>4.3 Recommendations</w:t>
      </w:r>
      <w:bookmarkEnd w:id="11"/>
    </w:p>
    <w:p w:rsidR="006D1D68" w:rsidRDefault="00C77C46">
      <w:pPr>
        <w:spacing w:before="240" w:after="240" w:line="360" w:lineRule="auto"/>
      </w:pPr>
      <w:r>
        <w:t>The macro-environmental analysis and the decision of the entry mode for the market indicate that it is advisable to follow a phased market entry strategy by Costco using a wholly owned subsidiar</w:t>
      </w:r>
      <w:r>
        <w:t xml:space="preserve">y. Through wholly owned subsidiary, the company can take full operational control, intellectual property protection and complete profits without anyone interruptions (Wangand Giouvris, 2020).By developing first warehouse in Dhaka where population density, </w:t>
      </w:r>
      <w:r>
        <w:t xml:space="preserve">consumer purchasing power and organised retail demand are at their peak can help the firm to understand the consumers reaction in its initial phase before expanding to other major cities. </w:t>
      </w:r>
    </w:p>
    <w:p w:rsidR="006D1D68" w:rsidRDefault="00C77C46">
      <w:pPr>
        <w:spacing w:before="240" w:after="240" w:line="360" w:lineRule="auto"/>
      </w:pPr>
      <w:r>
        <w:t xml:space="preserve">Costco needs to do more to ensure it has the international quality </w:t>
      </w:r>
      <w:r>
        <w:t>standards it is known for but does more to collaborate with local suppliers to be more competitive. Local sourcing would help to decrease reliance on imported goods, decrease the effect of exchange rate changes and decrease supply chain costs. Moreover, th</w:t>
      </w:r>
      <w:r>
        <w:t>e company should continue in its importation of some selected products of high value to further improve its value proposition and make it different from the local retailers.The company can invest in digital technologies for mobile payment, digital marketin</w:t>
      </w:r>
      <w:r>
        <w:t xml:space="preserve">g campaigns and customer interactions on social media (Antczak, 2024). This approach can help the firm to raise awareness of the membership-based retail model amongst customers. </w:t>
      </w:r>
    </w:p>
    <w:p w:rsidR="006D1D68" w:rsidRDefault="00C77C46">
      <w:r>
        <w:t>The recommendation should therefore be conditional on measurable performance.</w:t>
      </w:r>
      <w:r>
        <w:t xml:space="preserve"> Costco should initially establish one warehouse, monitor membership acquisition, renewal rates, basket size, sourcing costs and warehouse profitability, and expand only if these indicators demonstrate sustainable demand. This would combine the control ben</w:t>
      </w:r>
      <w:r>
        <w:t>efits of a wholly owned subsidiary with a more cautious approach to financial and operational risk.</w:t>
      </w:r>
    </w:p>
    <w:p w:rsidR="006D1D68" w:rsidRDefault="00C77C46">
      <w:pPr>
        <w:pStyle w:val="Heading3"/>
        <w:spacing w:before="240" w:after="240" w:line="360" w:lineRule="auto"/>
      </w:pPr>
      <w:bookmarkStart w:id="12" w:name="_Toc236322130"/>
      <w:r>
        <w:t xml:space="preserve"> Conclusion</w:t>
      </w:r>
      <w:bookmarkEnd w:id="12"/>
    </w:p>
    <w:p w:rsidR="006D1D68" w:rsidRDefault="00C77C46">
      <w:pPr>
        <w:spacing w:before="240" w:after="240" w:line="360" w:lineRule="auto"/>
      </w:pPr>
      <w:r>
        <w:t>In conclusion, the analysis shows that Costco's international expansion strategy has been a consistent one which is based on the construction of 100% owned subsidiaries while giving Costco good operational control, safeguarding its membership-based busines</w:t>
      </w:r>
      <w:r>
        <w:t xml:space="preserve">s model and benefiting from economies of scale in its operations throughout the world. This has support the company in maintaining its competitive edge, providing a uniform product quality, supply </w:t>
      </w:r>
      <w:r>
        <w:lastRenderedPageBreak/>
        <w:t>chain management and ensuring a consistent customer experie</w:t>
      </w:r>
      <w:r>
        <w:t>nce in foreign markets.The macro-environmental analysis reveals that Bangladesh offers potential opportunities for Costco in the long-term as the country has a huge population, an increasing urban market, a conducive investment climate and a developing org</w:t>
      </w:r>
      <w:r>
        <w:t xml:space="preserve">anised retail market. These favourable conditions are further emphasised by the OLI framework which indicates that Costco has a lot of ownership advantages but Bangladesh has interesting location advantages to support future retail expansion. </w:t>
      </w:r>
    </w:p>
    <w:p w:rsidR="006D1D68" w:rsidRDefault="00C77C46">
      <w:pPr>
        <w:spacing w:before="240" w:after="240" w:line="360" w:lineRule="auto"/>
      </w:pPr>
      <w:r>
        <w:t xml:space="preserve">Given these </w:t>
      </w:r>
      <w:r>
        <w:t>opportunities and risks, the evidence argues that it is good to consider the same approach to entry that it has taken over the years at Costco in Bangladesh. Through a well-planned and phased expansion approach, using local sourcing, risk management and ad</w:t>
      </w:r>
      <w:r>
        <w:t>apting to market trends, Costco would be able to strengthen its competitiveness and secure a long-term competitive position in the dynamic retail market of Bangladesh.</w:t>
      </w:r>
    </w:p>
    <w:p w:rsidR="006D1D68" w:rsidRDefault="006D1D68">
      <w:pPr>
        <w:pageBreakBefore/>
        <w:spacing w:before="240" w:after="240" w:line="360" w:lineRule="auto"/>
      </w:pPr>
    </w:p>
    <w:p w:rsidR="006D1D68" w:rsidRDefault="00C77C46">
      <w:pPr>
        <w:pStyle w:val="Heading1"/>
        <w:spacing w:before="240" w:after="240" w:line="360" w:lineRule="auto"/>
      </w:pPr>
      <w:bookmarkStart w:id="13" w:name="_Toc236322131"/>
      <w:r>
        <w:t>Section 2</w:t>
      </w:r>
      <w:bookmarkEnd w:id="13"/>
    </w:p>
    <w:p w:rsidR="006D1D68" w:rsidRDefault="00C77C46">
      <w:pPr>
        <w:pStyle w:val="Heading2"/>
        <w:spacing w:before="240" w:after="240"/>
      </w:pPr>
      <w:bookmarkStart w:id="14" w:name="_Toc236322132"/>
      <w:r>
        <w:t>Gibb’s Reflective Cycle</w:t>
      </w:r>
      <w:bookmarkEnd w:id="14"/>
    </w:p>
    <w:p w:rsidR="006D1D68" w:rsidRDefault="00C77C46">
      <w:pPr>
        <w:spacing w:before="240" w:after="240" w:line="360" w:lineRule="auto"/>
      </w:pPr>
      <w:r>
        <w:rPr>
          <w:b/>
          <w:bCs/>
        </w:rPr>
        <w:t>Description–</w:t>
      </w:r>
      <w:r>
        <w:t>This assessment required me to assess the</w:t>
      </w:r>
      <w:r>
        <w:t xml:space="preserve"> possibility of Costco entering the Bangladesh market and to analyse its macro-environment, choose the right market entry strategy and justify my recommendations using international business theories. The initial stage of the research process involved revi</w:t>
      </w:r>
      <w:r>
        <w:t>ewing the assessment requirements to determine the learning outcomes expected and the layout of the report. Then I chose Costco as the multinational corporation as it has a unique business model of membership warehouses and Bangladesh as the host country b</w:t>
      </w:r>
      <w:r>
        <w:t>ecause of its economy development and growing retail market.</w:t>
      </w:r>
    </w:p>
    <w:p w:rsidR="006D1D68" w:rsidRDefault="00C77C46">
      <w:pPr>
        <w:spacing w:before="240" w:after="240" w:line="360" w:lineRule="auto"/>
      </w:pPr>
      <w:r>
        <w:t>I used a structured approach to research to finish the report. Information was gathered from reliable sources such as Costco's Annual Report, the World Bank, Mordor Intelligence, Macro Trends, Ba</w:t>
      </w:r>
      <w:r>
        <w:t>ngladesh Investment Development Authority (BIDA)and other well-known organisations. The sources included up to-date statistics and facts on Bangladesh's political, economic, legal, technological and environmental situation. Once the information was collect</w:t>
      </w:r>
      <w:r>
        <w:t xml:space="preserve">ed, I have structured it using the PESTLE model and assessed the potential of Costco's market entry using Dunning's Eclectic (OLI) Paradigm. Finally, I examined the international expansion strategy of Costco in history and evaluated the appropriateness of </w:t>
      </w:r>
      <w:r>
        <w:t>their preferred entry mode in Bangladesh.</w:t>
      </w:r>
    </w:p>
    <w:p w:rsidR="006D1D68" w:rsidRDefault="00C77C46">
      <w:pPr>
        <w:spacing w:before="240" w:after="240" w:line="360" w:lineRule="auto"/>
      </w:pPr>
      <w:r>
        <w:rPr>
          <w:b/>
          <w:bCs/>
        </w:rPr>
        <w:t>Feelings -</w:t>
      </w:r>
      <w:r>
        <w:t>I was initially good on the general concepts and ideas of international business and struggled to choose the most relevant evidence. Bangladesh offers many economic and social indicatorsand at first it wa</w:t>
      </w:r>
      <w:r>
        <w:t>s hard to determine which of these were directly related to Costco's retail strategy. One thing I struggled with was the difference between a description and a critical analysis and the assessment I was asked to do was a critical evaluation instead of desc</w:t>
      </w:r>
      <w:r>
        <w:t>ription.As I developed my research I started to get more confident. I was able to structure the information in a logical way and only include factors that were directly applicable to Costco's market entry situationby utilising generally known frameworks su</w:t>
      </w:r>
      <w:r>
        <w:t xml:space="preserve">ch as PESTLE and Dunning's OLI Paradigm. </w:t>
      </w:r>
    </w:p>
    <w:p w:rsidR="006D1D68" w:rsidRDefault="00C77C46">
      <w:pPr>
        <w:spacing w:before="240" w:after="240" w:line="360" w:lineRule="auto"/>
      </w:pPr>
      <w:r>
        <w:rPr>
          <w:b/>
          <w:bCs/>
        </w:rPr>
        <w:lastRenderedPageBreak/>
        <w:t>Evaluation -</w:t>
      </w:r>
      <w:r>
        <w:t>There were some aspects that were good about my research process. A significant advantage was the use of the more recent reports released by international organisations and official government sources r</w:t>
      </w:r>
      <w:r>
        <w:t>ather thansecondary websites or opinion-based sources. This enhanced the credibility of the report and made sure that the analysis was based on the current economic and political situation. Additionally, I discovered that the PESTLE framework was useful fo</w:t>
      </w:r>
      <w:r>
        <w:t>r breaking down extensive information into smaller, more manageable parts which facilitated the identification of opportunities and risks that might impact on the expansion of Costco.One positive part was that I did not discuss the environmental analysis i</w:t>
      </w:r>
      <w:r>
        <w:t>ndependently as I used Dunning's OLI Paradigm after PESTLE analysis. This allowed me to combine the results of the previous parts and explain how all these advantages of Costco's ownership, Bangladesh's location and the Costco internalisation strategy came</w:t>
      </w:r>
      <w:r>
        <w:t xml:space="preserve"> together to facilitate market entry. </w:t>
      </w:r>
    </w:p>
    <w:p w:rsidR="006D1D68" w:rsidRDefault="00C77C46">
      <w:pPr>
        <w:spacing w:before="240" w:after="240" w:line="360" w:lineRule="auto"/>
      </w:pPr>
      <w:r>
        <w:t xml:space="preserve">The process of research was also challenging, however. There are variations in some economic data between different international organisations, due to the timing of the reporting. I thus had to check several sources </w:t>
      </w:r>
      <w:r>
        <w:t>to arrive at the most recent and reliable statistics. Another difficulty was to make sure that all sections did not talk about the business environment in Bangladesh in a general way but focused only on the retail sector. The following issues had to be dea</w:t>
      </w:r>
      <w:r>
        <w:t>lt with in the source selection and the contents kept under constant revision.</w:t>
      </w:r>
    </w:p>
    <w:p w:rsidR="006D1D68" w:rsidRDefault="00C77C46">
      <w:pPr>
        <w:spacing w:before="240" w:after="240" w:line="360" w:lineRule="auto"/>
      </w:pPr>
      <w:r>
        <w:rPr>
          <w:b/>
          <w:bCs/>
        </w:rPr>
        <w:t>Analysis -</w:t>
      </w:r>
      <w:r>
        <w:t>This assignment was useful for me to gain a better understanding of how international business theories can be used to aid in strategic decision making. Before the ass</w:t>
      </w:r>
      <w:r>
        <w:t xml:space="preserve">essment I did know the concepts of PESTLE analysis, Dunning's OLI Paradigm and entry mode </w:t>
      </w:r>
      <w:r w:rsidR="001357C3">
        <w:t>strategies By</w:t>
      </w:r>
      <w:r>
        <w:t xml:space="preserve"> using the PESTLE analysis, I was able to determine the external growth and threat to Costco in Bangladesh. Instead of looking at all environmental facto</w:t>
      </w:r>
      <w:r>
        <w:t>rs on the same level, I was taught the importance of prioritising those which have the most influence on the retail sector. This included consumer purchasing power, foreign investment policies, logistics infrastructure and cultural buying behaviour. This h</w:t>
      </w:r>
      <w:r>
        <w:t>elped me to analyse market attractiveness rather than just describe the country's characteristics.The use of Dunning's OLI Paradigm reinforced my knowledge about the international investment decision making. I knew that the market had to be appealing but i</w:t>
      </w:r>
      <w:r>
        <w:t xml:space="preserve">t was crucial that there are unique competitive advantages and the value to be gained from ownership is greater than partnering with another </w:t>
      </w:r>
      <w:r w:rsidR="001357C3">
        <w:t>organisation. This</w:t>
      </w:r>
      <w:r>
        <w:t xml:space="preserve"> helped me to build my skills in relating theory to real business contexts.</w:t>
      </w:r>
    </w:p>
    <w:p w:rsidR="006D1D68" w:rsidRDefault="00C77C46">
      <w:pPr>
        <w:spacing w:before="240" w:after="240" w:line="360" w:lineRule="auto"/>
      </w:pPr>
      <w:r>
        <w:rPr>
          <w:b/>
          <w:bCs/>
        </w:rPr>
        <w:lastRenderedPageBreak/>
        <w:t>Conclusion -</w:t>
      </w:r>
      <w:r>
        <w:t xml:space="preserve">From this </w:t>
      </w:r>
      <w:r>
        <w:t>assignment, I can see that international business analysis can not only be done by gathering information from various sources as it needs to be done in an effective way. It also involves the application of relevant evidence in a critical way, exploring dif</w:t>
      </w:r>
      <w:r>
        <w:t>ferent views and using the appropriate theories to inform strategic decision-making. By completing this report I have gained a better understanding of the ability to analyse international markets and to assess the impact external environmental factors have</w:t>
      </w:r>
      <w:r>
        <w:t xml:space="preserve"> on multinational business strategies.The assignment also helped me to strengthen my academic research skills and learn to use reputable and timely sourcesto compare information from various organisations and to support my arguments with information not ju</w:t>
      </w:r>
      <w:r>
        <w:t xml:space="preserve">st assumptions. </w:t>
      </w:r>
    </w:p>
    <w:p w:rsidR="006D1D68" w:rsidRDefault="00C77C46">
      <w:pPr>
        <w:spacing w:before="240" w:after="240" w:line="360" w:lineRule="auto"/>
      </w:pPr>
      <w:r>
        <w:rPr>
          <w:b/>
          <w:bCs/>
        </w:rPr>
        <w:t>Action Plan -</w:t>
      </w:r>
      <w:r>
        <w:t xml:space="preserve">This reflection has shown me some areas of which I would like to improve on. Going forward on international business tasks I will start my research process earlier to allow more time to assess the quality and relevance of the </w:t>
      </w:r>
      <w:r>
        <w:t>various sources. I also intend to further develop my skills in the comparison of data from several international organisations before choosing which is the most suitable data to support my analysis.Furthermore, I will develop my critical thinking further b</w:t>
      </w:r>
      <w:r>
        <w:t xml:space="preserve">y emphasising more on explaining relationships between theoretical frameworks and practical business decision making instead of talking about each concept individually. </w:t>
      </w:r>
    </w:p>
    <w:p w:rsidR="006D1D68" w:rsidRDefault="006D1D68">
      <w:pPr>
        <w:pageBreakBefore/>
        <w:spacing w:before="240" w:after="240" w:line="360" w:lineRule="auto"/>
      </w:pPr>
    </w:p>
    <w:p w:rsidR="006D1D68" w:rsidRDefault="00C77C46">
      <w:pPr>
        <w:pStyle w:val="Heading1"/>
        <w:spacing w:before="240" w:after="240" w:line="360" w:lineRule="auto"/>
      </w:pPr>
      <w:bookmarkStart w:id="15" w:name="_Toc236322133"/>
      <w:r>
        <w:t>References</w:t>
      </w:r>
      <w:bookmarkEnd w:id="15"/>
    </w:p>
    <w:p w:rsidR="006D1D68" w:rsidRDefault="00C77C46">
      <w:pPr>
        <w:spacing w:before="240" w:after="240" w:line="360" w:lineRule="auto"/>
      </w:pPr>
      <w:r>
        <w:t>AIIB. (2024) Bangladesh Integrated Solid Waste Management Improvement Proj</w:t>
      </w:r>
      <w:r>
        <w:t xml:space="preserve">ect. [Online]. Available at: </w:t>
      </w:r>
      <w:hyperlink r:id="rId14" w:history="1">
        <w:r>
          <w:rPr>
            <w:rStyle w:val="Hyperlink"/>
          </w:rPr>
          <w:t>https://www.aiib.org/en/projects/details/2024/_download</w:t>
        </w:r>
        <w:r>
          <w:rPr>
            <w:rStyle w:val="Hyperlink"/>
          </w:rPr>
          <w:t>/Bangladesh/AIIB-Project-Document-P000387-Bangladesh-SWM-Improvement-Project_Final_January-12-2024.pdf</w:t>
        </w:r>
      </w:hyperlink>
      <w:r>
        <w:t xml:space="preserve">. [Accessed on: 30 July 2026]. </w:t>
      </w:r>
    </w:p>
    <w:p w:rsidR="006D1D68" w:rsidRDefault="00C77C46">
      <w:pPr>
        <w:spacing w:before="240" w:after="240" w:line="360" w:lineRule="auto"/>
      </w:pPr>
      <w:r>
        <w:t>Al Bashar, M. (2024) A Roadmap to Modern Warehouse Management System. International Research Journal of Modernization in E</w:t>
      </w:r>
      <w:r>
        <w:t xml:space="preserve">ngineering Technology and Science. </w:t>
      </w:r>
      <w:r>
        <w:rPr>
          <w:i/>
          <w:iCs/>
        </w:rPr>
        <w:t>International Research Journal of Modernization in Engineering Technology and Science</w:t>
      </w:r>
      <w:r>
        <w:t>, pp.7004-7014.</w:t>
      </w:r>
    </w:p>
    <w:p w:rsidR="006D1D68" w:rsidRDefault="00C77C46">
      <w:pPr>
        <w:spacing w:before="240" w:after="240" w:line="360" w:lineRule="auto"/>
      </w:pPr>
      <w:r>
        <w:t>Amega, K., Moumouni, Y., Laré, Y., Bhandari, R., Takouda, P. and Madougou, S. (2024) Power system transformation in emer</w:t>
      </w:r>
      <w:r>
        <w:t>ging countries: A SWOT/PESTLE analysis approach towards resiliency and reliability. </w:t>
      </w:r>
      <w:r>
        <w:rPr>
          <w:i/>
          <w:iCs/>
        </w:rPr>
        <w:t>Heliyon</w:t>
      </w:r>
      <w:r>
        <w:t>, </w:t>
      </w:r>
      <w:r>
        <w:rPr>
          <w:i/>
          <w:iCs/>
        </w:rPr>
        <w:t>10</w:t>
      </w:r>
      <w:r>
        <w:t>(12).</w:t>
      </w:r>
    </w:p>
    <w:p w:rsidR="006D1D68" w:rsidRDefault="00C77C46">
      <w:pPr>
        <w:spacing w:before="240" w:after="240" w:line="360" w:lineRule="auto"/>
      </w:pPr>
      <w:r>
        <w:t xml:space="preserve">Antczak, B.O. (2024) </w:t>
      </w:r>
      <w:r w:rsidR="001357C3">
        <w:t>the</w:t>
      </w:r>
      <w:r>
        <w:t xml:space="preserve"> influence of digital marketing and social media marketing on consumer buying </w:t>
      </w:r>
      <w:r w:rsidR="001357C3">
        <w:t>behaviour</w:t>
      </w:r>
      <w:r>
        <w:t>. </w:t>
      </w:r>
      <w:r>
        <w:rPr>
          <w:i/>
          <w:iCs/>
        </w:rPr>
        <w:t>Journal of modern science</w:t>
      </w:r>
      <w:r>
        <w:t>, </w:t>
      </w:r>
      <w:r>
        <w:rPr>
          <w:i/>
          <w:iCs/>
        </w:rPr>
        <w:t>56</w:t>
      </w:r>
      <w:r>
        <w:t>(2), pp.310-33</w:t>
      </w:r>
      <w:r>
        <w:t>5.</w:t>
      </w:r>
    </w:p>
    <w:p w:rsidR="006D1D68" w:rsidRDefault="00C77C46">
      <w:pPr>
        <w:spacing w:before="240" w:after="240" w:line="360" w:lineRule="auto"/>
      </w:pPr>
      <w:r>
        <w:t xml:space="preserve">Asian Transport Outlook. (2026) Transport and Climate Profile Bangladesh. [Online]. Available at: </w:t>
      </w:r>
      <w:hyperlink r:id="rId15" w:history="1">
        <w:r>
          <w:rPr>
            <w:rStyle w:val="Hyperlink"/>
          </w:rPr>
          <w:t>https://asiantransportobservatory.org/documen</w:t>
        </w:r>
        <w:r>
          <w:rPr>
            <w:rStyle w:val="Hyperlink"/>
          </w:rPr>
          <w:t>ts/201/Bangladesh-transport-and-climate-policy.pdf</w:t>
        </w:r>
      </w:hyperlink>
      <w:r>
        <w:t xml:space="preserve">. [Accessed on: 30 July 2026]. </w:t>
      </w:r>
    </w:p>
    <w:p w:rsidR="006D1D68" w:rsidRDefault="00C77C46">
      <w:pPr>
        <w:spacing w:before="240" w:after="240" w:line="360" w:lineRule="auto"/>
      </w:pPr>
      <w:r>
        <w:rPr>
          <w:lang w:val="en-IN"/>
        </w:rPr>
        <w:t xml:space="preserve">Bhowmick, S. (2022) Bangladesh economy: Volatile Taka and inflationary pressures. [Online]. Available at: </w:t>
      </w:r>
      <w:hyperlink r:id="rId16" w:history="1">
        <w:r>
          <w:rPr>
            <w:rStyle w:val="Hyperlink"/>
            <w:lang w:val="en-IN"/>
          </w:rPr>
          <w:t>https://www.orfonline.org/expert-speak/bangladesh-economy-volatile-taka-and-inflationary-pressures</w:t>
        </w:r>
      </w:hyperlink>
      <w:r>
        <w:rPr>
          <w:lang w:val="en-IN"/>
        </w:rPr>
        <w:t xml:space="preserve">. [Accessed on: 30 July 2026]. </w:t>
      </w:r>
    </w:p>
    <w:p w:rsidR="006D1D68" w:rsidRDefault="00C77C46">
      <w:pPr>
        <w:spacing w:before="240" w:after="240" w:line="360" w:lineRule="auto"/>
      </w:pPr>
      <w:r>
        <w:rPr>
          <w:lang w:val="en-IN"/>
        </w:rPr>
        <w:t xml:space="preserve">BIDA. (2026) 9th Largest Consumer Market by 2030. [Online]. Available at: </w:t>
      </w:r>
      <w:hyperlink r:id="rId17" w:history="1">
        <w:r>
          <w:rPr>
            <w:rStyle w:val="Hyperlink"/>
            <w:lang w:val="en-IN"/>
          </w:rPr>
          <w:t>https://investbangladesh.gov.bd/why-invest-in-bangladesh/9th-largest-consumer-market-by-2030</w:t>
        </w:r>
      </w:hyperlink>
      <w:r>
        <w:rPr>
          <w:lang w:val="en-IN"/>
        </w:rPr>
        <w:t xml:space="preserve">. [Accessed on: 30 July 2026]. </w:t>
      </w:r>
    </w:p>
    <w:p w:rsidR="006D1D68" w:rsidRDefault="00C77C46">
      <w:pPr>
        <w:spacing w:before="240" w:after="240" w:line="360" w:lineRule="auto"/>
      </w:pPr>
      <w:r>
        <w:t>BIDA. (2026) ABOUT BIDA. [Online</w:t>
      </w:r>
      <w:r>
        <w:t xml:space="preserve">]. Available at: </w:t>
      </w:r>
      <w:hyperlink r:id="rId18" w:history="1">
        <w:r>
          <w:rPr>
            <w:rStyle w:val="Hyperlink"/>
          </w:rPr>
          <w:t>https://investbangladesh.gov.bd/about-bida</w:t>
        </w:r>
      </w:hyperlink>
      <w:r>
        <w:t xml:space="preserve">. [Accessed on: 30 July 2026]. </w:t>
      </w:r>
    </w:p>
    <w:p w:rsidR="006D1D68" w:rsidRDefault="00C77C46">
      <w:pPr>
        <w:spacing w:before="240" w:after="240" w:line="360" w:lineRule="auto"/>
      </w:pPr>
      <w:r>
        <w:rPr>
          <w:lang w:val="en-IN"/>
        </w:rPr>
        <w:lastRenderedPageBreak/>
        <w:t xml:space="preserve">BIDA. (2026) Bangladesh Net FDI Inflows Rise 39.36% in 2025. [Online]. Available at: </w:t>
      </w:r>
      <w:hyperlink r:id="rId19" w:history="1">
        <w:r>
          <w:rPr>
            <w:rStyle w:val="Hyperlink"/>
            <w:lang w:val="en-IN"/>
          </w:rPr>
          <w:t>https://investbangladesh.gov.bd/press-release/bangladesh-net-fdi-inflows-rise-39-36-in-2025</w:t>
        </w:r>
      </w:hyperlink>
      <w:r>
        <w:rPr>
          <w:lang w:val="en-IN"/>
        </w:rPr>
        <w:t xml:space="preserve">. [Accessed on: 30 July 2026]. </w:t>
      </w:r>
    </w:p>
    <w:p w:rsidR="006D1D68" w:rsidRDefault="00C77C46">
      <w:pPr>
        <w:spacing w:before="240" w:after="240" w:line="360" w:lineRule="auto"/>
      </w:pPr>
      <w:r>
        <w:t>CFI. (2026) Eclectic Paradigm. [Online]. Available</w:t>
      </w:r>
      <w:r>
        <w:t xml:space="preserve"> at: </w:t>
      </w:r>
      <w:hyperlink r:id="rId20" w:history="1">
        <w:r>
          <w:rPr>
            <w:rStyle w:val="Hyperlink"/>
          </w:rPr>
          <w:t>https://corporatefinanceinstitute.com/resources/management/eclectic-paradigm/</w:t>
        </w:r>
      </w:hyperlink>
      <w:r>
        <w:t xml:space="preserve">. [Accessed on: 30 July 2026]. </w:t>
      </w:r>
    </w:p>
    <w:p w:rsidR="006D1D68" w:rsidRDefault="00C77C46">
      <w:pPr>
        <w:spacing w:before="240" w:after="240" w:line="360" w:lineRule="auto"/>
      </w:pPr>
      <w:r>
        <w:rPr>
          <w:lang w:val="en-US"/>
        </w:rPr>
        <w:t xml:space="preserve">Costco. (2025) Annual Report 2025. [Online]. </w:t>
      </w:r>
      <w:r>
        <w:rPr>
          <w:lang w:val="en-US"/>
        </w:rPr>
        <w:t>Available at:</w:t>
      </w:r>
      <w:hyperlink r:id="rId21" w:history="1">
        <w:r>
          <w:rPr>
            <w:rStyle w:val="Hyperlink"/>
            <w:lang w:val="en-US"/>
          </w:rPr>
          <w:t>https://s201.q4cdn.com/287523651/files/doc_financials/2025/ar/COST-Annual-Report-2025.pdf</w:t>
        </w:r>
      </w:hyperlink>
      <w:r>
        <w:t>[Accessed on: 30 July 2026].</w:t>
      </w:r>
    </w:p>
    <w:p w:rsidR="006D1D68" w:rsidRDefault="00C77C46">
      <w:pPr>
        <w:spacing w:before="240" w:after="240" w:line="360" w:lineRule="auto"/>
      </w:pPr>
      <w:r>
        <w:t xml:space="preserve">Costco. (2026) About </w:t>
      </w:r>
      <w:r>
        <w:t xml:space="preserve">Us. [Online]. Available at: </w:t>
      </w:r>
      <w:hyperlink r:id="rId22" w:history="1">
        <w:r>
          <w:rPr>
            <w:rStyle w:val="Hyperlink"/>
          </w:rPr>
          <w:t>https://www.costco.com/f/-/about</w:t>
        </w:r>
      </w:hyperlink>
      <w:r>
        <w:t xml:space="preserve"> [Accessed on: 30 July 2026].</w:t>
      </w:r>
    </w:p>
    <w:p w:rsidR="006D1D68" w:rsidRDefault="00C77C46">
      <w:pPr>
        <w:spacing w:before="240" w:after="240" w:line="360" w:lineRule="auto"/>
      </w:pPr>
      <w:r>
        <w:t xml:space="preserve">Costco. (2026) Join Costco Membership. [Online]. Available at: </w:t>
      </w:r>
      <w:hyperlink r:id="rId23" w:history="1">
        <w:r>
          <w:rPr>
            <w:rStyle w:val="Hyperlink"/>
          </w:rPr>
          <w:t>htt</w:t>
        </w:r>
        <w:r>
          <w:rPr>
            <w:rStyle w:val="Hyperlink"/>
          </w:rPr>
          <w:t>ps://www.costco.com/f/-/join-costco</w:t>
        </w:r>
      </w:hyperlink>
      <w:r>
        <w:t xml:space="preserve"> [Accessed on: 30 July 2026].</w:t>
      </w:r>
    </w:p>
    <w:p w:rsidR="006D1D68" w:rsidRDefault="00C77C46">
      <w:pPr>
        <w:spacing w:before="240" w:after="240" w:line="360" w:lineRule="auto"/>
      </w:pPr>
      <w:r>
        <w:t xml:space="preserve">Costco. (2026) Warehouse Location. [Online]. Available at: </w:t>
      </w:r>
      <w:hyperlink r:id="rId24" w:history="1">
        <w:r>
          <w:rPr>
            <w:rStyle w:val="Hyperlink"/>
          </w:rPr>
          <w:t>https://www.costco.com/w/-/locations</w:t>
        </w:r>
      </w:hyperlink>
      <w:r>
        <w:t xml:space="preserve"> [Accessed on: 30 July 2026].</w:t>
      </w:r>
    </w:p>
    <w:p w:rsidR="006D1D68" w:rsidRDefault="00C77C46">
      <w:pPr>
        <w:spacing w:before="240" w:after="240" w:line="360" w:lineRule="auto"/>
      </w:pPr>
      <w:r>
        <w:t>Dalirazar, S. a</w:t>
      </w:r>
      <w:r>
        <w:t>nd Sabzi, Z. (2023) Strategic analysis of barriers and solutions to development of sustainable buildings using PESTLE technique. </w:t>
      </w:r>
      <w:r>
        <w:rPr>
          <w:i/>
          <w:iCs/>
        </w:rPr>
        <w:t>International Journal of Construction Management</w:t>
      </w:r>
      <w:r>
        <w:t>, </w:t>
      </w:r>
      <w:r>
        <w:rPr>
          <w:i/>
          <w:iCs/>
        </w:rPr>
        <w:t>23</w:t>
      </w:r>
      <w:r>
        <w:t>(1), pp.167-181.</w:t>
      </w:r>
    </w:p>
    <w:p w:rsidR="006D1D68" w:rsidRDefault="00C77C46">
      <w:pPr>
        <w:spacing w:before="240" w:after="240" w:line="360" w:lineRule="auto"/>
      </w:pPr>
      <w:r>
        <w:t>Das, S. and Hassan, H.K. (2022) Impact of sustainable supp</w:t>
      </w:r>
      <w:r>
        <w:t>ly chain management and customer relationship management on organizational performance. </w:t>
      </w:r>
      <w:r>
        <w:rPr>
          <w:i/>
          <w:iCs/>
        </w:rPr>
        <w:t>International Journal of Productivity and Performance Management</w:t>
      </w:r>
      <w:r>
        <w:t>, </w:t>
      </w:r>
      <w:r>
        <w:rPr>
          <w:i/>
          <w:iCs/>
        </w:rPr>
        <w:t>71</w:t>
      </w:r>
      <w:r>
        <w:t>(6), pp.2140-2160.</w:t>
      </w:r>
    </w:p>
    <w:p w:rsidR="006D1D68" w:rsidRDefault="00C77C46">
      <w:pPr>
        <w:spacing w:before="240" w:after="240" w:line="360" w:lineRule="auto"/>
      </w:pPr>
      <w:r>
        <w:t xml:space="preserve">EBSCO. (2023) Costco. [Online]. Available at: </w:t>
      </w:r>
      <w:hyperlink r:id="rId25" w:history="1">
        <w:r>
          <w:rPr>
            <w:rStyle w:val="Hyperlink"/>
          </w:rPr>
          <w:t>https://www.ebsco.com/research-starters/business-and-management/costco</w:t>
        </w:r>
      </w:hyperlink>
      <w:r>
        <w:t xml:space="preserve">. [Accessed on: 30 July 2026]. </w:t>
      </w:r>
    </w:p>
    <w:p w:rsidR="006D1D68" w:rsidRDefault="00C77C46">
      <w:pPr>
        <w:spacing w:before="240" w:after="240" w:line="360" w:lineRule="auto"/>
      </w:pPr>
      <w:r>
        <w:t xml:space="preserve">Fifield, W., Jones, D. and Jones, T.F. (2026) Expanding Frontiers. [Online]. Available at: </w:t>
      </w:r>
      <w:hyperlink r:id="rId26" w:history="1">
        <w:r>
          <w:rPr>
            <w:rStyle w:val="Hyperlink"/>
          </w:rPr>
          <w:t>https://www.costco.ca/f/-/connection-cover-story-expanding-frontiers-september-2023</w:t>
        </w:r>
      </w:hyperlink>
      <w:r>
        <w:t xml:space="preserve"> [Accessed on: 30 July 2026].</w:t>
      </w:r>
    </w:p>
    <w:p w:rsidR="006D1D68" w:rsidRDefault="00C77C46">
      <w:pPr>
        <w:spacing w:before="240" w:after="240" w:line="360" w:lineRule="auto"/>
      </w:pPr>
      <w:r>
        <w:t>Gu, Y., Nayyar, G. and Sharma, S. (2021) </w:t>
      </w:r>
      <w:r>
        <w:rPr>
          <w:i/>
          <w:iCs/>
        </w:rPr>
        <w:t>Gearing up for th</w:t>
      </w:r>
      <w:r>
        <w:rPr>
          <w:i/>
          <w:iCs/>
        </w:rPr>
        <w:t>e future of manufacturing in Bangladesh</w:t>
      </w:r>
      <w:r>
        <w:t>. World Bank.</w:t>
      </w:r>
    </w:p>
    <w:p w:rsidR="006D1D68" w:rsidRDefault="00C77C46">
      <w:pPr>
        <w:spacing w:before="240" w:after="240" w:line="360" w:lineRule="auto"/>
      </w:pPr>
      <w:r>
        <w:lastRenderedPageBreak/>
        <w:t>Gürpinar, T., Saorski, N., Küpeli, O., Kamphues, J., Fornasiero, R., Zangiacomi, A., Betto, F., Martinez de Yuso, A., Kalaitzi, D., Yildirim, A. and Matopoulos, A. (2023) Report on Trends, Changes, and C</w:t>
      </w:r>
      <w:r>
        <w:t>hallenges for the Supply Chain of the Future. </w:t>
      </w:r>
      <w:r>
        <w:rPr>
          <w:i/>
          <w:iCs/>
        </w:rPr>
        <w:t>MIT Center for Transportation &amp; Logistics Research Paper</w:t>
      </w:r>
      <w:r>
        <w:t>, (2024/006).</w:t>
      </w:r>
    </w:p>
    <w:p w:rsidR="006D1D68" w:rsidRDefault="00C77C46">
      <w:pPr>
        <w:spacing w:before="240" w:after="240" w:line="360" w:lineRule="auto"/>
      </w:pPr>
      <w:r>
        <w:t>Hasan, M.Z., Mim, D.A., Hossain, S., Rahman, I., Islam, D. and Kumar, S. (2026) Key Factors Influencing Consumer Buying Intention Toward Sus</w:t>
      </w:r>
      <w:r>
        <w:t>tainable Packaging in Bangladesh. </w:t>
      </w:r>
      <w:r>
        <w:rPr>
          <w:i/>
          <w:iCs/>
        </w:rPr>
        <w:t>International Journal of Science and Business</w:t>
      </w:r>
      <w:r>
        <w:t>, </w:t>
      </w:r>
      <w:r>
        <w:rPr>
          <w:i/>
          <w:iCs/>
        </w:rPr>
        <w:t>49</w:t>
      </w:r>
      <w:r>
        <w:t>(1), pp.73-95.</w:t>
      </w:r>
    </w:p>
    <w:p w:rsidR="006D1D68" w:rsidRDefault="00C77C46">
      <w:pPr>
        <w:spacing w:before="240" w:after="240" w:line="360" w:lineRule="auto"/>
      </w:pPr>
      <w:r>
        <w:t>Hossain, M.N., Alam, R.M.K. and Musaddique, M.H.M. (2021) Digital Bangladesh, a transformation for sustainable development. </w:t>
      </w:r>
      <w:r>
        <w:rPr>
          <w:i/>
          <w:iCs/>
        </w:rPr>
        <w:t>International Journal of Multidisc</w:t>
      </w:r>
      <w:r>
        <w:rPr>
          <w:i/>
          <w:iCs/>
        </w:rPr>
        <w:t>iplinary Research and Development</w:t>
      </w:r>
      <w:r>
        <w:t>, </w:t>
      </w:r>
      <w:r>
        <w:rPr>
          <w:i/>
          <w:iCs/>
        </w:rPr>
        <w:t>8</w:t>
      </w:r>
      <w:r>
        <w:t>, pp.79-82.</w:t>
      </w:r>
    </w:p>
    <w:p w:rsidR="006D1D68" w:rsidRDefault="00C77C46">
      <w:pPr>
        <w:spacing w:before="240" w:after="240" w:line="360" w:lineRule="auto"/>
      </w:pPr>
      <w:r>
        <w:t>Iorember, P.T., Yusoff, N.Y.M., Abachi, P.T., Usman, O. and Alola, A.A. (2024) Effect of exchange rate uncertainty, energy prices and sectoral spending on agriculture value added, household consumption, and d</w:t>
      </w:r>
      <w:r>
        <w:t>omestic investment. </w:t>
      </w:r>
      <w:r>
        <w:rPr>
          <w:i/>
          <w:iCs/>
        </w:rPr>
        <w:t>Heliyon</w:t>
      </w:r>
      <w:r>
        <w:t>, </w:t>
      </w:r>
      <w:r>
        <w:rPr>
          <w:i/>
          <w:iCs/>
        </w:rPr>
        <w:t>10</w:t>
      </w:r>
      <w:r>
        <w:t>(9).</w:t>
      </w:r>
    </w:p>
    <w:p w:rsidR="006D1D68" w:rsidRDefault="00C77C46">
      <w:pPr>
        <w:spacing w:before="240" w:after="240" w:line="360" w:lineRule="auto"/>
      </w:pPr>
      <w:r>
        <w:t xml:space="preserve">Iqbal, A. (2025) PESTLE Analysis: The CEO’s Guide to Future-Proofing a Business. [Online]. Available at: </w:t>
      </w:r>
      <w:hyperlink r:id="rId27" w:history="1">
        <w:r>
          <w:rPr>
            <w:rStyle w:val="Hyperlink"/>
          </w:rPr>
          <w:t>https://medium.com/techno-preneurship/pestle-analysis-the-ceos-guide-to-future-proofing-a-business-877e6c4e20ea</w:t>
        </w:r>
      </w:hyperlink>
      <w:r>
        <w:t xml:space="preserve">. [Accessed on: 30 July 2026]. </w:t>
      </w:r>
    </w:p>
    <w:p w:rsidR="006D1D68" w:rsidRDefault="00C77C46">
      <w:pPr>
        <w:spacing w:before="240" w:after="240" w:line="360" w:lineRule="auto"/>
      </w:pPr>
      <w:r>
        <w:rPr>
          <w:lang w:val="en-IN"/>
        </w:rPr>
        <w:t>ITU. (2025) Global number of Internet users increases, but disparities deepen key digital divides. [On</w:t>
      </w:r>
      <w:r>
        <w:rPr>
          <w:lang w:val="en-IN"/>
        </w:rPr>
        <w:t xml:space="preserve">line]. Available at: </w:t>
      </w:r>
      <w:hyperlink r:id="rId28" w:history="1">
        <w:r>
          <w:rPr>
            <w:rStyle w:val="Hyperlink"/>
            <w:lang w:val="en-IN"/>
          </w:rPr>
          <w:t>https://www.itu.int/en/mediacentre/Pages/PR-2025-11-17-Facts-and-Figures.aspx</w:t>
        </w:r>
      </w:hyperlink>
      <w:r>
        <w:rPr>
          <w:lang w:val="en-IN"/>
        </w:rPr>
        <w:t xml:space="preserve">. [Accessed on: 30 July 2026]. </w:t>
      </w:r>
    </w:p>
    <w:p w:rsidR="006D1D68" w:rsidRDefault="00C77C46">
      <w:pPr>
        <w:spacing w:before="240" w:after="240" w:line="360" w:lineRule="auto"/>
      </w:pPr>
      <w:r>
        <w:rPr>
          <w:lang w:val="en-IN"/>
        </w:rPr>
        <w:t xml:space="preserve">Kashem, A. and islam, R. (2026) High-level panel formed to assess feasibility of issuing Panda, other foreign currency sovereign bonds. [Online]. Available at: </w:t>
      </w:r>
      <w:hyperlink r:id="rId29" w:history="1">
        <w:r>
          <w:rPr>
            <w:rStyle w:val="Hyperlink"/>
            <w:lang w:val="en-IN"/>
          </w:rPr>
          <w:t>https://www.tbsnews.net/economy/high-level-panel-formed-assess-feasibility-issuing-panda-other-foreign-currency-sovereign</w:t>
        </w:r>
      </w:hyperlink>
      <w:r>
        <w:rPr>
          <w:lang w:val="en-IN"/>
        </w:rPr>
        <w:t xml:space="preserve">. [Accessed on: 30 July 2026]. </w:t>
      </w:r>
    </w:p>
    <w:p w:rsidR="006D1D68" w:rsidRDefault="00C77C46">
      <w:pPr>
        <w:spacing w:before="240" w:after="240" w:line="360" w:lineRule="auto"/>
      </w:pPr>
      <w:r>
        <w:t>Li, H., Eriksson, D. and Hilletofth, P. (2026) Unveiling the ec</w:t>
      </w:r>
      <w:r>
        <w:t>lectic paradigm in manufacturing location decisions: applications, limitations and practical guidance. </w:t>
      </w:r>
      <w:r>
        <w:rPr>
          <w:i/>
          <w:iCs/>
        </w:rPr>
        <w:t>Review of International Business and Strategy</w:t>
      </w:r>
      <w:r>
        <w:t>, </w:t>
      </w:r>
      <w:r>
        <w:rPr>
          <w:i/>
          <w:iCs/>
        </w:rPr>
        <w:t>36</w:t>
      </w:r>
      <w:r>
        <w:t>(4), pp.541-573.</w:t>
      </w:r>
    </w:p>
    <w:p w:rsidR="006D1D68" w:rsidRDefault="00C77C46">
      <w:pPr>
        <w:spacing w:before="240" w:after="240" w:line="360" w:lineRule="auto"/>
      </w:pPr>
      <w:r>
        <w:t>Ly, B. (2021) Competitive advantage and internationalization of a circular economy mode</w:t>
      </w:r>
      <w:r>
        <w:t>l in apparel multinationals. </w:t>
      </w:r>
      <w:r>
        <w:rPr>
          <w:i/>
          <w:iCs/>
        </w:rPr>
        <w:t>Cogent Business &amp; Management</w:t>
      </w:r>
      <w:r>
        <w:t>, </w:t>
      </w:r>
      <w:r>
        <w:rPr>
          <w:i/>
          <w:iCs/>
        </w:rPr>
        <w:t>8</w:t>
      </w:r>
      <w:r>
        <w:t>(1), p.1944012.</w:t>
      </w:r>
    </w:p>
    <w:p w:rsidR="006D1D68" w:rsidRDefault="00C77C46">
      <w:pPr>
        <w:spacing w:before="240" w:after="240" w:line="360" w:lineRule="auto"/>
      </w:pPr>
      <w:r>
        <w:rPr>
          <w:lang w:val="en-IN"/>
        </w:rPr>
        <w:lastRenderedPageBreak/>
        <w:t xml:space="preserve">Macrotrends. (2026) Bangladesh GDP (1960-2025). [Online]. Available at: </w:t>
      </w:r>
      <w:hyperlink r:id="rId30" w:history="1">
        <w:r>
          <w:rPr>
            <w:rStyle w:val="Hyperlink"/>
            <w:lang w:val="en-IN"/>
          </w:rPr>
          <w:t>https://www.macrotrends.net/global-metrics/countries/bgd/bangladesh/gdp-gross-domestic-product</w:t>
        </w:r>
      </w:hyperlink>
      <w:r>
        <w:rPr>
          <w:lang w:val="en-IN"/>
        </w:rPr>
        <w:t xml:space="preserve">. [Accessed on: 30 July 2026]. </w:t>
      </w:r>
    </w:p>
    <w:p w:rsidR="006D1D68" w:rsidRDefault="00C77C46">
      <w:pPr>
        <w:spacing w:before="240" w:after="240" w:line="360" w:lineRule="auto"/>
      </w:pPr>
      <w:r>
        <w:t>Mares, R. (2020) Liability within corporate groups: parent companies accountability for subsidiary human rights abuses. In </w:t>
      </w:r>
      <w:r>
        <w:rPr>
          <w:i/>
          <w:iCs/>
        </w:rPr>
        <w:t>Resear</w:t>
      </w:r>
      <w:r>
        <w:rPr>
          <w:i/>
          <w:iCs/>
        </w:rPr>
        <w:t>ch Handbook on human rights and business</w:t>
      </w:r>
      <w:r>
        <w:t> (pp. 446-470). Edward Elgar Publishing.</w:t>
      </w:r>
    </w:p>
    <w:p w:rsidR="006D1D68" w:rsidRDefault="00C77C46">
      <w:pPr>
        <w:spacing w:before="240" w:after="240" w:line="360" w:lineRule="auto"/>
      </w:pPr>
      <w:r>
        <w:t xml:space="preserve">MCCI. (2021) THE BANGLADESH LABOUR ACT, 2006. [Online]. Available at: </w:t>
      </w:r>
      <w:hyperlink r:id="rId31" w:history="1">
        <w:r>
          <w:rPr>
            <w:rStyle w:val="Hyperlink"/>
          </w:rPr>
          <w:t>https://mccibd.org/wp-content/uploads/2021/09/Bangladesh-Labour-Act-2006_English-Upto-2018.pdf</w:t>
        </w:r>
      </w:hyperlink>
      <w:r>
        <w:t xml:space="preserve">. [Accessed on: 30 July 2026]. </w:t>
      </w:r>
    </w:p>
    <w:p w:rsidR="006D1D68" w:rsidRDefault="00C77C46">
      <w:pPr>
        <w:spacing w:before="240" w:after="240" w:line="360" w:lineRule="auto"/>
      </w:pPr>
      <w:r>
        <w:t>Mehra, A., Loonkar, S. and Desai, K. (2026, April) Determinants of Local Responsiveness Strategy: Impact of Host Countries Cul</w:t>
      </w:r>
      <w:r>
        <w:t>ture on Global Integration. In </w:t>
      </w:r>
      <w:r>
        <w:rPr>
          <w:i/>
          <w:iCs/>
        </w:rPr>
        <w:t>Global Innovation and Technology Summit “AAROHAN 3.0” _HSS track (GITS-HSS 2025)</w:t>
      </w:r>
      <w:r>
        <w:t xml:space="preserve"> (pp. 260-270). Atlantis Press. </w:t>
      </w:r>
    </w:p>
    <w:p w:rsidR="006D1D68" w:rsidRDefault="00C77C46">
      <w:pPr>
        <w:spacing w:before="240" w:after="240" w:line="360" w:lineRule="auto"/>
      </w:pPr>
      <w:r>
        <w:t>Mordor Intelligence. (2026) Retail Market Size &amp; Share Analysis - Growth Trends and Forecast (2026 - 2031). [Onl</w:t>
      </w:r>
      <w:r>
        <w:t>ine]. Available at:</w:t>
      </w:r>
      <w:hyperlink r:id="rId32" w:history="1">
        <w:r>
          <w:rPr>
            <w:rStyle w:val="Hyperlink"/>
          </w:rPr>
          <w:t>https://www.mordorintelligence.com/industry-reports/retail-industry</w:t>
        </w:r>
      </w:hyperlink>
      <w:r>
        <w:t xml:space="preserve"> [Accessed on: 30 July 2026].</w:t>
      </w:r>
    </w:p>
    <w:p w:rsidR="006D1D68" w:rsidRDefault="00C77C46">
      <w:pPr>
        <w:spacing w:before="240" w:after="240" w:line="360" w:lineRule="auto"/>
      </w:pPr>
      <w:r>
        <w:rPr>
          <w:lang w:val="en-IN"/>
        </w:rPr>
        <w:t>Noyon, A. U. (2026) Supermarkets finally get critical foot</w:t>
      </w:r>
      <w:r>
        <w:rPr>
          <w:lang w:val="en-IN"/>
        </w:rPr>
        <w:t xml:space="preserve">fall. [Online]. Available at: </w:t>
      </w:r>
      <w:hyperlink r:id="rId33" w:history="1">
        <w:r>
          <w:rPr>
            <w:rStyle w:val="Hyperlink"/>
            <w:lang w:val="en-IN"/>
          </w:rPr>
          <w:t>https://www.tbsnews.net/economy/supermarkets-finally-get-critical-footfall-1438701</w:t>
        </w:r>
      </w:hyperlink>
      <w:r>
        <w:rPr>
          <w:lang w:val="en-IN"/>
        </w:rPr>
        <w:t xml:space="preserve">. [Accessed on: 30 July 2026]. </w:t>
      </w:r>
    </w:p>
    <w:p w:rsidR="006D1D68" w:rsidRDefault="00C77C46">
      <w:pPr>
        <w:spacing w:before="240" w:after="240" w:line="360" w:lineRule="auto"/>
      </w:pPr>
      <w:r>
        <w:t>Parchomovsky, G</w:t>
      </w:r>
      <w:r>
        <w:t>. and Eckstein, A. (2024) Corporate Empires: Past, Present, and Future. </w:t>
      </w:r>
      <w:r>
        <w:rPr>
          <w:i/>
          <w:iCs/>
        </w:rPr>
        <w:t>Iowa Law Review</w:t>
      </w:r>
      <w:r>
        <w:t>, </w:t>
      </w:r>
      <w:r>
        <w:rPr>
          <w:i/>
          <w:iCs/>
        </w:rPr>
        <w:t>109</w:t>
      </w:r>
      <w:r>
        <w:t>(3), pp.1157-1217.</w:t>
      </w:r>
    </w:p>
    <w:p w:rsidR="006D1D68" w:rsidRDefault="00C77C46">
      <w:pPr>
        <w:spacing w:before="240" w:after="240" w:line="360" w:lineRule="auto"/>
      </w:pPr>
      <w:r>
        <w:t>Paudel, R., Yedgarian, V.A., Ahmed, M.F., Hasan, M.J. and Koirala, R.K. (2024) Evaluating green initiatives: advancing environmental responsibili</w:t>
      </w:r>
      <w:r>
        <w:t>ty in global business operations. </w:t>
      </w:r>
      <w:r>
        <w:rPr>
          <w:i/>
          <w:iCs/>
        </w:rPr>
        <w:t>Journal of Research, Society and Development</w:t>
      </w:r>
      <w:r>
        <w:t>, </w:t>
      </w:r>
      <w:r>
        <w:rPr>
          <w:i/>
          <w:iCs/>
        </w:rPr>
        <w:t>1</w:t>
      </w:r>
      <w:r>
        <w:t>(2), pp.43-60.</w:t>
      </w:r>
    </w:p>
    <w:p w:rsidR="006D1D68" w:rsidRDefault="00C77C46">
      <w:pPr>
        <w:spacing w:before="240" w:after="240" w:line="360" w:lineRule="auto"/>
      </w:pPr>
      <w:r>
        <w:t>Paul, J. and Mas, E. (2020) Toward a 7-P framework for international marketing. </w:t>
      </w:r>
      <w:r>
        <w:rPr>
          <w:i/>
          <w:iCs/>
        </w:rPr>
        <w:t>Journal of Strategic Marketing</w:t>
      </w:r>
      <w:r>
        <w:t>, </w:t>
      </w:r>
      <w:r>
        <w:rPr>
          <w:i/>
          <w:iCs/>
        </w:rPr>
        <w:t>28</w:t>
      </w:r>
      <w:r>
        <w:t>(8), pp.681-701.</w:t>
      </w:r>
    </w:p>
    <w:p w:rsidR="006D1D68" w:rsidRDefault="00C77C46">
      <w:pPr>
        <w:spacing w:before="240" w:after="240" w:line="360" w:lineRule="auto"/>
      </w:pPr>
      <w:r>
        <w:lastRenderedPageBreak/>
        <w:t>Sharif, J.B., Hasan, M., Kwos</w:t>
      </w:r>
      <w:r>
        <w:t>ar, M., Ahmed, M.F. and Mandal, P. (2024) A short review of Mobile Financial Services in Bangladesh. </w:t>
      </w:r>
      <w:r>
        <w:rPr>
          <w:i/>
          <w:iCs/>
        </w:rPr>
        <w:t>World Journal of Advanced Research and Reviews</w:t>
      </w:r>
      <w:r>
        <w:t>, </w:t>
      </w:r>
      <w:r>
        <w:rPr>
          <w:i/>
          <w:iCs/>
        </w:rPr>
        <w:t>23</w:t>
      </w:r>
      <w:r>
        <w:t>(2), pp.2479-2485.</w:t>
      </w:r>
    </w:p>
    <w:p w:rsidR="006D1D68" w:rsidRDefault="00C77C46">
      <w:pPr>
        <w:spacing w:before="240" w:after="240" w:line="360" w:lineRule="auto"/>
      </w:pPr>
      <w:r>
        <w:rPr>
          <w:lang w:val="en-IN"/>
        </w:rPr>
        <w:t xml:space="preserve">The Business Standard. (2025) Bangladesh's population hits 175.7 million, majority in working-age group: UNFPA. [Online]. Available at: </w:t>
      </w:r>
      <w:hyperlink r:id="rId34" w:history="1">
        <w:r>
          <w:rPr>
            <w:rStyle w:val="Hyperlink"/>
            <w:lang w:val="en-IN"/>
          </w:rPr>
          <w:t>https://www.tbsnews.net/bangladesh/bangladeshs-population-hits-1757-million-majority-working-age-group-unfpa-1182606</w:t>
        </w:r>
      </w:hyperlink>
      <w:r>
        <w:rPr>
          <w:lang w:val="en-IN"/>
        </w:rPr>
        <w:t xml:space="preserve">. [Accessed on: 30 July 2026]. </w:t>
      </w:r>
    </w:p>
    <w:p w:rsidR="006D1D68" w:rsidRDefault="00C77C46">
      <w:pPr>
        <w:spacing w:before="240" w:after="240" w:line="360" w:lineRule="auto"/>
      </w:pPr>
      <w:r>
        <w:rPr>
          <w:lang w:val="en-IN"/>
        </w:rPr>
        <w:t xml:space="preserve">UNCTAD. (2026) Report on the implementation of the Investment Policy Review of Bangladesh. [Online]. Available at: </w:t>
      </w:r>
      <w:hyperlink r:id="rId35" w:history="1">
        <w:r>
          <w:rPr>
            <w:rStyle w:val="Hyperlink"/>
            <w:lang w:val="en-IN"/>
          </w:rPr>
          <w:t>https://unctad.org/publication/report-</w:t>
        </w:r>
        <w:r>
          <w:rPr>
            <w:rStyle w:val="Hyperlink"/>
            <w:lang w:val="en-IN"/>
          </w:rPr>
          <w:t>implementation-investment-policy-review-bangladesh</w:t>
        </w:r>
      </w:hyperlink>
      <w:r>
        <w:rPr>
          <w:lang w:val="en-IN"/>
        </w:rPr>
        <w:t xml:space="preserve">. [Accessed on: 30 July 2026]. </w:t>
      </w:r>
    </w:p>
    <w:p w:rsidR="006D1D68" w:rsidRDefault="00C77C46">
      <w:pPr>
        <w:spacing w:before="240" w:after="240" w:line="360" w:lineRule="auto"/>
      </w:pPr>
      <w:r>
        <w:t xml:space="preserve">Wang, C. and Giouvris, E. (2020) Firm survival between manufacturing and non-manufacturing industries: cultural distance, country risk, entry mode, market size, firm age and </w:t>
      </w:r>
      <w:r>
        <w:t>location. </w:t>
      </w:r>
      <w:r>
        <w:rPr>
          <w:i/>
          <w:iCs/>
        </w:rPr>
        <w:t>The Chinese Economy</w:t>
      </w:r>
      <w:r>
        <w:t>, </w:t>
      </w:r>
      <w:r>
        <w:rPr>
          <w:i/>
          <w:iCs/>
        </w:rPr>
        <w:t>53</w:t>
      </w:r>
      <w:r>
        <w:t>(5), pp.412-431.</w:t>
      </w:r>
    </w:p>
    <w:p w:rsidR="006D1D68" w:rsidRDefault="00C77C46">
      <w:pPr>
        <w:spacing w:before="240" w:after="240" w:line="360" w:lineRule="auto"/>
      </w:pPr>
      <w:r>
        <w:rPr>
          <w:lang w:val="en-IN"/>
        </w:rPr>
        <w:t xml:space="preserve">World Bank Group. (2026) Bangladesh. [Online]. Available at: </w:t>
      </w:r>
      <w:hyperlink r:id="rId36" w:history="1">
        <w:r>
          <w:rPr>
            <w:rStyle w:val="Hyperlink"/>
            <w:lang w:val="en-IN"/>
          </w:rPr>
          <w:t>https://data.worldbank.org/country/bangladesh</w:t>
        </w:r>
      </w:hyperlink>
      <w:r>
        <w:rPr>
          <w:lang w:val="en-IN"/>
        </w:rPr>
        <w:t xml:space="preserve">. [Accessed on: 30 July 2026]. </w:t>
      </w:r>
    </w:p>
    <w:p w:rsidR="006D1D68" w:rsidRDefault="00C77C46">
      <w:pPr>
        <w:spacing w:before="240" w:after="240" w:line="360" w:lineRule="auto"/>
      </w:pPr>
      <w:r>
        <w:t>World Ba</w:t>
      </w:r>
      <w:r>
        <w:t xml:space="preserve">nk Group. (2026) Bangladesh: APRIL 2025 Country Private Sector Diagnostic. [Online]. Available at: </w:t>
      </w:r>
      <w:hyperlink r:id="rId37" w:history="1">
        <w:r>
          <w:rPr>
            <w:rStyle w:val="Hyperlink"/>
          </w:rPr>
          <w:t>https://documents1.worldbank.or</w:t>
        </w:r>
        <w:r>
          <w:rPr>
            <w:rStyle w:val="Hyperlink"/>
          </w:rPr>
          <w:t>g/curated/en/099955403032636762/pdf/IDU-1f7cd8bc-f68f-44e7-a4b8-09b8ed3fc649.pdf</w:t>
        </w:r>
      </w:hyperlink>
      <w:r>
        <w:t xml:space="preserve">. [Accessed on: 30 July 2026]. </w:t>
      </w:r>
    </w:p>
    <w:p w:rsidR="006D1D68" w:rsidRDefault="006D1D68">
      <w:pPr>
        <w:spacing w:before="240" w:after="240" w:line="360" w:lineRule="auto"/>
      </w:pPr>
    </w:p>
    <w:p w:rsidR="006D1D68" w:rsidRDefault="006D1D68">
      <w:pPr>
        <w:spacing w:before="240" w:after="240" w:line="360" w:lineRule="auto"/>
      </w:pPr>
    </w:p>
    <w:p w:rsidR="006D1D68" w:rsidRDefault="006D1D68"/>
    <w:sectPr w:rsidR="006D1D68" w:rsidSect="00A470DD">
      <w:footerReference w:type="default" r:id="rId38"/>
      <w:pgSz w:w="11906" w:h="16838"/>
      <w:pgMar w:top="1440" w:right="1440" w:bottom="1440" w:left="1440" w:header="709" w:footer="709" w:gutter="0"/>
      <w:pgBorders w:offsetFrom="page">
        <w:top w:val="double" w:sz="12" w:space="24" w:color="000000"/>
        <w:left w:val="double" w:sz="12" w:space="24" w:color="000000"/>
        <w:bottom w:val="double" w:sz="12" w:space="24" w:color="000000"/>
        <w:right w:val="double" w:sz="12" w:space="24" w:color="000000"/>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77C46" w:rsidRDefault="00C77C46">
      <w:pPr>
        <w:spacing w:after="0" w:line="240" w:lineRule="auto"/>
      </w:pPr>
      <w:r>
        <w:separator/>
      </w:r>
    </w:p>
  </w:endnote>
  <w:endnote w:type="continuationSeparator" w:id="0">
    <w:p w:rsidR="00C77C46" w:rsidRDefault="00C77C4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470DD" w:rsidRDefault="00A470DD">
    <w:pPr>
      <w:pStyle w:val="Footer"/>
      <w:jc w:val="right"/>
    </w:pPr>
    <w:r>
      <w:fldChar w:fldCharType="begin"/>
    </w:r>
    <w:r w:rsidR="00C77C46">
      <w:instrText xml:space="preserve"> PAGE </w:instrText>
    </w:r>
    <w:r>
      <w:fldChar w:fldCharType="separate"/>
    </w:r>
    <w:r w:rsidR="00A855E0">
      <w:rPr>
        <w:noProof/>
      </w:rPr>
      <w:t>26</w:t>
    </w:r>
    <w:r>
      <w:fldChar w:fldCharType="end"/>
    </w:r>
  </w:p>
  <w:p w:rsidR="00A470DD" w:rsidRDefault="00A470D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77C46" w:rsidRDefault="00C77C46">
      <w:pPr>
        <w:spacing w:after="0" w:line="240" w:lineRule="auto"/>
      </w:pPr>
      <w:r>
        <w:rPr>
          <w:color w:val="000000"/>
        </w:rPr>
        <w:separator/>
      </w:r>
    </w:p>
  </w:footnote>
  <w:footnote w:type="continuationSeparator" w:id="0">
    <w:p w:rsidR="00C77C46" w:rsidRDefault="00C77C4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3AE0188"/>
    <w:multiLevelType w:val="multilevel"/>
    <w:tmpl w:val="F6AEF4A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nsid w:val="5F691CF6"/>
    <w:multiLevelType w:val="multilevel"/>
    <w:tmpl w:val="A22C093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autoHyphenation/>
  <w:characterSpacingControl w:val="doNotCompress"/>
  <w:footnotePr>
    <w:footnote w:id="-1"/>
    <w:footnote w:id="0"/>
  </w:footnotePr>
  <w:endnotePr>
    <w:endnote w:id="-1"/>
    <w:endnote w:id="0"/>
  </w:endnotePr>
  <w:compat/>
  <w:rsids>
    <w:rsidRoot w:val="006D1D68"/>
    <w:rsid w:val="001357C3"/>
    <w:rsid w:val="00270D3E"/>
    <w:rsid w:val="005C0904"/>
    <w:rsid w:val="006D1D68"/>
    <w:rsid w:val="00A42734"/>
    <w:rsid w:val="00A470DD"/>
    <w:rsid w:val="00A855E0"/>
    <w:rsid w:val="00BC4CA4"/>
    <w:rsid w:val="00C77C46"/>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kern w:val="3"/>
        <w:sz w:val="24"/>
        <w:szCs w:val="24"/>
        <w:lang w:val="en-IN" w:eastAsia="en-US" w:bidi="ar-SA"/>
      </w:rPr>
    </w:rPrDefault>
    <w:pPrDefault>
      <w:pPr>
        <w:autoSpaceDN w:val="0"/>
        <w:spacing w:after="16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70DD"/>
    <w:pPr>
      <w:suppressAutoHyphens/>
      <w:spacing w:after="200"/>
      <w:jc w:val="both"/>
    </w:pPr>
    <w:rPr>
      <w:rFonts w:ascii="Times New Roman" w:hAnsi="Times New Roman"/>
      <w:kern w:val="0"/>
      <w:szCs w:val="22"/>
      <w:lang w:val="en-GB"/>
    </w:rPr>
  </w:style>
  <w:style w:type="paragraph" w:styleId="Heading1">
    <w:name w:val="heading 1"/>
    <w:basedOn w:val="Normal"/>
    <w:next w:val="Normal"/>
    <w:uiPriority w:val="9"/>
    <w:qFormat/>
    <w:rsid w:val="00A470DD"/>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unhideWhenUsed/>
    <w:qFormat/>
    <w:rsid w:val="00A470DD"/>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unhideWhenUsed/>
    <w:qFormat/>
    <w:rsid w:val="00A470DD"/>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rsid w:val="00A470DD"/>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rsid w:val="00A470DD"/>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rsid w:val="00A470DD"/>
    <w:pPr>
      <w:keepNext/>
      <w:keepLines/>
      <w:spacing w:before="40" w:after="0"/>
      <w:outlineLvl w:val="5"/>
    </w:pPr>
    <w:rPr>
      <w:rFonts w:eastAsia="Times New Roman"/>
      <w:i/>
      <w:iCs/>
      <w:color w:val="595959"/>
    </w:rPr>
  </w:style>
  <w:style w:type="paragraph" w:styleId="Heading7">
    <w:name w:val="heading 7"/>
    <w:basedOn w:val="Normal"/>
    <w:next w:val="Normal"/>
    <w:rsid w:val="00A470DD"/>
    <w:pPr>
      <w:keepNext/>
      <w:keepLines/>
      <w:spacing w:before="40" w:after="0"/>
      <w:outlineLvl w:val="6"/>
    </w:pPr>
    <w:rPr>
      <w:rFonts w:eastAsia="Times New Roman"/>
      <w:color w:val="595959"/>
    </w:rPr>
  </w:style>
  <w:style w:type="paragraph" w:styleId="Heading8">
    <w:name w:val="heading 8"/>
    <w:basedOn w:val="Normal"/>
    <w:next w:val="Normal"/>
    <w:rsid w:val="00A470DD"/>
    <w:pPr>
      <w:keepNext/>
      <w:keepLines/>
      <w:spacing w:after="0"/>
      <w:outlineLvl w:val="7"/>
    </w:pPr>
    <w:rPr>
      <w:rFonts w:eastAsia="Times New Roman"/>
      <w:i/>
      <w:iCs/>
      <w:color w:val="272727"/>
    </w:rPr>
  </w:style>
  <w:style w:type="paragraph" w:styleId="Heading9">
    <w:name w:val="heading 9"/>
    <w:basedOn w:val="Normal"/>
    <w:next w:val="Normal"/>
    <w:rsid w:val="00A470DD"/>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sid w:val="00A470DD"/>
    <w:rPr>
      <w:rFonts w:ascii="Calibri Light" w:eastAsia="Times New Roman" w:hAnsi="Calibri Light" w:cs="Times New Roman"/>
      <w:color w:val="2F5496"/>
      <w:sz w:val="40"/>
      <w:szCs w:val="40"/>
    </w:rPr>
  </w:style>
  <w:style w:type="character" w:customStyle="1" w:styleId="Heading2Char">
    <w:name w:val="Heading 2 Char"/>
    <w:basedOn w:val="DefaultParagraphFont"/>
    <w:rsid w:val="00A470DD"/>
    <w:rPr>
      <w:rFonts w:ascii="Calibri Light" w:eastAsia="Times New Roman" w:hAnsi="Calibri Light" w:cs="Times New Roman"/>
      <w:color w:val="2F5496"/>
      <w:sz w:val="32"/>
      <w:szCs w:val="32"/>
    </w:rPr>
  </w:style>
  <w:style w:type="character" w:customStyle="1" w:styleId="Heading3Char">
    <w:name w:val="Heading 3 Char"/>
    <w:basedOn w:val="DefaultParagraphFont"/>
    <w:rsid w:val="00A470DD"/>
    <w:rPr>
      <w:rFonts w:eastAsia="Times New Roman" w:cs="Times New Roman"/>
      <w:color w:val="2F5496"/>
      <w:sz w:val="28"/>
      <w:szCs w:val="28"/>
    </w:rPr>
  </w:style>
  <w:style w:type="character" w:customStyle="1" w:styleId="Heading4Char">
    <w:name w:val="Heading 4 Char"/>
    <w:basedOn w:val="DefaultParagraphFont"/>
    <w:rsid w:val="00A470DD"/>
    <w:rPr>
      <w:rFonts w:eastAsia="Times New Roman" w:cs="Times New Roman"/>
      <w:i/>
      <w:iCs/>
      <w:color w:val="2F5496"/>
    </w:rPr>
  </w:style>
  <w:style w:type="character" w:customStyle="1" w:styleId="Heading5Char">
    <w:name w:val="Heading 5 Char"/>
    <w:basedOn w:val="DefaultParagraphFont"/>
    <w:rsid w:val="00A470DD"/>
    <w:rPr>
      <w:rFonts w:eastAsia="Times New Roman" w:cs="Times New Roman"/>
      <w:color w:val="2F5496"/>
    </w:rPr>
  </w:style>
  <w:style w:type="character" w:customStyle="1" w:styleId="Heading6Char">
    <w:name w:val="Heading 6 Char"/>
    <w:basedOn w:val="DefaultParagraphFont"/>
    <w:rsid w:val="00A470DD"/>
    <w:rPr>
      <w:rFonts w:eastAsia="Times New Roman" w:cs="Times New Roman"/>
      <w:i/>
      <w:iCs/>
      <w:color w:val="595959"/>
    </w:rPr>
  </w:style>
  <w:style w:type="character" w:customStyle="1" w:styleId="Heading7Char">
    <w:name w:val="Heading 7 Char"/>
    <w:basedOn w:val="DefaultParagraphFont"/>
    <w:rsid w:val="00A470DD"/>
    <w:rPr>
      <w:rFonts w:eastAsia="Times New Roman" w:cs="Times New Roman"/>
      <w:color w:val="595959"/>
    </w:rPr>
  </w:style>
  <w:style w:type="character" w:customStyle="1" w:styleId="Heading8Char">
    <w:name w:val="Heading 8 Char"/>
    <w:basedOn w:val="DefaultParagraphFont"/>
    <w:rsid w:val="00A470DD"/>
    <w:rPr>
      <w:rFonts w:eastAsia="Times New Roman" w:cs="Times New Roman"/>
      <w:i/>
      <w:iCs/>
      <w:color w:val="272727"/>
    </w:rPr>
  </w:style>
  <w:style w:type="character" w:customStyle="1" w:styleId="Heading9Char">
    <w:name w:val="Heading 9 Char"/>
    <w:basedOn w:val="DefaultParagraphFont"/>
    <w:rsid w:val="00A470DD"/>
    <w:rPr>
      <w:rFonts w:eastAsia="Times New Roman" w:cs="Times New Roman"/>
      <w:color w:val="272727"/>
    </w:rPr>
  </w:style>
  <w:style w:type="paragraph" w:styleId="Title">
    <w:name w:val="Title"/>
    <w:basedOn w:val="Normal"/>
    <w:next w:val="Normal"/>
    <w:uiPriority w:val="10"/>
    <w:qFormat/>
    <w:rsid w:val="00A470DD"/>
    <w:pPr>
      <w:spacing w:after="8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sid w:val="00A470DD"/>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sid w:val="00A470DD"/>
    <w:rPr>
      <w:rFonts w:eastAsia="Times New Roman"/>
      <w:color w:val="595959"/>
      <w:spacing w:val="15"/>
      <w:sz w:val="28"/>
      <w:szCs w:val="28"/>
    </w:rPr>
  </w:style>
  <w:style w:type="character" w:customStyle="1" w:styleId="SubtitleChar">
    <w:name w:val="Subtitle Char"/>
    <w:basedOn w:val="DefaultParagraphFont"/>
    <w:rsid w:val="00A470DD"/>
    <w:rPr>
      <w:rFonts w:eastAsia="Times New Roman" w:cs="Times New Roman"/>
      <w:color w:val="595959"/>
      <w:spacing w:val="15"/>
      <w:sz w:val="28"/>
      <w:szCs w:val="28"/>
    </w:rPr>
  </w:style>
  <w:style w:type="paragraph" w:styleId="Quote">
    <w:name w:val="Quote"/>
    <w:basedOn w:val="Normal"/>
    <w:next w:val="Normal"/>
    <w:rsid w:val="00A470DD"/>
    <w:pPr>
      <w:spacing w:before="160"/>
      <w:jc w:val="center"/>
    </w:pPr>
    <w:rPr>
      <w:i/>
      <w:iCs/>
      <w:color w:val="404040"/>
    </w:rPr>
  </w:style>
  <w:style w:type="character" w:customStyle="1" w:styleId="QuoteChar">
    <w:name w:val="Quote Char"/>
    <w:basedOn w:val="DefaultParagraphFont"/>
    <w:rsid w:val="00A470DD"/>
    <w:rPr>
      <w:i/>
      <w:iCs/>
      <w:color w:val="404040"/>
    </w:rPr>
  </w:style>
  <w:style w:type="paragraph" w:styleId="ListParagraph">
    <w:name w:val="List Paragraph"/>
    <w:basedOn w:val="Normal"/>
    <w:rsid w:val="00A470DD"/>
    <w:pPr>
      <w:ind w:left="720"/>
    </w:pPr>
  </w:style>
  <w:style w:type="character" w:styleId="IntenseEmphasis">
    <w:name w:val="Intense Emphasis"/>
    <w:basedOn w:val="DefaultParagraphFont"/>
    <w:rsid w:val="00A470DD"/>
    <w:rPr>
      <w:i/>
      <w:iCs/>
      <w:color w:val="2F5496"/>
    </w:rPr>
  </w:style>
  <w:style w:type="paragraph" w:styleId="IntenseQuote">
    <w:name w:val="Intense Quote"/>
    <w:basedOn w:val="Normal"/>
    <w:next w:val="Normal"/>
    <w:rsid w:val="00A470DD"/>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sid w:val="00A470DD"/>
    <w:rPr>
      <w:i/>
      <w:iCs/>
      <w:color w:val="2F5496"/>
    </w:rPr>
  </w:style>
  <w:style w:type="character" w:styleId="IntenseReference">
    <w:name w:val="Intense Reference"/>
    <w:basedOn w:val="DefaultParagraphFont"/>
    <w:rsid w:val="00A470DD"/>
    <w:rPr>
      <w:b/>
      <w:bCs/>
      <w:smallCaps/>
      <w:color w:val="2F5496"/>
      <w:spacing w:val="5"/>
    </w:rPr>
  </w:style>
  <w:style w:type="character" w:styleId="Hyperlink">
    <w:name w:val="Hyperlink"/>
    <w:basedOn w:val="DefaultParagraphFont"/>
    <w:rsid w:val="00A470DD"/>
    <w:rPr>
      <w:color w:val="0563C1"/>
      <w:u w:val="single"/>
    </w:rPr>
  </w:style>
  <w:style w:type="character" w:customStyle="1" w:styleId="UnresolvedMention">
    <w:name w:val="Unresolved Mention"/>
    <w:basedOn w:val="DefaultParagraphFont"/>
    <w:rsid w:val="00A470DD"/>
    <w:rPr>
      <w:color w:val="605E5C"/>
      <w:shd w:val="clear" w:color="auto" w:fill="E1DFDD"/>
    </w:rPr>
  </w:style>
  <w:style w:type="paragraph" w:styleId="Footer">
    <w:name w:val="footer"/>
    <w:basedOn w:val="Normal"/>
    <w:rsid w:val="00A470DD"/>
    <w:pPr>
      <w:tabs>
        <w:tab w:val="center" w:pos="4513"/>
        <w:tab w:val="right" w:pos="9026"/>
      </w:tabs>
      <w:spacing w:after="0" w:line="240" w:lineRule="auto"/>
    </w:pPr>
  </w:style>
  <w:style w:type="character" w:customStyle="1" w:styleId="FooterChar">
    <w:name w:val="Footer Char"/>
    <w:basedOn w:val="DefaultParagraphFont"/>
    <w:rsid w:val="00A470DD"/>
    <w:rPr>
      <w:rFonts w:ascii="Times New Roman" w:hAnsi="Times New Roman"/>
      <w:kern w:val="0"/>
      <w:szCs w:val="22"/>
      <w:lang w:val="en-GB"/>
    </w:rPr>
  </w:style>
  <w:style w:type="paragraph" w:styleId="TOCHeading">
    <w:name w:val="TOC Heading"/>
    <w:basedOn w:val="Heading1"/>
    <w:next w:val="Normal"/>
    <w:rsid w:val="00A470DD"/>
    <w:pPr>
      <w:spacing w:before="240" w:after="0" w:line="256" w:lineRule="auto"/>
    </w:pPr>
    <w:rPr>
      <w:sz w:val="32"/>
      <w:szCs w:val="32"/>
      <w:lang w:val="en-US"/>
    </w:rPr>
  </w:style>
  <w:style w:type="paragraph" w:styleId="Caption">
    <w:name w:val="caption"/>
    <w:basedOn w:val="Normal"/>
    <w:next w:val="Normal"/>
    <w:rsid w:val="00A470DD"/>
    <w:pPr>
      <w:spacing w:before="240" w:after="240" w:line="360" w:lineRule="auto"/>
      <w:jc w:val="center"/>
    </w:pPr>
    <w:rPr>
      <w:b/>
      <w:bCs/>
      <w:i/>
      <w:iCs/>
    </w:rPr>
  </w:style>
  <w:style w:type="paragraph" w:styleId="TOC1">
    <w:name w:val="toc 1"/>
    <w:basedOn w:val="Normal"/>
    <w:next w:val="Normal"/>
    <w:autoRedefine/>
    <w:rsid w:val="00A470DD"/>
    <w:pPr>
      <w:spacing w:after="100"/>
    </w:pPr>
  </w:style>
  <w:style w:type="paragraph" w:styleId="TOC2">
    <w:name w:val="toc 2"/>
    <w:basedOn w:val="Normal"/>
    <w:next w:val="Normal"/>
    <w:autoRedefine/>
    <w:rsid w:val="00A470DD"/>
    <w:pPr>
      <w:spacing w:after="100"/>
      <w:ind w:left="240"/>
    </w:pPr>
  </w:style>
  <w:style w:type="paragraph" w:styleId="TOC3">
    <w:name w:val="toc 3"/>
    <w:basedOn w:val="Normal"/>
    <w:next w:val="Normal"/>
    <w:autoRedefine/>
    <w:rsid w:val="00A470DD"/>
    <w:pPr>
      <w:spacing w:after="100"/>
      <w:ind w:left="480"/>
    </w:pPr>
  </w:style>
  <w:style w:type="paragraph" w:styleId="NoSpacing">
    <w:name w:val="No Spacing"/>
    <w:rsid w:val="00A470DD"/>
    <w:pPr>
      <w:suppressAutoHyphens/>
      <w:spacing w:after="0" w:line="240" w:lineRule="auto"/>
      <w:jc w:val="both"/>
    </w:pPr>
    <w:rPr>
      <w:rFonts w:ascii="Times New Roman" w:hAnsi="Times New Roman"/>
      <w:kern w:val="0"/>
      <w:szCs w:val="22"/>
      <w:lang w:val="en-GB"/>
    </w:rPr>
  </w:style>
  <w:style w:type="paragraph" w:styleId="BalloonText">
    <w:name w:val="Balloon Text"/>
    <w:basedOn w:val="Normal"/>
    <w:link w:val="BalloonTextChar"/>
    <w:uiPriority w:val="99"/>
    <w:semiHidden/>
    <w:unhideWhenUsed/>
    <w:rsid w:val="001357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7C3"/>
    <w:rPr>
      <w:rFonts w:ascii="Tahoma" w:hAnsi="Tahoma" w:cs="Tahoma"/>
      <w:kern w:val="0"/>
      <w:sz w:val="16"/>
      <w:szCs w:val="16"/>
      <w:lang w:val="en-GB"/>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image" Target="media/image5.png"/><Relationship Id="rId18" Type="http://schemas.openxmlformats.org/officeDocument/2006/relationships/hyperlink" Target="https://investbangladesh.gov.bd/about-bida" TargetMode="External"/><Relationship Id="rId26" Type="http://schemas.openxmlformats.org/officeDocument/2006/relationships/hyperlink" Target="https://www.costco.ca/f/-/connection-cover-story-expanding-frontiers-september-2023"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201.q4cdn.com/287523651/files/doc_financials/2025/ar/COST-Annual-Report-2025.pdf" TargetMode="External"/><Relationship Id="rId34" Type="http://schemas.openxmlformats.org/officeDocument/2006/relationships/hyperlink" Target="https://www.tbsnews.net/bangladesh/bangladeshs-population-hits-1757-million-majority-working-age-group-unfpa-1182606"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investbangladesh.gov.bd/why-invest-in-bangladesh/9th-largest-consumer-market-by-2030" TargetMode="External"/><Relationship Id="rId25" Type="http://schemas.openxmlformats.org/officeDocument/2006/relationships/hyperlink" Target="https://www.ebsco.com/research-starters/business-and-management/costco" TargetMode="External"/><Relationship Id="rId33" Type="http://schemas.openxmlformats.org/officeDocument/2006/relationships/hyperlink" Target="https://www.tbsnews.net/economy/supermarkets-finally-get-critical-footfall-1438701"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orfonline.org/expert-speak/bangladesh-economy-volatile-taka-and-inflationary-pressures" TargetMode="External"/><Relationship Id="rId20" Type="http://schemas.openxmlformats.org/officeDocument/2006/relationships/hyperlink" Target="https://corporatefinanceinstitute.com/resources/management/eclectic-paradigm/" TargetMode="External"/><Relationship Id="rId29" Type="http://schemas.openxmlformats.org/officeDocument/2006/relationships/hyperlink" Target="https://www.tbsnews.net/economy/high-level-panel-formed-assess-feasibility-issuing-panda-other-foreign-currency-sovereig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costco.com/w/-/locations" TargetMode="External"/><Relationship Id="rId32" Type="http://schemas.openxmlformats.org/officeDocument/2006/relationships/hyperlink" Target="https://www.mordorintelligence.com/industry-reports/retail-industry" TargetMode="External"/><Relationship Id="rId37" Type="http://schemas.openxmlformats.org/officeDocument/2006/relationships/hyperlink" Target="https://documents1.worldbank.org/curated/en/099955403032636762/pdf/IDU-1f7cd8bc-f68f-44e7-a4b8-09b8ed3fc649.pdf"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iantransportobservatory.org/documents/201/Bangladesh-transport-and-climate-policy.pdf" TargetMode="External"/><Relationship Id="rId23" Type="http://schemas.openxmlformats.org/officeDocument/2006/relationships/hyperlink" Target="https://www.costco.com/f/-/join-costco" TargetMode="External"/><Relationship Id="rId28" Type="http://schemas.openxmlformats.org/officeDocument/2006/relationships/hyperlink" Target="https://www.itu.int/en/mediacentre/Pages/PR-2025-11-17-Facts-and-Figures.aspx" TargetMode="External"/><Relationship Id="rId36" Type="http://schemas.openxmlformats.org/officeDocument/2006/relationships/hyperlink" Target="https://data.worldbank.org/country/bangladesh" TargetMode="External"/><Relationship Id="rId10" Type="http://schemas.openxmlformats.org/officeDocument/2006/relationships/image" Target="media/image2.png"/><Relationship Id="rId19" Type="http://schemas.openxmlformats.org/officeDocument/2006/relationships/hyperlink" Target="https://investbangladesh.gov.bd/press-release/bangladesh-net-fdi-inflows-rise-39-36-in-2025" TargetMode="External"/><Relationship Id="rId31" Type="http://schemas.openxmlformats.org/officeDocument/2006/relationships/hyperlink" Target="https://mccibd.org/wp-content/uploads/2021/09/Bangladesh-Labour-Act-2006_English-Upto-2018.pdf" TargetMode="External"/><Relationship Id="rId4" Type="http://schemas.openxmlformats.org/officeDocument/2006/relationships/webSettings" Target="webSettings.xml"/><Relationship Id="rId9" Type="http://schemas.openxmlformats.org/officeDocument/2006/relationships/hyperlink" Target="https://claude.ai/" TargetMode="External"/><Relationship Id="rId14" Type="http://schemas.openxmlformats.org/officeDocument/2006/relationships/hyperlink" Target="https://www.aiib.org/en/projects/details/2024/_download/Bangladesh/AIIB-Project-Document-P000387-Bangladesh-SWM-Improvement-Project_Final_January-12-2024.pdf" TargetMode="External"/><Relationship Id="rId22" Type="http://schemas.openxmlformats.org/officeDocument/2006/relationships/hyperlink" Target="https://www.costco.com/f/-/about" TargetMode="External"/><Relationship Id="rId27" Type="http://schemas.openxmlformats.org/officeDocument/2006/relationships/hyperlink" Target="https://medium.com/techno-preneurship/pestle-analysis-the-ceos-guide-to-future-proofing-a-business-877e6c4e20ea" TargetMode="External"/><Relationship Id="rId30" Type="http://schemas.openxmlformats.org/officeDocument/2006/relationships/hyperlink" Target="https://www.macrotrends.net/global-metrics/countries/bgd/bangladesh/gdp-gross-domestic-product" TargetMode="External"/><Relationship Id="rId35" Type="http://schemas.openxmlformats.org/officeDocument/2006/relationships/hyperlink" Target="https://unctad.org/publication/report-implementation-investment-policy-review-banglade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7322</Words>
  <Characters>41738</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Astha chabhadiya</dc:creator>
  <cp:revision>2</cp:revision>
  <dcterms:created xsi:type="dcterms:W3CDTF">2026-08-13T20:20:00Z</dcterms:created>
  <dcterms:modified xsi:type="dcterms:W3CDTF">2026-08-13T20:20:00Z</dcterms:modified>
</cp:coreProperties>
</file>