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89FE80" w14:textId="77777777" w:rsidR="00027E0F" w:rsidRDefault="00027E0F" w:rsidP="00461FC9">
      <w:pPr>
        <w:pStyle w:val="Title"/>
        <w:jc w:val="both"/>
      </w:pPr>
    </w:p>
    <w:p w14:paraId="31B128E5" w14:textId="25BA4F89" w:rsidR="006B00E7" w:rsidRDefault="006B00E7" w:rsidP="006B00E7">
      <w:pPr>
        <w:pStyle w:val="Title"/>
      </w:pPr>
      <w:r>
        <w:t>Financial Performance Analysis and Turnaround Strategy for Urban Heights Hotel</w:t>
      </w:r>
    </w:p>
    <w:p w14:paraId="44AD1900" w14:textId="77777777" w:rsidR="00C26EFE" w:rsidRDefault="00C26EFE" w:rsidP="00C26EFE"/>
    <w:p w14:paraId="113749E0" w14:textId="77777777" w:rsidR="00117B1A" w:rsidRDefault="00117B1A" w:rsidP="00117B1A">
      <w:pPr>
        <w:spacing w:line="252" w:lineRule="auto"/>
        <w:rPr>
          <w:rFonts w:cs="Times New Roman"/>
          <w:b/>
          <w:szCs w:val="24"/>
        </w:rPr>
      </w:pPr>
    </w:p>
    <w:p w14:paraId="23E612F1" w14:textId="77777777" w:rsidR="00117B1A" w:rsidRDefault="00117B1A" w:rsidP="00117B1A">
      <w:pPr>
        <w:spacing w:line="252" w:lineRule="auto"/>
        <w:rPr>
          <w:rFonts w:cs="Times New Roman"/>
          <w:b/>
          <w:szCs w:val="24"/>
        </w:rPr>
      </w:pPr>
    </w:p>
    <w:p w14:paraId="34B52218" w14:textId="77777777" w:rsidR="00117B1A" w:rsidRDefault="00117B1A" w:rsidP="00117B1A">
      <w:pPr>
        <w:spacing w:line="252" w:lineRule="auto"/>
        <w:rPr>
          <w:rFonts w:cs="Times New Roman"/>
          <w:b/>
          <w:szCs w:val="24"/>
        </w:rPr>
      </w:pPr>
    </w:p>
    <w:p w14:paraId="59E96C2C" w14:textId="77777777" w:rsidR="00117B1A" w:rsidRDefault="00117B1A" w:rsidP="00117B1A">
      <w:pPr>
        <w:spacing w:line="252" w:lineRule="auto"/>
        <w:rPr>
          <w:rFonts w:cs="Times New Roman"/>
          <w:b/>
          <w:szCs w:val="24"/>
        </w:rPr>
      </w:pPr>
    </w:p>
    <w:p w14:paraId="5942D870" w14:textId="77777777" w:rsidR="00117B1A" w:rsidRDefault="00117B1A" w:rsidP="00117B1A">
      <w:pPr>
        <w:spacing w:line="252" w:lineRule="auto"/>
        <w:rPr>
          <w:rFonts w:cs="Times New Roman"/>
          <w:b/>
          <w:szCs w:val="24"/>
        </w:rPr>
      </w:pPr>
    </w:p>
    <w:p w14:paraId="7417E55D" w14:textId="77777777" w:rsidR="00117B1A" w:rsidRDefault="00117B1A" w:rsidP="00117B1A">
      <w:pPr>
        <w:spacing w:line="252" w:lineRule="auto"/>
        <w:rPr>
          <w:rFonts w:cs="Times New Roman"/>
          <w:b/>
          <w:szCs w:val="24"/>
        </w:rPr>
      </w:pPr>
    </w:p>
    <w:p w14:paraId="18ED5FCC" w14:textId="77777777" w:rsidR="00117B1A" w:rsidRDefault="00117B1A" w:rsidP="00117B1A">
      <w:pPr>
        <w:spacing w:line="252" w:lineRule="auto"/>
        <w:rPr>
          <w:rFonts w:cs="Times New Roman"/>
          <w:b/>
          <w:szCs w:val="24"/>
        </w:rPr>
      </w:pPr>
    </w:p>
    <w:p w14:paraId="287A06B9" w14:textId="77777777" w:rsidR="00461FC9" w:rsidRDefault="00461FC9" w:rsidP="00117B1A">
      <w:pPr>
        <w:spacing w:line="252" w:lineRule="auto"/>
        <w:rPr>
          <w:rFonts w:cs="Times New Roman"/>
          <w:b/>
          <w:szCs w:val="24"/>
        </w:rPr>
      </w:pPr>
    </w:p>
    <w:p w14:paraId="5695BE22" w14:textId="77777777" w:rsidR="00461FC9" w:rsidRDefault="00461FC9" w:rsidP="00117B1A">
      <w:pPr>
        <w:spacing w:line="252" w:lineRule="auto"/>
        <w:rPr>
          <w:rFonts w:cs="Times New Roman"/>
          <w:b/>
          <w:szCs w:val="24"/>
        </w:rPr>
      </w:pPr>
    </w:p>
    <w:p w14:paraId="68A49BB5" w14:textId="77777777" w:rsidR="00461FC9" w:rsidRDefault="00461FC9" w:rsidP="00117B1A">
      <w:pPr>
        <w:spacing w:line="252" w:lineRule="auto"/>
        <w:rPr>
          <w:rFonts w:cs="Times New Roman"/>
          <w:b/>
          <w:szCs w:val="24"/>
        </w:rPr>
      </w:pPr>
    </w:p>
    <w:p w14:paraId="2435EA2B" w14:textId="49AC0E12" w:rsidR="00117B1A" w:rsidRDefault="00117B1A" w:rsidP="00117B1A">
      <w:pPr>
        <w:spacing w:line="252" w:lineRule="auto"/>
        <w:rPr>
          <w:rFonts w:cs="Times New Roman"/>
          <w:b/>
          <w:szCs w:val="24"/>
        </w:rPr>
      </w:pPr>
      <w:r>
        <w:rPr>
          <w:rFonts w:cs="Times New Roman"/>
          <w:b/>
          <w:szCs w:val="24"/>
        </w:rPr>
        <w:t xml:space="preserve">Student Name: </w:t>
      </w:r>
      <w:r>
        <w:rPr>
          <w:rFonts w:cs="Times New Roman"/>
          <w:b/>
          <w:szCs w:val="24"/>
        </w:rPr>
        <w:t xml:space="preserve">Nicu </w:t>
      </w:r>
      <w:r>
        <w:rPr>
          <w:rFonts w:cs="Times New Roman"/>
          <w:b/>
          <w:szCs w:val="24"/>
        </w:rPr>
        <w:t>Lazar</w:t>
      </w:r>
    </w:p>
    <w:p w14:paraId="43652F0A" w14:textId="2BDA4BF2" w:rsidR="00117B1A" w:rsidRDefault="00117B1A" w:rsidP="00117B1A">
      <w:pPr>
        <w:spacing w:line="252" w:lineRule="auto"/>
        <w:rPr>
          <w:rFonts w:cs="Times New Roman"/>
          <w:b/>
          <w:szCs w:val="24"/>
        </w:rPr>
      </w:pPr>
      <w:r>
        <w:rPr>
          <w:rFonts w:cs="Times New Roman"/>
          <w:b/>
          <w:szCs w:val="24"/>
        </w:rPr>
        <w:t>Student ID: 223553</w:t>
      </w:r>
      <w:r w:rsidR="00461FC9">
        <w:rPr>
          <w:rFonts w:cs="Times New Roman"/>
          <w:b/>
          <w:szCs w:val="24"/>
        </w:rPr>
        <w:t>2</w:t>
      </w:r>
    </w:p>
    <w:p w14:paraId="1BCA798D" w14:textId="77777777" w:rsidR="00117B1A" w:rsidRDefault="00117B1A" w:rsidP="00117B1A">
      <w:pPr>
        <w:spacing w:line="252" w:lineRule="auto"/>
        <w:rPr>
          <w:rFonts w:cs="Times New Roman"/>
          <w:b/>
          <w:szCs w:val="24"/>
        </w:rPr>
      </w:pPr>
      <w:r>
        <w:rPr>
          <w:rFonts w:cs="Times New Roman"/>
          <w:b/>
          <w:szCs w:val="24"/>
        </w:rPr>
        <w:t>Module Title: Financial Management for the Hotel Industry</w:t>
      </w:r>
    </w:p>
    <w:p w14:paraId="41A5C906" w14:textId="77777777" w:rsidR="00117B1A" w:rsidRDefault="00117B1A" w:rsidP="00117B1A">
      <w:pPr>
        <w:spacing w:line="252" w:lineRule="auto"/>
        <w:rPr>
          <w:rFonts w:cs="Times New Roman"/>
          <w:b/>
          <w:szCs w:val="24"/>
        </w:rPr>
      </w:pPr>
      <w:r>
        <w:rPr>
          <w:rFonts w:cs="Times New Roman"/>
          <w:b/>
          <w:szCs w:val="24"/>
        </w:rPr>
        <w:t>Module Code: BMIH5007</w:t>
      </w:r>
    </w:p>
    <w:p w14:paraId="101DCADE" w14:textId="77777777" w:rsidR="00117B1A" w:rsidRDefault="00117B1A" w:rsidP="00117B1A">
      <w:pPr>
        <w:spacing w:line="252" w:lineRule="auto"/>
        <w:rPr>
          <w:rFonts w:cs="Times New Roman"/>
          <w:b/>
          <w:szCs w:val="24"/>
        </w:rPr>
      </w:pPr>
      <w:r>
        <w:rPr>
          <w:rFonts w:cs="Times New Roman"/>
          <w:b/>
          <w:szCs w:val="24"/>
        </w:rPr>
        <w:t>Lecturer: Tristan Hawkins</w:t>
      </w:r>
    </w:p>
    <w:p w14:paraId="61FC5866" w14:textId="77777777" w:rsidR="00117B1A" w:rsidRDefault="00117B1A" w:rsidP="00117B1A">
      <w:pPr>
        <w:contextualSpacing/>
        <w:rPr>
          <w:rFonts w:cs="Times New Roman"/>
          <w:b/>
          <w:szCs w:val="24"/>
        </w:rPr>
      </w:pPr>
      <w:r>
        <w:rPr>
          <w:rFonts w:cs="Times New Roman"/>
          <w:b/>
          <w:szCs w:val="24"/>
        </w:rPr>
        <w:t>Date: 06.06.2024</w:t>
      </w:r>
    </w:p>
    <w:p w14:paraId="794E022F" w14:textId="77777777" w:rsidR="006B00E7" w:rsidRDefault="006B00E7">
      <w:pPr>
        <w:spacing w:line="259" w:lineRule="auto"/>
        <w:jc w:val="left"/>
      </w:pPr>
      <w:r>
        <w:br w:type="page"/>
      </w:r>
    </w:p>
    <w:p w14:paraId="747AB61A" w14:textId="0498E9CD" w:rsidR="006B00E7" w:rsidRDefault="006B00E7" w:rsidP="006B00E7">
      <w:pPr>
        <w:pStyle w:val="Heading1"/>
        <w:numPr>
          <w:ilvl w:val="0"/>
          <w:numId w:val="0"/>
        </w:numPr>
        <w:ind w:left="432" w:hanging="432"/>
      </w:pPr>
      <w:bookmarkStart w:id="0" w:name="_Toc167453768"/>
      <w:r>
        <w:lastRenderedPageBreak/>
        <w:t>Executive Summary</w:t>
      </w:r>
      <w:bookmarkEnd w:id="0"/>
    </w:p>
    <w:p w14:paraId="7C1717BA" w14:textId="2DF4A3C4" w:rsidR="00321DF2" w:rsidRDefault="00321DF2" w:rsidP="00117B1A">
      <w:pPr>
        <w:spacing w:after="0"/>
      </w:pPr>
      <w:r>
        <w:t xml:space="preserve">This report encompasses a comprehensive evaluation of Urban Heights Hotel for financial period 2021-2023; highlights important financial issues regarding the performance of the business; as well as a precise, viable, and innovative turn-round strategy. For the past three years of the implementation of this proposal, the hotel has been able to make the revenue which reduced 28%. At the same time, the operating expenses have gone up, and, as a result, the business </w:t>
      </w:r>
      <w:r w:rsidR="00117B1A">
        <w:t>with</w:t>
      </w:r>
      <w:r>
        <w:t xml:space="preserve"> t loss £500, 000 in 2023 from £700,000 in 2021.</w:t>
      </w:r>
    </w:p>
    <w:p w14:paraId="2E02C6A0" w14:textId="77777777" w:rsidR="00321DF2" w:rsidRDefault="00321DF2" w:rsidP="00117B1A">
      <w:pPr>
        <w:spacing w:after="0"/>
      </w:pPr>
      <w:r>
        <w:t>Some of the areas of emergence of concern include decline in the profit margin which implies that the organisation is earning less profits as compared to the costs involved in the process of its operations; operational costs – these are costs found to be on the rise; and last but not the least is the aspect of liquidity which has being found to be on the decline implying that the ability of the organisation to meet its obligations on a timely basis has been challenged. Concerning this the report provided a four facilitative tactical strategy to turn around, which involved costs control, revenue mobilization, operational efficiency improvement, and financial reinvention. Some of these strategies include; improving health care operational efficacy, implementing of variant pricing methods and service differentiation, improving technology and restructuring of debts.</w:t>
      </w:r>
    </w:p>
    <w:p w14:paraId="3A44452E" w14:textId="77777777" w:rsidR="00321DF2" w:rsidRDefault="00321DF2" w:rsidP="00117B1A">
      <w:pPr>
        <w:spacing w:after="0"/>
      </w:pPr>
      <w:r>
        <w:t>These cakes of strategies are expected to lead to improved revenues, enhanced profitability, improved operational efficiencies, increasing revenue base, and thus putting the hotel on a sounder financial footing. The major objective in the analysis is to rebrand GH Urban Heights Hotel so as to become responsive to the hotel industry and guarantee profitability in its operation.</w:t>
      </w:r>
    </w:p>
    <w:p w14:paraId="003C9DF8" w14:textId="33CF4EF3" w:rsidR="00321DF2" w:rsidRDefault="00321DF2" w:rsidP="00117B1A">
      <w:pPr>
        <w:spacing w:line="259" w:lineRule="auto"/>
        <w:jc w:val="left"/>
      </w:pPr>
      <w:r>
        <w:br w:type="page"/>
      </w:r>
    </w:p>
    <w:p w14:paraId="6F44B2F0" w14:textId="6CF459F9" w:rsidR="006B00E7" w:rsidRDefault="006B00E7" w:rsidP="00117B1A">
      <w:pPr>
        <w:spacing w:after="0"/>
      </w:pPr>
      <w:bookmarkStart w:id="1" w:name="_Toc167453771"/>
      <w:r>
        <w:lastRenderedPageBreak/>
        <w:t>Introduction</w:t>
      </w:r>
      <w:bookmarkEnd w:id="1"/>
    </w:p>
    <w:p w14:paraId="271740B1" w14:textId="77777777" w:rsidR="002322F2" w:rsidRDefault="002322F2" w:rsidP="00117B1A">
      <w:pPr>
        <w:spacing w:after="0"/>
      </w:pPr>
      <w:r>
        <w:t>Urban Heights Hotel located in the downtown area of Metropolitan City gives an excellent look of the business city and is suitable for business travelers as well as for tourists. It comprises of 250 guest rooms and suites, multiple conference halls, a fully equipped fitness centre, outdoor pool on the rooftop, and two restaurants to suit taste buds.</w:t>
      </w:r>
    </w:p>
    <w:p w14:paraId="30074B4A" w14:textId="4C1D37E0" w:rsidR="00F11B0E" w:rsidRDefault="00F11B0E" w:rsidP="002322F2">
      <w:r>
        <w:rPr>
          <w:noProof/>
        </w:rPr>
        <w:drawing>
          <wp:inline distT="0" distB="0" distL="0" distR="0" wp14:anchorId="17F57700" wp14:editId="4370DAEB">
            <wp:extent cx="5943600" cy="2556510"/>
            <wp:effectExtent l="0" t="0" r="0" b="0"/>
            <wp:docPr id="699739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739815" name=""/>
                    <pic:cNvPicPr/>
                  </pic:nvPicPr>
                  <pic:blipFill>
                    <a:blip r:embed="rId8"/>
                    <a:stretch>
                      <a:fillRect/>
                    </a:stretch>
                  </pic:blipFill>
                  <pic:spPr>
                    <a:xfrm>
                      <a:off x="0" y="0"/>
                      <a:ext cx="5943600" cy="2556510"/>
                    </a:xfrm>
                    <a:prstGeom prst="rect">
                      <a:avLst/>
                    </a:prstGeom>
                  </pic:spPr>
                </pic:pic>
              </a:graphicData>
            </a:graphic>
          </wp:inline>
        </w:drawing>
      </w:r>
    </w:p>
    <w:p w14:paraId="0972F6B9" w14:textId="6C25B147" w:rsidR="00F11B0E" w:rsidRDefault="00F11B0E" w:rsidP="00117B1A">
      <w:pPr>
        <w:spacing w:after="0"/>
      </w:pPr>
      <w:r>
        <w:t xml:space="preserve">Source: </w:t>
      </w:r>
      <w:r w:rsidRPr="00F11B0E">
        <w:t>(Trip Advisor)</w:t>
      </w:r>
    </w:p>
    <w:p w14:paraId="6AF94411" w14:textId="77777777" w:rsidR="002322F2" w:rsidRDefault="002322F2" w:rsidP="00117B1A">
      <w:pPr>
        <w:spacing w:after="0"/>
      </w:pPr>
      <w:r>
        <w:t>This hotel was established in 2015 and from that time, it has cultivated a good reputation in the provision of services and it has been clients’ preferred hotel for corporate events as well as leisure trips. Nevertheless, like many other establishments in the sphere of hospitality and tourism, the hotel has experienced major difficulties during the last three years as a result of the economic, market, and social changes, as well as growing competition.</w:t>
      </w:r>
    </w:p>
    <w:p w14:paraId="218A9ADB" w14:textId="7FC13791" w:rsidR="006B00E7" w:rsidRDefault="002322F2" w:rsidP="00117B1A">
      <w:pPr>
        <w:spacing w:after="0"/>
      </w:pPr>
      <w:r>
        <w:t>Therefore, the main purpose of this report is to assess the performance of Urban Height Hotel for the last three years in terms of financial analysis. In this analysis, attention will be paid to critical financial ratios, revealing the problematic factors that have affected the profitability and liquidity, as well as the root causes of such changes. Consequently, the report will provide the comprehensive set of recommendations that will focus on the restoration of the hotel’s financial performance and the improvement of its strategic situation in the market. This strategy will involve cost cutting measures, increasing overall revenues, and making efficiency changes to support future revenue and profit growth.</w:t>
      </w:r>
    </w:p>
    <w:p w14:paraId="5D638199" w14:textId="22ABDC32" w:rsidR="006B00E7" w:rsidRDefault="002322F2" w:rsidP="00117B1A">
      <w:pPr>
        <w:pStyle w:val="Heading1"/>
        <w:spacing w:before="0"/>
      </w:pPr>
      <w:bookmarkStart w:id="2" w:name="_Toc167453772"/>
      <w:r>
        <w:lastRenderedPageBreak/>
        <w:t>Scope and Objective</w:t>
      </w:r>
      <w:bookmarkEnd w:id="2"/>
    </w:p>
    <w:p w14:paraId="514DFA86" w14:textId="16B3961E" w:rsidR="006B00E7" w:rsidRDefault="002322F2" w:rsidP="00117B1A">
      <w:pPr>
        <w:spacing w:after="0"/>
      </w:pPr>
      <w:r w:rsidRPr="002322F2">
        <w:t>This work focuses on achieving the following goals: analyzing the trends and patterns by analyzing the revenue, expense and profit of the Urban Heights Hotel over three years. Evaluating the problem conducting analysis to determine issues that may have affected the profitability of the hotel through internal organizational processes and external factors</w:t>
      </w:r>
      <w:r w:rsidR="00967C1B">
        <w:t xml:space="preserve"> (Wu et al. 2023; </w:t>
      </w:r>
      <w:r w:rsidR="00CA1F13">
        <w:t>Abbas et al. 2019</w:t>
      </w:r>
      <w:r w:rsidR="00967C1B">
        <w:t>)</w:t>
      </w:r>
      <w:r w:rsidRPr="002322F2">
        <w:t>. Formulating turnaround objectives by suggesting remedial measures to improve the financial situation and increasing the brand image of the hotel in the saturated industry.</w:t>
      </w:r>
    </w:p>
    <w:p w14:paraId="3790C35E" w14:textId="77777777" w:rsidR="006B00E7" w:rsidRDefault="006B00E7" w:rsidP="00117B1A">
      <w:pPr>
        <w:pStyle w:val="Heading1"/>
        <w:spacing w:before="0"/>
      </w:pPr>
      <w:bookmarkStart w:id="3" w:name="_Toc167453773"/>
      <w:r>
        <w:t>Financial Performance Analysis</w:t>
      </w:r>
      <w:bookmarkEnd w:id="3"/>
    </w:p>
    <w:p w14:paraId="7BB5E1AF" w14:textId="57F09B96" w:rsidR="00027E0F" w:rsidRDefault="00F14539" w:rsidP="00117B1A">
      <w:pPr>
        <w:spacing w:after="0"/>
      </w:pPr>
      <w:r>
        <w:t>The evaluation of Urban Height Hotel financial performance for the last fiscal year and over the past three years shows various trends and patterns with regard to the Hotel’s total revenues, total expenses, net profits, liquidity and solvency</w:t>
      </w:r>
      <w:r w:rsidR="004B2734">
        <w:t xml:space="preserve"> (Kim, 2018</w:t>
      </w:r>
      <w:r w:rsidR="00DB5AF7">
        <w:t xml:space="preserve">; </w:t>
      </w:r>
      <w:r w:rsidR="00DB5AF7">
        <w:rPr>
          <w:shd w:val="clear" w:color="auto" w:fill="FFFFFF"/>
        </w:rPr>
        <w:t>Pelaez-Verdet and Loscertales-Sanchez, 2021; Santos et al. 2022</w:t>
      </w:r>
      <w:r w:rsidR="004B2734">
        <w:t>)</w:t>
      </w:r>
      <w:r>
        <w:t xml:space="preserve">. </w:t>
      </w:r>
      <w:r w:rsidR="00D75CF9" w:rsidRPr="00D75CF9">
        <w:t>These fundamentals when backed by an analysis of the micro and macro</w:t>
      </w:r>
      <w:r w:rsidR="00D75CF9">
        <w:t>-</w:t>
      </w:r>
      <w:r w:rsidR="00D75CF9" w:rsidRPr="00D75CF9">
        <w:t>economic forces affecting the industry and other events that affect the hotel chain’s financial position can give a detailed picture of the factors contributing to the inefficient financial position.</w:t>
      </w:r>
    </w:p>
    <w:p w14:paraId="1218D1F2" w14:textId="6F01BDAF" w:rsidR="00F14539" w:rsidRPr="00F14539" w:rsidRDefault="00F14539" w:rsidP="00117B1A">
      <w:pPr>
        <w:spacing w:after="0"/>
      </w:pPr>
      <w:r w:rsidRPr="00F14539">
        <w:t>In 2021 the organisation experienced a down turn in its revenue; in 2022 the revenue continued to decline up to 2023; this is a 28% decline from the year 2021 to 202</w:t>
      </w:r>
      <w:r>
        <w:t>2</w:t>
      </w:r>
      <w:r w:rsidRPr="00F14539">
        <w:t xml:space="preserve">. This decline could have been due to lack of movement for pleasure related to travel and tourism as a result of steady continuing world recession or a certain part of the world that affects movement (for health reasons </w:t>
      </w:r>
      <w:r>
        <w:t>and</w:t>
      </w:r>
      <w:r w:rsidRPr="00F14539">
        <w:t xml:space="preserve"> economical reasons as an example).</w:t>
      </w:r>
    </w:p>
    <w:p w14:paraId="7F2E439E" w14:textId="2A6460FB" w:rsidR="00F14539" w:rsidRDefault="00F14539" w:rsidP="00F14539">
      <w:pPr>
        <w:pStyle w:val="Caption"/>
      </w:pPr>
      <w:bookmarkStart w:id="4" w:name="_Toc167453763"/>
      <w:r>
        <w:t xml:space="preserve">Figure </w:t>
      </w:r>
      <w:r w:rsidR="00574EE6">
        <w:fldChar w:fldCharType="begin"/>
      </w:r>
      <w:r w:rsidR="00574EE6">
        <w:instrText xml:space="preserve"> SEQ Figure \* ARABIC </w:instrText>
      </w:r>
      <w:r w:rsidR="00574EE6">
        <w:fldChar w:fldCharType="separate"/>
      </w:r>
      <w:r w:rsidR="00E64721">
        <w:rPr>
          <w:noProof/>
        </w:rPr>
        <w:t>1</w:t>
      </w:r>
      <w:r w:rsidR="00574EE6">
        <w:rPr>
          <w:noProof/>
        </w:rPr>
        <w:fldChar w:fldCharType="end"/>
      </w:r>
      <w:r>
        <w:t xml:space="preserve"> Revenue Trends</w:t>
      </w:r>
      <w:bookmarkEnd w:id="4"/>
    </w:p>
    <w:p w14:paraId="0A91749F" w14:textId="18F5A7B0" w:rsidR="00F14539" w:rsidRDefault="008E3968" w:rsidP="00027E0F">
      <w:r w:rsidRPr="008E3968">
        <w:rPr>
          <w:noProof/>
        </w:rPr>
        <w:drawing>
          <wp:inline distT="0" distB="0" distL="0" distR="0" wp14:anchorId="0528CD83" wp14:editId="1D27BFCC">
            <wp:extent cx="2252345" cy="1033145"/>
            <wp:effectExtent l="0" t="0" r="0" b="0"/>
            <wp:docPr id="65380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2345" cy="1033145"/>
                    </a:xfrm>
                    <a:prstGeom prst="rect">
                      <a:avLst/>
                    </a:prstGeom>
                    <a:noFill/>
                    <a:ln>
                      <a:noFill/>
                    </a:ln>
                  </pic:spPr>
                </pic:pic>
              </a:graphicData>
            </a:graphic>
          </wp:inline>
        </w:drawing>
      </w:r>
    </w:p>
    <w:p w14:paraId="7C0DB3EA" w14:textId="046BC264" w:rsidR="00F14539" w:rsidRDefault="00E64721" w:rsidP="00117B1A">
      <w:pPr>
        <w:spacing w:after="0"/>
      </w:pPr>
      <w:r w:rsidRPr="00E64721">
        <w:t>Profitability decline has deepened greatly from the possible healthy figure that was recorded in 2021 to a Comprehensive Loss in 2023. Using the following formula to determine the company net income: net income = revenues – operating expenses, one can conclude that the fall in the company’s net income can be attributed to the fall in revenues and the growth of operating expenses from £1,800,000 in 2021 to £2,300,000 in 2023.</w:t>
      </w:r>
    </w:p>
    <w:p w14:paraId="1C39EE66" w14:textId="77777777" w:rsidR="00117B1A" w:rsidRDefault="00117B1A" w:rsidP="00F14539">
      <w:pPr>
        <w:pStyle w:val="Caption"/>
      </w:pPr>
      <w:bookmarkStart w:id="5" w:name="_Toc167453764"/>
    </w:p>
    <w:p w14:paraId="71215CFA" w14:textId="42E31218" w:rsidR="00F14539" w:rsidRDefault="00F14539" w:rsidP="00F14539">
      <w:pPr>
        <w:pStyle w:val="Caption"/>
      </w:pPr>
      <w:r>
        <w:lastRenderedPageBreak/>
        <w:t xml:space="preserve">Figure </w:t>
      </w:r>
      <w:r w:rsidR="00574EE6">
        <w:fldChar w:fldCharType="begin"/>
      </w:r>
      <w:r w:rsidR="00574EE6">
        <w:instrText xml:space="preserve"> SEQ Figure \* ARABIC </w:instrText>
      </w:r>
      <w:r w:rsidR="00574EE6">
        <w:fldChar w:fldCharType="separate"/>
      </w:r>
      <w:r w:rsidR="00E64721">
        <w:rPr>
          <w:noProof/>
        </w:rPr>
        <w:t>2</w:t>
      </w:r>
      <w:r w:rsidR="00574EE6">
        <w:rPr>
          <w:noProof/>
        </w:rPr>
        <w:fldChar w:fldCharType="end"/>
      </w:r>
      <w:r>
        <w:t xml:space="preserve"> Profitability Analysis</w:t>
      </w:r>
      <w:bookmarkEnd w:id="5"/>
    </w:p>
    <w:p w14:paraId="0E4D5B6B" w14:textId="2C8E3725" w:rsidR="00F14539" w:rsidRDefault="008E3968" w:rsidP="00027E0F">
      <w:r w:rsidRPr="008E3968">
        <w:rPr>
          <w:noProof/>
        </w:rPr>
        <w:drawing>
          <wp:inline distT="0" distB="0" distL="0" distR="0" wp14:anchorId="25D6A776" wp14:editId="4A7A921A">
            <wp:extent cx="5943600" cy="1397000"/>
            <wp:effectExtent l="0" t="0" r="0" b="0"/>
            <wp:docPr id="2627930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1397000"/>
                    </a:xfrm>
                    <a:prstGeom prst="rect">
                      <a:avLst/>
                    </a:prstGeom>
                    <a:noFill/>
                    <a:ln>
                      <a:noFill/>
                    </a:ln>
                  </pic:spPr>
                </pic:pic>
              </a:graphicData>
            </a:graphic>
          </wp:inline>
        </w:drawing>
      </w:r>
    </w:p>
    <w:p w14:paraId="6391B189" w14:textId="5E4E7DAF" w:rsidR="00E64721" w:rsidRDefault="00E64721" w:rsidP="00117B1A">
      <w:pPr>
        <w:spacing w:after="0"/>
      </w:pPr>
      <w:r>
        <w:t>Quick Ratio reflects the current ratio trends and revealed that ratio has a poor tendency in terms of declining liquid asset compared to current liabilities</w:t>
      </w:r>
      <w:r w:rsidR="00346D0E">
        <w:t xml:space="preserve"> (</w:t>
      </w:r>
      <w:r w:rsidR="00346D0E">
        <w:rPr>
          <w:shd w:val="clear" w:color="auto" w:fill="FFFFFF"/>
        </w:rPr>
        <w:t xml:space="preserve">Purnomo, 2018; Dar and Dar, 2017; </w:t>
      </w:r>
      <w:r w:rsidR="00B34CD3">
        <w:rPr>
          <w:shd w:val="clear" w:color="auto" w:fill="FFFFFF"/>
        </w:rPr>
        <w:t>Hossain and Alam, 2019</w:t>
      </w:r>
      <w:r w:rsidR="00346D0E">
        <w:t>)</w:t>
      </w:r>
      <w:r>
        <w:t>.</w:t>
      </w:r>
      <w:r w:rsidR="00827ABA">
        <w:t xml:space="preserve"> </w:t>
      </w:r>
      <w:r>
        <w:t>The current ratio explained the group’s ability to pay its short-term obligations while the quick ratio showed a deteriorated position due to the pressure on the hotel to source cash to meet its short-term obligations in the near future. Leverage ratio has increased as evidenced by the debt to equity ratio which shows that the hotel is increasingly being funded by debt which serves to increase the overall risk of the organisation and could be concerning to creditors and investors.</w:t>
      </w:r>
    </w:p>
    <w:p w14:paraId="71FF468E" w14:textId="77777777" w:rsidR="00427010" w:rsidRDefault="00427010" w:rsidP="00427010">
      <w:pPr>
        <w:pStyle w:val="Caption"/>
      </w:pPr>
      <w:bookmarkStart w:id="6" w:name="_Toc167453765"/>
      <w:r>
        <w:t xml:space="preserve">Figure </w:t>
      </w:r>
      <w:r w:rsidR="00574EE6">
        <w:fldChar w:fldCharType="begin"/>
      </w:r>
      <w:r w:rsidR="00574EE6">
        <w:instrText xml:space="preserve"> SEQ Figure \* ARABIC </w:instrText>
      </w:r>
      <w:r w:rsidR="00574EE6">
        <w:fldChar w:fldCharType="separate"/>
      </w:r>
      <w:r>
        <w:rPr>
          <w:noProof/>
        </w:rPr>
        <w:t>3</w:t>
      </w:r>
      <w:r w:rsidR="00574EE6">
        <w:rPr>
          <w:noProof/>
        </w:rPr>
        <w:fldChar w:fldCharType="end"/>
      </w:r>
      <w:r>
        <w:t xml:space="preserve"> Liquidity and Solvency Analysis</w:t>
      </w:r>
    </w:p>
    <w:p w14:paraId="3D2B6090" w14:textId="77777777" w:rsidR="00827ABA" w:rsidRDefault="00427010" w:rsidP="00827ABA">
      <w:r w:rsidRPr="008E3968">
        <w:rPr>
          <w:noProof/>
        </w:rPr>
        <w:drawing>
          <wp:inline distT="0" distB="0" distL="0" distR="0" wp14:anchorId="0B0932AA" wp14:editId="0AE0CE46">
            <wp:extent cx="5943600" cy="1165138"/>
            <wp:effectExtent l="0" t="0" r="0" b="0"/>
            <wp:docPr id="3443999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165138"/>
                    </a:xfrm>
                    <a:prstGeom prst="rect">
                      <a:avLst/>
                    </a:prstGeom>
                    <a:noFill/>
                    <a:ln>
                      <a:noFill/>
                    </a:ln>
                  </pic:spPr>
                </pic:pic>
              </a:graphicData>
            </a:graphic>
          </wp:inline>
        </w:drawing>
      </w:r>
    </w:p>
    <w:p w14:paraId="64B6FE84" w14:textId="7FC8FBC9" w:rsidR="00F14539" w:rsidRDefault="00E64721" w:rsidP="00461FC9">
      <w:pPr>
        <w:pStyle w:val="Heading2"/>
      </w:pPr>
      <w:bookmarkStart w:id="7" w:name="_Toc167453774"/>
      <w:bookmarkEnd w:id="6"/>
      <w:r w:rsidRPr="00E64721">
        <w:t>Key Reasons Behind the Decline in Profitability</w:t>
      </w:r>
      <w:bookmarkEnd w:id="7"/>
    </w:p>
    <w:p w14:paraId="617C36BA" w14:textId="3ABD6417" w:rsidR="00E64721" w:rsidRDefault="00E64721" w:rsidP="00461FC9">
      <w:pPr>
        <w:spacing w:after="0"/>
      </w:pPr>
      <w:r>
        <w:t xml:space="preserve">These are economic factors, including recession, increased competition and change in customer’s behavior in the external environment. </w:t>
      </w:r>
      <w:r w:rsidR="00F51793">
        <w:t>T</w:t>
      </w:r>
      <w:r>
        <w:t>he need to cut costs (for instance in terms of adopting standard instead of luxury facilities, or referrals to completely different, non-hotel housing arrangements such as Airbnb) might have impacted the revenue</w:t>
      </w:r>
      <w:r w:rsidR="00F51793">
        <w:t xml:space="preserve"> (</w:t>
      </w:r>
      <w:r w:rsidR="00F51793">
        <w:rPr>
          <w:shd w:val="clear" w:color="auto" w:fill="FFFFFF"/>
        </w:rPr>
        <w:t>Lilley, 2020</w:t>
      </w:r>
      <w:r w:rsidR="00F51793">
        <w:t>)</w:t>
      </w:r>
      <w:r>
        <w:t>.</w:t>
      </w:r>
    </w:p>
    <w:p w14:paraId="69CBD90A" w14:textId="168E85AA" w:rsidR="00E64721" w:rsidRDefault="00442587" w:rsidP="00E64721">
      <w:r>
        <w:rPr>
          <w:noProof/>
        </w:rPr>
        <w:lastRenderedPageBreak/>
        <w:drawing>
          <wp:inline distT="0" distB="0" distL="0" distR="0" wp14:anchorId="74AA90AA" wp14:editId="07E29504">
            <wp:extent cx="5861050" cy="3289300"/>
            <wp:effectExtent l="0" t="0" r="0" b="25400"/>
            <wp:docPr id="1060425599"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5995C01" w14:textId="01EF5518" w:rsidR="00E64721" w:rsidRPr="00E64721" w:rsidRDefault="00E64721" w:rsidP="00E64721">
      <w:r>
        <w:t>Financial analysis is important to indicate the need for strategic solutions addressing the decreased revenue, controlling the costs, and optimizing the operating expenses, as well as ensuring the financial stability of the hotel</w:t>
      </w:r>
      <w:r w:rsidR="00510DD2">
        <w:t xml:space="preserve"> (</w:t>
      </w:r>
      <w:r w:rsidR="00970B1B">
        <w:t>Richard, 2017; Ren et al. 2021</w:t>
      </w:r>
      <w:r w:rsidR="00510DD2">
        <w:t>)</w:t>
      </w:r>
      <w:r>
        <w:t>. Some measure might include cost reduction, the emergence of new products or services to break into new market segments, restructuring of debt or finding new customers to negotiate with among others. Also the marketing function can be utilized to revamp the look and feel of the hotel and also fit in new market trends in order to be in a position to recover from the current economic adversity.</w:t>
      </w:r>
    </w:p>
    <w:p w14:paraId="45245358" w14:textId="77777777" w:rsidR="006B00E7" w:rsidRDefault="006B00E7" w:rsidP="006B00E7">
      <w:pPr>
        <w:pStyle w:val="Heading1"/>
      </w:pPr>
      <w:bookmarkStart w:id="8" w:name="_Toc167453775"/>
      <w:bookmarkStart w:id="9" w:name="_Hlk167563884"/>
      <w:r>
        <w:t>Turnaround Strategy</w:t>
      </w:r>
      <w:bookmarkEnd w:id="8"/>
    </w:p>
    <w:p w14:paraId="5232BA55" w14:textId="02E0CC64" w:rsidR="00F73ECF" w:rsidRDefault="00F73ECF" w:rsidP="00F73ECF">
      <w:r>
        <w:t>This turnaround strategy aims at rehabilitating the financial health of Urban Heights Hotel and also elevating it to a competitive advantage in the field of hospitality. This comprehensive strategy will focus on four main areas: The mentioned strategies can be identified as Cost Management, Revenue Enhancement, Operational Improvements and Financial Restructuring.</w:t>
      </w:r>
    </w:p>
    <w:p w14:paraId="004EFBDA" w14:textId="77777777" w:rsidR="00461FC9" w:rsidRDefault="00461FC9" w:rsidP="00F73ECF"/>
    <w:p w14:paraId="05E293F3" w14:textId="77777777" w:rsidR="00461FC9" w:rsidRDefault="00461FC9" w:rsidP="00F73ECF"/>
    <w:p w14:paraId="7FED12DB" w14:textId="77777777" w:rsidR="00461FC9" w:rsidRDefault="00461FC9" w:rsidP="00F73ECF"/>
    <w:p w14:paraId="5E5D21B0" w14:textId="1691813F" w:rsidR="00F73ECF" w:rsidRDefault="00F73ECF" w:rsidP="00F73ECF">
      <w:pPr>
        <w:pStyle w:val="Heading2"/>
      </w:pPr>
      <w:bookmarkStart w:id="10" w:name="_Toc167453776"/>
      <w:r>
        <w:lastRenderedPageBreak/>
        <w:t>Revenue Enhancement</w:t>
      </w:r>
      <w:bookmarkEnd w:id="10"/>
    </w:p>
    <w:p w14:paraId="585ED850" w14:textId="77777777" w:rsidR="00F73ECF" w:rsidRDefault="00F73ECF" w:rsidP="00F73ECF">
      <w:r>
        <w:t>Enhancing revenue streams requires both improving existing services and exploring new avenues:</w:t>
      </w:r>
    </w:p>
    <w:p w14:paraId="39D5E87F" w14:textId="1C317E64" w:rsidR="006379B2" w:rsidRDefault="004338D2" w:rsidP="00F73ECF">
      <w:r>
        <w:rPr>
          <w:noProof/>
        </w:rPr>
        <w:drawing>
          <wp:inline distT="0" distB="0" distL="0" distR="0" wp14:anchorId="31CA76A1" wp14:editId="5738D13E">
            <wp:extent cx="6165850" cy="3225800"/>
            <wp:effectExtent l="0" t="0" r="0" b="31750"/>
            <wp:docPr id="938157079"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B3121B7" w14:textId="77777777" w:rsidR="00461FC9" w:rsidRDefault="00461FC9" w:rsidP="00F73ECF"/>
    <w:p w14:paraId="2C3A6A13" w14:textId="77777777" w:rsidR="00461FC9" w:rsidRDefault="00461FC9" w:rsidP="00F73ECF"/>
    <w:p w14:paraId="13DA78D7" w14:textId="77777777" w:rsidR="00461FC9" w:rsidRDefault="00461FC9" w:rsidP="00F73ECF"/>
    <w:p w14:paraId="738B6DC6" w14:textId="77777777" w:rsidR="00461FC9" w:rsidRDefault="00461FC9" w:rsidP="00F73ECF"/>
    <w:p w14:paraId="7EA1374D" w14:textId="77777777" w:rsidR="00461FC9" w:rsidRDefault="00461FC9" w:rsidP="00F73ECF"/>
    <w:p w14:paraId="2AC3C4E7" w14:textId="77777777" w:rsidR="00461FC9" w:rsidRDefault="00461FC9" w:rsidP="00F73ECF"/>
    <w:p w14:paraId="01CD6080" w14:textId="77777777" w:rsidR="00461FC9" w:rsidRDefault="00461FC9" w:rsidP="00F73ECF"/>
    <w:p w14:paraId="2215420D" w14:textId="77777777" w:rsidR="00461FC9" w:rsidRDefault="00461FC9" w:rsidP="00F73ECF"/>
    <w:p w14:paraId="35419F10" w14:textId="77777777" w:rsidR="00461FC9" w:rsidRDefault="00461FC9" w:rsidP="00F73ECF"/>
    <w:p w14:paraId="5A66133C" w14:textId="77777777" w:rsidR="00461FC9" w:rsidRPr="00F73ECF" w:rsidRDefault="00461FC9" w:rsidP="00F73ECF"/>
    <w:p w14:paraId="7D026CF3" w14:textId="297DE8EA" w:rsidR="006B00E7" w:rsidRDefault="00F73ECF" w:rsidP="00F73ECF">
      <w:pPr>
        <w:pStyle w:val="Heading2"/>
      </w:pPr>
      <w:bookmarkStart w:id="11" w:name="_Toc167453777"/>
      <w:r>
        <w:lastRenderedPageBreak/>
        <w:t>Cost Management</w:t>
      </w:r>
      <w:bookmarkEnd w:id="11"/>
    </w:p>
    <w:p w14:paraId="49865AEA" w14:textId="77777777" w:rsidR="00F73ECF" w:rsidRDefault="00F73ECF" w:rsidP="00F73ECF">
      <w:r>
        <w:t>To reduce operational costs without compromising the quality of service, the following methods are proposed:</w:t>
      </w:r>
    </w:p>
    <w:p w14:paraId="340E2EF8" w14:textId="6D4CE9F1" w:rsidR="00F73ECF" w:rsidRDefault="008C2123" w:rsidP="008C2123">
      <w:r>
        <w:rPr>
          <w:noProof/>
        </w:rPr>
        <w:drawing>
          <wp:inline distT="0" distB="0" distL="0" distR="0" wp14:anchorId="3AB7AB27" wp14:editId="27C0888F">
            <wp:extent cx="6111240" cy="3520440"/>
            <wp:effectExtent l="0" t="0" r="0" b="41910"/>
            <wp:docPr id="813343989"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5940E429" w14:textId="2D06EBD5" w:rsidR="00F73ECF" w:rsidRDefault="00F73ECF" w:rsidP="00F73ECF">
      <w:pPr>
        <w:pStyle w:val="Heading2"/>
      </w:pPr>
      <w:bookmarkStart w:id="12" w:name="_Toc167453778"/>
      <w:r>
        <w:lastRenderedPageBreak/>
        <w:t>Operational Improvements</w:t>
      </w:r>
      <w:bookmarkEnd w:id="12"/>
    </w:p>
    <w:p w14:paraId="65A4C224" w14:textId="2E557F06" w:rsidR="00F73ECF" w:rsidRDefault="00A2717D" w:rsidP="00A2717D">
      <w:r>
        <w:rPr>
          <w:noProof/>
        </w:rPr>
        <w:drawing>
          <wp:inline distT="0" distB="0" distL="0" distR="0" wp14:anchorId="20F6C905" wp14:editId="046439BF">
            <wp:extent cx="6172200" cy="3360420"/>
            <wp:effectExtent l="0" t="0" r="0" b="30480"/>
            <wp:docPr id="58799717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62C06EC9" w14:textId="1DD721DB" w:rsidR="00F73ECF" w:rsidRDefault="00F73ECF" w:rsidP="00F73ECF">
      <w:pPr>
        <w:pStyle w:val="Heading2"/>
      </w:pPr>
      <w:bookmarkStart w:id="13" w:name="_Toc167453779"/>
      <w:r w:rsidRPr="00F73ECF">
        <w:t>Financial Restructuring</w:t>
      </w:r>
      <w:bookmarkEnd w:id="13"/>
    </w:p>
    <w:p w14:paraId="694B277E" w14:textId="0EC9D1DD" w:rsidR="00410EED" w:rsidRDefault="003C29E0" w:rsidP="003C29E0">
      <w:r>
        <w:rPr>
          <w:noProof/>
        </w:rPr>
        <w:drawing>
          <wp:inline distT="0" distB="0" distL="0" distR="0" wp14:anchorId="6F84CE6B" wp14:editId="2A01DE4B">
            <wp:extent cx="6134100" cy="3246120"/>
            <wp:effectExtent l="38100" t="0" r="57150" b="49530"/>
            <wp:docPr id="2399388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65072125" w14:textId="77777777" w:rsidR="00461FC9" w:rsidRDefault="00461FC9" w:rsidP="00410EED"/>
    <w:p w14:paraId="1F5025C7" w14:textId="2CC036E8" w:rsidR="00F73ECF" w:rsidRPr="00F73ECF" w:rsidRDefault="00410EED" w:rsidP="00461FC9">
      <w:pPr>
        <w:spacing w:after="0"/>
      </w:pPr>
      <w:r>
        <w:lastRenderedPageBreak/>
        <w:t>This strategy should ideally have a dedicated management team in place as well as probably working with consultants where this team would be solely responsible for overseeing the process and seeing to it that its laid down objectives are achieved in the right timeline and with the right efficiency. One of the customs of the strategy should include regular reviews and changes, taking into account trends in the market and the company’s results.</w:t>
      </w:r>
    </w:p>
    <w:p w14:paraId="611A970B" w14:textId="77777777" w:rsidR="006B00E7" w:rsidRDefault="006B00E7" w:rsidP="00461FC9">
      <w:pPr>
        <w:pStyle w:val="Heading1"/>
      </w:pPr>
      <w:bookmarkStart w:id="14" w:name="_Toc167453780"/>
      <w:bookmarkEnd w:id="9"/>
      <w:r>
        <w:t>Implementation Plan</w:t>
      </w:r>
      <w:bookmarkEnd w:id="14"/>
    </w:p>
    <w:p w14:paraId="77E3FB4B" w14:textId="156A4857" w:rsidR="007535B5" w:rsidRDefault="007535B5" w:rsidP="00461FC9">
      <w:pPr>
        <w:spacing w:after="0"/>
      </w:pPr>
      <w:r>
        <w:t>A plan on how this change management process is executed specifically for Urban Heights Hotel is presented below. In the short-term, activities are identified alongside their timeframe for completion, who will be responsible for completing them.</w:t>
      </w:r>
    </w:p>
    <w:p w14:paraId="6CBFE128" w14:textId="77777777" w:rsidR="005C7C1E" w:rsidRDefault="005C7C1E" w:rsidP="007535B5">
      <w:pPr>
        <w:pStyle w:val="Caption"/>
        <w:sectPr w:rsidR="005C7C1E" w:rsidSect="00461FC9">
          <w:pgSz w:w="12240" w:h="15840"/>
          <w:pgMar w:top="1440" w:right="1440" w:bottom="1440" w:left="1440" w:header="720" w:footer="720" w:gutter="0"/>
          <w:cols w:space="720"/>
          <w:docGrid w:linePitch="360"/>
        </w:sectPr>
      </w:pPr>
    </w:p>
    <w:p w14:paraId="1CE1ABFE" w14:textId="1C078BCE" w:rsidR="007535B5" w:rsidRDefault="007535B5" w:rsidP="007535B5">
      <w:pPr>
        <w:pStyle w:val="Caption"/>
      </w:pPr>
      <w:bookmarkStart w:id="15" w:name="_Toc167453739"/>
      <w:r>
        <w:lastRenderedPageBreak/>
        <w:t xml:space="preserve">Table </w:t>
      </w:r>
      <w:r w:rsidR="00574EE6">
        <w:fldChar w:fldCharType="begin"/>
      </w:r>
      <w:r w:rsidR="00574EE6">
        <w:instrText xml:space="preserve"> SEQ Table \* ARABIC </w:instrText>
      </w:r>
      <w:r w:rsidR="00574EE6">
        <w:fldChar w:fldCharType="separate"/>
      </w:r>
      <w:r w:rsidR="00831DFA">
        <w:rPr>
          <w:noProof/>
        </w:rPr>
        <w:t>1</w:t>
      </w:r>
      <w:r w:rsidR="00574EE6">
        <w:rPr>
          <w:noProof/>
        </w:rPr>
        <w:fldChar w:fldCharType="end"/>
      </w:r>
      <w:r>
        <w:t xml:space="preserve"> </w:t>
      </w:r>
      <w:r w:rsidRPr="008F62AB">
        <w:t>Short-term Actions (Within 1 Year)</w:t>
      </w:r>
      <w:bookmarkEnd w:id="15"/>
    </w:p>
    <w:p w14:paraId="27AD3CE1" w14:textId="10460B68" w:rsidR="007535B5" w:rsidRPr="007535B5" w:rsidRDefault="00FF7A8A" w:rsidP="007535B5">
      <w:r w:rsidRPr="00FF7A8A">
        <w:rPr>
          <w:noProof/>
        </w:rPr>
        <w:drawing>
          <wp:inline distT="0" distB="0" distL="0" distR="0" wp14:anchorId="717FB0A3" wp14:editId="70F2D9FC">
            <wp:extent cx="8229600" cy="3094990"/>
            <wp:effectExtent l="0" t="0" r="0" b="0"/>
            <wp:docPr id="20736835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8229600" cy="3094990"/>
                    </a:xfrm>
                    <a:prstGeom prst="rect">
                      <a:avLst/>
                    </a:prstGeom>
                    <a:noFill/>
                    <a:ln>
                      <a:noFill/>
                    </a:ln>
                  </pic:spPr>
                </pic:pic>
              </a:graphicData>
            </a:graphic>
          </wp:inline>
        </w:drawing>
      </w:r>
    </w:p>
    <w:p w14:paraId="710FF28E" w14:textId="77777777" w:rsidR="00710AD3" w:rsidRDefault="00710AD3" w:rsidP="00710AD3"/>
    <w:p w14:paraId="58EECE5E" w14:textId="77777777" w:rsidR="009307C8" w:rsidRDefault="009307C8">
      <w:pPr>
        <w:spacing w:line="259" w:lineRule="auto"/>
        <w:jc w:val="left"/>
        <w:rPr>
          <w:i/>
          <w:iCs/>
          <w:color w:val="44546A" w:themeColor="text2"/>
          <w:sz w:val="18"/>
          <w:szCs w:val="18"/>
        </w:rPr>
      </w:pPr>
      <w:r>
        <w:br w:type="page"/>
      </w:r>
    </w:p>
    <w:p w14:paraId="66F5FA84" w14:textId="67FFBC7C" w:rsidR="00710AD3" w:rsidRDefault="00710AD3" w:rsidP="00710AD3">
      <w:pPr>
        <w:pStyle w:val="Caption"/>
      </w:pPr>
      <w:bookmarkStart w:id="16" w:name="_Toc167453740"/>
      <w:r>
        <w:lastRenderedPageBreak/>
        <w:t xml:space="preserve">Table </w:t>
      </w:r>
      <w:r w:rsidR="00574EE6">
        <w:fldChar w:fldCharType="begin"/>
      </w:r>
      <w:r w:rsidR="00574EE6">
        <w:instrText xml:space="preserve"> SEQ Table \* ARABIC </w:instrText>
      </w:r>
      <w:r w:rsidR="00574EE6">
        <w:fldChar w:fldCharType="separate"/>
      </w:r>
      <w:r w:rsidR="00831DFA">
        <w:rPr>
          <w:noProof/>
        </w:rPr>
        <w:t>2</w:t>
      </w:r>
      <w:r w:rsidR="00574EE6">
        <w:rPr>
          <w:noProof/>
        </w:rPr>
        <w:fldChar w:fldCharType="end"/>
      </w:r>
      <w:r>
        <w:t xml:space="preserve"> </w:t>
      </w:r>
      <w:r w:rsidRPr="00692848">
        <w:t>Medium-term Initiatives (1-3 Years)</w:t>
      </w:r>
      <w:bookmarkEnd w:id="16"/>
    </w:p>
    <w:p w14:paraId="471F6BAD" w14:textId="777EBAD4" w:rsidR="009307C8" w:rsidRDefault="008E3968" w:rsidP="00831DFA">
      <w:pPr>
        <w:pStyle w:val="Caption"/>
      </w:pPr>
      <w:r w:rsidRPr="008E3968">
        <w:rPr>
          <w:noProof/>
        </w:rPr>
        <w:drawing>
          <wp:inline distT="0" distB="0" distL="0" distR="0" wp14:anchorId="6E31428E" wp14:editId="2F06143B">
            <wp:extent cx="8229600" cy="3357245"/>
            <wp:effectExtent l="0" t="0" r="0" b="0"/>
            <wp:docPr id="17369106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229600" cy="3357245"/>
                    </a:xfrm>
                    <a:prstGeom prst="rect">
                      <a:avLst/>
                    </a:prstGeom>
                    <a:noFill/>
                    <a:ln>
                      <a:noFill/>
                    </a:ln>
                  </pic:spPr>
                </pic:pic>
              </a:graphicData>
            </a:graphic>
          </wp:inline>
        </w:drawing>
      </w:r>
    </w:p>
    <w:p w14:paraId="2A30F215" w14:textId="77777777" w:rsidR="00F34AFA" w:rsidRPr="00F34AFA" w:rsidRDefault="00F34AFA" w:rsidP="00F34AFA">
      <w:pPr>
        <w:pStyle w:val="Heading2"/>
        <w:rPr>
          <w:color w:val="44546A" w:themeColor="text2"/>
          <w:sz w:val="18"/>
          <w:szCs w:val="18"/>
        </w:rPr>
      </w:pPr>
      <w:bookmarkStart w:id="17" w:name="_Toc167453781"/>
      <w:r>
        <w:t>Monitoring and Evaluation</w:t>
      </w:r>
      <w:bookmarkEnd w:id="17"/>
    </w:p>
    <w:p w14:paraId="1A67C106" w14:textId="77777777" w:rsidR="00553A45" w:rsidRDefault="00553A45" w:rsidP="00553A45">
      <w:r>
        <w:t>In order to check the actualization of the identified turnaround strategy of Urban Heights Hotel there is the need to develop an acceptable monitoring and evaluation framework. Such mechanisms include, periodic evaluation, monthly monitoring, a weekly check, and an annual assessment; all of which are aimed at measuring and assessing the effectiveness of the formulated strategy and making the needed changes.</w:t>
      </w:r>
    </w:p>
    <w:p w14:paraId="74407B67" w14:textId="51D01D9D" w:rsidR="008C2123" w:rsidRDefault="008C2123" w:rsidP="00553A45">
      <w:r>
        <w:rPr>
          <w:noProof/>
        </w:rPr>
        <w:lastRenderedPageBreak/>
        <w:drawing>
          <wp:inline distT="0" distB="0" distL="0" distR="0" wp14:anchorId="380CF1E4" wp14:editId="0DC36090">
            <wp:extent cx="8267700" cy="3139440"/>
            <wp:effectExtent l="0" t="0" r="0" b="22860"/>
            <wp:docPr id="34478099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182DBD16" w14:textId="28F22B16" w:rsidR="00831DFA" w:rsidRPr="009307C8" w:rsidRDefault="00553A45" w:rsidP="00553A45">
      <w:pPr>
        <w:rPr>
          <w:color w:val="44546A" w:themeColor="text2"/>
          <w:sz w:val="18"/>
          <w:szCs w:val="18"/>
        </w:rPr>
        <w:sectPr w:rsidR="00831DFA" w:rsidRPr="009307C8" w:rsidSect="00461FC9">
          <w:pgSz w:w="15840" w:h="12240" w:orient="landscape"/>
          <w:pgMar w:top="1440" w:right="1440" w:bottom="1440" w:left="1440" w:header="720" w:footer="720" w:gutter="0"/>
          <w:cols w:space="720"/>
          <w:docGrid w:linePitch="360"/>
        </w:sectPr>
      </w:pPr>
      <w:r>
        <w:t>These measures will guarantee that the hotel not only will execute the strategic actions but will do so in a way that is sustainable and adaptable to change, which is fundamental to the evolution of any successful business in the hospitality industry.</w:t>
      </w:r>
      <w:r w:rsidR="009307C8">
        <w:br w:type="page"/>
      </w:r>
    </w:p>
    <w:p w14:paraId="7C3B6984" w14:textId="77777777" w:rsidR="006B00E7" w:rsidRDefault="006B00E7" w:rsidP="006B00E7">
      <w:pPr>
        <w:pStyle w:val="Heading1"/>
      </w:pPr>
      <w:bookmarkStart w:id="18" w:name="_Toc167453782"/>
      <w:r>
        <w:lastRenderedPageBreak/>
        <w:t>Conclusion</w:t>
      </w:r>
      <w:bookmarkEnd w:id="18"/>
    </w:p>
    <w:p w14:paraId="20504F74" w14:textId="77777777" w:rsidR="00113930" w:rsidRDefault="00113930" w:rsidP="00113930">
      <w:r>
        <w:t>The evaluation of Urban Heights Hotel’s operational and financial records for the last three years shows that it needs to be issued an overall strategic makeover. Falling revenue, coupled with the growth of operating costs and a worsening in the hotel’s liquidity situation necessitates targeted changes in several areas of this aspect of hospitality management.</w:t>
      </w:r>
    </w:p>
    <w:p w14:paraId="0A00BF80" w14:textId="77777777" w:rsidR="00113930" w:rsidRDefault="00113930" w:rsidP="00113930">
      <w:r>
        <w:t>The subsequent revival plan aiming at cost control, revenue generation, operations efficiency, flexibility and financial reform is intended for the outlined problems in the financial review. One, the hotel should be able to cut down on its operational expenses without necessarily affecting the quality of services that it offers to its clients, and thereby, make better profits. At the same time, the implementation of dynamic pricing strategies and expansion of services rendered will help increase revenues and improve guests’ experience. Technology upgrades and staff training will enhance on business activities hence enhancing productivity for the hotel while financial restructuring will enhance solveny in the hotel with less reliance on debts.</w:t>
      </w:r>
    </w:p>
    <w:p w14:paraId="17F07B4C" w14:textId="77777777" w:rsidR="00F95205" w:rsidRDefault="00113930" w:rsidP="00113930">
      <w:r>
        <w:t>These strategies’ effective implementation is expected to result in a positive alteration of this hotel’s revenues, profitability, and market competitiveness. The anticipated short term management targets are to stabilize and then gradually grow the overall revenues, achieve the operation and net profit targets, enhance the cash returns, and upgrade the equity base. These changes will not only guarantee the hotel financial viability, but also increase its overall strategic position within a rather volatile market context. By carefully planning and assessing these factors, Urban Heights Hotel can maximise the effectiveness of these strategies and align them with the current market dynamics that will enable the organisation to achieve sustainable development in the long run.</w:t>
      </w:r>
    </w:p>
    <w:p w14:paraId="3F5E27BC" w14:textId="77777777" w:rsidR="00F95205" w:rsidRDefault="00F95205" w:rsidP="00F95205">
      <w:r>
        <w:t xml:space="preserve">Real-time assessment of the operational environment of Urban Heights Hotel and integrating the real-world situations and models In the solution to the problem, real-world situations and models are well incorporated, and we apply financial models to explain the economic status of the hotel. In this context, the most popular is the calculation of liquid ratios, including current ratio and quick ratio, because they encompass short-term solvency and give a snapshot view of financial condition which is important at the operational level. Besides, the profitability ratios include the gross profit margin and operating profit margin that offer information concerning indebtedness by comparing profits made by the hotel with its levels of indebtedness or debts. Depending on which industry </w:t>
      </w:r>
      <w:r>
        <w:lastRenderedPageBreak/>
        <w:t>benchmarks these financial ratios are compared to, it helps to understand the competitive standing of the hotel business; discovering what can be exploited and what should be avoided more attentively.</w:t>
      </w:r>
    </w:p>
    <w:p w14:paraId="1CAE38C9" w14:textId="6529A36D" w:rsidR="006B00E7" w:rsidRDefault="00F95205" w:rsidP="00F95205">
      <w:r>
        <w:t xml:space="preserve">In the same regard, additional emphasis is placed on newer trends and any socio-economic factors that are relevant to the proposed strategies. For instance, Urban Heights Hotel’s dynamic pricing strategy is a digital innovation in the pricing strategy that involves the use of data analysis in setting accommodation prices by factoring the availability, prices set by competitors, and the general state of the market. This method not only allows generating the greatest possible revenue during high-demand months but also attracts people to book a room at certain times at the cheapest price. Further, acknowledging current and potential shifts in the market, such as the desire for a seamless digital connection and individual diversified experiences, it has incorporated online check-ins and catering to guests’ requirements, leading to improvement in both guests’ satisfaction and organisational performance. All these different cases are illustrative of how theoretical knowledge applies in the real business context of a hotel, indicating how it caters to market needs and feedback and how it deals with global economic forces in the environment of the hospitality industry. </w:t>
      </w:r>
      <w:r w:rsidR="006B00E7">
        <w:br w:type="page"/>
      </w:r>
    </w:p>
    <w:p w14:paraId="72570259" w14:textId="71FD4789" w:rsidR="006B00E7" w:rsidRDefault="006B00E7" w:rsidP="006B00E7">
      <w:pPr>
        <w:pStyle w:val="Heading1"/>
      </w:pPr>
      <w:bookmarkStart w:id="19" w:name="_Toc167453783"/>
      <w:r>
        <w:lastRenderedPageBreak/>
        <w:t>References</w:t>
      </w:r>
      <w:bookmarkEnd w:id="19"/>
    </w:p>
    <w:p w14:paraId="390ECE47" w14:textId="77777777" w:rsidR="00842E1E" w:rsidRDefault="00842E1E" w:rsidP="004053DF">
      <w:pPr>
        <w:ind w:left="720" w:hanging="720"/>
        <w:rPr>
          <w:shd w:val="clear" w:color="auto" w:fill="FFFFFF"/>
        </w:rPr>
      </w:pPr>
      <w:r>
        <w:rPr>
          <w:shd w:val="clear" w:color="auto" w:fill="FFFFFF"/>
        </w:rPr>
        <w:t>Abbas, J., Mahmood, S., Ali, H., Ali Raza, M., Ali, G., Aman, J., Bano, S. and Nurunnabi, M., 2019. The effects of corporate social responsibility practices and environmental factors through a moderating role of social media marketing on sustainable performance of business firms. </w:t>
      </w:r>
      <w:r>
        <w:rPr>
          <w:i/>
          <w:iCs/>
          <w:shd w:val="clear" w:color="auto" w:fill="FFFFFF"/>
        </w:rPr>
        <w:t>Sustainability</w:t>
      </w:r>
      <w:r>
        <w:rPr>
          <w:shd w:val="clear" w:color="auto" w:fill="FFFFFF"/>
        </w:rPr>
        <w:t>, </w:t>
      </w:r>
      <w:r>
        <w:rPr>
          <w:i/>
          <w:iCs/>
          <w:shd w:val="clear" w:color="auto" w:fill="FFFFFF"/>
        </w:rPr>
        <w:t>11</w:t>
      </w:r>
      <w:r>
        <w:rPr>
          <w:shd w:val="clear" w:color="auto" w:fill="FFFFFF"/>
        </w:rPr>
        <w:t>(12), p.3434.</w:t>
      </w:r>
    </w:p>
    <w:p w14:paraId="080C51D6" w14:textId="77777777" w:rsidR="00842E1E" w:rsidRDefault="00842E1E" w:rsidP="004053DF">
      <w:pPr>
        <w:ind w:left="720" w:hanging="720"/>
        <w:rPr>
          <w:shd w:val="clear" w:color="auto" w:fill="FFFFFF"/>
        </w:rPr>
      </w:pPr>
      <w:r>
        <w:rPr>
          <w:shd w:val="clear" w:color="auto" w:fill="FFFFFF"/>
        </w:rPr>
        <w:t>Cole, R.A. and Sokolyk, T., 2018. Debt financing, survival, and growth of start-up firms. </w:t>
      </w:r>
      <w:r>
        <w:rPr>
          <w:i/>
          <w:iCs/>
          <w:shd w:val="clear" w:color="auto" w:fill="FFFFFF"/>
        </w:rPr>
        <w:t>Journal of Corporate Finance</w:t>
      </w:r>
      <w:r>
        <w:rPr>
          <w:shd w:val="clear" w:color="auto" w:fill="FFFFFF"/>
        </w:rPr>
        <w:t>, </w:t>
      </w:r>
      <w:r>
        <w:rPr>
          <w:i/>
          <w:iCs/>
          <w:shd w:val="clear" w:color="auto" w:fill="FFFFFF"/>
        </w:rPr>
        <w:t>50</w:t>
      </w:r>
      <w:r>
        <w:rPr>
          <w:shd w:val="clear" w:color="auto" w:fill="FFFFFF"/>
        </w:rPr>
        <w:t>, pp.609-625.</w:t>
      </w:r>
    </w:p>
    <w:p w14:paraId="5BAC42A0" w14:textId="77777777" w:rsidR="00842E1E" w:rsidRDefault="00842E1E" w:rsidP="004053DF">
      <w:pPr>
        <w:ind w:left="720" w:hanging="720"/>
        <w:rPr>
          <w:shd w:val="clear" w:color="auto" w:fill="FFFFFF"/>
        </w:rPr>
      </w:pPr>
      <w:r>
        <w:rPr>
          <w:shd w:val="clear" w:color="auto" w:fill="FFFFFF"/>
        </w:rPr>
        <w:t>Dar, S.Q. and Dar, A.A., 2017. The working capital and its ratios: A qualitative study. </w:t>
      </w:r>
      <w:r>
        <w:rPr>
          <w:i/>
          <w:iCs/>
          <w:shd w:val="clear" w:color="auto" w:fill="FFFFFF"/>
        </w:rPr>
        <w:t>International Journal of Statistics and Actuarial Science</w:t>
      </w:r>
      <w:r>
        <w:rPr>
          <w:shd w:val="clear" w:color="auto" w:fill="FFFFFF"/>
        </w:rPr>
        <w:t>, </w:t>
      </w:r>
      <w:r>
        <w:rPr>
          <w:i/>
          <w:iCs/>
          <w:shd w:val="clear" w:color="auto" w:fill="FFFFFF"/>
        </w:rPr>
        <w:t>1</w:t>
      </w:r>
      <w:r>
        <w:rPr>
          <w:shd w:val="clear" w:color="auto" w:fill="FFFFFF"/>
        </w:rPr>
        <w:t>(1), pp.24-30.</w:t>
      </w:r>
    </w:p>
    <w:p w14:paraId="7A84E3B1" w14:textId="77777777" w:rsidR="00842E1E" w:rsidRDefault="00842E1E" w:rsidP="004053DF">
      <w:pPr>
        <w:ind w:left="720" w:hanging="720"/>
        <w:rPr>
          <w:shd w:val="clear" w:color="auto" w:fill="FFFFFF"/>
        </w:rPr>
      </w:pPr>
      <w:r>
        <w:rPr>
          <w:shd w:val="clear" w:color="auto" w:fill="FFFFFF"/>
        </w:rPr>
        <w:t>Das, M.P., 2023. Technology and Guest experience: innovations reshaping hotel management. </w:t>
      </w:r>
      <w:r>
        <w:rPr>
          <w:i/>
          <w:iCs/>
          <w:shd w:val="clear" w:color="auto" w:fill="FFFFFF"/>
        </w:rPr>
        <w:t>International Journal for Multidimensional Research Perspectives</w:t>
      </w:r>
      <w:r>
        <w:rPr>
          <w:shd w:val="clear" w:color="auto" w:fill="FFFFFF"/>
        </w:rPr>
        <w:t>, </w:t>
      </w:r>
      <w:r>
        <w:rPr>
          <w:i/>
          <w:iCs/>
          <w:shd w:val="clear" w:color="auto" w:fill="FFFFFF"/>
        </w:rPr>
        <w:t>1</w:t>
      </w:r>
      <w:r>
        <w:rPr>
          <w:shd w:val="clear" w:color="auto" w:fill="FFFFFF"/>
        </w:rPr>
        <w:t>(3), pp.76-95.</w:t>
      </w:r>
    </w:p>
    <w:p w14:paraId="571FE8E6" w14:textId="77777777" w:rsidR="00842E1E" w:rsidRDefault="00842E1E" w:rsidP="004053DF">
      <w:pPr>
        <w:ind w:left="720" w:hanging="720"/>
        <w:rPr>
          <w:shd w:val="clear" w:color="auto" w:fill="FFFFFF"/>
        </w:rPr>
      </w:pPr>
      <w:r>
        <w:rPr>
          <w:shd w:val="clear" w:color="auto" w:fill="FFFFFF"/>
        </w:rPr>
        <w:t>Hossain, I. and Alam, J., 2019. The relationship between liquidity and profitability in Emerging Countries: Evidence from Bangladesh. </w:t>
      </w:r>
      <w:r>
        <w:rPr>
          <w:i/>
          <w:iCs/>
          <w:shd w:val="clear" w:color="auto" w:fill="FFFFFF"/>
        </w:rPr>
        <w:t>Journal of Finance and Accounting</w:t>
      </w:r>
      <w:r>
        <w:rPr>
          <w:shd w:val="clear" w:color="auto" w:fill="FFFFFF"/>
        </w:rPr>
        <w:t>, </w:t>
      </w:r>
      <w:r>
        <w:rPr>
          <w:i/>
          <w:iCs/>
          <w:shd w:val="clear" w:color="auto" w:fill="FFFFFF"/>
        </w:rPr>
        <w:t>7</w:t>
      </w:r>
      <w:r>
        <w:rPr>
          <w:shd w:val="clear" w:color="auto" w:fill="FFFFFF"/>
        </w:rPr>
        <w:t>(1), pp.22-27.</w:t>
      </w:r>
    </w:p>
    <w:p w14:paraId="7E369319" w14:textId="77777777" w:rsidR="00842E1E" w:rsidRDefault="00842E1E" w:rsidP="004053DF">
      <w:pPr>
        <w:ind w:left="720" w:hanging="720"/>
        <w:rPr>
          <w:shd w:val="clear" w:color="auto" w:fill="FFFFFF"/>
        </w:rPr>
      </w:pPr>
      <w:r>
        <w:rPr>
          <w:shd w:val="clear" w:color="auto" w:fill="FFFFFF"/>
        </w:rPr>
        <w:t>Hu, J., Harmsen, R., Crijns-Graus, W., Worrell, E. and van den Broek, M., 2018. Identifying barriers to large-scale integration of variable renewable electricity into the electricity market: A literature review of market design. </w:t>
      </w:r>
      <w:r>
        <w:rPr>
          <w:i/>
          <w:iCs/>
          <w:shd w:val="clear" w:color="auto" w:fill="FFFFFF"/>
        </w:rPr>
        <w:t>Renewable and sustainable energy reviews</w:t>
      </w:r>
      <w:r>
        <w:rPr>
          <w:shd w:val="clear" w:color="auto" w:fill="FFFFFF"/>
        </w:rPr>
        <w:t>, </w:t>
      </w:r>
      <w:r>
        <w:rPr>
          <w:i/>
          <w:iCs/>
          <w:shd w:val="clear" w:color="auto" w:fill="FFFFFF"/>
        </w:rPr>
        <w:t>81</w:t>
      </w:r>
      <w:r>
        <w:rPr>
          <w:shd w:val="clear" w:color="auto" w:fill="FFFFFF"/>
        </w:rPr>
        <w:t>, pp.2181-2195.</w:t>
      </w:r>
    </w:p>
    <w:p w14:paraId="0EB6143B" w14:textId="77777777" w:rsidR="00842E1E" w:rsidRDefault="00842E1E" w:rsidP="004053DF">
      <w:pPr>
        <w:ind w:left="720" w:hanging="720"/>
        <w:rPr>
          <w:shd w:val="clear" w:color="auto" w:fill="FFFFFF"/>
        </w:rPr>
      </w:pPr>
      <w:r>
        <w:rPr>
          <w:shd w:val="clear" w:color="auto" w:fill="FFFFFF"/>
        </w:rPr>
        <w:t>Kekola, K., 2022. The effect of diversification on mitigating the negative business impact of the pandemic.</w:t>
      </w:r>
    </w:p>
    <w:p w14:paraId="7A32CF81" w14:textId="77777777" w:rsidR="00842E1E" w:rsidRDefault="00842E1E" w:rsidP="004053DF">
      <w:pPr>
        <w:ind w:left="720" w:hanging="720"/>
        <w:rPr>
          <w:shd w:val="clear" w:color="auto" w:fill="FFFFFF"/>
        </w:rPr>
      </w:pPr>
      <w:r>
        <w:rPr>
          <w:shd w:val="clear" w:color="auto" w:fill="FFFFFF"/>
        </w:rPr>
        <w:t>Kim, S.Y., 2018. Predicting hospitality financial distress with ensemble models: the case of US hotels, restaurants, and amusement and recreation. </w:t>
      </w:r>
      <w:r>
        <w:rPr>
          <w:i/>
          <w:iCs/>
          <w:shd w:val="clear" w:color="auto" w:fill="FFFFFF"/>
        </w:rPr>
        <w:t>Service Business</w:t>
      </w:r>
      <w:r>
        <w:rPr>
          <w:shd w:val="clear" w:color="auto" w:fill="FFFFFF"/>
        </w:rPr>
        <w:t>, </w:t>
      </w:r>
      <w:r>
        <w:rPr>
          <w:i/>
          <w:iCs/>
          <w:shd w:val="clear" w:color="auto" w:fill="FFFFFF"/>
        </w:rPr>
        <w:t>12</w:t>
      </w:r>
      <w:r>
        <w:rPr>
          <w:shd w:val="clear" w:color="auto" w:fill="FFFFFF"/>
        </w:rPr>
        <w:t>(3), pp.483-503.</w:t>
      </w:r>
    </w:p>
    <w:p w14:paraId="0A4F9149" w14:textId="77777777" w:rsidR="00842E1E" w:rsidRDefault="00842E1E" w:rsidP="004053DF">
      <w:pPr>
        <w:ind w:left="720" w:hanging="720"/>
        <w:rPr>
          <w:shd w:val="clear" w:color="auto" w:fill="FFFFFF"/>
        </w:rPr>
      </w:pPr>
      <w:r>
        <w:rPr>
          <w:shd w:val="clear" w:color="auto" w:fill="FFFFFF"/>
        </w:rPr>
        <w:t>Lilley, C.P., 2020. Hotels are housing. Adding visibility to America's booming precarious housing solution.</w:t>
      </w:r>
    </w:p>
    <w:p w14:paraId="29855618" w14:textId="77777777" w:rsidR="00842E1E" w:rsidRDefault="00842E1E" w:rsidP="004053DF">
      <w:pPr>
        <w:ind w:left="720" w:hanging="720"/>
        <w:rPr>
          <w:shd w:val="clear" w:color="auto" w:fill="FFFFFF"/>
        </w:rPr>
      </w:pPr>
      <w:r>
        <w:rPr>
          <w:shd w:val="clear" w:color="auto" w:fill="FFFFFF"/>
        </w:rPr>
        <w:lastRenderedPageBreak/>
        <w:t>Pelaez-Verdet, A. and Loscertales-Sanchez, P., 2021. Key ratios for long-term prediction of hotel financial distress and corporate default: Survival analysis for an economic stagnation. </w:t>
      </w:r>
      <w:r>
        <w:rPr>
          <w:i/>
          <w:iCs/>
          <w:shd w:val="clear" w:color="auto" w:fill="FFFFFF"/>
        </w:rPr>
        <w:t>Sustainability</w:t>
      </w:r>
      <w:r>
        <w:rPr>
          <w:shd w:val="clear" w:color="auto" w:fill="FFFFFF"/>
        </w:rPr>
        <w:t>, </w:t>
      </w:r>
      <w:r>
        <w:rPr>
          <w:i/>
          <w:iCs/>
          <w:shd w:val="clear" w:color="auto" w:fill="FFFFFF"/>
        </w:rPr>
        <w:t>13</w:t>
      </w:r>
      <w:r>
        <w:rPr>
          <w:shd w:val="clear" w:color="auto" w:fill="FFFFFF"/>
        </w:rPr>
        <w:t>(3), p.1473.</w:t>
      </w:r>
    </w:p>
    <w:p w14:paraId="7B448F83" w14:textId="77777777" w:rsidR="00842E1E" w:rsidRDefault="00842E1E" w:rsidP="004053DF">
      <w:pPr>
        <w:ind w:left="720" w:hanging="720"/>
        <w:rPr>
          <w:shd w:val="clear" w:color="auto" w:fill="FFFFFF"/>
        </w:rPr>
      </w:pPr>
      <w:r>
        <w:rPr>
          <w:shd w:val="clear" w:color="auto" w:fill="FFFFFF"/>
        </w:rPr>
        <w:t>Purnomo, A., 2018. Influence of the ratio of profit margin, financial leverage ratio, current ratio, quick ratio against the conditions and financial distress. </w:t>
      </w:r>
      <w:r>
        <w:rPr>
          <w:i/>
          <w:iCs/>
          <w:shd w:val="clear" w:color="auto" w:fill="FFFFFF"/>
        </w:rPr>
        <w:t>Indonesian Journal of Business, Accounting and Management</w:t>
      </w:r>
      <w:r>
        <w:rPr>
          <w:shd w:val="clear" w:color="auto" w:fill="FFFFFF"/>
        </w:rPr>
        <w:t>, </w:t>
      </w:r>
      <w:r>
        <w:rPr>
          <w:i/>
          <w:iCs/>
          <w:shd w:val="clear" w:color="auto" w:fill="FFFFFF"/>
        </w:rPr>
        <w:t>1</w:t>
      </w:r>
      <w:r>
        <w:rPr>
          <w:shd w:val="clear" w:color="auto" w:fill="FFFFFF"/>
        </w:rPr>
        <w:t>(01), pp.9-17.</w:t>
      </w:r>
    </w:p>
    <w:p w14:paraId="104288A8" w14:textId="77777777" w:rsidR="00842E1E" w:rsidRDefault="00842E1E" w:rsidP="004053DF">
      <w:pPr>
        <w:ind w:left="720" w:hanging="720"/>
        <w:rPr>
          <w:shd w:val="clear" w:color="auto" w:fill="FFFFFF"/>
        </w:rPr>
      </w:pPr>
      <w:r>
        <w:rPr>
          <w:shd w:val="clear" w:color="auto" w:fill="FFFFFF"/>
        </w:rPr>
        <w:t>Ramphal, R.R., 2017. Lean Six Sigma Framework for the hospitality industry. </w:t>
      </w:r>
      <w:r>
        <w:rPr>
          <w:i/>
          <w:iCs/>
          <w:shd w:val="clear" w:color="auto" w:fill="FFFFFF"/>
        </w:rPr>
        <w:t>African Journal of Hospitality, Tourism and Leisure</w:t>
      </w:r>
      <w:r>
        <w:rPr>
          <w:shd w:val="clear" w:color="auto" w:fill="FFFFFF"/>
        </w:rPr>
        <w:t>, </w:t>
      </w:r>
      <w:r>
        <w:rPr>
          <w:i/>
          <w:iCs/>
          <w:shd w:val="clear" w:color="auto" w:fill="FFFFFF"/>
        </w:rPr>
        <w:t>6</w:t>
      </w:r>
      <w:r>
        <w:rPr>
          <w:shd w:val="clear" w:color="auto" w:fill="FFFFFF"/>
        </w:rPr>
        <w:t>(4), pp.1-15.</w:t>
      </w:r>
    </w:p>
    <w:p w14:paraId="63815671" w14:textId="77777777" w:rsidR="00842E1E" w:rsidRDefault="00842E1E" w:rsidP="004053DF">
      <w:pPr>
        <w:ind w:left="720" w:hanging="720"/>
        <w:rPr>
          <w:shd w:val="clear" w:color="auto" w:fill="FFFFFF"/>
        </w:rPr>
      </w:pPr>
      <w:r>
        <w:rPr>
          <w:shd w:val="clear" w:color="auto" w:fill="FFFFFF"/>
        </w:rPr>
        <w:t>Ramphal, R.R. and Nicolaides, A., 2018. Intelligent consistency-Ethical practices of Lean Six Sigma in quality service provision in the hospitality industry. </w:t>
      </w:r>
      <w:r>
        <w:rPr>
          <w:i/>
          <w:iCs/>
          <w:shd w:val="clear" w:color="auto" w:fill="FFFFFF"/>
        </w:rPr>
        <w:t>African Journal of Hospitality, Tourism and Leisure</w:t>
      </w:r>
      <w:r>
        <w:rPr>
          <w:shd w:val="clear" w:color="auto" w:fill="FFFFFF"/>
        </w:rPr>
        <w:t>, </w:t>
      </w:r>
      <w:r>
        <w:rPr>
          <w:i/>
          <w:iCs/>
          <w:shd w:val="clear" w:color="auto" w:fill="FFFFFF"/>
        </w:rPr>
        <w:t>7</w:t>
      </w:r>
      <w:r>
        <w:rPr>
          <w:shd w:val="clear" w:color="auto" w:fill="FFFFFF"/>
        </w:rPr>
        <w:t>(3), pp.1-15.</w:t>
      </w:r>
    </w:p>
    <w:p w14:paraId="73DE1CD7" w14:textId="77777777" w:rsidR="00842E1E" w:rsidRDefault="00842E1E" w:rsidP="004053DF">
      <w:pPr>
        <w:ind w:left="720" w:hanging="720"/>
        <w:rPr>
          <w:shd w:val="clear" w:color="auto" w:fill="FFFFFF"/>
        </w:rPr>
      </w:pPr>
      <w:r>
        <w:rPr>
          <w:shd w:val="clear" w:color="auto" w:fill="FFFFFF"/>
        </w:rPr>
        <w:t>Ren, Z., Verma, A.S., Li, Y., Teuwen, J.J. and Jiang, Z., 2021. Offshore wind turbine operations and maintenance: A state-of-the-art review. </w:t>
      </w:r>
      <w:r>
        <w:rPr>
          <w:i/>
          <w:iCs/>
          <w:shd w:val="clear" w:color="auto" w:fill="FFFFFF"/>
        </w:rPr>
        <w:t>Renewable and Sustainable Energy Reviews</w:t>
      </w:r>
      <w:r>
        <w:rPr>
          <w:shd w:val="clear" w:color="auto" w:fill="FFFFFF"/>
        </w:rPr>
        <w:t>, </w:t>
      </w:r>
      <w:r>
        <w:rPr>
          <w:i/>
          <w:iCs/>
          <w:shd w:val="clear" w:color="auto" w:fill="FFFFFF"/>
        </w:rPr>
        <w:t>144</w:t>
      </w:r>
      <w:r>
        <w:rPr>
          <w:shd w:val="clear" w:color="auto" w:fill="FFFFFF"/>
        </w:rPr>
        <w:t>, p.110886.</w:t>
      </w:r>
    </w:p>
    <w:p w14:paraId="2B05649C" w14:textId="77777777" w:rsidR="00842E1E" w:rsidRDefault="00842E1E" w:rsidP="004053DF">
      <w:pPr>
        <w:ind w:left="720" w:hanging="720"/>
        <w:rPr>
          <w:shd w:val="clear" w:color="auto" w:fill="FFFFFF"/>
        </w:rPr>
      </w:pPr>
      <w:r>
        <w:rPr>
          <w:shd w:val="clear" w:color="auto" w:fill="FFFFFF"/>
        </w:rPr>
        <w:t>Richard, B., 2017. Hotel chains: survival strategies for a dynamic future. </w:t>
      </w:r>
      <w:r>
        <w:rPr>
          <w:i/>
          <w:iCs/>
          <w:shd w:val="clear" w:color="auto" w:fill="FFFFFF"/>
        </w:rPr>
        <w:t>Journal of Tourism Futures</w:t>
      </w:r>
      <w:r>
        <w:rPr>
          <w:shd w:val="clear" w:color="auto" w:fill="FFFFFF"/>
        </w:rPr>
        <w:t>, </w:t>
      </w:r>
      <w:r>
        <w:rPr>
          <w:i/>
          <w:iCs/>
          <w:shd w:val="clear" w:color="auto" w:fill="FFFFFF"/>
        </w:rPr>
        <w:t>3</w:t>
      </w:r>
      <w:r>
        <w:rPr>
          <w:shd w:val="clear" w:color="auto" w:fill="FFFFFF"/>
        </w:rPr>
        <w:t>(1), pp.56-65.</w:t>
      </w:r>
    </w:p>
    <w:p w14:paraId="08F17BEF" w14:textId="77777777" w:rsidR="00842E1E" w:rsidRDefault="00842E1E" w:rsidP="004053DF">
      <w:pPr>
        <w:ind w:left="720" w:hanging="720"/>
        <w:rPr>
          <w:shd w:val="clear" w:color="auto" w:fill="FFFFFF"/>
        </w:rPr>
      </w:pPr>
      <w:r>
        <w:rPr>
          <w:shd w:val="clear" w:color="auto" w:fill="FFFFFF"/>
        </w:rPr>
        <w:t>Santos, L.L., Gomes, C., Malheiros, C. and Campos, F., 2022. Measuring the hotels' performance using profitability ratios. </w:t>
      </w:r>
      <w:r>
        <w:rPr>
          <w:i/>
          <w:iCs/>
          <w:shd w:val="clear" w:color="auto" w:fill="FFFFFF"/>
        </w:rPr>
        <w:t>Academy of Accounting and Financial Studies Journal</w:t>
      </w:r>
      <w:r>
        <w:rPr>
          <w:shd w:val="clear" w:color="auto" w:fill="FFFFFF"/>
        </w:rPr>
        <w:t>, </w:t>
      </w:r>
      <w:r>
        <w:rPr>
          <w:i/>
          <w:iCs/>
          <w:shd w:val="clear" w:color="auto" w:fill="FFFFFF"/>
        </w:rPr>
        <w:t>26</w:t>
      </w:r>
      <w:r>
        <w:rPr>
          <w:shd w:val="clear" w:color="auto" w:fill="FFFFFF"/>
        </w:rPr>
        <w:t>(S6), pp.1-12.</w:t>
      </w:r>
    </w:p>
    <w:p w14:paraId="332C2956" w14:textId="77777777" w:rsidR="00842E1E" w:rsidRDefault="00842E1E" w:rsidP="004053DF">
      <w:pPr>
        <w:ind w:left="720" w:hanging="720"/>
        <w:rPr>
          <w:shd w:val="clear" w:color="auto" w:fill="FFFFFF"/>
        </w:rPr>
      </w:pPr>
      <w:r>
        <w:rPr>
          <w:shd w:val="clear" w:color="auto" w:fill="FFFFFF"/>
        </w:rPr>
        <w:t>Shi, J., Yu, C., Li, Y. and Wang, T., 2022. Does green financial policy affect debt-financing cost of heavy-polluting enterprises? An empirical evidence based on Chinese pilot zones for green finance reform and innovations. </w:t>
      </w:r>
      <w:r>
        <w:rPr>
          <w:i/>
          <w:iCs/>
          <w:shd w:val="clear" w:color="auto" w:fill="FFFFFF"/>
        </w:rPr>
        <w:t>Technological Forecasting and Social Change</w:t>
      </w:r>
      <w:r>
        <w:rPr>
          <w:shd w:val="clear" w:color="auto" w:fill="FFFFFF"/>
        </w:rPr>
        <w:t>, </w:t>
      </w:r>
      <w:r>
        <w:rPr>
          <w:i/>
          <w:iCs/>
          <w:shd w:val="clear" w:color="auto" w:fill="FFFFFF"/>
        </w:rPr>
        <w:t>179</w:t>
      </w:r>
      <w:r>
        <w:rPr>
          <w:shd w:val="clear" w:color="auto" w:fill="FFFFFF"/>
        </w:rPr>
        <w:t>, p.121678.</w:t>
      </w:r>
    </w:p>
    <w:p w14:paraId="403A93D8" w14:textId="77777777" w:rsidR="00842E1E" w:rsidRDefault="00842E1E" w:rsidP="004053DF">
      <w:pPr>
        <w:ind w:left="720" w:hanging="720"/>
      </w:pPr>
      <w:r>
        <w:t xml:space="preserve">Trip Advisor. “Urban Heights.” </w:t>
      </w:r>
      <w:r>
        <w:rPr>
          <w:i/>
          <w:iCs/>
        </w:rPr>
        <w:t>Trip Advisor</w:t>
      </w:r>
      <w:r>
        <w:t>, 2024, www.tripadvisor.com/Hotel_Review-g294074-d21389607-Reviews-Urban_Heights-Bogota.html. Accessed 24 May 2024.</w:t>
      </w:r>
    </w:p>
    <w:p w14:paraId="2246A9E0" w14:textId="77777777" w:rsidR="00842E1E" w:rsidRDefault="00842E1E" w:rsidP="004053DF">
      <w:pPr>
        <w:ind w:left="720" w:hanging="720"/>
        <w:rPr>
          <w:shd w:val="clear" w:color="auto" w:fill="FFFFFF"/>
        </w:rPr>
      </w:pPr>
      <w:r>
        <w:rPr>
          <w:shd w:val="clear" w:color="auto" w:fill="FFFFFF"/>
        </w:rPr>
        <w:t>Wu, Q., Yan, D. and Umair, M., 2023. Assessing the role of competitive intelligence and practices of dynamic capabilities in business accommodation of SMEs. </w:t>
      </w:r>
      <w:r>
        <w:rPr>
          <w:i/>
          <w:iCs/>
          <w:shd w:val="clear" w:color="auto" w:fill="FFFFFF"/>
        </w:rPr>
        <w:t>Economic Analysis and Policy</w:t>
      </w:r>
      <w:r>
        <w:rPr>
          <w:shd w:val="clear" w:color="auto" w:fill="FFFFFF"/>
        </w:rPr>
        <w:t>, </w:t>
      </w:r>
      <w:r>
        <w:rPr>
          <w:i/>
          <w:iCs/>
          <w:shd w:val="clear" w:color="auto" w:fill="FFFFFF"/>
        </w:rPr>
        <w:t>77</w:t>
      </w:r>
      <w:r>
        <w:rPr>
          <w:shd w:val="clear" w:color="auto" w:fill="FFFFFF"/>
        </w:rPr>
        <w:t>, pp.1103-1114.</w:t>
      </w:r>
    </w:p>
    <w:p w14:paraId="0BEFB924" w14:textId="77777777" w:rsidR="00842E1E" w:rsidRDefault="00842E1E" w:rsidP="004053DF">
      <w:pPr>
        <w:ind w:left="720" w:hanging="720"/>
        <w:rPr>
          <w:shd w:val="clear" w:color="auto" w:fill="FFFFFF"/>
        </w:rPr>
      </w:pPr>
      <w:r>
        <w:rPr>
          <w:shd w:val="clear" w:color="auto" w:fill="FFFFFF"/>
        </w:rPr>
        <w:lastRenderedPageBreak/>
        <w:t>Vismara, S., 2018. </w:t>
      </w:r>
      <w:r>
        <w:rPr>
          <w:i/>
          <w:iCs/>
          <w:shd w:val="clear" w:color="auto" w:fill="FFFFFF"/>
        </w:rPr>
        <w:t>Signaling to overcome inefficiencies in crowdfunding markets</w:t>
      </w:r>
      <w:r>
        <w:rPr>
          <w:shd w:val="clear" w:color="auto" w:fill="FFFFFF"/>
        </w:rPr>
        <w:t> (pp. 29-56). Springer International Publishing.</w:t>
      </w:r>
    </w:p>
    <w:p w14:paraId="2CF8330F" w14:textId="7382B706" w:rsidR="00842E1E" w:rsidRPr="00842E1E" w:rsidRDefault="00842E1E" w:rsidP="004053DF">
      <w:pPr>
        <w:ind w:left="720" w:hanging="720"/>
      </w:pPr>
      <w:r>
        <w:rPr>
          <w:shd w:val="clear" w:color="auto" w:fill="FFFFFF"/>
        </w:rPr>
        <w:t>Zaman, K.T., Islam, H., Khan, A.N., Shweta, D.S., Rahman, A., Masud, J., Araf, Y., Sarkar, B. and Ullah, M.A., 2020. COVID-19 pandemic burden on global economy: a paradigm shift.</w:t>
      </w:r>
    </w:p>
    <w:sectPr w:rsidR="00842E1E" w:rsidRPr="00842E1E" w:rsidSect="00461FC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A41B86" w14:textId="77777777" w:rsidR="00763A15" w:rsidRDefault="00763A15" w:rsidP="006B00E7">
      <w:pPr>
        <w:spacing w:after="0" w:line="240" w:lineRule="auto"/>
      </w:pPr>
      <w:r>
        <w:separator/>
      </w:r>
    </w:p>
  </w:endnote>
  <w:endnote w:type="continuationSeparator" w:id="0">
    <w:p w14:paraId="2C6F43D2" w14:textId="77777777" w:rsidR="00763A15" w:rsidRDefault="00763A15" w:rsidP="006B0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70097F" w14:textId="77777777" w:rsidR="00763A15" w:rsidRDefault="00763A15" w:rsidP="006B00E7">
      <w:pPr>
        <w:spacing w:after="0" w:line="240" w:lineRule="auto"/>
      </w:pPr>
      <w:r>
        <w:separator/>
      </w:r>
    </w:p>
  </w:footnote>
  <w:footnote w:type="continuationSeparator" w:id="0">
    <w:p w14:paraId="30BD4011" w14:textId="77777777" w:rsidR="00763A15" w:rsidRDefault="00763A15" w:rsidP="006B0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96AD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D134223"/>
    <w:multiLevelType w:val="hybridMultilevel"/>
    <w:tmpl w:val="3E303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A975E2"/>
    <w:multiLevelType w:val="hybridMultilevel"/>
    <w:tmpl w:val="636A5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AE03F2"/>
    <w:multiLevelType w:val="hybridMultilevel"/>
    <w:tmpl w:val="EF8C5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896B20"/>
    <w:multiLevelType w:val="hybridMultilevel"/>
    <w:tmpl w:val="096CF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1216184">
    <w:abstractNumId w:val="0"/>
  </w:num>
  <w:num w:numId="2" w16cid:durableId="1982033861">
    <w:abstractNumId w:val="4"/>
  </w:num>
  <w:num w:numId="3" w16cid:durableId="1822113484">
    <w:abstractNumId w:val="1"/>
  </w:num>
  <w:num w:numId="4" w16cid:durableId="1660647992">
    <w:abstractNumId w:val="2"/>
  </w:num>
  <w:num w:numId="5" w16cid:durableId="1842504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0E7"/>
    <w:rsid w:val="00027E0F"/>
    <w:rsid w:val="000422FA"/>
    <w:rsid w:val="00086043"/>
    <w:rsid w:val="000A5AA0"/>
    <w:rsid w:val="000D21AB"/>
    <w:rsid w:val="000E0C76"/>
    <w:rsid w:val="00113930"/>
    <w:rsid w:val="00117B1A"/>
    <w:rsid w:val="00176700"/>
    <w:rsid w:val="0018177B"/>
    <w:rsid w:val="00191A23"/>
    <w:rsid w:val="001C7AA3"/>
    <w:rsid w:val="00210B40"/>
    <w:rsid w:val="002322F2"/>
    <w:rsid w:val="0025441D"/>
    <w:rsid w:val="00255611"/>
    <w:rsid w:val="00321DF2"/>
    <w:rsid w:val="00346D0E"/>
    <w:rsid w:val="003C29E0"/>
    <w:rsid w:val="004053DF"/>
    <w:rsid w:val="00406D7C"/>
    <w:rsid w:val="00410EED"/>
    <w:rsid w:val="00427010"/>
    <w:rsid w:val="004338D2"/>
    <w:rsid w:val="00442587"/>
    <w:rsid w:val="00461FC9"/>
    <w:rsid w:val="00470F11"/>
    <w:rsid w:val="004B2734"/>
    <w:rsid w:val="004E2231"/>
    <w:rsid w:val="00510DD2"/>
    <w:rsid w:val="00553A45"/>
    <w:rsid w:val="00567DFE"/>
    <w:rsid w:val="00574EE6"/>
    <w:rsid w:val="005C7C1E"/>
    <w:rsid w:val="00607F42"/>
    <w:rsid w:val="0062796A"/>
    <w:rsid w:val="006379B2"/>
    <w:rsid w:val="00666B6D"/>
    <w:rsid w:val="00667AF9"/>
    <w:rsid w:val="00694A62"/>
    <w:rsid w:val="006B00E7"/>
    <w:rsid w:val="006C1F83"/>
    <w:rsid w:val="006F1619"/>
    <w:rsid w:val="00710AD3"/>
    <w:rsid w:val="00727C16"/>
    <w:rsid w:val="007535B5"/>
    <w:rsid w:val="00763A15"/>
    <w:rsid w:val="007F3203"/>
    <w:rsid w:val="00827ABA"/>
    <w:rsid w:val="00831DFA"/>
    <w:rsid w:val="00842E1E"/>
    <w:rsid w:val="00852B2C"/>
    <w:rsid w:val="0087203D"/>
    <w:rsid w:val="008C2123"/>
    <w:rsid w:val="008C576D"/>
    <w:rsid w:val="008E3968"/>
    <w:rsid w:val="009307C8"/>
    <w:rsid w:val="00967C1B"/>
    <w:rsid w:val="00970B1B"/>
    <w:rsid w:val="009931E5"/>
    <w:rsid w:val="009C3640"/>
    <w:rsid w:val="009C518B"/>
    <w:rsid w:val="00A0574C"/>
    <w:rsid w:val="00A2717D"/>
    <w:rsid w:val="00A6730F"/>
    <w:rsid w:val="00AE0DAB"/>
    <w:rsid w:val="00B05B66"/>
    <w:rsid w:val="00B34CD3"/>
    <w:rsid w:val="00B55571"/>
    <w:rsid w:val="00BD3E25"/>
    <w:rsid w:val="00BD4DE3"/>
    <w:rsid w:val="00C26EFE"/>
    <w:rsid w:val="00C56E7E"/>
    <w:rsid w:val="00CA1F13"/>
    <w:rsid w:val="00D3374C"/>
    <w:rsid w:val="00D75CF9"/>
    <w:rsid w:val="00DB5AF7"/>
    <w:rsid w:val="00E64721"/>
    <w:rsid w:val="00E90F84"/>
    <w:rsid w:val="00EA37F5"/>
    <w:rsid w:val="00EC101F"/>
    <w:rsid w:val="00F11B0E"/>
    <w:rsid w:val="00F14539"/>
    <w:rsid w:val="00F34AFA"/>
    <w:rsid w:val="00F51793"/>
    <w:rsid w:val="00F56C5F"/>
    <w:rsid w:val="00F57E9E"/>
    <w:rsid w:val="00F73ECF"/>
    <w:rsid w:val="00F95205"/>
    <w:rsid w:val="00FF7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7E47D7"/>
  <w15:chartTrackingRefBased/>
  <w15:docId w15:val="{0BFD8306-193F-4DA4-B9C2-F2A55D30F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B00E7"/>
    <w:pPr>
      <w:keepNext/>
      <w:keepLines/>
      <w:numPr>
        <w:numId w:val="1"/>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B00E7"/>
    <w:pPr>
      <w:keepNext/>
      <w:keepLines/>
      <w:numPr>
        <w:ilvl w:val="1"/>
        <w:numId w:val="1"/>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B00E7"/>
    <w:pPr>
      <w:keepNext/>
      <w:keepLines/>
      <w:numPr>
        <w:ilvl w:val="2"/>
        <w:numId w:val="1"/>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6B00E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B00E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B00E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B00E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B00E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B00E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0E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B00E7"/>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6B00E7"/>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B00E7"/>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6B00E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B00E7"/>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6B00E7"/>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6B00E7"/>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6B00E7"/>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6B00E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B00E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00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00E7"/>
    <w:rPr>
      <w:rFonts w:ascii="Times New Roman" w:hAnsi="Times New Roman"/>
      <w:sz w:val="24"/>
    </w:rPr>
  </w:style>
  <w:style w:type="paragraph" w:styleId="Footer">
    <w:name w:val="footer"/>
    <w:basedOn w:val="Normal"/>
    <w:link w:val="FooterChar"/>
    <w:uiPriority w:val="99"/>
    <w:unhideWhenUsed/>
    <w:rsid w:val="006B00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00E7"/>
    <w:rPr>
      <w:rFonts w:ascii="Times New Roman" w:hAnsi="Times New Roman"/>
      <w:sz w:val="24"/>
    </w:rPr>
  </w:style>
  <w:style w:type="paragraph" w:styleId="TOCHeading">
    <w:name w:val="TOC Heading"/>
    <w:basedOn w:val="Heading1"/>
    <w:next w:val="Normal"/>
    <w:uiPriority w:val="39"/>
    <w:unhideWhenUsed/>
    <w:qFormat/>
    <w:rsid w:val="006B00E7"/>
    <w:pPr>
      <w:numPr>
        <w:numId w:val="0"/>
      </w:numPr>
      <w:spacing w:line="259" w:lineRule="auto"/>
      <w:jc w:val="left"/>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6B00E7"/>
    <w:pPr>
      <w:spacing w:after="100"/>
    </w:pPr>
  </w:style>
  <w:style w:type="character" w:styleId="Hyperlink">
    <w:name w:val="Hyperlink"/>
    <w:basedOn w:val="DefaultParagraphFont"/>
    <w:uiPriority w:val="99"/>
    <w:unhideWhenUsed/>
    <w:rsid w:val="006B00E7"/>
    <w:rPr>
      <w:color w:val="0563C1" w:themeColor="hyperlink"/>
      <w:u w:val="single"/>
    </w:rPr>
  </w:style>
  <w:style w:type="paragraph" w:styleId="Caption">
    <w:name w:val="caption"/>
    <w:basedOn w:val="Normal"/>
    <w:next w:val="Normal"/>
    <w:uiPriority w:val="35"/>
    <w:unhideWhenUsed/>
    <w:qFormat/>
    <w:rsid w:val="00F14539"/>
    <w:pPr>
      <w:spacing w:after="200" w:line="240" w:lineRule="auto"/>
    </w:pPr>
    <w:rPr>
      <w:i/>
      <w:iCs/>
      <w:color w:val="44546A" w:themeColor="text2"/>
      <w:sz w:val="18"/>
      <w:szCs w:val="18"/>
    </w:rPr>
  </w:style>
  <w:style w:type="paragraph" w:styleId="ListParagraph">
    <w:name w:val="List Paragraph"/>
    <w:basedOn w:val="Normal"/>
    <w:uiPriority w:val="34"/>
    <w:qFormat/>
    <w:rsid w:val="00F73ECF"/>
    <w:pPr>
      <w:ind w:left="720"/>
      <w:contextualSpacing/>
    </w:pPr>
  </w:style>
  <w:style w:type="table" w:styleId="TableGrid">
    <w:name w:val="Table Grid"/>
    <w:basedOn w:val="TableNormal"/>
    <w:uiPriority w:val="39"/>
    <w:rsid w:val="007535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21DF2"/>
    <w:pPr>
      <w:spacing w:after="0"/>
    </w:pPr>
  </w:style>
  <w:style w:type="paragraph" w:styleId="TOC2">
    <w:name w:val="toc 2"/>
    <w:basedOn w:val="Normal"/>
    <w:next w:val="Normal"/>
    <w:autoRedefine/>
    <w:uiPriority w:val="39"/>
    <w:unhideWhenUsed/>
    <w:rsid w:val="0062796A"/>
    <w:pPr>
      <w:spacing w:after="100"/>
      <w:ind w:left="240"/>
    </w:pPr>
  </w:style>
  <w:style w:type="paragraph" w:styleId="NormalWeb">
    <w:name w:val="Normal (Web)"/>
    <w:basedOn w:val="Normal"/>
    <w:uiPriority w:val="99"/>
    <w:semiHidden/>
    <w:unhideWhenUsed/>
    <w:rsid w:val="007F3203"/>
    <w:pPr>
      <w:spacing w:before="100" w:beforeAutospacing="1" w:after="100" w:afterAutospacing="1" w:line="240" w:lineRule="auto"/>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208036">
      <w:bodyDiv w:val="1"/>
      <w:marLeft w:val="0"/>
      <w:marRight w:val="0"/>
      <w:marTop w:val="0"/>
      <w:marBottom w:val="0"/>
      <w:divBdr>
        <w:top w:val="none" w:sz="0" w:space="0" w:color="auto"/>
        <w:left w:val="none" w:sz="0" w:space="0" w:color="auto"/>
        <w:bottom w:val="none" w:sz="0" w:space="0" w:color="auto"/>
        <w:right w:val="none" w:sz="0" w:space="0" w:color="auto"/>
      </w:divBdr>
    </w:div>
    <w:div w:id="231161418">
      <w:bodyDiv w:val="1"/>
      <w:marLeft w:val="0"/>
      <w:marRight w:val="0"/>
      <w:marTop w:val="0"/>
      <w:marBottom w:val="0"/>
      <w:divBdr>
        <w:top w:val="none" w:sz="0" w:space="0" w:color="auto"/>
        <w:left w:val="none" w:sz="0" w:space="0" w:color="auto"/>
        <w:bottom w:val="none" w:sz="0" w:space="0" w:color="auto"/>
        <w:right w:val="none" w:sz="0" w:space="0" w:color="auto"/>
      </w:divBdr>
      <w:divsChild>
        <w:div w:id="1253470583">
          <w:marLeft w:val="-720"/>
          <w:marRight w:val="0"/>
          <w:marTop w:val="0"/>
          <w:marBottom w:val="0"/>
          <w:divBdr>
            <w:top w:val="none" w:sz="0" w:space="0" w:color="auto"/>
            <w:left w:val="none" w:sz="0" w:space="0" w:color="auto"/>
            <w:bottom w:val="none" w:sz="0" w:space="0" w:color="auto"/>
            <w:right w:val="none" w:sz="0" w:space="0" w:color="auto"/>
          </w:divBdr>
        </w:div>
      </w:divsChild>
    </w:div>
    <w:div w:id="738865504">
      <w:bodyDiv w:val="1"/>
      <w:marLeft w:val="0"/>
      <w:marRight w:val="0"/>
      <w:marTop w:val="0"/>
      <w:marBottom w:val="0"/>
      <w:divBdr>
        <w:top w:val="none" w:sz="0" w:space="0" w:color="auto"/>
        <w:left w:val="none" w:sz="0" w:space="0" w:color="auto"/>
        <w:bottom w:val="none" w:sz="0" w:space="0" w:color="auto"/>
        <w:right w:val="none" w:sz="0" w:space="0" w:color="auto"/>
      </w:divBdr>
    </w:div>
    <w:div w:id="782769097">
      <w:bodyDiv w:val="1"/>
      <w:marLeft w:val="0"/>
      <w:marRight w:val="0"/>
      <w:marTop w:val="0"/>
      <w:marBottom w:val="0"/>
      <w:divBdr>
        <w:top w:val="none" w:sz="0" w:space="0" w:color="auto"/>
        <w:left w:val="none" w:sz="0" w:space="0" w:color="auto"/>
        <w:bottom w:val="none" w:sz="0" w:space="0" w:color="auto"/>
        <w:right w:val="none" w:sz="0" w:space="0" w:color="auto"/>
      </w:divBdr>
    </w:div>
    <w:div w:id="988437444">
      <w:bodyDiv w:val="1"/>
      <w:marLeft w:val="0"/>
      <w:marRight w:val="0"/>
      <w:marTop w:val="0"/>
      <w:marBottom w:val="0"/>
      <w:divBdr>
        <w:top w:val="none" w:sz="0" w:space="0" w:color="auto"/>
        <w:left w:val="none" w:sz="0" w:space="0" w:color="auto"/>
        <w:bottom w:val="none" w:sz="0" w:space="0" w:color="auto"/>
        <w:right w:val="none" w:sz="0" w:space="0" w:color="auto"/>
      </w:divBdr>
    </w:div>
    <w:div w:id="1298757335">
      <w:bodyDiv w:val="1"/>
      <w:marLeft w:val="0"/>
      <w:marRight w:val="0"/>
      <w:marTop w:val="0"/>
      <w:marBottom w:val="0"/>
      <w:divBdr>
        <w:top w:val="none" w:sz="0" w:space="0" w:color="auto"/>
        <w:left w:val="none" w:sz="0" w:space="0" w:color="auto"/>
        <w:bottom w:val="none" w:sz="0" w:space="0" w:color="auto"/>
        <w:right w:val="none" w:sz="0" w:space="0" w:color="auto"/>
      </w:divBdr>
    </w:div>
    <w:div w:id="146512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diagramData" Target="diagrams/data6.xml"/><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diagramColors" Target="diagrams/colors6.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diagramQuickStyle" Target="diagrams/quickStyle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image" Target="media/image5.emf"/><Relationship Id="rId40" Type="http://schemas.openxmlformats.org/officeDocument/2006/relationships/diagramLayout" Target="diagrams/layout6.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10" Type="http://schemas.openxmlformats.org/officeDocument/2006/relationships/image" Target="media/image3.emf"/><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microsoft.com/office/2007/relationships/diagramDrawing" Target="diagrams/drawing6.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image" Target="media/image6.emf"/><Relationship Id="rId20" Type="http://schemas.openxmlformats.org/officeDocument/2006/relationships/diagramColors" Target="diagrams/colors2.xml"/><Relationship Id="rId41" Type="http://schemas.openxmlformats.org/officeDocument/2006/relationships/diagramQuickStyle" Target="diagrams/quickStyle6.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D8B68E-26DC-4121-9F24-9EB1F28E363B}" type="doc">
      <dgm:prSet loTypeId="urn:diagrams.loki3.com/VaryingWidthList" loCatId="list" qsTypeId="urn:microsoft.com/office/officeart/2005/8/quickstyle/simple1" qsCatId="simple" csTypeId="urn:microsoft.com/office/officeart/2005/8/colors/colorful4" csCatId="colorful" phldr="1"/>
      <dgm:spPr/>
    </dgm:pt>
    <dgm:pt modelId="{7204128E-AE71-4EF5-B1AD-890D332D00D9}">
      <dgm:prSet phldrT="[Text]"/>
      <dgm:spPr/>
      <dgm:t>
        <a:bodyPr/>
        <a:lstStyle/>
        <a:p>
          <a:r>
            <a:rPr lang="en-US">
              <a:latin typeface="Times New Roman" panose="02020603050405020304" pitchFamily="18" charset="0"/>
              <a:cs typeface="Times New Roman" panose="02020603050405020304" pitchFamily="18" charset="0"/>
            </a:rPr>
            <a:t>Higher levels of operating expenses without balancing revenues signal inefficiencies (Hu et al. 2018; Vismara, 2018). These might originate from higher operating expenses, rise in wages, increased expenditure in safety and health measures that may have not impacted the occupancy level positively yet.</a:t>
          </a:r>
          <a:endParaRPr lang="en-PK">
            <a:latin typeface="Times New Roman" panose="02020603050405020304" pitchFamily="18" charset="0"/>
            <a:cs typeface="Times New Roman" panose="02020603050405020304" pitchFamily="18" charset="0"/>
          </a:endParaRPr>
        </a:p>
      </dgm:t>
    </dgm:pt>
    <dgm:pt modelId="{8D62753F-0600-4A86-9825-879E13B79257}" type="parTrans" cxnId="{49C03F71-7E74-470A-AB44-6CE505D3BA41}">
      <dgm:prSet/>
      <dgm:spPr/>
      <dgm:t>
        <a:bodyPr/>
        <a:lstStyle/>
        <a:p>
          <a:endParaRPr lang="en-PK"/>
        </a:p>
      </dgm:t>
    </dgm:pt>
    <dgm:pt modelId="{877F963B-388A-4314-9BA3-010901E81487}" type="sibTrans" cxnId="{49C03F71-7E74-470A-AB44-6CE505D3BA41}">
      <dgm:prSet/>
      <dgm:spPr/>
      <dgm:t>
        <a:bodyPr/>
        <a:lstStyle/>
        <a:p>
          <a:endParaRPr lang="en-PK"/>
        </a:p>
      </dgm:t>
    </dgm:pt>
    <dgm:pt modelId="{8CAF250F-6E1C-4DB7-B4FD-067882757D44}">
      <dgm:prSet/>
      <dgm:spPr/>
      <dgm:t>
        <a:bodyPr/>
        <a:lstStyle/>
        <a:p>
          <a:r>
            <a:rPr lang="en-US">
              <a:latin typeface="Times New Roman" panose="02020603050405020304" pitchFamily="18" charset="0"/>
              <a:cs typeface="Times New Roman" panose="02020603050405020304" pitchFamily="18" charset="0"/>
            </a:rPr>
            <a:t>There are two clear disadvantages of the increasing role of debt financing which is the higher financial costs and lower net income resulting from the higher interest expense (Cole and Sokolyk, 2018; Shi et al. 2022). This scenario is quite tasking, especially when the revenue is dwindling.</a:t>
          </a:r>
          <a:endParaRPr lang="en-PK">
            <a:latin typeface="Times New Roman" panose="02020603050405020304" pitchFamily="18" charset="0"/>
            <a:cs typeface="Times New Roman" panose="02020603050405020304" pitchFamily="18" charset="0"/>
          </a:endParaRPr>
        </a:p>
      </dgm:t>
    </dgm:pt>
    <dgm:pt modelId="{8E47BD2B-7966-45BC-AF43-E4C013ED8500}" type="parTrans" cxnId="{85AA8CA0-EE0B-453B-AFC7-BE560974B69C}">
      <dgm:prSet/>
      <dgm:spPr/>
      <dgm:t>
        <a:bodyPr/>
        <a:lstStyle/>
        <a:p>
          <a:endParaRPr lang="en-PK"/>
        </a:p>
      </dgm:t>
    </dgm:pt>
    <dgm:pt modelId="{EDF1EC4D-B3C2-49CC-A958-CCEEC0A0477C}" type="sibTrans" cxnId="{85AA8CA0-EE0B-453B-AFC7-BE560974B69C}">
      <dgm:prSet/>
      <dgm:spPr/>
      <dgm:t>
        <a:bodyPr/>
        <a:lstStyle/>
        <a:p>
          <a:endParaRPr lang="en-PK"/>
        </a:p>
      </dgm:t>
    </dgm:pt>
    <dgm:pt modelId="{FEAD8931-EF66-4EE8-B81A-1FBAF5848339}">
      <dgm:prSet/>
      <dgm:spPr/>
      <dgm:t>
        <a:bodyPr/>
        <a:lstStyle/>
        <a:p>
          <a:r>
            <a:rPr lang="en-US">
              <a:latin typeface="Times New Roman" panose="02020603050405020304" pitchFamily="18" charset="0"/>
              <a:cs typeface="Times New Roman" panose="02020603050405020304" pitchFamily="18" charset="0"/>
            </a:rPr>
            <a:t>Anything that hampers movement, including epidemics, political unrest, or natural disasters, sharply affects hotels heavily reliant on mouth and business-related tourism (Zaman et al. 2020; Kekola, 2022).</a:t>
          </a:r>
          <a:endParaRPr lang="en-PK">
            <a:latin typeface="Times New Roman" panose="02020603050405020304" pitchFamily="18" charset="0"/>
            <a:cs typeface="Times New Roman" panose="02020603050405020304" pitchFamily="18" charset="0"/>
          </a:endParaRPr>
        </a:p>
      </dgm:t>
    </dgm:pt>
    <dgm:pt modelId="{84C64983-4269-4D0B-9B66-85A3F18996A3}" type="parTrans" cxnId="{EBE187F8-5FAB-4C30-AEBA-76C1A8DA346E}">
      <dgm:prSet/>
      <dgm:spPr/>
      <dgm:t>
        <a:bodyPr/>
        <a:lstStyle/>
        <a:p>
          <a:endParaRPr lang="en-PK"/>
        </a:p>
      </dgm:t>
    </dgm:pt>
    <dgm:pt modelId="{AAAB553E-8573-4CD8-A051-A6BFC0535DB2}" type="sibTrans" cxnId="{EBE187F8-5FAB-4C30-AEBA-76C1A8DA346E}">
      <dgm:prSet/>
      <dgm:spPr/>
      <dgm:t>
        <a:bodyPr/>
        <a:lstStyle/>
        <a:p>
          <a:endParaRPr lang="en-PK"/>
        </a:p>
      </dgm:t>
    </dgm:pt>
    <dgm:pt modelId="{9B71F76A-4853-4024-A769-4D2ED2576003}" type="pres">
      <dgm:prSet presAssocID="{B9D8B68E-26DC-4121-9F24-9EB1F28E363B}" presName="Name0" presStyleCnt="0">
        <dgm:presLayoutVars>
          <dgm:resizeHandles/>
        </dgm:presLayoutVars>
      </dgm:prSet>
      <dgm:spPr/>
    </dgm:pt>
    <dgm:pt modelId="{36D83A46-72C2-4F3B-A28E-D285B679D608}" type="pres">
      <dgm:prSet presAssocID="{7204128E-AE71-4EF5-B1AD-890D332D00D9}" presName="text" presStyleLbl="node1" presStyleIdx="0" presStyleCnt="3">
        <dgm:presLayoutVars>
          <dgm:bulletEnabled val="1"/>
        </dgm:presLayoutVars>
      </dgm:prSet>
      <dgm:spPr/>
    </dgm:pt>
    <dgm:pt modelId="{3EAC6A5E-1E02-45BD-AEE0-93229BB5514E}" type="pres">
      <dgm:prSet presAssocID="{877F963B-388A-4314-9BA3-010901E81487}" presName="space" presStyleCnt="0"/>
      <dgm:spPr/>
    </dgm:pt>
    <dgm:pt modelId="{723A88B9-518D-4FE2-8898-9752A7A099D0}" type="pres">
      <dgm:prSet presAssocID="{8CAF250F-6E1C-4DB7-B4FD-067882757D44}" presName="text" presStyleLbl="node1" presStyleIdx="1" presStyleCnt="3">
        <dgm:presLayoutVars>
          <dgm:bulletEnabled val="1"/>
        </dgm:presLayoutVars>
      </dgm:prSet>
      <dgm:spPr/>
    </dgm:pt>
    <dgm:pt modelId="{35456E61-CC83-42E9-BB19-6DF815DF5D0C}" type="pres">
      <dgm:prSet presAssocID="{EDF1EC4D-B3C2-49CC-A958-CCEEC0A0477C}" presName="space" presStyleCnt="0"/>
      <dgm:spPr/>
    </dgm:pt>
    <dgm:pt modelId="{18B7B4F7-D466-476C-AE81-FDB845014A5B}" type="pres">
      <dgm:prSet presAssocID="{FEAD8931-EF66-4EE8-B81A-1FBAF5848339}" presName="text" presStyleLbl="node1" presStyleIdx="2" presStyleCnt="3">
        <dgm:presLayoutVars>
          <dgm:bulletEnabled val="1"/>
        </dgm:presLayoutVars>
      </dgm:prSet>
      <dgm:spPr/>
    </dgm:pt>
  </dgm:ptLst>
  <dgm:cxnLst>
    <dgm:cxn modelId="{1F8FB405-8EEF-44F2-B61E-6445CFF24DF9}" type="presOf" srcId="{B9D8B68E-26DC-4121-9F24-9EB1F28E363B}" destId="{9B71F76A-4853-4024-A769-4D2ED2576003}" srcOrd="0" destOrd="0" presId="urn:diagrams.loki3.com/VaryingWidthList"/>
    <dgm:cxn modelId="{5F4AF14C-CEA0-427B-BD1D-C33C1D0BE146}" type="presOf" srcId="{8CAF250F-6E1C-4DB7-B4FD-067882757D44}" destId="{723A88B9-518D-4FE2-8898-9752A7A099D0}" srcOrd="0" destOrd="0" presId="urn:diagrams.loki3.com/VaryingWidthList"/>
    <dgm:cxn modelId="{49C03F71-7E74-470A-AB44-6CE505D3BA41}" srcId="{B9D8B68E-26DC-4121-9F24-9EB1F28E363B}" destId="{7204128E-AE71-4EF5-B1AD-890D332D00D9}" srcOrd="0" destOrd="0" parTransId="{8D62753F-0600-4A86-9825-879E13B79257}" sibTransId="{877F963B-388A-4314-9BA3-010901E81487}"/>
    <dgm:cxn modelId="{6F793594-72F1-414B-8496-C7EEF07FFA4C}" type="presOf" srcId="{7204128E-AE71-4EF5-B1AD-890D332D00D9}" destId="{36D83A46-72C2-4F3B-A28E-D285B679D608}" srcOrd="0" destOrd="0" presId="urn:diagrams.loki3.com/VaryingWidthList"/>
    <dgm:cxn modelId="{85AA8CA0-EE0B-453B-AFC7-BE560974B69C}" srcId="{B9D8B68E-26DC-4121-9F24-9EB1F28E363B}" destId="{8CAF250F-6E1C-4DB7-B4FD-067882757D44}" srcOrd="1" destOrd="0" parTransId="{8E47BD2B-7966-45BC-AF43-E4C013ED8500}" sibTransId="{EDF1EC4D-B3C2-49CC-A958-CCEEC0A0477C}"/>
    <dgm:cxn modelId="{F6F803A7-00C5-4A80-939A-6CA9197DD98B}" type="presOf" srcId="{FEAD8931-EF66-4EE8-B81A-1FBAF5848339}" destId="{18B7B4F7-D466-476C-AE81-FDB845014A5B}" srcOrd="0" destOrd="0" presId="urn:diagrams.loki3.com/VaryingWidthList"/>
    <dgm:cxn modelId="{EBE187F8-5FAB-4C30-AEBA-76C1A8DA346E}" srcId="{B9D8B68E-26DC-4121-9F24-9EB1F28E363B}" destId="{FEAD8931-EF66-4EE8-B81A-1FBAF5848339}" srcOrd="2" destOrd="0" parTransId="{84C64983-4269-4D0B-9B66-85A3F18996A3}" sibTransId="{AAAB553E-8573-4CD8-A051-A6BFC0535DB2}"/>
    <dgm:cxn modelId="{D27453B4-C6D2-470C-B0A2-22DE583CD00E}" type="presParOf" srcId="{9B71F76A-4853-4024-A769-4D2ED2576003}" destId="{36D83A46-72C2-4F3B-A28E-D285B679D608}" srcOrd="0" destOrd="0" presId="urn:diagrams.loki3.com/VaryingWidthList"/>
    <dgm:cxn modelId="{C43DF78F-9BC5-4F1C-BDDD-1ED50F95F455}" type="presParOf" srcId="{9B71F76A-4853-4024-A769-4D2ED2576003}" destId="{3EAC6A5E-1E02-45BD-AEE0-93229BB5514E}" srcOrd="1" destOrd="0" presId="urn:diagrams.loki3.com/VaryingWidthList"/>
    <dgm:cxn modelId="{B32E505E-B984-4137-95D7-3FB19FA67022}" type="presParOf" srcId="{9B71F76A-4853-4024-A769-4D2ED2576003}" destId="{723A88B9-518D-4FE2-8898-9752A7A099D0}" srcOrd="2" destOrd="0" presId="urn:diagrams.loki3.com/VaryingWidthList"/>
    <dgm:cxn modelId="{11649733-D37A-4D2A-B0A1-43EE504BB568}" type="presParOf" srcId="{9B71F76A-4853-4024-A769-4D2ED2576003}" destId="{35456E61-CC83-42E9-BB19-6DF815DF5D0C}" srcOrd="3" destOrd="0" presId="urn:diagrams.loki3.com/VaryingWidthList"/>
    <dgm:cxn modelId="{DAF5A461-2054-4CCA-9B85-C97403D5B62C}" type="presParOf" srcId="{9B71F76A-4853-4024-A769-4D2ED2576003}" destId="{18B7B4F7-D466-476C-AE81-FDB845014A5B}" srcOrd="4" destOrd="0" presId="urn:diagrams.loki3.com/VaryingWidth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C5AF691-C528-45A9-894A-DC7EFD38B893}" type="doc">
      <dgm:prSet loTypeId="urn:diagrams.loki3.com/VaryingWidthList" loCatId="list" qsTypeId="urn:microsoft.com/office/officeart/2005/8/quickstyle/simple1" qsCatId="simple" csTypeId="urn:microsoft.com/office/officeart/2005/8/colors/colorful4" csCatId="colorful" phldr="1"/>
      <dgm:spPr/>
    </dgm:pt>
    <dgm:pt modelId="{47ED4B6F-2015-41D7-9FD3-C79F71C8A67D}">
      <dgm:prSet phldrT="[Text]"/>
      <dgm:spPr/>
      <dgm:t>
        <a:bodyPr/>
        <a:lstStyle/>
        <a:p>
          <a:r>
            <a:rPr lang="en-US">
              <a:latin typeface="Times New Roman" panose="02020603050405020304" pitchFamily="18" charset="0"/>
              <a:cs typeface="Times New Roman" panose="02020603050405020304" pitchFamily="18" charset="0"/>
            </a:rPr>
            <a:t>Use RM software that makes changes on rates of rooms on-line and on-demand, changes on your competitors, and changes in events in different places to ensure booking garnered the highest amount of revenue possible. For purposes of increasing revenue, the following strategies will be employed; Introduction of revenue management that includes setting of a dynamic price using RM software. The initial expense that is used in implementing this software is £10,000. From the same outlooks, this model should be able to raise an average room rate by 10% in the busy seasons, which when assumed will generate £200, 000 extra annual revenues.</a:t>
          </a:r>
          <a:endParaRPr lang="en-PK">
            <a:latin typeface="Times New Roman" panose="02020603050405020304" pitchFamily="18" charset="0"/>
            <a:cs typeface="Times New Roman" panose="02020603050405020304" pitchFamily="18" charset="0"/>
          </a:endParaRPr>
        </a:p>
      </dgm:t>
    </dgm:pt>
    <dgm:pt modelId="{F35416A4-0357-43B1-8B44-CD86F9BAB1B3}" type="parTrans" cxnId="{90E895D0-694F-4117-92B8-9F146106F70F}">
      <dgm:prSet/>
      <dgm:spPr/>
      <dgm:t>
        <a:bodyPr/>
        <a:lstStyle/>
        <a:p>
          <a:endParaRPr lang="en-PK"/>
        </a:p>
      </dgm:t>
    </dgm:pt>
    <dgm:pt modelId="{D88F4E2B-CA8C-482A-8325-7C6F7D0AD8DE}" type="sibTrans" cxnId="{90E895D0-694F-4117-92B8-9F146106F70F}">
      <dgm:prSet/>
      <dgm:spPr/>
      <dgm:t>
        <a:bodyPr/>
        <a:lstStyle/>
        <a:p>
          <a:endParaRPr lang="en-PK"/>
        </a:p>
      </dgm:t>
    </dgm:pt>
    <dgm:pt modelId="{E5BD7C9F-C3A4-4119-B9C5-32B1F379B019}">
      <dgm:prSet/>
      <dgm:spPr/>
      <dgm:t>
        <a:bodyPr/>
        <a:lstStyle/>
        <a:p>
          <a:r>
            <a:rPr lang="en-US">
              <a:latin typeface="Times New Roman" panose="02020603050405020304" pitchFamily="18" charset="0"/>
              <a:cs typeface="Times New Roman" panose="02020603050405020304" pitchFamily="18" charset="0"/>
            </a:rPr>
            <a:t>Some of the strategies that could be adopted are; Come up with new services that can be offered like body treatments, special dinner with theme, and promotions that can involve other activities in the area. These services do contribute directly to the revenue as well as the satisfaction of the guests. Expansion of the existing portfolio through new services like, Themed Dinners, Spa Treatment moreover, there will be an initial implementation expense of £30,000 for support and campaigning expenses. It is expected that these new services will contribute £100,000 to the total annual revenue in addition to this figure.</a:t>
          </a:r>
          <a:endParaRPr lang="en-PK">
            <a:latin typeface="Times New Roman" panose="02020603050405020304" pitchFamily="18" charset="0"/>
            <a:cs typeface="Times New Roman" panose="02020603050405020304" pitchFamily="18" charset="0"/>
          </a:endParaRPr>
        </a:p>
      </dgm:t>
    </dgm:pt>
    <dgm:pt modelId="{65C1F470-8447-4C88-A22E-50016D644044}" type="parTrans" cxnId="{BF982414-4B8C-4AAE-A207-A6283B17E02C}">
      <dgm:prSet/>
      <dgm:spPr/>
      <dgm:t>
        <a:bodyPr/>
        <a:lstStyle/>
        <a:p>
          <a:endParaRPr lang="en-PK"/>
        </a:p>
      </dgm:t>
    </dgm:pt>
    <dgm:pt modelId="{8CBE5505-6D27-4138-A1BD-4174DB4E020C}" type="sibTrans" cxnId="{BF982414-4B8C-4AAE-A207-A6283B17E02C}">
      <dgm:prSet/>
      <dgm:spPr/>
      <dgm:t>
        <a:bodyPr/>
        <a:lstStyle/>
        <a:p>
          <a:endParaRPr lang="en-PK"/>
        </a:p>
      </dgm:t>
    </dgm:pt>
    <dgm:pt modelId="{7F8060F7-653E-45F9-9F65-DA7A3927ABAB}">
      <dgm:prSet/>
      <dgm:spPr/>
      <dgm:t>
        <a:bodyPr/>
        <a:lstStyle/>
        <a:p>
          <a:r>
            <a:rPr lang="en-US">
              <a:latin typeface="Times New Roman" panose="02020603050405020304" pitchFamily="18" charset="0"/>
              <a:cs typeface="Times New Roman" panose="02020603050405020304" pitchFamily="18" charset="0"/>
            </a:rPr>
            <a:t>One must redesign its website and ensure that it is responsive for SEO to enhance visitors’ accessibility. Use internet advertising in the current guest population as well as through internet marketing channels including e-mail advertising, PPC links, and social networking to get the new guests in addition to the repeat visitors.</a:t>
          </a:r>
          <a:endParaRPr lang="en-PK">
            <a:latin typeface="Times New Roman" panose="02020603050405020304" pitchFamily="18" charset="0"/>
            <a:cs typeface="Times New Roman" panose="02020603050405020304" pitchFamily="18" charset="0"/>
          </a:endParaRPr>
        </a:p>
      </dgm:t>
    </dgm:pt>
    <dgm:pt modelId="{50EA09DD-CA9F-4F49-BB1C-269B79C3BAC1}" type="parTrans" cxnId="{EC6F0433-FD97-4ED8-9F1F-0DDA71121D27}">
      <dgm:prSet/>
      <dgm:spPr/>
      <dgm:t>
        <a:bodyPr/>
        <a:lstStyle/>
        <a:p>
          <a:endParaRPr lang="en-PK"/>
        </a:p>
      </dgm:t>
    </dgm:pt>
    <dgm:pt modelId="{E7B3F4DC-66AE-435C-902A-6ACF888D8030}" type="sibTrans" cxnId="{EC6F0433-FD97-4ED8-9F1F-0DDA71121D27}">
      <dgm:prSet/>
      <dgm:spPr/>
      <dgm:t>
        <a:bodyPr/>
        <a:lstStyle/>
        <a:p>
          <a:endParaRPr lang="en-PK"/>
        </a:p>
      </dgm:t>
    </dgm:pt>
    <dgm:pt modelId="{2EC6F0A1-811B-4DB1-B22B-3BB2C68AC322}" type="pres">
      <dgm:prSet presAssocID="{9C5AF691-C528-45A9-894A-DC7EFD38B893}" presName="Name0" presStyleCnt="0">
        <dgm:presLayoutVars>
          <dgm:resizeHandles/>
        </dgm:presLayoutVars>
      </dgm:prSet>
      <dgm:spPr/>
    </dgm:pt>
    <dgm:pt modelId="{AAEAEEA8-2A58-40A5-B0B7-E11CC97B4E4D}" type="pres">
      <dgm:prSet presAssocID="{47ED4B6F-2015-41D7-9FD3-C79F71C8A67D}" presName="text" presStyleLbl="node1" presStyleIdx="0" presStyleCnt="3">
        <dgm:presLayoutVars>
          <dgm:bulletEnabled val="1"/>
        </dgm:presLayoutVars>
      </dgm:prSet>
      <dgm:spPr/>
    </dgm:pt>
    <dgm:pt modelId="{7E5D46B1-D293-4F3B-952D-0F620E2A08C9}" type="pres">
      <dgm:prSet presAssocID="{D88F4E2B-CA8C-482A-8325-7C6F7D0AD8DE}" presName="space" presStyleCnt="0"/>
      <dgm:spPr/>
    </dgm:pt>
    <dgm:pt modelId="{1E2E760A-FF6A-402B-8B5F-97A88CFF1DBE}" type="pres">
      <dgm:prSet presAssocID="{E5BD7C9F-C3A4-4119-B9C5-32B1F379B019}" presName="text" presStyleLbl="node1" presStyleIdx="1" presStyleCnt="3">
        <dgm:presLayoutVars>
          <dgm:bulletEnabled val="1"/>
        </dgm:presLayoutVars>
      </dgm:prSet>
      <dgm:spPr/>
    </dgm:pt>
    <dgm:pt modelId="{26EB1264-3D87-497B-8F1F-F8D23956DA57}" type="pres">
      <dgm:prSet presAssocID="{8CBE5505-6D27-4138-A1BD-4174DB4E020C}" presName="space" presStyleCnt="0"/>
      <dgm:spPr/>
    </dgm:pt>
    <dgm:pt modelId="{2E1EF0E2-8555-4B5C-BCCC-0278E9F64E8E}" type="pres">
      <dgm:prSet presAssocID="{7F8060F7-653E-45F9-9F65-DA7A3927ABAB}" presName="text" presStyleLbl="node1" presStyleIdx="2" presStyleCnt="3">
        <dgm:presLayoutVars>
          <dgm:bulletEnabled val="1"/>
        </dgm:presLayoutVars>
      </dgm:prSet>
      <dgm:spPr/>
    </dgm:pt>
  </dgm:ptLst>
  <dgm:cxnLst>
    <dgm:cxn modelId="{BF982414-4B8C-4AAE-A207-A6283B17E02C}" srcId="{9C5AF691-C528-45A9-894A-DC7EFD38B893}" destId="{E5BD7C9F-C3A4-4119-B9C5-32B1F379B019}" srcOrd="1" destOrd="0" parTransId="{65C1F470-8447-4C88-A22E-50016D644044}" sibTransId="{8CBE5505-6D27-4138-A1BD-4174DB4E020C}"/>
    <dgm:cxn modelId="{EC6F0433-FD97-4ED8-9F1F-0DDA71121D27}" srcId="{9C5AF691-C528-45A9-894A-DC7EFD38B893}" destId="{7F8060F7-653E-45F9-9F65-DA7A3927ABAB}" srcOrd="2" destOrd="0" parTransId="{50EA09DD-CA9F-4F49-BB1C-269B79C3BAC1}" sibTransId="{E7B3F4DC-66AE-435C-902A-6ACF888D8030}"/>
    <dgm:cxn modelId="{96784F42-1356-4E90-AB82-31E2D80C66EC}" type="presOf" srcId="{9C5AF691-C528-45A9-894A-DC7EFD38B893}" destId="{2EC6F0A1-811B-4DB1-B22B-3BB2C68AC322}" srcOrd="0" destOrd="0" presId="urn:diagrams.loki3.com/VaryingWidthList"/>
    <dgm:cxn modelId="{3BF4DF75-44B7-43C4-B8B7-6D5E151CA91D}" type="presOf" srcId="{E5BD7C9F-C3A4-4119-B9C5-32B1F379B019}" destId="{1E2E760A-FF6A-402B-8B5F-97A88CFF1DBE}" srcOrd="0" destOrd="0" presId="urn:diagrams.loki3.com/VaryingWidthList"/>
    <dgm:cxn modelId="{E3423482-6E60-47F0-A6AF-45C0F02FD30A}" type="presOf" srcId="{47ED4B6F-2015-41D7-9FD3-C79F71C8A67D}" destId="{AAEAEEA8-2A58-40A5-B0B7-E11CC97B4E4D}" srcOrd="0" destOrd="0" presId="urn:diagrams.loki3.com/VaryingWidthList"/>
    <dgm:cxn modelId="{B3C52CAF-F895-43E9-9703-F6F9F4F17B54}" type="presOf" srcId="{7F8060F7-653E-45F9-9F65-DA7A3927ABAB}" destId="{2E1EF0E2-8555-4B5C-BCCC-0278E9F64E8E}" srcOrd="0" destOrd="0" presId="urn:diagrams.loki3.com/VaryingWidthList"/>
    <dgm:cxn modelId="{90E895D0-694F-4117-92B8-9F146106F70F}" srcId="{9C5AF691-C528-45A9-894A-DC7EFD38B893}" destId="{47ED4B6F-2015-41D7-9FD3-C79F71C8A67D}" srcOrd="0" destOrd="0" parTransId="{F35416A4-0357-43B1-8B44-CD86F9BAB1B3}" sibTransId="{D88F4E2B-CA8C-482A-8325-7C6F7D0AD8DE}"/>
    <dgm:cxn modelId="{F3FFA936-58A2-4BBA-AB22-4197B341AF2C}" type="presParOf" srcId="{2EC6F0A1-811B-4DB1-B22B-3BB2C68AC322}" destId="{AAEAEEA8-2A58-40A5-B0B7-E11CC97B4E4D}" srcOrd="0" destOrd="0" presId="urn:diagrams.loki3.com/VaryingWidthList"/>
    <dgm:cxn modelId="{18FB7604-9C48-431F-96BB-06EE72C8C241}" type="presParOf" srcId="{2EC6F0A1-811B-4DB1-B22B-3BB2C68AC322}" destId="{7E5D46B1-D293-4F3B-952D-0F620E2A08C9}" srcOrd="1" destOrd="0" presId="urn:diagrams.loki3.com/VaryingWidthList"/>
    <dgm:cxn modelId="{1F862B79-A688-4689-B87D-584C6A818098}" type="presParOf" srcId="{2EC6F0A1-811B-4DB1-B22B-3BB2C68AC322}" destId="{1E2E760A-FF6A-402B-8B5F-97A88CFF1DBE}" srcOrd="2" destOrd="0" presId="urn:diagrams.loki3.com/VaryingWidthList"/>
    <dgm:cxn modelId="{7ABC8AB6-0168-431A-A717-454411653F14}" type="presParOf" srcId="{2EC6F0A1-811B-4DB1-B22B-3BB2C68AC322}" destId="{26EB1264-3D87-497B-8F1F-F8D23956DA57}" srcOrd="3" destOrd="0" presId="urn:diagrams.loki3.com/VaryingWidthList"/>
    <dgm:cxn modelId="{BBF6F4E9-FC46-406D-919A-200F47A6CB80}" type="presParOf" srcId="{2EC6F0A1-811B-4DB1-B22B-3BB2C68AC322}" destId="{2E1EF0E2-8555-4B5C-BCCC-0278E9F64E8E}" srcOrd="4" destOrd="0" presId="urn:diagrams.loki3.com/VaryingWidth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AA754D3-E343-4D8A-8F41-5F86BB4AC936}" type="doc">
      <dgm:prSet loTypeId="urn:diagrams.loki3.com/VaryingWidthList" loCatId="list" qsTypeId="urn:microsoft.com/office/officeart/2005/8/quickstyle/simple1" qsCatId="simple" csTypeId="urn:microsoft.com/office/officeart/2005/8/colors/colorful5" csCatId="colorful" phldr="1"/>
      <dgm:spPr/>
    </dgm:pt>
    <dgm:pt modelId="{15683313-14F8-4CD1-B30E-B293798CDED8}">
      <dgm:prSet phldrT="[Text]"/>
      <dgm:spPr/>
      <dgm:t>
        <a:bodyPr/>
        <a:lstStyle/>
        <a:p>
          <a:pPr>
            <a:buFont typeface="Symbol" panose="05050102010706020507" pitchFamily="18" charset="2"/>
            <a:buChar char=""/>
          </a:pPr>
          <a:r>
            <a:rPr lang="en-US">
              <a:latin typeface="Times New Roman" panose="02020603050405020304" pitchFamily="18" charset="0"/>
              <a:cs typeface="Times New Roman" panose="02020603050405020304" pitchFamily="18" charset="0"/>
            </a:rPr>
            <a:t>For instance, apply the lean management techniques that ensure an ideal staff combination and utility consumptions while satisfying the customers (Ramphal and Nicolaides, 2018; Ramphal, 2017). For instance, managing working hours in accordance with updated occupancy levels and seasonality can help bring down a major expenses’ lever. Effective operation, the lean management on the procedure will be adopted incurs £ 15,000 for the training and optimization processes. This should help to realise annual savings of fifty thousand pounds in terms of staffing levels and utility usage.</a:t>
          </a:r>
          <a:endParaRPr lang="en-PK">
            <a:latin typeface="Times New Roman" panose="02020603050405020304" pitchFamily="18" charset="0"/>
            <a:cs typeface="Times New Roman" panose="02020603050405020304" pitchFamily="18" charset="0"/>
          </a:endParaRPr>
        </a:p>
      </dgm:t>
    </dgm:pt>
    <dgm:pt modelId="{02623281-C3B6-403D-8144-C1DB2A950A70}" type="parTrans" cxnId="{75079748-7CAF-409D-9BAF-4502E3FB4E2A}">
      <dgm:prSet/>
      <dgm:spPr/>
      <dgm:t>
        <a:bodyPr/>
        <a:lstStyle/>
        <a:p>
          <a:endParaRPr lang="en-PK"/>
        </a:p>
      </dgm:t>
    </dgm:pt>
    <dgm:pt modelId="{7C2AF859-F62A-43D2-A4BF-677DD129FB80}" type="sibTrans" cxnId="{75079748-7CAF-409D-9BAF-4502E3FB4E2A}">
      <dgm:prSet/>
      <dgm:spPr/>
      <dgm:t>
        <a:bodyPr/>
        <a:lstStyle/>
        <a:p>
          <a:endParaRPr lang="en-PK"/>
        </a:p>
      </dgm:t>
    </dgm:pt>
    <dgm:pt modelId="{F180881E-3860-4971-A25E-C5D69A746D02}">
      <dgm:prSet/>
      <dgm:spPr/>
      <dgm:t>
        <a:bodyPr/>
        <a:lstStyle/>
        <a:p>
          <a:pPr>
            <a:buFont typeface="Symbol" panose="05050102010706020507" pitchFamily="18" charset="2"/>
            <a:buChar char=""/>
          </a:pPr>
          <a:r>
            <a:rPr lang="en-US">
              <a:latin typeface="Times New Roman" panose="02020603050405020304" pitchFamily="18" charset="0"/>
              <a:cs typeface="Times New Roman" panose="02020603050405020304" pitchFamily="18" charset="0"/>
            </a:rPr>
            <a:t>CUT costs of goods and services purchased by adjusting suppliers’ prices by attempting to get new and better bargain terms or by moving to a new supplier without stomach churning quality lapse. This would include the food and drinks suppliers, the laundry services and many other small details. The contracts with suppliers will have to be re-discussed and adjusted in this step at a cost of £5,000. This is hoped to be accomplished in order to cut cost and purchase stock from suppliers at a cheaper price of £30,000 per year.</a:t>
          </a:r>
          <a:endParaRPr lang="en-PK">
            <a:latin typeface="Times New Roman" panose="02020603050405020304" pitchFamily="18" charset="0"/>
            <a:cs typeface="Times New Roman" panose="02020603050405020304" pitchFamily="18" charset="0"/>
          </a:endParaRPr>
        </a:p>
      </dgm:t>
    </dgm:pt>
    <dgm:pt modelId="{902EF705-AA55-440B-B250-52E9B5310D47}" type="parTrans" cxnId="{31AEDA44-6E34-44F4-B007-1E2A5356DFF7}">
      <dgm:prSet/>
      <dgm:spPr/>
      <dgm:t>
        <a:bodyPr/>
        <a:lstStyle/>
        <a:p>
          <a:endParaRPr lang="en-PK"/>
        </a:p>
      </dgm:t>
    </dgm:pt>
    <dgm:pt modelId="{0B11CF85-1B14-4AE1-979C-CDD0773C626B}" type="sibTrans" cxnId="{31AEDA44-6E34-44F4-B007-1E2A5356DFF7}">
      <dgm:prSet/>
      <dgm:spPr/>
      <dgm:t>
        <a:bodyPr/>
        <a:lstStyle/>
        <a:p>
          <a:endParaRPr lang="en-PK"/>
        </a:p>
      </dgm:t>
    </dgm:pt>
    <dgm:pt modelId="{DE3575AB-213E-410A-B73D-006EC620FFEF}">
      <dgm:prSet/>
      <dgm:spPr/>
      <dgm:t>
        <a:bodyPr/>
        <a:lstStyle/>
        <a:p>
          <a:r>
            <a:rPr lang="en-US">
              <a:latin typeface="Times New Roman" panose="02020603050405020304" pitchFamily="18" charset="0"/>
              <a:cs typeface="Times New Roman" panose="02020603050405020304" pitchFamily="18" charset="0"/>
            </a:rPr>
            <a:t>Purchase low-energy lighting, energy control devices, and energy-efficient air conditioning and heating installations to attenuate energy consumption costs in the longer run. An initial investment of £20,000 will be needed in order to instal energy-efficient luxuries such as lights and air conditioning systems. These changes are expected to cut energy expenses for each store by £10, 000 per year.</a:t>
          </a:r>
          <a:endParaRPr lang="en-PK">
            <a:latin typeface="Times New Roman" panose="02020603050405020304" pitchFamily="18" charset="0"/>
            <a:cs typeface="Times New Roman" panose="02020603050405020304" pitchFamily="18" charset="0"/>
          </a:endParaRPr>
        </a:p>
      </dgm:t>
    </dgm:pt>
    <dgm:pt modelId="{24F5754F-91A5-4F40-83FC-ED8F1B96379B}" type="parTrans" cxnId="{BB7FB9ED-44C9-4E1B-9522-E9061911AD4B}">
      <dgm:prSet/>
      <dgm:spPr/>
      <dgm:t>
        <a:bodyPr/>
        <a:lstStyle/>
        <a:p>
          <a:endParaRPr lang="en-PK"/>
        </a:p>
      </dgm:t>
    </dgm:pt>
    <dgm:pt modelId="{3058181B-DE84-4179-8B85-739EDBECF4DF}" type="sibTrans" cxnId="{BB7FB9ED-44C9-4E1B-9522-E9061911AD4B}">
      <dgm:prSet/>
      <dgm:spPr/>
      <dgm:t>
        <a:bodyPr/>
        <a:lstStyle/>
        <a:p>
          <a:endParaRPr lang="en-PK"/>
        </a:p>
      </dgm:t>
    </dgm:pt>
    <dgm:pt modelId="{D77D1A64-5E75-4895-9729-4A35C1587710}" type="pres">
      <dgm:prSet presAssocID="{9AA754D3-E343-4D8A-8F41-5F86BB4AC936}" presName="Name0" presStyleCnt="0">
        <dgm:presLayoutVars>
          <dgm:resizeHandles/>
        </dgm:presLayoutVars>
      </dgm:prSet>
      <dgm:spPr/>
    </dgm:pt>
    <dgm:pt modelId="{3CEF2DBA-4052-4A20-91D3-02EF1A5B67D0}" type="pres">
      <dgm:prSet presAssocID="{15683313-14F8-4CD1-B30E-B293798CDED8}" presName="text" presStyleLbl="node1" presStyleIdx="0" presStyleCnt="3">
        <dgm:presLayoutVars>
          <dgm:bulletEnabled val="1"/>
        </dgm:presLayoutVars>
      </dgm:prSet>
      <dgm:spPr/>
    </dgm:pt>
    <dgm:pt modelId="{F5179E18-6822-4027-8330-03D6A88EBBF1}" type="pres">
      <dgm:prSet presAssocID="{7C2AF859-F62A-43D2-A4BF-677DD129FB80}" presName="space" presStyleCnt="0"/>
      <dgm:spPr/>
    </dgm:pt>
    <dgm:pt modelId="{596783ED-06F0-4F9C-8715-6AF1AFDCA91D}" type="pres">
      <dgm:prSet presAssocID="{F180881E-3860-4971-A25E-C5D69A746D02}" presName="text" presStyleLbl="node1" presStyleIdx="1" presStyleCnt="3">
        <dgm:presLayoutVars>
          <dgm:bulletEnabled val="1"/>
        </dgm:presLayoutVars>
      </dgm:prSet>
      <dgm:spPr/>
    </dgm:pt>
    <dgm:pt modelId="{AF397A35-8743-487E-94AC-EF3C5E161B1D}" type="pres">
      <dgm:prSet presAssocID="{0B11CF85-1B14-4AE1-979C-CDD0773C626B}" presName="space" presStyleCnt="0"/>
      <dgm:spPr/>
    </dgm:pt>
    <dgm:pt modelId="{BBEC79DB-70A2-43F0-B3ED-D1D1005A98A7}" type="pres">
      <dgm:prSet presAssocID="{DE3575AB-213E-410A-B73D-006EC620FFEF}" presName="text" presStyleLbl="node1" presStyleIdx="2" presStyleCnt="3">
        <dgm:presLayoutVars>
          <dgm:bulletEnabled val="1"/>
        </dgm:presLayoutVars>
      </dgm:prSet>
      <dgm:spPr/>
    </dgm:pt>
  </dgm:ptLst>
  <dgm:cxnLst>
    <dgm:cxn modelId="{38EA3820-6DE4-445E-AD2C-BA9279DF720D}" type="presOf" srcId="{9AA754D3-E343-4D8A-8F41-5F86BB4AC936}" destId="{D77D1A64-5E75-4895-9729-4A35C1587710}" srcOrd="0" destOrd="0" presId="urn:diagrams.loki3.com/VaryingWidthList"/>
    <dgm:cxn modelId="{31AEDA44-6E34-44F4-B007-1E2A5356DFF7}" srcId="{9AA754D3-E343-4D8A-8F41-5F86BB4AC936}" destId="{F180881E-3860-4971-A25E-C5D69A746D02}" srcOrd="1" destOrd="0" parTransId="{902EF705-AA55-440B-B250-52E9B5310D47}" sibTransId="{0B11CF85-1B14-4AE1-979C-CDD0773C626B}"/>
    <dgm:cxn modelId="{75079748-7CAF-409D-9BAF-4502E3FB4E2A}" srcId="{9AA754D3-E343-4D8A-8F41-5F86BB4AC936}" destId="{15683313-14F8-4CD1-B30E-B293798CDED8}" srcOrd="0" destOrd="0" parTransId="{02623281-C3B6-403D-8144-C1DB2A950A70}" sibTransId="{7C2AF859-F62A-43D2-A4BF-677DD129FB80}"/>
    <dgm:cxn modelId="{EE9EFBA0-3FF1-4D99-B05E-3149F32F6E18}" type="presOf" srcId="{F180881E-3860-4971-A25E-C5D69A746D02}" destId="{596783ED-06F0-4F9C-8715-6AF1AFDCA91D}" srcOrd="0" destOrd="0" presId="urn:diagrams.loki3.com/VaryingWidthList"/>
    <dgm:cxn modelId="{D4ADFBCF-7B7E-4962-8A5D-464704ADA57C}" type="presOf" srcId="{DE3575AB-213E-410A-B73D-006EC620FFEF}" destId="{BBEC79DB-70A2-43F0-B3ED-D1D1005A98A7}" srcOrd="0" destOrd="0" presId="urn:diagrams.loki3.com/VaryingWidthList"/>
    <dgm:cxn modelId="{BC20C6E2-2C82-4DB6-8183-4D0ADBB0BD3F}" type="presOf" srcId="{15683313-14F8-4CD1-B30E-B293798CDED8}" destId="{3CEF2DBA-4052-4A20-91D3-02EF1A5B67D0}" srcOrd="0" destOrd="0" presId="urn:diagrams.loki3.com/VaryingWidthList"/>
    <dgm:cxn modelId="{BB7FB9ED-44C9-4E1B-9522-E9061911AD4B}" srcId="{9AA754D3-E343-4D8A-8F41-5F86BB4AC936}" destId="{DE3575AB-213E-410A-B73D-006EC620FFEF}" srcOrd="2" destOrd="0" parTransId="{24F5754F-91A5-4F40-83FC-ED8F1B96379B}" sibTransId="{3058181B-DE84-4179-8B85-739EDBECF4DF}"/>
    <dgm:cxn modelId="{EFF74AD0-D639-409A-AA3E-8D5B1483E591}" type="presParOf" srcId="{D77D1A64-5E75-4895-9729-4A35C1587710}" destId="{3CEF2DBA-4052-4A20-91D3-02EF1A5B67D0}" srcOrd="0" destOrd="0" presId="urn:diagrams.loki3.com/VaryingWidthList"/>
    <dgm:cxn modelId="{BC893685-26C2-4B0B-90E2-4E2C2356E7C4}" type="presParOf" srcId="{D77D1A64-5E75-4895-9729-4A35C1587710}" destId="{F5179E18-6822-4027-8330-03D6A88EBBF1}" srcOrd="1" destOrd="0" presId="urn:diagrams.loki3.com/VaryingWidthList"/>
    <dgm:cxn modelId="{B311D783-5774-427F-B872-C7BFBACC1858}" type="presParOf" srcId="{D77D1A64-5E75-4895-9729-4A35C1587710}" destId="{596783ED-06F0-4F9C-8715-6AF1AFDCA91D}" srcOrd="2" destOrd="0" presId="urn:diagrams.loki3.com/VaryingWidthList"/>
    <dgm:cxn modelId="{C3A0B0F3-956C-467C-9C84-D9B9D50A6E57}" type="presParOf" srcId="{D77D1A64-5E75-4895-9729-4A35C1587710}" destId="{AF397A35-8743-487E-94AC-EF3C5E161B1D}" srcOrd="3" destOrd="0" presId="urn:diagrams.loki3.com/VaryingWidthList"/>
    <dgm:cxn modelId="{36C7D3B0-BF88-4F21-8FD1-97F33DADB79A}" type="presParOf" srcId="{D77D1A64-5E75-4895-9729-4A35C1587710}" destId="{BBEC79DB-70A2-43F0-B3ED-D1D1005A98A7}" srcOrd="4" destOrd="0" presId="urn:diagrams.loki3.com/VaryingWidth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2DFBDD9-3BAA-47B7-B926-6D04FFB436D4}" type="doc">
      <dgm:prSet loTypeId="urn:diagrams.loki3.com/VaryingWidthList" loCatId="list" qsTypeId="urn:microsoft.com/office/officeart/2005/8/quickstyle/simple1" qsCatId="simple" csTypeId="urn:microsoft.com/office/officeart/2005/8/colors/colorful3" csCatId="colorful" phldr="1"/>
      <dgm:spPr/>
    </dgm:pt>
    <dgm:pt modelId="{EC3D0BA7-A94B-4B28-A64E-12EF3E1BCB49}">
      <dgm:prSet phldrT="[Text]"/>
      <dgm:spPr/>
      <dgm:t>
        <a:bodyPr/>
        <a:lstStyle/>
        <a:p>
          <a:pPr>
            <a:buFont typeface="Symbol" panose="05050102010706020507" pitchFamily="18" charset="2"/>
            <a:buChar char=""/>
          </a:pPr>
          <a:r>
            <a:rPr lang="en-US">
              <a:latin typeface="Times New Roman" panose="02020603050405020304" pitchFamily="18" charset="0"/>
              <a:cs typeface="Times New Roman" panose="02020603050405020304" pitchFamily="18" charset="0"/>
            </a:rPr>
            <a:t>Upgrade to current Property Management Systems (PMS) that keep operations efficient from reservation to check-out. Mobile check-in and check-out must be incorporated to increase guests’ comfort (Daas, 2023). Investment in a new upgraded Property Management System (PMS), and developing mobile check-in/ check-out services will be at £50,000. These developments are believed to enhance effectiveness and reduce human resource expenses by about £25,000 per over one’s operations.</a:t>
          </a:r>
          <a:endParaRPr lang="en-PK">
            <a:latin typeface="Times New Roman" panose="02020603050405020304" pitchFamily="18" charset="0"/>
            <a:cs typeface="Times New Roman" panose="02020603050405020304" pitchFamily="18" charset="0"/>
          </a:endParaRPr>
        </a:p>
      </dgm:t>
    </dgm:pt>
    <dgm:pt modelId="{DA5E19C3-5704-4E32-A10F-BE9D6728061E}" type="parTrans" cxnId="{D51A3FA5-5DF4-430C-963E-A580F9C40040}">
      <dgm:prSet/>
      <dgm:spPr/>
      <dgm:t>
        <a:bodyPr/>
        <a:lstStyle/>
        <a:p>
          <a:endParaRPr lang="en-PK"/>
        </a:p>
      </dgm:t>
    </dgm:pt>
    <dgm:pt modelId="{C4177127-3496-49A7-ACC1-8CC918DC20E5}" type="sibTrans" cxnId="{D51A3FA5-5DF4-430C-963E-A580F9C40040}">
      <dgm:prSet/>
      <dgm:spPr/>
      <dgm:t>
        <a:bodyPr/>
        <a:lstStyle/>
        <a:p>
          <a:endParaRPr lang="en-PK"/>
        </a:p>
      </dgm:t>
    </dgm:pt>
    <dgm:pt modelId="{A5EDD544-8FD2-471E-9BF2-19436F88D133}">
      <dgm:prSet/>
      <dgm:spPr/>
      <dgm:t>
        <a:bodyPr/>
        <a:lstStyle/>
        <a:p>
          <a:pPr>
            <a:buFont typeface="Symbol" panose="05050102010706020507" pitchFamily="18" charset="2"/>
            <a:buChar char=""/>
          </a:pPr>
          <a:r>
            <a:rPr lang="en-US">
              <a:latin typeface="Times New Roman" panose="02020603050405020304" pitchFamily="18" charset="0"/>
              <a:cs typeface="Times New Roman" panose="02020603050405020304" pitchFamily="18" charset="0"/>
            </a:rPr>
            <a:t>Proactive training sessions for staff focusing on effective communication, selling techniques, and familiarization with new products to guarantee high level service and satisfied guests. The cost will remain constant for all skill maintenance activities, reaching £10,000 per year. It will be believed that these programs will enhance the factors of satisfaction of the guests so as to raise the annual revenue figure by £20,000 through of repeated business.</a:t>
          </a:r>
          <a:endParaRPr lang="en-PK">
            <a:latin typeface="Times New Roman" panose="02020603050405020304" pitchFamily="18" charset="0"/>
            <a:cs typeface="Times New Roman" panose="02020603050405020304" pitchFamily="18" charset="0"/>
          </a:endParaRPr>
        </a:p>
      </dgm:t>
    </dgm:pt>
    <dgm:pt modelId="{EF599161-577A-4AE1-967C-BDC6181190A2}" type="parTrans" cxnId="{BD2788BE-D4A3-4296-B990-92D33916CF8B}">
      <dgm:prSet/>
      <dgm:spPr/>
      <dgm:t>
        <a:bodyPr/>
        <a:lstStyle/>
        <a:p>
          <a:endParaRPr lang="en-PK"/>
        </a:p>
      </dgm:t>
    </dgm:pt>
    <dgm:pt modelId="{6121EED1-AB3C-4FE9-B3AD-49C245ED1136}" type="sibTrans" cxnId="{BD2788BE-D4A3-4296-B990-92D33916CF8B}">
      <dgm:prSet/>
      <dgm:spPr/>
      <dgm:t>
        <a:bodyPr/>
        <a:lstStyle/>
        <a:p>
          <a:endParaRPr lang="en-PK"/>
        </a:p>
      </dgm:t>
    </dgm:pt>
    <dgm:pt modelId="{FB25C1D3-7ED0-4083-A238-C6B26F3FD100}">
      <dgm:prSet/>
      <dgm:spPr/>
      <dgm:t>
        <a:bodyPr/>
        <a:lstStyle/>
        <a:p>
          <a:r>
            <a:rPr lang="en-US">
              <a:latin typeface="Times New Roman" panose="02020603050405020304" pitchFamily="18" charset="0"/>
              <a:cs typeface="Times New Roman" panose="02020603050405020304" pitchFamily="18" charset="0"/>
            </a:rPr>
            <a:t>Implement sound feedback mechanisms where the guests are able to give their feedback easily. This data should be used to make continual improvements and to be able to make speedy responses to any guests complaints.</a:t>
          </a:r>
          <a:endParaRPr lang="en-PK">
            <a:latin typeface="Times New Roman" panose="02020603050405020304" pitchFamily="18" charset="0"/>
            <a:cs typeface="Times New Roman" panose="02020603050405020304" pitchFamily="18" charset="0"/>
          </a:endParaRPr>
        </a:p>
      </dgm:t>
    </dgm:pt>
    <dgm:pt modelId="{E34C3CD8-A5F1-43AF-A2BD-D8A17094D085}" type="parTrans" cxnId="{C85F61AB-A5DC-45DE-AF46-FA7AF376CA42}">
      <dgm:prSet/>
      <dgm:spPr/>
      <dgm:t>
        <a:bodyPr/>
        <a:lstStyle/>
        <a:p>
          <a:endParaRPr lang="en-PK"/>
        </a:p>
      </dgm:t>
    </dgm:pt>
    <dgm:pt modelId="{2A5C58B0-F3D0-41E3-B970-D48E03A0F0F2}" type="sibTrans" cxnId="{C85F61AB-A5DC-45DE-AF46-FA7AF376CA42}">
      <dgm:prSet/>
      <dgm:spPr/>
      <dgm:t>
        <a:bodyPr/>
        <a:lstStyle/>
        <a:p>
          <a:endParaRPr lang="en-PK"/>
        </a:p>
      </dgm:t>
    </dgm:pt>
    <dgm:pt modelId="{F43FC429-D52A-48A6-871B-EDA6598FA367}" type="pres">
      <dgm:prSet presAssocID="{22DFBDD9-3BAA-47B7-B926-6D04FFB436D4}" presName="Name0" presStyleCnt="0">
        <dgm:presLayoutVars>
          <dgm:resizeHandles/>
        </dgm:presLayoutVars>
      </dgm:prSet>
      <dgm:spPr/>
    </dgm:pt>
    <dgm:pt modelId="{913DCE72-FEBF-44E9-954A-FE364DBC4210}" type="pres">
      <dgm:prSet presAssocID="{EC3D0BA7-A94B-4B28-A64E-12EF3E1BCB49}" presName="text" presStyleLbl="node1" presStyleIdx="0" presStyleCnt="3">
        <dgm:presLayoutVars>
          <dgm:bulletEnabled val="1"/>
        </dgm:presLayoutVars>
      </dgm:prSet>
      <dgm:spPr/>
    </dgm:pt>
    <dgm:pt modelId="{F8C752B5-7068-4F26-A92B-A618DFA54DF8}" type="pres">
      <dgm:prSet presAssocID="{C4177127-3496-49A7-ACC1-8CC918DC20E5}" presName="space" presStyleCnt="0"/>
      <dgm:spPr/>
    </dgm:pt>
    <dgm:pt modelId="{F4B1B7D0-CD35-4AA3-80F3-7D86CF3AD5D9}" type="pres">
      <dgm:prSet presAssocID="{A5EDD544-8FD2-471E-9BF2-19436F88D133}" presName="text" presStyleLbl="node1" presStyleIdx="1" presStyleCnt="3">
        <dgm:presLayoutVars>
          <dgm:bulletEnabled val="1"/>
        </dgm:presLayoutVars>
      </dgm:prSet>
      <dgm:spPr/>
    </dgm:pt>
    <dgm:pt modelId="{38972143-A51C-4982-AEDF-AE43F1BBB5B6}" type="pres">
      <dgm:prSet presAssocID="{6121EED1-AB3C-4FE9-B3AD-49C245ED1136}" presName="space" presStyleCnt="0"/>
      <dgm:spPr/>
    </dgm:pt>
    <dgm:pt modelId="{C4FFCB87-6E28-4BD4-A2B7-74D76F6ADE58}" type="pres">
      <dgm:prSet presAssocID="{FB25C1D3-7ED0-4083-A238-C6B26F3FD100}" presName="text" presStyleLbl="node1" presStyleIdx="2" presStyleCnt="3">
        <dgm:presLayoutVars>
          <dgm:bulletEnabled val="1"/>
        </dgm:presLayoutVars>
      </dgm:prSet>
      <dgm:spPr/>
    </dgm:pt>
  </dgm:ptLst>
  <dgm:cxnLst>
    <dgm:cxn modelId="{BB482C35-0F28-4CA9-8BE4-D1A4AFF51F25}" type="presOf" srcId="{A5EDD544-8FD2-471E-9BF2-19436F88D133}" destId="{F4B1B7D0-CD35-4AA3-80F3-7D86CF3AD5D9}" srcOrd="0" destOrd="0" presId="urn:diagrams.loki3.com/VaryingWidthList"/>
    <dgm:cxn modelId="{F409A76F-2B67-4755-9667-0B0052F55AAE}" type="presOf" srcId="{EC3D0BA7-A94B-4B28-A64E-12EF3E1BCB49}" destId="{913DCE72-FEBF-44E9-954A-FE364DBC4210}" srcOrd="0" destOrd="0" presId="urn:diagrams.loki3.com/VaryingWidthList"/>
    <dgm:cxn modelId="{A0D0BE50-C0C0-47B4-9D1E-D0C41382F5AF}" type="presOf" srcId="{FB25C1D3-7ED0-4083-A238-C6B26F3FD100}" destId="{C4FFCB87-6E28-4BD4-A2B7-74D76F6ADE58}" srcOrd="0" destOrd="0" presId="urn:diagrams.loki3.com/VaryingWidthList"/>
    <dgm:cxn modelId="{F6FE0485-EC2E-472F-B40D-9B0B923D8A77}" type="presOf" srcId="{22DFBDD9-3BAA-47B7-B926-6D04FFB436D4}" destId="{F43FC429-D52A-48A6-871B-EDA6598FA367}" srcOrd="0" destOrd="0" presId="urn:diagrams.loki3.com/VaryingWidthList"/>
    <dgm:cxn modelId="{D51A3FA5-5DF4-430C-963E-A580F9C40040}" srcId="{22DFBDD9-3BAA-47B7-B926-6D04FFB436D4}" destId="{EC3D0BA7-A94B-4B28-A64E-12EF3E1BCB49}" srcOrd="0" destOrd="0" parTransId="{DA5E19C3-5704-4E32-A10F-BE9D6728061E}" sibTransId="{C4177127-3496-49A7-ACC1-8CC918DC20E5}"/>
    <dgm:cxn modelId="{C85F61AB-A5DC-45DE-AF46-FA7AF376CA42}" srcId="{22DFBDD9-3BAA-47B7-B926-6D04FFB436D4}" destId="{FB25C1D3-7ED0-4083-A238-C6B26F3FD100}" srcOrd="2" destOrd="0" parTransId="{E34C3CD8-A5F1-43AF-A2BD-D8A17094D085}" sibTransId="{2A5C58B0-F3D0-41E3-B970-D48E03A0F0F2}"/>
    <dgm:cxn modelId="{BD2788BE-D4A3-4296-B990-92D33916CF8B}" srcId="{22DFBDD9-3BAA-47B7-B926-6D04FFB436D4}" destId="{A5EDD544-8FD2-471E-9BF2-19436F88D133}" srcOrd="1" destOrd="0" parTransId="{EF599161-577A-4AE1-967C-BDC6181190A2}" sibTransId="{6121EED1-AB3C-4FE9-B3AD-49C245ED1136}"/>
    <dgm:cxn modelId="{AFF577E8-7E8C-49C2-B98C-DA6923135B7A}" type="presParOf" srcId="{F43FC429-D52A-48A6-871B-EDA6598FA367}" destId="{913DCE72-FEBF-44E9-954A-FE364DBC4210}" srcOrd="0" destOrd="0" presId="urn:diagrams.loki3.com/VaryingWidthList"/>
    <dgm:cxn modelId="{D4DF368B-C85C-4E6C-B80E-9F34128EC6FB}" type="presParOf" srcId="{F43FC429-D52A-48A6-871B-EDA6598FA367}" destId="{F8C752B5-7068-4F26-A92B-A618DFA54DF8}" srcOrd="1" destOrd="0" presId="urn:diagrams.loki3.com/VaryingWidthList"/>
    <dgm:cxn modelId="{292F9A40-3472-4B8C-A0DD-5A34D403167B}" type="presParOf" srcId="{F43FC429-D52A-48A6-871B-EDA6598FA367}" destId="{F4B1B7D0-CD35-4AA3-80F3-7D86CF3AD5D9}" srcOrd="2" destOrd="0" presId="urn:diagrams.loki3.com/VaryingWidthList"/>
    <dgm:cxn modelId="{9C4B85A2-2779-420C-BBD5-3BFF56098EA5}" type="presParOf" srcId="{F43FC429-D52A-48A6-871B-EDA6598FA367}" destId="{38972143-A51C-4982-AEDF-AE43F1BBB5B6}" srcOrd="3" destOrd="0" presId="urn:diagrams.loki3.com/VaryingWidthList"/>
    <dgm:cxn modelId="{4A191C3F-B342-489A-AAEC-A379B739EEC3}" type="presParOf" srcId="{F43FC429-D52A-48A6-871B-EDA6598FA367}" destId="{C4FFCB87-6E28-4BD4-A2B7-74D76F6ADE58}" srcOrd="4" destOrd="0" presId="urn:diagrams.loki3.com/VaryingWidthLis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F795041-69E4-4866-9176-ED3CEBDFCF5B}" type="doc">
      <dgm:prSet loTypeId="urn:diagrams.loki3.com/VaryingWidthList" loCatId="list" qsTypeId="urn:microsoft.com/office/officeart/2005/8/quickstyle/simple1" qsCatId="simple" csTypeId="urn:microsoft.com/office/officeart/2005/8/colors/colorful2" csCatId="colorful" phldr="1"/>
      <dgm:spPr/>
    </dgm:pt>
    <dgm:pt modelId="{2566DFE1-E44F-4EF6-88E4-EDCA6E19B2A1}">
      <dgm:prSet phldrT="[Text]"/>
      <dgm:spPr/>
      <dgm:t>
        <a:bodyPr/>
        <a:lstStyle/>
        <a:p>
          <a:pPr>
            <a:buFont typeface="Symbol" panose="05050102010706020507" pitchFamily="18" charset="2"/>
            <a:buChar char=""/>
          </a:pPr>
          <a:r>
            <a:rPr lang="en-US">
              <a:latin typeface="Times New Roman" panose="02020603050405020304" pitchFamily="18" charset="0"/>
              <a:cs typeface="Times New Roman" panose="02020603050405020304" pitchFamily="18" charset="0"/>
            </a:rPr>
            <a:t>The key activities should involve lobbying the commercial banks in the country to review the various debts in place, for instance, elongating the maturity period on some loans, lowering the interest rates on some of the loans, or granting a moratorium on payments during lean seasons. To help in the process of cost cutting, there will be debt restructuring whereby the company will employ the service of a financial consultant at a cost of £5, 000. As a result of this measure, it is expected to cut yearly interest expenses by £25,000 due to the reform of the loan agreement terms.</a:t>
          </a:r>
          <a:endParaRPr lang="en-PK">
            <a:latin typeface="Times New Roman" panose="02020603050405020304" pitchFamily="18" charset="0"/>
            <a:cs typeface="Times New Roman" panose="02020603050405020304" pitchFamily="18" charset="0"/>
          </a:endParaRPr>
        </a:p>
      </dgm:t>
    </dgm:pt>
    <dgm:pt modelId="{D52AC53E-3AB6-4CC0-A6AC-5E0217AB7BDF}" type="parTrans" cxnId="{847A80F9-7881-47C7-8494-EC627F2B0433}">
      <dgm:prSet/>
      <dgm:spPr/>
      <dgm:t>
        <a:bodyPr/>
        <a:lstStyle/>
        <a:p>
          <a:endParaRPr lang="en-PK"/>
        </a:p>
      </dgm:t>
    </dgm:pt>
    <dgm:pt modelId="{AA5FE663-9A4D-41F5-98C9-E4415A6A44C9}" type="sibTrans" cxnId="{847A80F9-7881-47C7-8494-EC627F2B0433}">
      <dgm:prSet/>
      <dgm:spPr/>
      <dgm:t>
        <a:bodyPr/>
        <a:lstStyle/>
        <a:p>
          <a:endParaRPr lang="en-PK"/>
        </a:p>
      </dgm:t>
    </dgm:pt>
    <dgm:pt modelId="{47B12EAF-712D-44C0-9179-9131F0401F50}">
      <dgm:prSet/>
      <dgm:spPr/>
      <dgm:t>
        <a:bodyPr/>
        <a:lstStyle/>
        <a:p>
          <a:pPr>
            <a:buFont typeface="Symbol" panose="05050102010706020507" pitchFamily="18" charset="2"/>
            <a:buChar char=""/>
          </a:pPr>
          <a:r>
            <a:rPr lang="en-US">
              <a:latin typeface="Times New Roman" panose="02020603050405020304" pitchFamily="18" charset="0"/>
              <a:cs typeface="Times New Roman" panose="02020603050405020304" pitchFamily="18" charset="0"/>
            </a:rPr>
            <a:t>Suggest the possible external financing sources to be applied as the sources of funding are not only expensive but also inefficient in most cases, and consider the following: An invitation of strategic investors or partners who would provide funds for the needed capital investment in return for an equity in the business. There are two methods of external financing; equity offerings which cost £ 10, 000. This is due to expected capitalisation of £200,000 from strategic investors as part of this plan.</a:t>
          </a:r>
          <a:endParaRPr lang="en-PK">
            <a:latin typeface="Times New Roman" panose="02020603050405020304" pitchFamily="18" charset="0"/>
            <a:cs typeface="Times New Roman" panose="02020603050405020304" pitchFamily="18" charset="0"/>
          </a:endParaRPr>
        </a:p>
      </dgm:t>
    </dgm:pt>
    <dgm:pt modelId="{CD3AC0A6-4149-40F9-BE59-842390BACEA1}" type="parTrans" cxnId="{799FEDFB-208A-4927-8527-35D5F921A740}">
      <dgm:prSet/>
      <dgm:spPr/>
      <dgm:t>
        <a:bodyPr/>
        <a:lstStyle/>
        <a:p>
          <a:endParaRPr lang="en-PK"/>
        </a:p>
      </dgm:t>
    </dgm:pt>
    <dgm:pt modelId="{00F5E956-494A-441A-9A24-3CAECA76AEC9}" type="sibTrans" cxnId="{799FEDFB-208A-4927-8527-35D5F921A740}">
      <dgm:prSet/>
      <dgm:spPr/>
      <dgm:t>
        <a:bodyPr/>
        <a:lstStyle/>
        <a:p>
          <a:endParaRPr lang="en-PK"/>
        </a:p>
      </dgm:t>
    </dgm:pt>
    <dgm:pt modelId="{D1752EE3-C19F-497F-80F2-529D6E431525}">
      <dgm:prSet/>
      <dgm:spPr/>
      <dgm:t>
        <a:bodyPr/>
        <a:lstStyle/>
        <a:p>
          <a:r>
            <a:rPr lang="en-US">
              <a:latin typeface="Times New Roman" panose="02020603050405020304" pitchFamily="18" charset="0"/>
              <a:cs typeface="Times New Roman" panose="02020603050405020304" pitchFamily="18" charset="0"/>
            </a:rPr>
            <a:t>Realize all costs and expenditures in relation to their current benefits to know where to invest more and how to direct them towards recovery. These specific details of costing and revenue recognition give a correct depiction of all the probable costs and returns linked with the turnaround approach to assist in the revival of financial health of the organization, Urban Heights Hotel.</a:t>
          </a:r>
          <a:endParaRPr lang="en-PK">
            <a:latin typeface="Times New Roman" panose="02020603050405020304" pitchFamily="18" charset="0"/>
            <a:cs typeface="Times New Roman" panose="02020603050405020304" pitchFamily="18" charset="0"/>
          </a:endParaRPr>
        </a:p>
      </dgm:t>
    </dgm:pt>
    <dgm:pt modelId="{6FC1B36B-69BC-4AF8-A0A4-3E40CE78FDE2}" type="parTrans" cxnId="{F789A857-FCBA-4115-952B-DFEDFC78D1E8}">
      <dgm:prSet/>
      <dgm:spPr/>
      <dgm:t>
        <a:bodyPr/>
        <a:lstStyle/>
        <a:p>
          <a:endParaRPr lang="en-PK"/>
        </a:p>
      </dgm:t>
    </dgm:pt>
    <dgm:pt modelId="{7357BE7F-B022-4923-8927-193A362992FB}" type="sibTrans" cxnId="{F789A857-FCBA-4115-952B-DFEDFC78D1E8}">
      <dgm:prSet/>
      <dgm:spPr/>
      <dgm:t>
        <a:bodyPr/>
        <a:lstStyle/>
        <a:p>
          <a:endParaRPr lang="en-PK"/>
        </a:p>
      </dgm:t>
    </dgm:pt>
    <dgm:pt modelId="{673F8AB0-64FF-4375-89F9-BDA4648C88E1}" type="pres">
      <dgm:prSet presAssocID="{2F795041-69E4-4866-9176-ED3CEBDFCF5B}" presName="Name0" presStyleCnt="0">
        <dgm:presLayoutVars>
          <dgm:resizeHandles/>
        </dgm:presLayoutVars>
      </dgm:prSet>
      <dgm:spPr/>
    </dgm:pt>
    <dgm:pt modelId="{0EAB2726-C915-4C3F-BEA8-D05831585780}" type="pres">
      <dgm:prSet presAssocID="{2566DFE1-E44F-4EF6-88E4-EDCA6E19B2A1}" presName="text" presStyleLbl="node1" presStyleIdx="0" presStyleCnt="3">
        <dgm:presLayoutVars>
          <dgm:bulletEnabled val="1"/>
        </dgm:presLayoutVars>
      </dgm:prSet>
      <dgm:spPr/>
    </dgm:pt>
    <dgm:pt modelId="{098B9913-30EB-40AC-B9CC-9C6A51C8DE26}" type="pres">
      <dgm:prSet presAssocID="{AA5FE663-9A4D-41F5-98C9-E4415A6A44C9}" presName="space" presStyleCnt="0"/>
      <dgm:spPr/>
    </dgm:pt>
    <dgm:pt modelId="{ACB4E0DA-04E3-4457-AD0F-F91A8A97878C}" type="pres">
      <dgm:prSet presAssocID="{47B12EAF-712D-44C0-9179-9131F0401F50}" presName="text" presStyleLbl="node1" presStyleIdx="1" presStyleCnt="3">
        <dgm:presLayoutVars>
          <dgm:bulletEnabled val="1"/>
        </dgm:presLayoutVars>
      </dgm:prSet>
      <dgm:spPr/>
    </dgm:pt>
    <dgm:pt modelId="{6F60F19E-6C1E-42AF-9716-E9C5F8F904EF}" type="pres">
      <dgm:prSet presAssocID="{00F5E956-494A-441A-9A24-3CAECA76AEC9}" presName="space" presStyleCnt="0"/>
      <dgm:spPr/>
    </dgm:pt>
    <dgm:pt modelId="{88EF317F-BDF3-49AD-AE4B-530E2919F55E}" type="pres">
      <dgm:prSet presAssocID="{D1752EE3-C19F-497F-80F2-529D6E431525}" presName="text" presStyleLbl="node1" presStyleIdx="2" presStyleCnt="3">
        <dgm:presLayoutVars>
          <dgm:bulletEnabled val="1"/>
        </dgm:presLayoutVars>
      </dgm:prSet>
      <dgm:spPr/>
    </dgm:pt>
  </dgm:ptLst>
  <dgm:cxnLst>
    <dgm:cxn modelId="{39591B43-867C-463E-8F67-48A6F603B83C}" type="presOf" srcId="{47B12EAF-712D-44C0-9179-9131F0401F50}" destId="{ACB4E0DA-04E3-4457-AD0F-F91A8A97878C}" srcOrd="0" destOrd="0" presId="urn:diagrams.loki3.com/VaryingWidthList"/>
    <dgm:cxn modelId="{BC224644-A99D-44AE-8693-EBF4637BCDB8}" type="presOf" srcId="{2566DFE1-E44F-4EF6-88E4-EDCA6E19B2A1}" destId="{0EAB2726-C915-4C3F-BEA8-D05831585780}" srcOrd="0" destOrd="0" presId="urn:diagrams.loki3.com/VaryingWidthList"/>
    <dgm:cxn modelId="{F789A857-FCBA-4115-952B-DFEDFC78D1E8}" srcId="{2F795041-69E4-4866-9176-ED3CEBDFCF5B}" destId="{D1752EE3-C19F-497F-80F2-529D6E431525}" srcOrd="2" destOrd="0" parTransId="{6FC1B36B-69BC-4AF8-A0A4-3E40CE78FDE2}" sibTransId="{7357BE7F-B022-4923-8927-193A362992FB}"/>
    <dgm:cxn modelId="{F9D77197-6357-4ACB-923B-31129740C575}" type="presOf" srcId="{D1752EE3-C19F-497F-80F2-529D6E431525}" destId="{88EF317F-BDF3-49AD-AE4B-530E2919F55E}" srcOrd="0" destOrd="0" presId="urn:diagrams.loki3.com/VaryingWidthList"/>
    <dgm:cxn modelId="{738FFFB3-AF61-4379-9AA8-93F76447F368}" type="presOf" srcId="{2F795041-69E4-4866-9176-ED3CEBDFCF5B}" destId="{673F8AB0-64FF-4375-89F9-BDA4648C88E1}" srcOrd="0" destOrd="0" presId="urn:diagrams.loki3.com/VaryingWidthList"/>
    <dgm:cxn modelId="{847A80F9-7881-47C7-8494-EC627F2B0433}" srcId="{2F795041-69E4-4866-9176-ED3CEBDFCF5B}" destId="{2566DFE1-E44F-4EF6-88E4-EDCA6E19B2A1}" srcOrd="0" destOrd="0" parTransId="{D52AC53E-3AB6-4CC0-A6AC-5E0217AB7BDF}" sibTransId="{AA5FE663-9A4D-41F5-98C9-E4415A6A44C9}"/>
    <dgm:cxn modelId="{799FEDFB-208A-4927-8527-35D5F921A740}" srcId="{2F795041-69E4-4866-9176-ED3CEBDFCF5B}" destId="{47B12EAF-712D-44C0-9179-9131F0401F50}" srcOrd="1" destOrd="0" parTransId="{CD3AC0A6-4149-40F9-BE59-842390BACEA1}" sibTransId="{00F5E956-494A-441A-9A24-3CAECA76AEC9}"/>
    <dgm:cxn modelId="{946CA282-1ADE-4038-8988-82C791112360}" type="presParOf" srcId="{673F8AB0-64FF-4375-89F9-BDA4648C88E1}" destId="{0EAB2726-C915-4C3F-BEA8-D05831585780}" srcOrd="0" destOrd="0" presId="urn:diagrams.loki3.com/VaryingWidthList"/>
    <dgm:cxn modelId="{475BA41E-B8D4-46B5-8779-2837BC4F945A}" type="presParOf" srcId="{673F8AB0-64FF-4375-89F9-BDA4648C88E1}" destId="{098B9913-30EB-40AC-B9CC-9C6A51C8DE26}" srcOrd="1" destOrd="0" presId="urn:diagrams.loki3.com/VaryingWidthList"/>
    <dgm:cxn modelId="{9B95AD56-9EB0-4AE1-9EA4-A46E6F5954A7}" type="presParOf" srcId="{673F8AB0-64FF-4375-89F9-BDA4648C88E1}" destId="{ACB4E0DA-04E3-4457-AD0F-F91A8A97878C}" srcOrd="2" destOrd="0" presId="urn:diagrams.loki3.com/VaryingWidthList"/>
    <dgm:cxn modelId="{E067B30B-5027-40BF-8D32-6BAB3DA8B4EA}" type="presParOf" srcId="{673F8AB0-64FF-4375-89F9-BDA4648C88E1}" destId="{6F60F19E-6C1E-42AF-9716-E9C5F8F904EF}" srcOrd="3" destOrd="0" presId="urn:diagrams.loki3.com/VaryingWidthList"/>
    <dgm:cxn modelId="{16BEDF88-9A7E-43AD-9C03-F2EC0C78E006}" type="presParOf" srcId="{673F8AB0-64FF-4375-89F9-BDA4648C88E1}" destId="{88EF317F-BDF3-49AD-AE4B-530E2919F55E}" srcOrd="4" destOrd="0" presId="urn:diagrams.loki3.com/VaryingWidthList"/>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903A7B2-6D25-4D16-83BA-E7D7C53FABF0}" type="doc">
      <dgm:prSet loTypeId="urn:diagrams.loki3.com/VaryingWidthList" loCatId="list" qsTypeId="urn:microsoft.com/office/officeart/2005/8/quickstyle/simple1" qsCatId="simple" csTypeId="urn:microsoft.com/office/officeart/2005/8/colors/colorful4" csCatId="colorful" phldr="1"/>
      <dgm:spPr/>
    </dgm:pt>
    <dgm:pt modelId="{4D6970AE-6DA9-4F1F-88F2-7DE64CE6C4B8}">
      <dgm:prSet phldrT="[Text]" custT="1"/>
      <dgm:spPr/>
      <dgm:t>
        <a:bodyPr/>
        <a:lstStyle/>
        <a:p>
          <a:r>
            <a:rPr lang="en-US" sz="1100">
              <a:latin typeface="Times New Roman" panose="02020603050405020304" pitchFamily="18" charset="0"/>
              <a:cs typeface="Times New Roman" panose="02020603050405020304" pitchFamily="18" charset="0"/>
            </a:rPr>
            <a:t>Monitoring will be continuous hence will be important especially throughout the implementation process. Quantitative goals for each strategic area will be set and identified as key performance indicators (KPIs) that will include revenue generation, costs, guest satisfaction, and operations to name a few. These will be constantly monitored to ensure that every activity taken is in relevance to the strategic directions and objectives of the hotel.</a:t>
          </a:r>
          <a:endParaRPr lang="en-PK" sz="1100">
            <a:latin typeface="Times New Roman" panose="02020603050405020304" pitchFamily="18" charset="0"/>
            <a:cs typeface="Times New Roman" panose="02020603050405020304" pitchFamily="18" charset="0"/>
          </a:endParaRPr>
        </a:p>
      </dgm:t>
    </dgm:pt>
    <dgm:pt modelId="{87C891B2-F1C8-43C9-9141-DD08019A3EB8}" type="parTrans" cxnId="{82C5F31D-4ECD-4B61-B8EF-B93BFECDBC33}">
      <dgm:prSet/>
      <dgm:spPr/>
      <dgm:t>
        <a:bodyPr/>
        <a:lstStyle/>
        <a:p>
          <a:endParaRPr lang="en-PK"/>
        </a:p>
      </dgm:t>
    </dgm:pt>
    <dgm:pt modelId="{30D51585-6C70-408C-BF6D-16E4F810B57B}" type="sibTrans" cxnId="{82C5F31D-4ECD-4B61-B8EF-B93BFECDBC33}">
      <dgm:prSet/>
      <dgm:spPr/>
      <dgm:t>
        <a:bodyPr/>
        <a:lstStyle/>
        <a:p>
          <a:endParaRPr lang="en-PK"/>
        </a:p>
      </dgm:t>
    </dgm:pt>
    <dgm:pt modelId="{508B5DD6-8FCE-4524-9EE8-12321BA1E4D4}">
      <dgm:prSet custT="1"/>
      <dgm:spPr/>
      <dgm:t>
        <a:bodyPr/>
        <a:lstStyle/>
        <a:p>
          <a:r>
            <a:rPr lang="en-US" sz="1100">
              <a:latin typeface="Times New Roman" panose="02020603050405020304" pitchFamily="18" charset="0"/>
              <a:cs typeface="Times New Roman" panose="02020603050405020304" pitchFamily="18" charset="0"/>
            </a:rPr>
            <a:t>Periodic Quarterly Reviews will be made with all actors involved in the formulation and implementation of the strategy. These will be crucial sessions used to review the status of its application across various departments, address new emerging issues and; proffer ideas and recommendations. This will mean frequent meetings that will retain harmonized strategies and will enable a perfect coordination of the strategies whenever alterations may be necessary.</a:t>
          </a:r>
          <a:endParaRPr lang="en-PK" sz="1100">
            <a:latin typeface="Times New Roman" panose="02020603050405020304" pitchFamily="18" charset="0"/>
            <a:cs typeface="Times New Roman" panose="02020603050405020304" pitchFamily="18" charset="0"/>
          </a:endParaRPr>
        </a:p>
      </dgm:t>
    </dgm:pt>
    <dgm:pt modelId="{E228E43B-F00D-43F1-939C-9D8D1013D839}" type="parTrans" cxnId="{F64BB845-58ED-491E-9094-32BF4005DB93}">
      <dgm:prSet/>
      <dgm:spPr/>
      <dgm:t>
        <a:bodyPr/>
        <a:lstStyle/>
        <a:p>
          <a:endParaRPr lang="en-PK"/>
        </a:p>
      </dgm:t>
    </dgm:pt>
    <dgm:pt modelId="{63FF027E-224A-4A21-BFD0-D2524813AC40}" type="sibTrans" cxnId="{F64BB845-58ED-491E-9094-32BF4005DB93}">
      <dgm:prSet/>
      <dgm:spPr/>
      <dgm:t>
        <a:bodyPr/>
        <a:lstStyle/>
        <a:p>
          <a:endParaRPr lang="en-PK"/>
        </a:p>
      </dgm:t>
    </dgm:pt>
    <dgm:pt modelId="{25255A52-DFAC-424E-9C61-DF339EDBB10D}">
      <dgm:prSet custT="1"/>
      <dgm:spPr/>
      <dgm:t>
        <a:bodyPr/>
        <a:lstStyle/>
        <a:p>
          <a:r>
            <a:rPr lang="en-US" sz="1100">
              <a:latin typeface="Times New Roman" panose="02020603050405020304" pitchFamily="18" charset="0"/>
              <a:cs typeface="Times New Roman" panose="02020603050405020304" pitchFamily="18" charset="0"/>
            </a:rPr>
            <a:t>Lastly, an annual audit will be conducted to assess the efficiency and effectiveness of the established turnaround strategy. The evaluation within this review will include an examination of the financial and operating data of the year, in relation to key goals, and the effectiveness of strategies implemented. They will be very useful in proffering recommendations that will affect the changes for the following years in order to make the hotel to bounce back to its rightful position.</a:t>
          </a:r>
          <a:endParaRPr lang="en-PK" sz="1100">
            <a:latin typeface="Times New Roman" panose="02020603050405020304" pitchFamily="18" charset="0"/>
            <a:cs typeface="Times New Roman" panose="02020603050405020304" pitchFamily="18" charset="0"/>
          </a:endParaRPr>
        </a:p>
      </dgm:t>
    </dgm:pt>
    <dgm:pt modelId="{AB9837CF-96B1-499B-A932-34E0010097AB}" type="parTrans" cxnId="{3E7866C5-5088-410A-A390-DD07FC24CAEF}">
      <dgm:prSet/>
      <dgm:spPr/>
      <dgm:t>
        <a:bodyPr/>
        <a:lstStyle/>
        <a:p>
          <a:endParaRPr lang="en-PK"/>
        </a:p>
      </dgm:t>
    </dgm:pt>
    <dgm:pt modelId="{46581189-A341-4AE2-ACC0-FD97EF59CE8E}" type="sibTrans" cxnId="{3E7866C5-5088-410A-A390-DD07FC24CAEF}">
      <dgm:prSet/>
      <dgm:spPr/>
      <dgm:t>
        <a:bodyPr/>
        <a:lstStyle/>
        <a:p>
          <a:endParaRPr lang="en-PK"/>
        </a:p>
      </dgm:t>
    </dgm:pt>
    <dgm:pt modelId="{1357169E-B073-4D58-A352-F5C7CC750CAC}" type="pres">
      <dgm:prSet presAssocID="{E903A7B2-6D25-4D16-83BA-E7D7C53FABF0}" presName="Name0" presStyleCnt="0">
        <dgm:presLayoutVars>
          <dgm:resizeHandles/>
        </dgm:presLayoutVars>
      </dgm:prSet>
      <dgm:spPr/>
    </dgm:pt>
    <dgm:pt modelId="{FFCB1D69-5173-46C4-B2F1-522765D60529}" type="pres">
      <dgm:prSet presAssocID="{4D6970AE-6DA9-4F1F-88F2-7DE64CE6C4B8}" presName="text" presStyleLbl="node1" presStyleIdx="0" presStyleCnt="3">
        <dgm:presLayoutVars>
          <dgm:bulletEnabled val="1"/>
        </dgm:presLayoutVars>
      </dgm:prSet>
      <dgm:spPr/>
    </dgm:pt>
    <dgm:pt modelId="{91F67813-2053-4FD6-8AA8-71A910065E06}" type="pres">
      <dgm:prSet presAssocID="{30D51585-6C70-408C-BF6D-16E4F810B57B}" presName="space" presStyleCnt="0"/>
      <dgm:spPr/>
    </dgm:pt>
    <dgm:pt modelId="{E0AEB34F-306E-42DF-92EB-F7EB8B7F6C95}" type="pres">
      <dgm:prSet presAssocID="{508B5DD6-8FCE-4524-9EE8-12321BA1E4D4}" presName="text" presStyleLbl="node1" presStyleIdx="1" presStyleCnt="3">
        <dgm:presLayoutVars>
          <dgm:bulletEnabled val="1"/>
        </dgm:presLayoutVars>
      </dgm:prSet>
      <dgm:spPr/>
    </dgm:pt>
    <dgm:pt modelId="{393D6EBF-4296-45AC-9A28-302DDE64D361}" type="pres">
      <dgm:prSet presAssocID="{63FF027E-224A-4A21-BFD0-D2524813AC40}" presName="space" presStyleCnt="0"/>
      <dgm:spPr/>
    </dgm:pt>
    <dgm:pt modelId="{BD59E025-95E5-4F2E-8D14-2D68586BB726}" type="pres">
      <dgm:prSet presAssocID="{25255A52-DFAC-424E-9C61-DF339EDBB10D}" presName="text" presStyleLbl="node1" presStyleIdx="2" presStyleCnt="3">
        <dgm:presLayoutVars>
          <dgm:bulletEnabled val="1"/>
        </dgm:presLayoutVars>
      </dgm:prSet>
      <dgm:spPr/>
    </dgm:pt>
  </dgm:ptLst>
  <dgm:cxnLst>
    <dgm:cxn modelId="{3AACA00A-FE82-424F-ACB4-A416D7A9BA6E}" type="presOf" srcId="{E903A7B2-6D25-4D16-83BA-E7D7C53FABF0}" destId="{1357169E-B073-4D58-A352-F5C7CC750CAC}" srcOrd="0" destOrd="0" presId="urn:diagrams.loki3.com/VaryingWidthList"/>
    <dgm:cxn modelId="{82C5F31D-4ECD-4B61-B8EF-B93BFECDBC33}" srcId="{E903A7B2-6D25-4D16-83BA-E7D7C53FABF0}" destId="{4D6970AE-6DA9-4F1F-88F2-7DE64CE6C4B8}" srcOrd="0" destOrd="0" parTransId="{87C891B2-F1C8-43C9-9141-DD08019A3EB8}" sibTransId="{30D51585-6C70-408C-BF6D-16E4F810B57B}"/>
    <dgm:cxn modelId="{F64BB845-58ED-491E-9094-32BF4005DB93}" srcId="{E903A7B2-6D25-4D16-83BA-E7D7C53FABF0}" destId="{508B5DD6-8FCE-4524-9EE8-12321BA1E4D4}" srcOrd="1" destOrd="0" parTransId="{E228E43B-F00D-43F1-939C-9D8D1013D839}" sibTransId="{63FF027E-224A-4A21-BFD0-D2524813AC40}"/>
    <dgm:cxn modelId="{CC2DBBA2-CF5E-4CD7-96B2-1DBF62A12E3B}" type="presOf" srcId="{4D6970AE-6DA9-4F1F-88F2-7DE64CE6C4B8}" destId="{FFCB1D69-5173-46C4-B2F1-522765D60529}" srcOrd="0" destOrd="0" presId="urn:diagrams.loki3.com/VaryingWidthList"/>
    <dgm:cxn modelId="{3E7866C5-5088-410A-A390-DD07FC24CAEF}" srcId="{E903A7B2-6D25-4D16-83BA-E7D7C53FABF0}" destId="{25255A52-DFAC-424E-9C61-DF339EDBB10D}" srcOrd="2" destOrd="0" parTransId="{AB9837CF-96B1-499B-A932-34E0010097AB}" sibTransId="{46581189-A341-4AE2-ACC0-FD97EF59CE8E}"/>
    <dgm:cxn modelId="{E919CCCD-CA4D-4A2D-9321-5D3EAB0DEE29}" type="presOf" srcId="{25255A52-DFAC-424E-9C61-DF339EDBB10D}" destId="{BD59E025-95E5-4F2E-8D14-2D68586BB726}" srcOrd="0" destOrd="0" presId="urn:diagrams.loki3.com/VaryingWidthList"/>
    <dgm:cxn modelId="{74CFCEEF-CEBB-4CEC-8F84-36D4C57B0A11}" type="presOf" srcId="{508B5DD6-8FCE-4524-9EE8-12321BA1E4D4}" destId="{E0AEB34F-306E-42DF-92EB-F7EB8B7F6C95}" srcOrd="0" destOrd="0" presId="urn:diagrams.loki3.com/VaryingWidthList"/>
    <dgm:cxn modelId="{DE620F9B-609E-4CED-BF71-0D817CC03CD7}" type="presParOf" srcId="{1357169E-B073-4D58-A352-F5C7CC750CAC}" destId="{FFCB1D69-5173-46C4-B2F1-522765D60529}" srcOrd="0" destOrd="0" presId="urn:diagrams.loki3.com/VaryingWidthList"/>
    <dgm:cxn modelId="{3298F382-6328-469A-BDE2-A6270460377C}" type="presParOf" srcId="{1357169E-B073-4D58-A352-F5C7CC750CAC}" destId="{91F67813-2053-4FD6-8AA8-71A910065E06}" srcOrd="1" destOrd="0" presId="urn:diagrams.loki3.com/VaryingWidthList"/>
    <dgm:cxn modelId="{48E0FFB4-3058-4892-BF6E-4CBCA28DE44C}" type="presParOf" srcId="{1357169E-B073-4D58-A352-F5C7CC750CAC}" destId="{E0AEB34F-306E-42DF-92EB-F7EB8B7F6C95}" srcOrd="2" destOrd="0" presId="urn:diagrams.loki3.com/VaryingWidthList"/>
    <dgm:cxn modelId="{4E3D1BDA-4E42-4DD4-BFDA-9D031C1D2A88}" type="presParOf" srcId="{1357169E-B073-4D58-A352-F5C7CC750CAC}" destId="{393D6EBF-4296-45AC-9A28-302DDE64D361}" srcOrd="3" destOrd="0" presId="urn:diagrams.loki3.com/VaryingWidthList"/>
    <dgm:cxn modelId="{7D0A780B-0090-4680-9B92-27C13BD9F882}" type="presParOf" srcId="{1357169E-B073-4D58-A352-F5C7CC750CAC}" destId="{BD59E025-95E5-4F2E-8D14-2D68586BB726}" srcOrd="4" destOrd="0" presId="urn:diagrams.loki3.com/VaryingWidthList"/>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D83A46-72C2-4F3B-A28E-D285B679D608}">
      <dsp:nvSpPr>
        <dsp:cNvPr id="0" name=""/>
        <dsp:cNvSpPr/>
      </dsp:nvSpPr>
      <dsp:spPr>
        <a:xfrm>
          <a:off x="635524" y="1606"/>
          <a:ext cx="4590000" cy="1060028"/>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Higher levels of operating expenses without balancing revenues signal inefficiencies (Hu et al. 2018; Vismara, 2018). These might originate from higher operating expenses, rise in wages, increased expenditure in safety and health measures that may have not impacted the occupancy level positively yet.</a:t>
          </a:r>
          <a:endParaRPr lang="en-PK" sz="1400" kern="1200">
            <a:latin typeface="Times New Roman" panose="02020603050405020304" pitchFamily="18" charset="0"/>
            <a:cs typeface="Times New Roman" panose="02020603050405020304" pitchFamily="18" charset="0"/>
          </a:endParaRPr>
        </a:p>
      </dsp:txBody>
      <dsp:txXfrm>
        <a:off x="635524" y="1606"/>
        <a:ext cx="4590000" cy="1060028"/>
      </dsp:txXfrm>
    </dsp:sp>
    <dsp:sp modelId="{723A88B9-518D-4FE2-8898-9752A7A099D0}">
      <dsp:nvSpPr>
        <dsp:cNvPr id="0" name=""/>
        <dsp:cNvSpPr/>
      </dsp:nvSpPr>
      <dsp:spPr>
        <a:xfrm>
          <a:off x="770524" y="1114635"/>
          <a:ext cx="4320000" cy="1060028"/>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There are two clear disadvantages of the increasing role of debt financing which is the higher financial costs and lower net income resulting from the higher interest expense (Cole and Sokolyk, 2018; Shi et al. 2022). This scenario is quite tasking, especially when the revenue is dwindling.</a:t>
          </a:r>
          <a:endParaRPr lang="en-PK" sz="1400" kern="1200">
            <a:latin typeface="Times New Roman" panose="02020603050405020304" pitchFamily="18" charset="0"/>
            <a:cs typeface="Times New Roman" panose="02020603050405020304" pitchFamily="18" charset="0"/>
          </a:endParaRPr>
        </a:p>
      </dsp:txBody>
      <dsp:txXfrm>
        <a:off x="770524" y="1114635"/>
        <a:ext cx="4320000" cy="1060028"/>
      </dsp:txXfrm>
    </dsp:sp>
    <dsp:sp modelId="{18B7B4F7-D466-476C-AE81-FDB845014A5B}">
      <dsp:nvSpPr>
        <dsp:cNvPr id="0" name=""/>
        <dsp:cNvSpPr/>
      </dsp:nvSpPr>
      <dsp:spPr>
        <a:xfrm>
          <a:off x="1265525" y="2227665"/>
          <a:ext cx="3330000" cy="1060028"/>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Anything that hampers movement, including epidemics, political unrest, or natural disasters, sharply affects hotels heavily reliant on mouth and business-related tourism (Zaman et al. 2020; Kekola, 2022).</a:t>
          </a:r>
          <a:endParaRPr lang="en-PK" sz="1400" kern="1200">
            <a:latin typeface="Times New Roman" panose="02020603050405020304" pitchFamily="18" charset="0"/>
            <a:cs typeface="Times New Roman" panose="02020603050405020304" pitchFamily="18" charset="0"/>
          </a:endParaRPr>
        </a:p>
      </dsp:txBody>
      <dsp:txXfrm>
        <a:off x="1265525" y="2227665"/>
        <a:ext cx="3330000" cy="10600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EAEEA8-2A58-40A5-B0B7-E11CC97B4E4D}">
      <dsp:nvSpPr>
        <dsp:cNvPr id="0" name=""/>
        <dsp:cNvSpPr/>
      </dsp:nvSpPr>
      <dsp:spPr>
        <a:xfrm>
          <a:off x="562925" y="1575"/>
          <a:ext cx="5040000" cy="103956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Use RM software that makes changes on rates of rooms on-line and on-demand, changes on your competitors, and changes in events in different places to ensure booking garnered the highest amount of revenue possible. For purposes of increasing revenue, the following strategies will be employed; Introduction of revenue management that includes setting of a dynamic price using RM software. The initial expense that is used in implementing this software is £10,000. From the same outlooks, this model should be able to raise an average room rate by 10% in the busy seasons, which when assumed will generate £200, 000 extra annual revenues.</a:t>
          </a:r>
          <a:endParaRPr lang="en-PK" sz="1000" kern="1200">
            <a:latin typeface="Times New Roman" panose="02020603050405020304" pitchFamily="18" charset="0"/>
            <a:cs typeface="Times New Roman" panose="02020603050405020304" pitchFamily="18" charset="0"/>
          </a:endParaRPr>
        </a:p>
      </dsp:txBody>
      <dsp:txXfrm>
        <a:off x="562925" y="1575"/>
        <a:ext cx="5040000" cy="1039564"/>
      </dsp:txXfrm>
    </dsp:sp>
    <dsp:sp modelId="{1E2E760A-FF6A-402B-8B5F-97A88CFF1DBE}">
      <dsp:nvSpPr>
        <dsp:cNvPr id="0" name=""/>
        <dsp:cNvSpPr/>
      </dsp:nvSpPr>
      <dsp:spPr>
        <a:xfrm>
          <a:off x="787925" y="1093117"/>
          <a:ext cx="4590000" cy="1039564"/>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Some of the strategies that could be adopted are; Come up with new services that can be offered like body treatments, special dinner with theme, and promotions that can involve other activities in the area. These services do contribute directly to the revenue as well as the satisfaction of the guests. Expansion of the existing portfolio through new services like, Themed Dinners, Spa Treatment moreover, there will be an initial implementation expense of £30,000 for support and campaigning expenses. It is expected that these new services will contribute £100,000 to the total annual revenue in addition to this figure.</a:t>
          </a:r>
          <a:endParaRPr lang="en-PK" sz="1000" kern="1200">
            <a:latin typeface="Times New Roman" panose="02020603050405020304" pitchFamily="18" charset="0"/>
            <a:cs typeface="Times New Roman" panose="02020603050405020304" pitchFamily="18" charset="0"/>
          </a:endParaRPr>
        </a:p>
      </dsp:txBody>
      <dsp:txXfrm>
        <a:off x="787925" y="1093117"/>
        <a:ext cx="4590000" cy="1039564"/>
      </dsp:txXfrm>
    </dsp:sp>
    <dsp:sp modelId="{2E1EF0E2-8555-4B5C-BCCC-0278E9F64E8E}">
      <dsp:nvSpPr>
        <dsp:cNvPr id="0" name=""/>
        <dsp:cNvSpPr/>
      </dsp:nvSpPr>
      <dsp:spPr>
        <a:xfrm>
          <a:off x="1732925" y="2184660"/>
          <a:ext cx="2700000" cy="1039564"/>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One must redesign its website and ensure that it is responsive for SEO to enhance visitors’ accessibility. Use internet advertising in the current guest population as well as through internet marketing channels including e-mail advertising, PPC links, and social networking to get the new guests in addition to the repeat visitors.</a:t>
          </a:r>
          <a:endParaRPr lang="en-PK" sz="1000" kern="1200">
            <a:latin typeface="Times New Roman" panose="02020603050405020304" pitchFamily="18" charset="0"/>
            <a:cs typeface="Times New Roman" panose="02020603050405020304" pitchFamily="18" charset="0"/>
          </a:endParaRPr>
        </a:p>
      </dsp:txBody>
      <dsp:txXfrm>
        <a:off x="1732925" y="2184660"/>
        <a:ext cx="2700000" cy="103956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EF2DBA-4052-4A20-91D3-02EF1A5B67D0}">
      <dsp:nvSpPr>
        <dsp:cNvPr id="0" name=""/>
        <dsp:cNvSpPr/>
      </dsp:nvSpPr>
      <dsp:spPr>
        <a:xfrm>
          <a:off x="535619" y="1718"/>
          <a:ext cx="5040000" cy="1134516"/>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Times New Roman" panose="02020603050405020304" pitchFamily="18" charset="0"/>
              <a:cs typeface="Times New Roman" panose="02020603050405020304" pitchFamily="18" charset="0"/>
            </a:rPr>
            <a:t>For instance, apply the lean management techniques that ensure an ideal staff combination and utility consumptions while satisfying the customers (Ramphal and Nicolaides, 2018; Ramphal, 2017). For instance, managing working hours in accordance with updated occupancy levels and seasonality can help bring down a major expenses’ lever. Effective operation, the lean management on the procedure will be adopted incurs £ 15,000 for the training and optimization processes. This should help to realise annual savings of fifty thousand pounds in terms of staffing levels and utility usage.</a:t>
          </a:r>
          <a:endParaRPr lang="en-PK" sz="1100" kern="1200">
            <a:latin typeface="Times New Roman" panose="02020603050405020304" pitchFamily="18" charset="0"/>
            <a:cs typeface="Times New Roman" panose="02020603050405020304" pitchFamily="18" charset="0"/>
          </a:endParaRPr>
        </a:p>
      </dsp:txBody>
      <dsp:txXfrm>
        <a:off x="535619" y="1718"/>
        <a:ext cx="5040000" cy="1134516"/>
      </dsp:txXfrm>
    </dsp:sp>
    <dsp:sp modelId="{596783ED-06F0-4F9C-8715-6AF1AFDCA91D}">
      <dsp:nvSpPr>
        <dsp:cNvPr id="0" name=""/>
        <dsp:cNvSpPr/>
      </dsp:nvSpPr>
      <dsp:spPr>
        <a:xfrm>
          <a:off x="850619" y="1192961"/>
          <a:ext cx="4410000" cy="1134516"/>
        </a:xfrm>
        <a:prstGeom prst="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Times New Roman" panose="02020603050405020304" pitchFamily="18" charset="0"/>
              <a:cs typeface="Times New Roman" panose="02020603050405020304" pitchFamily="18" charset="0"/>
            </a:rPr>
            <a:t>CUT costs of goods and services purchased by adjusting suppliers’ prices by attempting to get new and better bargain terms or by moving to a new supplier without stomach churning quality lapse. This would include the food and drinks suppliers, the laundry services and many other small details. The contracts with suppliers will have to be re-discussed and adjusted in this step at a cost of £5,000. This is hoped to be accomplished in order to cut cost and purchase stock from suppliers at a cheaper price of £30,000 per year.</a:t>
          </a:r>
          <a:endParaRPr lang="en-PK" sz="1100" kern="1200">
            <a:latin typeface="Times New Roman" panose="02020603050405020304" pitchFamily="18" charset="0"/>
            <a:cs typeface="Times New Roman" panose="02020603050405020304" pitchFamily="18" charset="0"/>
          </a:endParaRPr>
        </a:p>
      </dsp:txBody>
      <dsp:txXfrm>
        <a:off x="850619" y="1192961"/>
        <a:ext cx="4410000" cy="1134516"/>
      </dsp:txXfrm>
    </dsp:sp>
    <dsp:sp modelId="{BBEC79DB-70A2-43F0-B3ED-D1D1005A98A7}">
      <dsp:nvSpPr>
        <dsp:cNvPr id="0" name=""/>
        <dsp:cNvSpPr/>
      </dsp:nvSpPr>
      <dsp:spPr>
        <a:xfrm>
          <a:off x="1390619" y="2384204"/>
          <a:ext cx="3330000" cy="1134516"/>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Purchase low-energy lighting, energy control devices, and energy-efficient air conditioning and heating installations to attenuate energy consumption costs in the longer run. An initial investment of £20,000 will be needed in order to instal energy-efficient luxuries such as lights and air conditioning systems. These changes are expected to cut energy expenses for each store by £10, 000 per year.</a:t>
          </a:r>
          <a:endParaRPr lang="en-PK" sz="1100" kern="1200">
            <a:latin typeface="Times New Roman" panose="02020603050405020304" pitchFamily="18" charset="0"/>
            <a:cs typeface="Times New Roman" panose="02020603050405020304" pitchFamily="18" charset="0"/>
          </a:endParaRPr>
        </a:p>
      </dsp:txBody>
      <dsp:txXfrm>
        <a:off x="1390619" y="2384204"/>
        <a:ext cx="3330000" cy="113451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3DCE72-FEBF-44E9-954A-FE364DBC4210}">
      <dsp:nvSpPr>
        <dsp:cNvPr id="0" name=""/>
        <dsp:cNvSpPr/>
      </dsp:nvSpPr>
      <dsp:spPr>
        <a:xfrm>
          <a:off x="386099" y="1640"/>
          <a:ext cx="5400000" cy="108294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US" sz="1200" kern="1200">
              <a:latin typeface="Times New Roman" panose="02020603050405020304" pitchFamily="18" charset="0"/>
              <a:cs typeface="Times New Roman" panose="02020603050405020304" pitchFamily="18" charset="0"/>
            </a:rPr>
            <a:t>Upgrade to current Property Management Systems (PMS) that keep operations efficient from reservation to check-out. Mobile check-in and check-out must be incorporated to increase guests’ comfort (Daas, 2023). Investment in a new upgraded Property Management System (PMS), and developing mobile check-in/ check-out services will be at £50,000. These developments are believed to enhance effectiveness and reduce human resource expenses by about £25,000 per over one’s operations.</a:t>
          </a:r>
          <a:endParaRPr lang="en-PK" sz="1200" kern="1200">
            <a:latin typeface="Times New Roman" panose="02020603050405020304" pitchFamily="18" charset="0"/>
            <a:cs typeface="Times New Roman" panose="02020603050405020304" pitchFamily="18" charset="0"/>
          </a:endParaRPr>
        </a:p>
      </dsp:txBody>
      <dsp:txXfrm>
        <a:off x="386099" y="1640"/>
        <a:ext cx="5400000" cy="1082947"/>
      </dsp:txXfrm>
    </dsp:sp>
    <dsp:sp modelId="{F4B1B7D0-CD35-4AA3-80F3-7D86CF3AD5D9}">
      <dsp:nvSpPr>
        <dsp:cNvPr id="0" name=""/>
        <dsp:cNvSpPr/>
      </dsp:nvSpPr>
      <dsp:spPr>
        <a:xfrm>
          <a:off x="746099" y="1138736"/>
          <a:ext cx="4680000" cy="1082947"/>
        </a:xfrm>
        <a:prstGeom prst="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US" sz="1200" kern="1200">
              <a:latin typeface="Times New Roman" panose="02020603050405020304" pitchFamily="18" charset="0"/>
              <a:cs typeface="Times New Roman" panose="02020603050405020304" pitchFamily="18" charset="0"/>
            </a:rPr>
            <a:t>Proactive training sessions for staff focusing on effective communication, selling techniques, and familiarization with new products to guarantee high level service and satisfied guests. The cost will remain constant for all skill maintenance activities, reaching £10,000 per year. It will be believed that these programs will enhance the factors of satisfaction of the guests so as to raise the annual revenue figure by £20,000 through of repeated business.</a:t>
          </a:r>
          <a:endParaRPr lang="en-PK" sz="1200" kern="1200">
            <a:latin typeface="Times New Roman" panose="02020603050405020304" pitchFamily="18" charset="0"/>
            <a:cs typeface="Times New Roman" panose="02020603050405020304" pitchFamily="18" charset="0"/>
          </a:endParaRPr>
        </a:p>
      </dsp:txBody>
      <dsp:txXfrm>
        <a:off x="746099" y="1138736"/>
        <a:ext cx="4680000" cy="1082947"/>
      </dsp:txXfrm>
    </dsp:sp>
    <dsp:sp modelId="{C4FFCB87-6E28-4BD4-A2B7-74D76F6ADE58}">
      <dsp:nvSpPr>
        <dsp:cNvPr id="0" name=""/>
        <dsp:cNvSpPr/>
      </dsp:nvSpPr>
      <dsp:spPr>
        <a:xfrm>
          <a:off x="1826099" y="2275831"/>
          <a:ext cx="2520000" cy="1082947"/>
        </a:xfrm>
        <a:prstGeom prst="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Implement sound feedback mechanisms where the guests are able to give their feedback easily. This data should be used to make continual improvements and to be able to make speedy responses to any guests complaints.</a:t>
          </a:r>
          <a:endParaRPr lang="en-PK" sz="1200" kern="1200">
            <a:latin typeface="Times New Roman" panose="02020603050405020304" pitchFamily="18" charset="0"/>
            <a:cs typeface="Times New Roman" panose="02020603050405020304" pitchFamily="18" charset="0"/>
          </a:endParaRPr>
        </a:p>
      </dsp:txBody>
      <dsp:txXfrm>
        <a:off x="1826099" y="2275831"/>
        <a:ext cx="2520000" cy="108294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AB2726-C915-4C3F-BEA8-D05831585780}">
      <dsp:nvSpPr>
        <dsp:cNvPr id="0" name=""/>
        <dsp:cNvSpPr/>
      </dsp:nvSpPr>
      <dsp:spPr>
        <a:xfrm>
          <a:off x="7050" y="1585"/>
          <a:ext cx="6120000" cy="104611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US" sz="1200" kern="1200">
              <a:latin typeface="Times New Roman" panose="02020603050405020304" pitchFamily="18" charset="0"/>
              <a:cs typeface="Times New Roman" panose="02020603050405020304" pitchFamily="18" charset="0"/>
            </a:rPr>
            <a:t>The key activities should involve lobbying the commercial banks in the country to review the various debts in place, for instance, elongating the maturity period on some loans, lowering the interest rates on some of the loans, or granting a moratorium on payments during lean seasons. To help in the process of cost cutting, there will be debt restructuring whereby the company will employ the service of a financial consultant at a cost of £5, 000. As a result of this measure, it is expected to cut yearly interest expenses by £25,000 due to the reform of the loan agreement terms.</a:t>
          </a:r>
          <a:endParaRPr lang="en-PK" sz="1200" kern="1200">
            <a:latin typeface="Times New Roman" panose="02020603050405020304" pitchFamily="18" charset="0"/>
            <a:cs typeface="Times New Roman" panose="02020603050405020304" pitchFamily="18" charset="0"/>
          </a:endParaRPr>
        </a:p>
      </dsp:txBody>
      <dsp:txXfrm>
        <a:off x="7050" y="1585"/>
        <a:ext cx="6120000" cy="1046112"/>
      </dsp:txXfrm>
    </dsp:sp>
    <dsp:sp modelId="{ACB4E0DA-04E3-4457-AD0F-F91A8A97878C}">
      <dsp:nvSpPr>
        <dsp:cNvPr id="0" name=""/>
        <dsp:cNvSpPr/>
      </dsp:nvSpPr>
      <dsp:spPr>
        <a:xfrm>
          <a:off x="412050" y="1100003"/>
          <a:ext cx="5310000" cy="1046112"/>
        </a:xfrm>
        <a:prstGeom prst="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US" sz="1200" kern="1200">
              <a:latin typeface="Times New Roman" panose="02020603050405020304" pitchFamily="18" charset="0"/>
              <a:cs typeface="Times New Roman" panose="02020603050405020304" pitchFamily="18" charset="0"/>
            </a:rPr>
            <a:t>Suggest the possible external financing sources to be applied as the sources of funding are not only expensive but also inefficient in most cases, and consider the following: An invitation of strategic investors or partners who would provide funds for the needed capital investment in return for an equity in the business. There are two methods of external financing; equity offerings which cost £ 10, 000. This is due to expected capitalisation of £200,000 from strategic investors as part of this plan.</a:t>
          </a:r>
          <a:endParaRPr lang="en-PK" sz="1200" kern="1200">
            <a:latin typeface="Times New Roman" panose="02020603050405020304" pitchFamily="18" charset="0"/>
            <a:cs typeface="Times New Roman" panose="02020603050405020304" pitchFamily="18" charset="0"/>
          </a:endParaRPr>
        </a:p>
      </dsp:txBody>
      <dsp:txXfrm>
        <a:off x="412050" y="1100003"/>
        <a:ext cx="5310000" cy="1046112"/>
      </dsp:txXfrm>
    </dsp:sp>
    <dsp:sp modelId="{88EF317F-BDF3-49AD-AE4B-530E2919F55E}">
      <dsp:nvSpPr>
        <dsp:cNvPr id="0" name=""/>
        <dsp:cNvSpPr/>
      </dsp:nvSpPr>
      <dsp:spPr>
        <a:xfrm>
          <a:off x="997050" y="2198422"/>
          <a:ext cx="4140000" cy="1046112"/>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Realize all costs and expenditures in relation to their current benefits to know where to invest more and how to direct them towards recovery. These specific details of costing and revenue recognition give a correct depiction of all the probable costs and returns linked with the turnaround approach to assist in the revival of financial health of the organization, Urban Heights Hotel.</a:t>
          </a:r>
          <a:endParaRPr lang="en-PK" sz="1200" kern="1200">
            <a:latin typeface="Times New Roman" panose="02020603050405020304" pitchFamily="18" charset="0"/>
            <a:cs typeface="Times New Roman" panose="02020603050405020304" pitchFamily="18" charset="0"/>
          </a:endParaRPr>
        </a:p>
      </dsp:txBody>
      <dsp:txXfrm>
        <a:off x="997050" y="2198422"/>
        <a:ext cx="4140000" cy="104611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CB1D69-5173-46C4-B2F1-522765D60529}">
      <dsp:nvSpPr>
        <dsp:cNvPr id="0" name=""/>
        <dsp:cNvSpPr/>
      </dsp:nvSpPr>
      <dsp:spPr>
        <a:xfrm>
          <a:off x="1928850" y="1532"/>
          <a:ext cx="4410000" cy="101173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Monitoring will be continuous hence will be important especially throughout the implementation process. Quantitative goals for each strategic area will be set and identified as key performance indicators (KPIs) that will include revenue generation, costs, guest satisfaction, and operations to name a few. These will be constantly monitored to ensure that every activity taken is in relevance to the strategic directions and objectives of the hotel.</a:t>
          </a:r>
          <a:endParaRPr lang="en-PK" sz="1100" kern="1200">
            <a:latin typeface="Times New Roman" panose="02020603050405020304" pitchFamily="18" charset="0"/>
            <a:cs typeface="Times New Roman" panose="02020603050405020304" pitchFamily="18" charset="0"/>
          </a:endParaRPr>
        </a:p>
      </dsp:txBody>
      <dsp:txXfrm>
        <a:off x="1928850" y="1532"/>
        <a:ext cx="4410000" cy="1011733"/>
      </dsp:txXfrm>
    </dsp:sp>
    <dsp:sp modelId="{E0AEB34F-306E-42DF-92EB-F7EB8B7F6C95}">
      <dsp:nvSpPr>
        <dsp:cNvPr id="0" name=""/>
        <dsp:cNvSpPr/>
      </dsp:nvSpPr>
      <dsp:spPr>
        <a:xfrm>
          <a:off x="1883850" y="1063853"/>
          <a:ext cx="4500000" cy="1011733"/>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Periodic Quarterly Reviews will be made with all actors involved in the formulation and implementation of the strategy. These will be crucial sessions used to review the status of its application across various departments, address new emerging issues and; proffer ideas and recommendations. This will mean frequent meetings that will retain harmonized strategies and will enable a perfect coordination of the strategies whenever alterations may be necessary.</a:t>
          </a:r>
          <a:endParaRPr lang="en-PK" sz="1100" kern="1200">
            <a:latin typeface="Times New Roman" panose="02020603050405020304" pitchFamily="18" charset="0"/>
            <a:cs typeface="Times New Roman" panose="02020603050405020304" pitchFamily="18" charset="0"/>
          </a:endParaRPr>
        </a:p>
      </dsp:txBody>
      <dsp:txXfrm>
        <a:off x="1883850" y="1063853"/>
        <a:ext cx="4500000" cy="1011733"/>
      </dsp:txXfrm>
    </dsp:sp>
    <dsp:sp modelId="{BD59E025-95E5-4F2E-8D14-2D68586BB726}">
      <dsp:nvSpPr>
        <dsp:cNvPr id="0" name=""/>
        <dsp:cNvSpPr/>
      </dsp:nvSpPr>
      <dsp:spPr>
        <a:xfrm>
          <a:off x="1793850" y="2126173"/>
          <a:ext cx="4680000" cy="1011733"/>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Lastly, an annual audit will be conducted to assess the efficiency and effectiveness of the established turnaround strategy. The evaluation within this review will include an examination of the financial and operating data of the year, in relation to key goals, and the effectiveness of strategies implemented. They will be very useful in proffering recommendations that will affect the changes for the following years in order to make the hotel to bounce back to its rightful position.</a:t>
          </a:r>
          <a:endParaRPr lang="en-PK" sz="1100" kern="1200">
            <a:latin typeface="Times New Roman" panose="02020603050405020304" pitchFamily="18" charset="0"/>
            <a:cs typeface="Times New Roman" panose="02020603050405020304" pitchFamily="18" charset="0"/>
          </a:endParaRPr>
        </a:p>
      </dsp:txBody>
      <dsp:txXfrm>
        <a:off x="1793850" y="2126173"/>
        <a:ext cx="4680000" cy="1011733"/>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3.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4.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5.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6.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6C9DF-D2BE-45DF-87A8-B564D0F0C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2674</Words>
  <Characters>15247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Trading</dc:creator>
  <cp:keywords/>
  <dc:description/>
  <cp:lastModifiedBy>Nicu Lazar (2235532)</cp:lastModifiedBy>
  <cp:revision>4</cp:revision>
  <dcterms:created xsi:type="dcterms:W3CDTF">2024-05-31T21:31:00Z</dcterms:created>
  <dcterms:modified xsi:type="dcterms:W3CDTF">2024-06-06T20:46:00Z</dcterms:modified>
</cp:coreProperties>
</file>