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95702C7">
      <w:pPr>
        <w:pStyle w:val="17"/>
        <w:jc w:val="both"/>
      </w:pPr>
    </w:p>
    <w:p w14:paraId="095702C8">
      <w:pPr>
        <w:pStyle w:val="17"/>
        <w:jc w:val="both"/>
      </w:pPr>
      <w:r>
        <w:t xml:space="preserve"> </w:t>
      </w:r>
    </w:p>
    <w:p w14:paraId="095702C9">
      <w:pPr>
        <w:pStyle w:val="17"/>
        <w:jc w:val="center"/>
      </w:pPr>
      <w:r>
        <w:t xml:space="preserve"> </w:t>
      </w:r>
    </w:p>
    <w:p w14:paraId="095702CA">
      <w:pPr>
        <w:pStyle w:val="17"/>
        <w:jc w:val="center"/>
      </w:pPr>
      <w:r>
        <w:t xml:space="preserve"> </w:t>
      </w:r>
    </w:p>
    <w:p w14:paraId="095702CB">
      <w:pPr>
        <w:pStyle w:val="17"/>
        <w:jc w:val="center"/>
      </w:pPr>
      <w:r>
        <w:t xml:space="preserve"> </w:t>
      </w:r>
    </w:p>
    <w:p w14:paraId="095702CC">
      <w:pPr>
        <w:pStyle w:val="17"/>
        <w:jc w:val="center"/>
      </w:pPr>
      <w:r>
        <w:t xml:space="preserve"> </w:t>
      </w:r>
    </w:p>
    <w:p w14:paraId="095702CD">
      <w:pPr>
        <w:pStyle w:val="17"/>
        <w:jc w:val="center"/>
      </w:pPr>
      <w:r>
        <w:t xml:space="preserve"> </w:t>
      </w:r>
    </w:p>
    <w:p w14:paraId="095702CE">
      <w:pPr>
        <w:pStyle w:val="17"/>
        <w:jc w:val="center"/>
        <w:rPr>
          <w:rFonts w:ascii="Calibri" w:hAnsi="Calibri" w:eastAsia="Calibri" w:cs="Calibri"/>
          <w:sz w:val="44"/>
          <w:szCs w:val="44"/>
        </w:rPr>
      </w:pPr>
      <w:r>
        <w:rPr>
          <w:rFonts w:ascii="Calibri" w:hAnsi="Calibri"/>
          <w:sz w:val="44"/>
          <w:szCs w:val="44"/>
          <w:lang w:val="en-US"/>
        </w:rPr>
        <w:t>Andrea Matthews</w:t>
      </w:r>
    </w:p>
    <w:p w14:paraId="095702CF">
      <w:pPr>
        <w:pStyle w:val="17"/>
        <w:jc w:val="center"/>
        <w:rPr>
          <w:rFonts w:ascii="Calibri" w:hAnsi="Calibri" w:eastAsia="Calibri" w:cs="Calibri"/>
          <w:sz w:val="44"/>
          <w:szCs w:val="44"/>
        </w:rPr>
      </w:pPr>
      <w:r>
        <w:rPr>
          <w:rFonts w:ascii="Calibri" w:hAnsi="Calibri"/>
          <w:sz w:val="44"/>
          <w:szCs w:val="44"/>
          <w:lang w:val="en-US"/>
        </w:rPr>
        <w:t>Student Number: 0850916</w:t>
      </w:r>
    </w:p>
    <w:p w14:paraId="095702D0">
      <w:pPr>
        <w:pStyle w:val="17"/>
        <w:jc w:val="center"/>
        <w:rPr>
          <w:rFonts w:ascii="Calibri" w:hAnsi="Calibri" w:eastAsia="Calibri" w:cs="Calibri"/>
          <w:sz w:val="44"/>
          <w:szCs w:val="44"/>
        </w:rPr>
      </w:pPr>
      <w:r>
        <w:rPr>
          <w:rFonts w:ascii="Calibri" w:hAnsi="Calibri"/>
          <w:sz w:val="44"/>
          <w:szCs w:val="44"/>
        </w:rPr>
        <w:t xml:space="preserve"> </w:t>
      </w:r>
    </w:p>
    <w:p w14:paraId="095702D1">
      <w:pPr>
        <w:pStyle w:val="17"/>
        <w:jc w:val="center"/>
        <w:rPr>
          <w:rFonts w:ascii="Calibri" w:hAnsi="Calibri"/>
          <w:sz w:val="44"/>
          <w:szCs w:val="44"/>
          <w:lang w:val="en-US"/>
        </w:rPr>
      </w:pPr>
      <w:r>
        <w:rPr>
          <w:rFonts w:ascii="Calibri" w:hAnsi="Calibri"/>
          <w:sz w:val="44"/>
          <w:szCs w:val="44"/>
          <w:lang w:val="en-US"/>
        </w:rPr>
        <w:t>Level 5 Associate Diploma in People Management</w:t>
      </w:r>
    </w:p>
    <w:p w14:paraId="095702D2">
      <w:pPr>
        <w:pStyle w:val="17"/>
        <w:jc w:val="center"/>
        <w:rPr>
          <w:rFonts w:ascii="Calibri" w:hAnsi="Calibri"/>
          <w:sz w:val="44"/>
          <w:szCs w:val="44"/>
          <w:lang w:val="en-US"/>
        </w:rPr>
      </w:pPr>
    </w:p>
    <w:p w14:paraId="095702D3">
      <w:pPr>
        <w:pStyle w:val="17"/>
        <w:jc w:val="center"/>
        <w:rPr>
          <w:rFonts w:ascii="Calibri" w:hAnsi="Calibri"/>
          <w:sz w:val="44"/>
          <w:szCs w:val="44"/>
        </w:rPr>
      </w:pPr>
      <w:r>
        <w:rPr>
          <w:rFonts w:ascii="Calibri" w:hAnsi="Calibri"/>
          <w:sz w:val="44"/>
          <w:szCs w:val="44"/>
        </w:rPr>
        <w:t>Reward for Performance and Contribution</w:t>
      </w:r>
    </w:p>
    <w:p w14:paraId="095702D4">
      <w:pPr>
        <w:pStyle w:val="17"/>
        <w:jc w:val="center"/>
        <w:rPr>
          <w:rFonts w:ascii="Calibri" w:hAnsi="Calibri" w:eastAsia="Calibri" w:cs="Calibri"/>
          <w:sz w:val="44"/>
          <w:szCs w:val="44"/>
        </w:rPr>
      </w:pPr>
      <w:r>
        <w:rPr>
          <w:rFonts w:ascii="Calibri" w:hAnsi="Calibri"/>
          <w:sz w:val="44"/>
          <w:szCs w:val="44"/>
        </w:rPr>
        <w:t xml:space="preserve"> </w:t>
      </w:r>
    </w:p>
    <w:p w14:paraId="095702D5">
      <w:pPr>
        <w:pStyle w:val="17"/>
        <w:jc w:val="center"/>
        <w:rPr>
          <w:rFonts w:ascii="Calibri" w:hAnsi="Calibri" w:eastAsia="Calibri" w:cs="Calibri"/>
          <w:kern w:val="0"/>
          <w:sz w:val="44"/>
          <w:szCs w:val="44"/>
        </w:rPr>
      </w:pPr>
      <w:r>
        <w:rPr>
          <w:rFonts w:ascii="Calibri" w:hAnsi="Calibri" w:eastAsia="Calibri" w:cs="Calibri"/>
          <w:kern w:val="0"/>
          <w:sz w:val="44"/>
          <w:szCs w:val="44"/>
        </w:rPr>
        <w:t>5HR03</w:t>
      </w:r>
    </w:p>
    <w:p w14:paraId="095702D6">
      <w:pPr>
        <w:pStyle w:val="17"/>
        <w:jc w:val="center"/>
        <w:rPr>
          <w:rFonts w:ascii="Calibri" w:hAnsi="Calibri" w:eastAsia="Calibri" w:cs="Calibri"/>
          <w:kern w:val="0"/>
          <w:sz w:val="44"/>
          <w:szCs w:val="44"/>
        </w:rPr>
      </w:pPr>
      <w:r>
        <w:rPr>
          <w:rFonts w:ascii="Calibri" w:hAnsi="Calibri"/>
          <w:kern w:val="0"/>
          <w:sz w:val="44"/>
          <w:szCs w:val="44"/>
        </w:rPr>
        <w:t xml:space="preserve"> </w:t>
      </w:r>
    </w:p>
    <w:p w14:paraId="095702D7">
      <w:pPr>
        <w:pStyle w:val="17"/>
        <w:jc w:val="center"/>
        <w:rPr>
          <w:rFonts w:hint="default" w:ascii="Calibri" w:hAnsi="Calibri"/>
          <w:kern w:val="0"/>
          <w:sz w:val="44"/>
          <w:szCs w:val="44"/>
          <w:lang w:val="en-GB"/>
        </w:rPr>
      </w:pPr>
      <w:r>
        <w:rPr>
          <w:rFonts w:ascii="Calibri" w:hAnsi="Calibri"/>
          <w:kern w:val="0"/>
          <w:sz w:val="44"/>
          <w:szCs w:val="44"/>
          <w:lang w:val="en-US"/>
        </w:rPr>
        <w:t>Total word count</w:t>
      </w:r>
      <w:r>
        <w:rPr>
          <w:rFonts w:ascii="Calibri" w:hAnsi="Calibri"/>
          <w:kern w:val="0"/>
          <w:sz w:val="44"/>
          <w:szCs w:val="44"/>
        </w:rPr>
        <w:t>:</w:t>
      </w:r>
      <w:r>
        <w:rPr>
          <w:rFonts w:hint="default" w:ascii="Calibri" w:hAnsi="Calibri"/>
          <w:kern w:val="0"/>
          <w:sz w:val="44"/>
          <w:szCs w:val="44"/>
          <w:lang w:val="en-GB"/>
        </w:rPr>
        <w:t xml:space="preserve"> 4224</w:t>
      </w:r>
      <w:bookmarkStart w:id="0" w:name="_GoBack"/>
      <w:bookmarkEnd w:id="0"/>
    </w:p>
    <w:p w14:paraId="095702D8">
      <w:pPr>
        <w:pStyle w:val="17"/>
        <w:jc w:val="both"/>
        <w:rPr>
          <w:rFonts w:ascii="Calibri" w:hAnsi="Calibri"/>
          <w:kern w:val="0"/>
          <w:sz w:val="44"/>
          <w:szCs w:val="44"/>
        </w:rPr>
      </w:pPr>
    </w:p>
    <w:p w14:paraId="095702D9">
      <w:pPr>
        <w:pStyle w:val="17"/>
        <w:jc w:val="center"/>
        <w:rPr>
          <w:rFonts w:ascii="Calibri" w:hAnsi="Calibri" w:eastAsia="Calibri" w:cs="Calibri"/>
          <w:sz w:val="44"/>
          <w:szCs w:val="44"/>
        </w:rPr>
      </w:pPr>
      <w:r>
        <w:rPr>
          <w:rFonts w:ascii="Calibri" w:hAnsi="Calibri"/>
          <w:sz w:val="44"/>
          <w:szCs w:val="44"/>
        </w:rPr>
        <w:t xml:space="preserve"> </w:t>
      </w:r>
    </w:p>
    <w:p w14:paraId="095702DA">
      <w:pPr>
        <w:pStyle w:val="17"/>
        <w:rPr>
          <w:rFonts w:ascii="Calibri" w:hAnsi="Calibri" w:eastAsia="Calibri" w:cs="Calibri"/>
          <w:b/>
          <w:bCs/>
        </w:rPr>
      </w:pPr>
      <w:r>
        <w:rPr>
          <w:rFonts w:ascii="Calibri" w:hAnsi="Calibri"/>
          <w:b/>
          <w:bCs/>
        </w:rPr>
        <w:t xml:space="preserve"> </w:t>
      </w:r>
    </w:p>
    <w:p w14:paraId="095702DB">
      <w:pPr>
        <w:pStyle w:val="17"/>
        <w:rPr>
          <w:rFonts w:ascii="Calibri" w:hAnsi="Calibri" w:eastAsia="Calibri" w:cs="Calibri"/>
          <w:kern w:val="0"/>
        </w:rPr>
      </w:pPr>
      <w:r>
        <w:rPr>
          <w:rFonts w:ascii="Calibri" w:hAnsi="Calibri"/>
          <w:kern w:val="0"/>
        </w:rPr>
        <w:t xml:space="preserve"> </w:t>
      </w:r>
    </w:p>
    <w:p w14:paraId="095702DC">
      <w:pPr>
        <w:pStyle w:val="17"/>
        <w:rPr>
          <w:rFonts w:ascii="Calibri" w:hAnsi="Calibri" w:eastAsia="Calibri" w:cs="Calibri"/>
          <w:kern w:val="0"/>
        </w:rPr>
      </w:pPr>
      <w:r>
        <w:rPr>
          <w:rFonts w:ascii="Calibri" w:hAnsi="Calibri"/>
          <w:kern w:val="0"/>
        </w:rPr>
        <w:t xml:space="preserve"> </w:t>
      </w:r>
    </w:p>
    <w:p w14:paraId="095702DD">
      <w:pPr>
        <w:pStyle w:val="17"/>
        <w:rPr>
          <w:rFonts w:ascii="Calibri" w:hAnsi="Calibri" w:eastAsia="Calibri" w:cs="Calibri"/>
          <w:kern w:val="0"/>
        </w:rPr>
      </w:pPr>
      <w:r>
        <w:rPr>
          <w:rFonts w:ascii="Calibri" w:hAnsi="Calibri"/>
          <w:kern w:val="0"/>
        </w:rPr>
        <w:t xml:space="preserve"> </w:t>
      </w:r>
    </w:p>
    <w:p w14:paraId="095702DE">
      <w:pPr>
        <w:pStyle w:val="17"/>
        <w:rPr>
          <w:rFonts w:ascii="Calibri" w:hAnsi="Calibri" w:eastAsia="Calibri" w:cs="Calibri"/>
          <w:kern w:val="0"/>
        </w:rPr>
      </w:pPr>
      <w:r>
        <w:rPr>
          <w:rFonts w:ascii="Calibri" w:hAnsi="Calibri"/>
          <w:kern w:val="0"/>
        </w:rPr>
        <w:t xml:space="preserve"> </w:t>
      </w:r>
    </w:p>
    <w:p w14:paraId="095702DF">
      <w:pPr>
        <w:pStyle w:val="17"/>
        <w:rPr>
          <w:rFonts w:ascii="Trebuchet MS" w:hAnsi="Trebuchet MS" w:eastAsia="Trebuchet MS" w:cs="Trebuchet MS"/>
          <w:b/>
          <w:bCs/>
        </w:rPr>
      </w:pPr>
      <w:r>
        <w:rPr>
          <w:rFonts w:ascii="Calibri" w:hAnsi="Calibri"/>
          <w:kern w:val="0"/>
        </w:rPr>
        <w:t xml:space="preserve"> </w:t>
      </w:r>
    </w:p>
    <w:p w14:paraId="095702E0">
      <w:pPr>
        <w:pStyle w:val="18"/>
        <w:rPr>
          <w:rFonts w:ascii="Trebuchet MS" w:hAnsi="Trebuchet MS" w:eastAsia="Trebuchet MS" w:cs="Trebuchet MS"/>
          <w:b/>
          <w:bCs/>
        </w:rPr>
      </w:pPr>
    </w:p>
    <w:p w14:paraId="095702E1">
      <w:pPr>
        <w:pStyle w:val="18"/>
        <w:rPr>
          <w:rFonts w:ascii="Trebuchet MS" w:hAnsi="Trebuchet MS" w:eastAsia="Trebuchet MS" w:cs="Trebuchet MS"/>
          <w:b/>
          <w:bCs/>
        </w:rPr>
      </w:pPr>
    </w:p>
    <w:p w14:paraId="095702E2">
      <w:pPr>
        <w:pStyle w:val="18"/>
        <w:rPr>
          <w:rFonts w:ascii="Trebuchet MS" w:hAnsi="Trebuchet MS" w:eastAsia="Trebuchet MS" w:cs="Trebuchet MS"/>
          <w:b/>
          <w:bCs/>
        </w:rPr>
      </w:pPr>
    </w:p>
    <w:p w14:paraId="095702E3">
      <w:pPr>
        <w:pStyle w:val="18"/>
        <w:rPr>
          <w:rFonts w:ascii="Trebuchet MS" w:hAnsi="Trebuchet MS" w:eastAsia="Trebuchet MS" w:cs="Trebuchet MS"/>
          <w:b/>
          <w:bCs/>
        </w:rPr>
      </w:pPr>
    </w:p>
    <w:p w14:paraId="095702E4">
      <w:pPr>
        <w:pStyle w:val="18"/>
        <w:rPr>
          <w:rFonts w:ascii="Trebuchet MS" w:hAnsi="Trebuchet MS" w:eastAsia="Trebuchet MS" w:cs="Trebuchet MS"/>
          <w:b/>
          <w:bCs/>
        </w:rPr>
      </w:pPr>
    </w:p>
    <w:p w14:paraId="095702E5">
      <w:pPr>
        <w:pStyle w:val="18"/>
        <w:rPr>
          <w:rFonts w:ascii="Trebuchet MS" w:hAnsi="Trebuchet MS" w:eastAsia="Trebuchet MS" w:cs="Trebuchet MS"/>
          <w:b/>
          <w:bCs/>
        </w:rPr>
      </w:pPr>
    </w:p>
    <w:p w14:paraId="095702E6">
      <w:pPr>
        <w:pStyle w:val="18"/>
        <w:rPr>
          <w:rFonts w:ascii="Trebuchet MS" w:hAnsi="Trebuchet MS" w:eastAsia="Trebuchet MS" w:cs="Trebuchet MS"/>
          <w:b/>
          <w:bCs/>
        </w:rPr>
      </w:pPr>
    </w:p>
    <w:p w14:paraId="095702E7">
      <w:pPr>
        <w:pStyle w:val="18"/>
        <w:rPr>
          <w:rFonts w:ascii="Calibri" w:hAnsi="Calibri"/>
          <w:b/>
          <w:bCs/>
          <w:color w:val="004147"/>
          <w:sz w:val="24"/>
          <w:szCs w:val="24"/>
          <w:u w:color="004147"/>
        </w:rPr>
      </w:pPr>
    </w:p>
    <w:p w14:paraId="095702E8">
      <w:pPr>
        <w:pStyle w:val="18"/>
        <w:numPr>
          <w:ilvl w:val="255"/>
          <w:numId w:val="0"/>
        </w:numPr>
        <w:rPr>
          <w:rFonts w:ascii="Calibri" w:hAnsi="Calibri" w:cs="Calibri"/>
          <w:i/>
          <w:iCs/>
          <w:color w:val="auto"/>
          <w:sz w:val="24"/>
          <w:szCs w:val="24"/>
          <w:lang w:val="en-GB"/>
        </w:rPr>
      </w:pPr>
    </w:p>
    <w:p w14:paraId="095702E9">
      <w:pPr>
        <w:pStyle w:val="18"/>
        <w:numPr>
          <w:ilvl w:val="1"/>
          <w:numId w:val="1"/>
        </w:numPr>
        <w:shd w:val="clear" w:color="auto" w:fill="FFFFFF" w:themeFill="background1"/>
        <w:rPr>
          <w:rFonts w:ascii="Calibri" w:hAnsi="Calibri" w:cs="Calibri"/>
          <w:color w:val="auto"/>
          <w:sz w:val="24"/>
          <w:szCs w:val="24"/>
          <w:lang w:val="en-GB"/>
        </w:rPr>
      </w:pPr>
      <w:r>
        <w:rPr>
          <w:rFonts w:ascii="Calibri" w:hAnsi="Calibri" w:cs="Calibri"/>
          <w:b/>
          <w:bCs/>
          <w:color w:val="auto"/>
          <w:sz w:val="24"/>
          <w:szCs w:val="24"/>
          <w:lang w:val="en-GB"/>
        </w:rPr>
        <w:t>Explain the principles of reward and it’s importance to organisational culture and performance management.</w:t>
      </w:r>
    </w:p>
    <w:p w14:paraId="095702EA">
      <w:pPr>
        <w:pStyle w:val="18"/>
        <w:shd w:val="clear" w:color="auto" w:fill="FFFFFF" w:themeFill="background1"/>
        <w:rPr>
          <w:rFonts w:ascii="Calibri" w:hAnsi="Calibri" w:cs="Calibri"/>
          <w:color w:val="auto"/>
          <w:sz w:val="24"/>
          <w:szCs w:val="24"/>
          <w:lang w:val="en-GB"/>
        </w:rPr>
      </w:pPr>
    </w:p>
    <w:p w14:paraId="095702EB">
      <w:pPr>
        <w:pStyle w:val="18"/>
        <w:rPr>
          <w:rFonts w:ascii="Calibri" w:hAnsi="Calibri" w:cs="Calibri"/>
          <w:color w:val="auto"/>
          <w:sz w:val="24"/>
          <w:szCs w:val="24"/>
          <w:lang w:val="en-GB"/>
        </w:rPr>
      </w:pPr>
      <w:r>
        <w:rPr>
          <w:rFonts w:ascii="Calibri" w:hAnsi="Calibri" w:cs="Calibri"/>
          <w:color w:val="auto"/>
          <w:sz w:val="24"/>
          <w:szCs w:val="24"/>
          <w:lang w:val="en-GB"/>
        </w:rPr>
        <w:t>According to the CIPD (2025), there are two types of reward. The first is t</w:t>
      </w:r>
      <w:r>
        <w:rPr>
          <w:rFonts w:hint="default" w:ascii="Calibri" w:hAnsi="Calibri" w:cs="Calibri"/>
          <w:color w:val="auto"/>
          <w:sz w:val="24"/>
          <w:szCs w:val="24"/>
          <w:lang w:val="en-GB"/>
        </w:rPr>
        <w:t>he</w:t>
      </w:r>
      <w:r>
        <w:rPr>
          <w:rFonts w:ascii="Calibri" w:hAnsi="Calibri" w:cs="Calibri"/>
          <w:color w:val="auto"/>
          <w:sz w:val="24"/>
          <w:szCs w:val="24"/>
          <w:lang w:val="en-GB"/>
        </w:rPr>
        <w:t xml:space="preserve"> use of policies aligned with</w:t>
      </w:r>
      <w:r>
        <w:rPr>
          <w:rFonts w:hint="default" w:ascii="Calibri" w:hAnsi="Calibri" w:cs="Calibri"/>
          <w:color w:val="auto"/>
          <w:sz w:val="24"/>
          <w:szCs w:val="24"/>
          <w:lang w:val="en-GB"/>
        </w:rPr>
        <w:t xml:space="preserve"> </w:t>
      </w:r>
      <w:r>
        <w:rPr>
          <w:rFonts w:ascii="Calibri" w:hAnsi="Calibri" w:cs="Calibri"/>
          <w:color w:val="auto"/>
          <w:sz w:val="24"/>
          <w:szCs w:val="24"/>
          <w:lang w:val="en-GB"/>
        </w:rPr>
        <w:t xml:space="preserve">business objectives (strategic reward) and the use of financial and non-financial methods linking to business needs (total reward).  The key principles of a reward system are that it is fair, consistent and trustworthy; providing employees with a range of benefits that meet the needs </w:t>
      </w:r>
      <w:r>
        <w:rPr>
          <w:rFonts w:hint="default" w:ascii="Calibri" w:hAnsi="Calibri" w:cs="Calibri"/>
          <w:color w:val="auto"/>
          <w:sz w:val="24"/>
          <w:szCs w:val="24"/>
          <w:lang w:val="en-GB"/>
        </w:rPr>
        <w:t xml:space="preserve">of </w:t>
      </w:r>
      <w:r>
        <w:rPr>
          <w:rFonts w:ascii="Calibri" w:hAnsi="Calibri" w:cs="Calibri"/>
          <w:color w:val="auto"/>
          <w:sz w:val="24"/>
          <w:szCs w:val="24"/>
          <w:lang w:val="en-GB"/>
        </w:rPr>
        <w:t>employee</w:t>
      </w:r>
      <w:r>
        <w:rPr>
          <w:rFonts w:hint="default" w:ascii="Calibri" w:hAnsi="Calibri" w:cs="Calibri"/>
          <w:color w:val="auto"/>
          <w:sz w:val="24"/>
          <w:szCs w:val="24"/>
          <w:lang w:val="en-GB"/>
        </w:rPr>
        <w:t>s,</w:t>
      </w:r>
      <w:r>
        <w:rPr>
          <w:rFonts w:ascii="Calibri" w:hAnsi="Calibri" w:cs="Calibri"/>
          <w:color w:val="auto"/>
          <w:sz w:val="24"/>
          <w:szCs w:val="24"/>
          <w:lang w:val="en-GB"/>
        </w:rPr>
        <w:t xml:space="preserve"> shareholders and managers. Another principle is that rewards can be both intrinsic </w:t>
      </w:r>
      <w:r>
        <w:rPr>
          <w:rFonts w:hint="default" w:ascii="Calibri" w:hAnsi="Calibri" w:cs="Calibri"/>
          <w:color w:val="auto"/>
          <w:sz w:val="24"/>
          <w:szCs w:val="24"/>
          <w:lang w:val="en-GB"/>
        </w:rPr>
        <w:t xml:space="preserve">(working for one's own satisfaction) </w:t>
      </w:r>
      <w:r>
        <w:rPr>
          <w:rFonts w:ascii="Calibri" w:hAnsi="Calibri" w:cs="Calibri"/>
          <w:color w:val="auto"/>
          <w:sz w:val="24"/>
          <w:szCs w:val="24"/>
          <w:lang w:val="en-GB"/>
        </w:rPr>
        <w:t>or extrinsic</w:t>
      </w:r>
      <w:r>
        <w:rPr>
          <w:rFonts w:hint="default" w:ascii="Calibri" w:hAnsi="Calibri" w:cs="Calibri"/>
          <w:color w:val="auto"/>
          <w:sz w:val="24"/>
          <w:szCs w:val="24"/>
          <w:lang w:val="en-GB"/>
        </w:rPr>
        <w:t xml:space="preserve"> (to achieve a reward) (CIPD, 2025).</w:t>
      </w:r>
      <w:r>
        <w:rPr>
          <w:rFonts w:ascii="Calibri" w:hAnsi="Calibri" w:cs="Calibri"/>
          <w:color w:val="auto"/>
          <w:sz w:val="24"/>
          <w:szCs w:val="24"/>
          <w:lang w:val="en-GB"/>
        </w:rPr>
        <w:t xml:space="preserve"> </w:t>
      </w:r>
    </w:p>
    <w:p w14:paraId="095702EC">
      <w:pPr>
        <w:pStyle w:val="18"/>
        <w:rPr>
          <w:rFonts w:ascii="Calibri" w:hAnsi="Calibri" w:cs="Calibri"/>
          <w:color w:val="auto"/>
          <w:sz w:val="24"/>
          <w:szCs w:val="24"/>
          <w:lang w:val="en-GB"/>
        </w:rPr>
      </w:pPr>
    </w:p>
    <w:p w14:paraId="095702ED">
      <w:pPr>
        <w:pStyle w:val="18"/>
        <w:rPr>
          <w:rFonts w:ascii="Calibri" w:hAnsi="Calibri" w:cs="Calibri"/>
          <w:b/>
          <w:bCs/>
          <w:color w:val="auto"/>
          <w:sz w:val="24"/>
          <w:szCs w:val="24"/>
          <w:lang w:val="en-GB"/>
        </w:rPr>
      </w:pPr>
      <w:r>
        <w:rPr>
          <w:rFonts w:ascii="Calibri" w:hAnsi="Calibri" w:cs="Calibri"/>
          <w:b/>
          <w:bCs/>
          <w:color w:val="auto"/>
          <w:sz w:val="24"/>
          <w:szCs w:val="24"/>
          <w:lang w:val="en-GB"/>
        </w:rPr>
        <w:t>Fair, consistent and trustworthy:</w:t>
      </w:r>
    </w:p>
    <w:p w14:paraId="095702EE">
      <w:pPr>
        <w:pStyle w:val="18"/>
        <w:rPr>
          <w:rFonts w:ascii="Calibri" w:hAnsi="Calibri" w:cs="Calibri"/>
          <w:color w:val="auto"/>
          <w:sz w:val="24"/>
          <w:szCs w:val="24"/>
          <w:lang w:val="en-GB"/>
        </w:rPr>
      </w:pPr>
      <w:r>
        <w:rPr>
          <w:rFonts w:ascii="Calibri" w:hAnsi="Calibri" w:cs="Calibri"/>
          <w:color w:val="auto"/>
          <w:sz w:val="24"/>
          <w:szCs w:val="24"/>
          <w:lang w:val="en-GB"/>
        </w:rPr>
        <w:t xml:space="preserve">An example of this is equal pay for those in similar positions and addressing issues of the gender pay gap. If pay is inconsistent, it can have a negative effect on employees and damage the psychological contract, affecting the culture and performance of the organisation. </w:t>
      </w:r>
      <w:r>
        <w:rPr>
          <w:rFonts w:hint="default" w:ascii="Calibri" w:hAnsi="Calibri" w:cs="Calibri"/>
          <w:color w:val="auto"/>
          <w:sz w:val="24"/>
          <w:szCs w:val="24"/>
          <w:lang w:val="en-GB"/>
        </w:rPr>
        <w:t xml:space="preserve">In relation to Eco Insulate UK, this could help by ensuring that pay is consistent to similar organisations. </w:t>
      </w:r>
      <w:r>
        <w:rPr>
          <w:rFonts w:ascii="Calibri" w:hAnsi="Calibri" w:cs="Calibri"/>
          <w:color w:val="auto"/>
          <w:sz w:val="24"/>
          <w:szCs w:val="24"/>
          <w:lang w:val="en-GB"/>
        </w:rPr>
        <w:t>A good example of improving gender pay is that of Topps Tiles who review their total reward package on an annual basis, reporting a gender pay gap of just 2.4% compare to 14% in the private sector (Topps -Group, 2023).</w:t>
      </w:r>
    </w:p>
    <w:p w14:paraId="095702EF">
      <w:pPr>
        <w:pStyle w:val="18"/>
        <w:rPr>
          <w:rFonts w:ascii="Calibri" w:hAnsi="Calibri" w:cs="Calibri"/>
          <w:color w:val="auto"/>
          <w:sz w:val="24"/>
          <w:szCs w:val="24"/>
          <w:lang w:val="en-GB"/>
        </w:rPr>
      </w:pPr>
    </w:p>
    <w:p w14:paraId="095702F0">
      <w:pPr>
        <w:pStyle w:val="18"/>
        <w:rPr>
          <w:rFonts w:ascii="Calibri" w:hAnsi="Calibri" w:cs="Calibri"/>
          <w:b/>
          <w:bCs/>
          <w:color w:val="auto"/>
          <w:sz w:val="24"/>
          <w:szCs w:val="24"/>
          <w:lang w:val="en-GB"/>
        </w:rPr>
      </w:pPr>
      <w:r>
        <w:rPr>
          <w:rFonts w:ascii="Calibri" w:hAnsi="Calibri" w:cs="Calibri"/>
          <w:b/>
          <w:bCs/>
          <w:color w:val="auto"/>
          <w:sz w:val="24"/>
          <w:szCs w:val="24"/>
          <w:lang w:val="en-GB"/>
        </w:rPr>
        <w:t>Financial and Non- Financial Benefits:</w:t>
      </w:r>
    </w:p>
    <w:p w14:paraId="095702F1">
      <w:pPr>
        <w:pStyle w:val="18"/>
        <w:rPr>
          <w:rFonts w:ascii="Calibri" w:hAnsi="Calibri" w:cs="Calibri"/>
          <w:color w:val="auto"/>
          <w:sz w:val="24"/>
          <w:szCs w:val="24"/>
          <w:lang w:val="en-GB"/>
        </w:rPr>
      </w:pPr>
      <w:r>
        <w:rPr>
          <w:rFonts w:ascii="Calibri" w:hAnsi="Calibri" w:cs="Calibri"/>
          <w:color w:val="auto"/>
          <w:sz w:val="24"/>
          <w:szCs w:val="24"/>
          <w:lang w:val="en-GB"/>
        </w:rPr>
        <w:t>Total reward is an effective way of providing a package of benefits to improve organisational culture. According to CIPD (2024), performance related pay improves motivation and performance</w:t>
      </w:r>
      <w:r>
        <w:rPr>
          <w:rFonts w:hint="default" w:ascii="Calibri" w:hAnsi="Calibri" w:cs="Calibri"/>
          <w:color w:val="auto"/>
          <w:sz w:val="24"/>
          <w:szCs w:val="24"/>
          <w:lang w:val="en-GB"/>
        </w:rPr>
        <w:t xml:space="preserve"> however it is important to recognise that this type of reward could have a negative impact on mental wellbeing (CIPD, 2021). </w:t>
      </w:r>
      <w:r>
        <w:rPr>
          <w:rFonts w:ascii="Calibri" w:hAnsi="Calibri" w:cs="Calibri"/>
          <w:color w:val="auto"/>
          <w:sz w:val="24"/>
          <w:szCs w:val="24"/>
          <w:lang w:val="en-GB"/>
        </w:rPr>
        <w:t xml:space="preserve"> An example of this is the NHS where pay increases are awarded based on performance against agreed objectives (Unison, 2024). Whilst it is important to recognise the influence of financial benefits, non-financial benefits can prove to </w:t>
      </w:r>
      <w:r>
        <w:rPr>
          <w:rFonts w:hint="default" w:ascii="Calibri" w:hAnsi="Calibri" w:cs="Calibri"/>
          <w:color w:val="auto"/>
          <w:sz w:val="24"/>
          <w:szCs w:val="24"/>
          <w:lang w:val="en-GB"/>
        </w:rPr>
        <w:t xml:space="preserve">be </w:t>
      </w:r>
      <w:r>
        <w:rPr>
          <w:rFonts w:ascii="Calibri" w:hAnsi="Calibri" w:cs="Calibri"/>
          <w:color w:val="auto"/>
          <w:sz w:val="24"/>
          <w:szCs w:val="24"/>
          <w:lang w:val="en-GB"/>
        </w:rPr>
        <w:t>even more beneficial. These include career development, flexible working</w:t>
      </w:r>
      <w:r>
        <w:rPr>
          <w:rFonts w:hint="default" w:ascii="Calibri" w:hAnsi="Calibri" w:cs="Calibri"/>
          <w:color w:val="auto"/>
          <w:sz w:val="24"/>
          <w:szCs w:val="24"/>
          <w:lang w:val="en-GB"/>
        </w:rPr>
        <w:t xml:space="preserve"> and </w:t>
      </w:r>
      <w:r>
        <w:rPr>
          <w:rFonts w:ascii="Calibri" w:hAnsi="Calibri" w:cs="Calibri"/>
          <w:color w:val="auto"/>
          <w:sz w:val="24"/>
          <w:szCs w:val="24"/>
          <w:lang w:val="en-GB"/>
        </w:rPr>
        <w:t>recognition (CIPD, 2025).  A</w:t>
      </w:r>
      <w:r>
        <w:rPr>
          <w:rFonts w:hint="default" w:ascii="Calibri" w:hAnsi="Calibri" w:cs="Calibri"/>
          <w:color w:val="auto"/>
          <w:sz w:val="24"/>
          <w:szCs w:val="24"/>
          <w:lang w:val="en-GB"/>
        </w:rPr>
        <w:t xml:space="preserve">n </w:t>
      </w:r>
      <w:r>
        <w:rPr>
          <w:rFonts w:ascii="Calibri" w:hAnsi="Calibri" w:cs="Calibri"/>
          <w:color w:val="auto"/>
          <w:sz w:val="24"/>
          <w:szCs w:val="24"/>
          <w:lang w:val="en-GB"/>
        </w:rPr>
        <w:t xml:space="preserve">example of this </w:t>
      </w:r>
      <w:r>
        <w:rPr>
          <w:rFonts w:hint="default" w:ascii="Calibri" w:hAnsi="Calibri" w:cs="Calibri"/>
          <w:color w:val="auto"/>
          <w:sz w:val="24"/>
          <w:szCs w:val="24"/>
          <w:lang w:val="en-GB"/>
        </w:rPr>
        <w:t xml:space="preserve">is the </w:t>
      </w:r>
      <w:r>
        <w:rPr>
          <w:rFonts w:ascii="Calibri" w:hAnsi="Calibri" w:cs="Calibri"/>
          <w:color w:val="auto"/>
          <w:sz w:val="24"/>
          <w:szCs w:val="24"/>
          <w:lang w:val="en-GB"/>
        </w:rPr>
        <w:t xml:space="preserve">Westminster Drug Project where full sick pay is paid for 6 months and half pay for another 6 months alongside other benefits such as pet bereavement, IVF and menopause (Taylor and Woodhams, 2022).  </w:t>
      </w:r>
    </w:p>
    <w:p w14:paraId="095702F2">
      <w:pPr>
        <w:pStyle w:val="18"/>
        <w:rPr>
          <w:rFonts w:ascii="Calibri" w:hAnsi="Calibri" w:cs="Calibri"/>
          <w:color w:val="auto"/>
          <w:sz w:val="24"/>
          <w:szCs w:val="24"/>
          <w:lang w:val="en-GB"/>
        </w:rPr>
      </w:pPr>
    </w:p>
    <w:p w14:paraId="095702F3">
      <w:pPr>
        <w:pStyle w:val="18"/>
        <w:rPr>
          <w:rFonts w:hint="default" w:ascii="Calibri" w:hAnsi="Calibri" w:cs="Calibri"/>
          <w:color w:val="auto"/>
          <w:sz w:val="24"/>
          <w:szCs w:val="24"/>
          <w:lang w:val="en-GB"/>
        </w:rPr>
      </w:pPr>
      <w:r>
        <w:rPr>
          <w:rFonts w:ascii="Calibri" w:hAnsi="Calibri" w:cs="Calibri"/>
          <w:color w:val="auto"/>
          <w:sz w:val="24"/>
          <w:szCs w:val="24"/>
          <w:lang w:val="en-GB"/>
        </w:rPr>
        <w:t xml:space="preserve">While considering a reward package for Eco Insulate </w:t>
      </w:r>
      <w:r>
        <w:rPr>
          <w:rFonts w:hint="default" w:ascii="Calibri" w:hAnsi="Calibri" w:cs="Calibri"/>
          <w:color w:val="auto"/>
          <w:sz w:val="24"/>
          <w:szCs w:val="24"/>
          <w:lang w:val="en-GB"/>
        </w:rPr>
        <w:t xml:space="preserve">UK </w:t>
      </w:r>
      <w:r>
        <w:rPr>
          <w:rFonts w:ascii="Calibri" w:hAnsi="Calibri" w:cs="Calibri"/>
          <w:color w:val="auto"/>
          <w:sz w:val="24"/>
          <w:szCs w:val="24"/>
          <w:lang w:val="en-GB"/>
        </w:rPr>
        <w:t>it will be important to ensure that the benefits are fit for purpose and are relevant to the needs of all stakeholders, aligning with organisational goals to improve culture and performance (CIPD, 2022).</w:t>
      </w:r>
      <w:r>
        <w:rPr>
          <w:rFonts w:hint="default" w:ascii="Calibri" w:hAnsi="Calibri" w:cs="Calibri"/>
          <w:color w:val="auto"/>
          <w:sz w:val="24"/>
          <w:szCs w:val="24"/>
          <w:lang w:val="en-GB"/>
        </w:rPr>
        <w:t xml:space="preserve"> </w:t>
      </w:r>
    </w:p>
    <w:p w14:paraId="095702F4">
      <w:pPr>
        <w:pStyle w:val="18"/>
        <w:rPr>
          <w:rFonts w:ascii="Calibri" w:hAnsi="Calibri" w:cs="Calibri"/>
          <w:color w:val="auto"/>
          <w:sz w:val="24"/>
          <w:szCs w:val="24"/>
          <w:lang w:val="en-GB"/>
        </w:rPr>
      </w:pPr>
    </w:p>
    <w:p w14:paraId="095702F5">
      <w:pPr>
        <w:pStyle w:val="18"/>
        <w:rPr>
          <w:rFonts w:ascii="Calibri" w:hAnsi="Calibri" w:cs="Calibri"/>
          <w:color w:val="auto"/>
          <w:sz w:val="24"/>
          <w:szCs w:val="24"/>
          <w:lang w:val="en-GB"/>
        </w:rPr>
      </w:pPr>
    </w:p>
    <w:p w14:paraId="15F7156F">
      <w:pPr>
        <w:pStyle w:val="18"/>
        <w:rPr>
          <w:rFonts w:ascii="Calibri" w:hAnsi="Calibri" w:cs="Calibri"/>
          <w:color w:val="auto"/>
          <w:sz w:val="24"/>
          <w:szCs w:val="24"/>
          <w:lang w:val="en-GB"/>
        </w:rPr>
      </w:pPr>
    </w:p>
    <w:p w14:paraId="6045CA02">
      <w:pPr>
        <w:pStyle w:val="18"/>
        <w:rPr>
          <w:rFonts w:ascii="Calibri" w:hAnsi="Calibri" w:cs="Calibri"/>
          <w:color w:val="auto"/>
          <w:sz w:val="24"/>
          <w:szCs w:val="24"/>
          <w:lang w:val="en-GB"/>
        </w:rPr>
      </w:pPr>
    </w:p>
    <w:p w14:paraId="095702F6">
      <w:pPr>
        <w:pStyle w:val="18"/>
        <w:rPr>
          <w:rFonts w:ascii="Calibri" w:hAnsi="Calibri" w:cs="Calibri"/>
          <w:color w:val="auto"/>
          <w:sz w:val="24"/>
          <w:szCs w:val="24"/>
          <w:lang w:val="en-GB"/>
        </w:rPr>
      </w:pPr>
    </w:p>
    <w:p w14:paraId="7CC048DB">
      <w:pPr>
        <w:pStyle w:val="18"/>
        <w:rPr>
          <w:rFonts w:ascii="Calibri" w:hAnsi="Calibri" w:cs="Calibri"/>
          <w:color w:val="auto"/>
          <w:sz w:val="24"/>
          <w:szCs w:val="24"/>
          <w:lang w:val="en-GB"/>
        </w:rPr>
      </w:pPr>
    </w:p>
    <w:p w14:paraId="5DF8B9C4">
      <w:pPr>
        <w:pStyle w:val="18"/>
        <w:rPr>
          <w:rFonts w:ascii="Calibri" w:hAnsi="Calibri" w:cs="Calibri"/>
          <w:color w:val="auto"/>
          <w:sz w:val="24"/>
          <w:szCs w:val="24"/>
          <w:lang w:val="en-GB"/>
        </w:rPr>
      </w:pPr>
    </w:p>
    <w:p w14:paraId="095702F7">
      <w:pPr>
        <w:pStyle w:val="18"/>
        <w:rPr>
          <w:rFonts w:ascii="Calibri" w:hAnsi="Calibri" w:cs="Calibri"/>
          <w:color w:val="auto"/>
          <w:sz w:val="24"/>
          <w:szCs w:val="24"/>
          <w:lang w:val="en-GB"/>
        </w:rPr>
      </w:pPr>
    </w:p>
    <w:p w14:paraId="095702F8">
      <w:pPr>
        <w:pStyle w:val="18"/>
        <w:numPr>
          <w:ilvl w:val="1"/>
          <w:numId w:val="1"/>
        </w:numPr>
        <w:rPr>
          <w:rFonts w:ascii="Calibri" w:hAnsi="Calibri" w:cs="Calibri"/>
          <w:b/>
          <w:bCs/>
          <w:sz w:val="24"/>
          <w:szCs w:val="24"/>
        </w:rPr>
      </w:pPr>
      <w:r>
        <w:rPr>
          <w:rFonts w:ascii="Calibri" w:hAnsi="Calibri" w:cs="Calibri"/>
          <w:b/>
          <w:bCs/>
          <w:sz w:val="24"/>
          <w:szCs w:val="24"/>
        </w:rPr>
        <w:t>Assess the contribution of extrinsic and intrinsic rewards to improving employee contribution and sustained organisational performance</w:t>
      </w:r>
    </w:p>
    <w:p w14:paraId="095702F9">
      <w:pPr>
        <w:pStyle w:val="18"/>
        <w:rPr>
          <w:rFonts w:ascii="Calibri" w:hAnsi="Calibri" w:cs="Calibri"/>
          <w:b/>
          <w:bCs/>
          <w:sz w:val="24"/>
          <w:szCs w:val="24"/>
          <w:lang w:val="en-GB"/>
        </w:rPr>
      </w:pPr>
    </w:p>
    <w:p w14:paraId="095702FA">
      <w:pPr>
        <w:pStyle w:val="18"/>
        <w:rPr>
          <w:rFonts w:ascii="Calibri" w:hAnsi="Calibri" w:cs="Calibri"/>
          <w:sz w:val="24"/>
          <w:szCs w:val="24"/>
          <w:lang w:val="en-GB"/>
        </w:rPr>
      </w:pPr>
      <w:r>
        <w:rPr>
          <w:rFonts w:ascii="Calibri" w:hAnsi="Calibri" w:cs="Calibri"/>
          <w:sz w:val="24"/>
          <w:szCs w:val="24"/>
          <w:lang w:val="en-GB"/>
        </w:rPr>
        <w:t xml:space="preserve">According to the Oxford English Dictionary, the definition of motivation is ‘a reason or reasons for acting or behaving in a particular way’. It is thought that there are two types of motivation, intrinsic and extrinsic. Intrinsic can be generated from internal factors of an individual such as job satisfaction and does not rely on external incentives to act as a motivator whereas actions and behaviours demonstrated by external factors such as pay, incentives and recognition can be seen as extrinsic (Burns, 2015). </w:t>
      </w:r>
    </w:p>
    <w:p w14:paraId="095702FB">
      <w:pPr>
        <w:pStyle w:val="18"/>
        <w:rPr>
          <w:rFonts w:ascii="Calibri" w:hAnsi="Calibri" w:cs="Calibri"/>
          <w:sz w:val="24"/>
          <w:szCs w:val="24"/>
          <w:lang w:val="en-GB"/>
        </w:rPr>
      </w:pPr>
    </w:p>
    <w:p w14:paraId="095702FC">
      <w:pPr>
        <w:pStyle w:val="18"/>
        <w:rPr>
          <w:rFonts w:ascii="Calibri" w:hAnsi="Calibri" w:cs="Calibri"/>
          <w:b/>
          <w:bCs/>
          <w:sz w:val="24"/>
          <w:szCs w:val="24"/>
          <w:lang w:val="en-GB"/>
        </w:rPr>
      </w:pPr>
      <w:r>
        <w:rPr>
          <w:rFonts w:ascii="Calibri" w:hAnsi="Calibri" w:cs="Calibri"/>
          <w:b/>
          <w:bCs/>
          <w:sz w:val="24"/>
          <w:szCs w:val="24"/>
          <w:lang w:val="en-GB"/>
        </w:rPr>
        <w:t>Intrinsic motivation:</w:t>
      </w:r>
    </w:p>
    <w:p w14:paraId="095702FD">
      <w:pPr>
        <w:pStyle w:val="18"/>
        <w:rPr>
          <w:rFonts w:ascii="Calibri" w:hAnsi="Calibri" w:cs="Calibri"/>
          <w:sz w:val="24"/>
          <w:szCs w:val="24"/>
          <w:lang w:val="en-GB"/>
        </w:rPr>
      </w:pPr>
      <w:r>
        <w:rPr>
          <w:rFonts w:ascii="Calibri" w:hAnsi="Calibri" w:cs="Calibri"/>
          <w:sz w:val="24"/>
          <w:szCs w:val="24"/>
          <w:lang w:val="en-GB"/>
        </w:rPr>
        <w:t>Whilst most organisations will look at a</w:t>
      </w:r>
      <w:r>
        <w:rPr>
          <w:rFonts w:hint="default" w:ascii="Calibri" w:hAnsi="Calibri" w:cs="Calibri"/>
          <w:sz w:val="24"/>
          <w:szCs w:val="24"/>
          <w:lang w:val="en-GB"/>
        </w:rPr>
        <w:t xml:space="preserve"> </w:t>
      </w:r>
      <w:r>
        <w:rPr>
          <w:rFonts w:ascii="Calibri" w:hAnsi="Calibri" w:cs="Calibri"/>
          <w:sz w:val="24"/>
          <w:szCs w:val="24"/>
          <w:lang w:val="en-GB"/>
        </w:rPr>
        <w:t xml:space="preserve">reward </w:t>
      </w:r>
      <w:r>
        <w:rPr>
          <w:rFonts w:hint="default" w:ascii="Calibri" w:hAnsi="Calibri" w:cs="Calibri"/>
          <w:sz w:val="24"/>
          <w:szCs w:val="24"/>
          <w:lang w:val="en-GB"/>
        </w:rPr>
        <w:t>package</w:t>
      </w:r>
      <w:r>
        <w:rPr>
          <w:rFonts w:ascii="Calibri" w:hAnsi="Calibri" w:cs="Calibri"/>
          <w:sz w:val="24"/>
          <w:szCs w:val="24"/>
          <w:lang w:val="en-GB"/>
        </w:rPr>
        <w:t xml:space="preserve"> based primarily around extrinsic factors, it is important to understand that intrinsic influences are usually more influential long term (Taylor and Woodhams, p.74, 2022). An example of this can be demonstrated through the Self-determination theory where it is thought that humans have three basic psychological needs : autonomy, competence and relatedness. This leads to people feeling in control especially in their own development.  This intrinsic effect can have a positive </w:t>
      </w:r>
      <w:r>
        <w:rPr>
          <w:rFonts w:hint="default" w:ascii="Calibri" w:hAnsi="Calibri" w:cs="Calibri"/>
          <w:sz w:val="24"/>
          <w:szCs w:val="24"/>
          <w:lang w:val="en-GB"/>
        </w:rPr>
        <w:t xml:space="preserve">impact </w:t>
      </w:r>
      <w:r>
        <w:rPr>
          <w:rFonts w:ascii="Calibri" w:hAnsi="Calibri" w:cs="Calibri"/>
          <w:sz w:val="24"/>
          <w:szCs w:val="24"/>
          <w:lang w:val="en-GB"/>
        </w:rPr>
        <w:t xml:space="preserve">on job satisfaction and higher levels of performance (CIPD, 2021). An example of this is Google’s 20% rule where employees are able to spend up to 20% of their time on a project that doesn’t fit within the parameters of their job description. Results of these projects have included products such as Gmail and Google news (CNBC, 2021). </w:t>
      </w:r>
    </w:p>
    <w:p w14:paraId="095702FE">
      <w:pPr>
        <w:pStyle w:val="18"/>
        <w:rPr>
          <w:rFonts w:ascii="Calibri" w:hAnsi="Calibri" w:cs="Calibri"/>
          <w:sz w:val="24"/>
          <w:szCs w:val="24"/>
          <w:lang w:val="en-GB"/>
        </w:rPr>
      </w:pPr>
    </w:p>
    <w:p w14:paraId="095702FF">
      <w:pPr>
        <w:pStyle w:val="18"/>
        <w:rPr>
          <w:rFonts w:ascii="Calibri" w:hAnsi="Calibri" w:cs="Calibri"/>
          <w:b/>
          <w:bCs/>
          <w:sz w:val="24"/>
          <w:szCs w:val="24"/>
          <w:lang w:val="en-GB"/>
        </w:rPr>
      </w:pPr>
      <w:r>
        <w:rPr>
          <w:rFonts w:ascii="Calibri" w:hAnsi="Calibri" w:cs="Calibri"/>
          <w:b/>
          <w:bCs/>
          <w:sz w:val="24"/>
          <w:szCs w:val="24"/>
          <w:lang w:val="en-GB"/>
        </w:rPr>
        <w:t>Extrinsic motivation:</w:t>
      </w:r>
    </w:p>
    <w:p w14:paraId="09570300">
      <w:pPr>
        <w:pStyle w:val="18"/>
        <w:rPr>
          <w:rFonts w:ascii="Calibri" w:hAnsi="Calibri" w:cs="Calibri"/>
          <w:sz w:val="24"/>
          <w:szCs w:val="24"/>
          <w:lang w:val="en-GB"/>
        </w:rPr>
      </w:pPr>
      <w:r>
        <w:rPr>
          <w:rFonts w:ascii="Calibri" w:hAnsi="Calibri" w:cs="Calibri"/>
          <w:sz w:val="24"/>
          <w:szCs w:val="24"/>
          <w:lang w:val="en-GB"/>
        </w:rPr>
        <w:t xml:space="preserve">According to People Management (2017), extrinsic reward is an important element in any workplace reward scheme. There are four categories of the overall reward: pay, personal development, benefits and individual growth. In a 2022 survey conducted by the CIPD, there has been an increase in financial and social benefits as well as health and well being initiatives. During the cost of living crisis, financial reward </w:t>
      </w:r>
      <w:r>
        <w:rPr>
          <w:rFonts w:hint="default" w:ascii="Calibri" w:hAnsi="Calibri" w:cs="Calibri"/>
          <w:sz w:val="24"/>
          <w:szCs w:val="24"/>
          <w:lang w:val="en-GB"/>
        </w:rPr>
        <w:t>has</w:t>
      </w:r>
      <w:r>
        <w:rPr>
          <w:rFonts w:ascii="Calibri" w:hAnsi="Calibri" w:cs="Calibri"/>
          <w:sz w:val="24"/>
          <w:szCs w:val="24"/>
          <w:lang w:val="en-GB"/>
        </w:rPr>
        <w:t xml:space="preserve"> especially been important as employees who experience money worries tend to more absent f</w:t>
      </w:r>
      <w:r>
        <w:rPr>
          <w:rFonts w:hint="default" w:ascii="Calibri" w:hAnsi="Calibri" w:cs="Calibri"/>
          <w:sz w:val="24"/>
          <w:szCs w:val="24"/>
          <w:lang w:val="en-GB"/>
        </w:rPr>
        <w:t>rom</w:t>
      </w:r>
      <w:r>
        <w:rPr>
          <w:rFonts w:ascii="Calibri" w:hAnsi="Calibri" w:cs="Calibri"/>
          <w:sz w:val="24"/>
          <w:szCs w:val="24"/>
          <w:lang w:val="en-GB"/>
        </w:rPr>
        <w:t xml:space="preserve"> work and experience presenteeism (CIPD, 2025). An example of this can see through the work conducted by Claire Grainer, CEO at  Morrisons who changed the pay structure and saw a turnaround in success of what was once a retailer </w:t>
      </w:r>
      <w:r>
        <w:rPr>
          <w:rFonts w:hint="default" w:ascii="Calibri" w:hAnsi="Calibri" w:cs="Calibri"/>
          <w:sz w:val="24"/>
          <w:szCs w:val="24"/>
          <w:lang w:val="en-GB"/>
        </w:rPr>
        <w:t xml:space="preserve">in </w:t>
      </w:r>
      <w:r>
        <w:rPr>
          <w:rFonts w:ascii="Calibri" w:hAnsi="Calibri" w:cs="Calibri"/>
          <w:sz w:val="24"/>
          <w:szCs w:val="24"/>
          <w:lang w:val="en-GB"/>
        </w:rPr>
        <w:t xml:space="preserve">decline (Taylor and Woodhams, p.84-85, 2022). </w:t>
      </w:r>
    </w:p>
    <w:p w14:paraId="09570301">
      <w:pPr>
        <w:pStyle w:val="18"/>
        <w:rPr>
          <w:rFonts w:ascii="Calibri" w:hAnsi="Calibri" w:cs="Calibri"/>
          <w:sz w:val="24"/>
          <w:szCs w:val="24"/>
          <w:lang w:val="en-GB"/>
        </w:rPr>
      </w:pPr>
    </w:p>
    <w:p w14:paraId="09570302">
      <w:pPr>
        <w:pStyle w:val="18"/>
        <w:rPr>
          <w:rFonts w:hint="default" w:ascii="Calibri" w:hAnsi="Calibri" w:cs="Calibri"/>
          <w:sz w:val="24"/>
          <w:szCs w:val="24"/>
          <w:lang w:val="en-GB"/>
        </w:rPr>
      </w:pPr>
      <w:r>
        <w:rPr>
          <w:rFonts w:ascii="Calibri" w:hAnsi="Calibri" w:cs="Calibri"/>
          <w:sz w:val="24"/>
          <w:szCs w:val="24"/>
          <w:lang w:val="en-GB"/>
        </w:rPr>
        <w:t xml:space="preserve">Whilst extrinsic motivators are key to an organisations success it is also worth noting that intrinsic factors can prove more beneficial. To improve performance and engagement by all employees at Eco Insulate UK it would be worth considering introducing a more enhanced reward package to all employees which help to demonstrate a more fair and consistent approach to supporting all staff not just senior members of the team. </w:t>
      </w:r>
    </w:p>
    <w:p w14:paraId="09570303">
      <w:pPr>
        <w:pStyle w:val="18"/>
        <w:rPr>
          <w:rFonts w:ascii="Calibri" w:hAnsi="Calibri" w:cs="Calibri"/>
          <w:sz w:val="24"/>
          <w:szCs w:val="24"/>
          <w:lang w:val="en-GB"/>
        </w:rPr>
      </w:pPr>
    </w:p>
    <w:p w14:paraId="09570304">
      <w:pPr>
        <w:pStyle w:val="18"/>
        <w:rPr>
          <w:rFonts w:ascii="Calibri" w:hAnsi="Calibri" w:cs="Calibri"/>
          <w:sz w:val="24"/>
          <w:szCs w:val="24"/>
          <w:lang w:val="en-GB"/>
        </w:rPr>
      </w:pPr>
    </w:p>
    <w:p w14:paraId="09570305">
      <w:pPr>
        <w:pStyle w:val="18"/>
        <w:rPr>
          <w:rFonts w:ascii="Calibri" w:hAnsi="Calibri" w:cs="Calibri"/>
          <w:sz w:val="24"/>
          <w:szCs w:val="24"/>
          <w:lang w:val="en-GB"/>
        </w:rPr>
      </w:pPr>
    </w:p>
    <w:p w14:paraId="248DA45B">
      <w:pPr>
        <w:pStyle w:val="18"/>
        <w:rPr>
          <w:rFonts w:ascii="Calibri" w:hAnsi="Calibri" w:cs="Calibri"/>
          <w:sz w:val="24"/>
          <w:szCs w:val="24"/>
          <w:lang w:val="en-GB"/>
        </w:rPr>
      </w:pPr>
    </w:p>
    <w:p w14:paraId="09570306">
      <w:pPr>
        <w:pStyle w:val="18"/>
        <w:rPr>
          <w:rFonts w:ascii="Calibri" w:hAnsi="Calibri" w:cs="Calibri"/>
          <w:sz w:val="24"/>
          <w:szCs w:val="24"/>
          <w:lang w:val="en-GB"/>
        </w:rPr>
      </w:pPr>
    </w:p>
    <w:p w14:paraId="09570307">
      <w:pPr>
        <w:pStyle w:val="18"/>
        <w:rPr>
          <w:rFonts w:ascii="Calibri" w:hAnsi="Calibri" w:cs="Calibri"/>
          <w:sz w:val="24"/>
          <w:szCs w:val="24"/>
          <w:lang w:val="en-GB"/>
        </w:rPr>
      </w:pPr>
    </w:p>
    <w:p w14:paraId="09570308">
      <w:pPr>
        <w:pStyle w:val="18"/>
        <w:rPr>
          <w:rFonts w:ascii="Calibri" w:hAnsi="Calibri" w:cs="Calibri"/>
          <w:b/>
          <w:bCs/>
          <w:color w:val="000000" w:themeColor="text1"/>
          <w:sz w:val="24"/>
          <w:szCs w:val="24"/>
          <w14:textFill>
            <w14:solidFill>
              <w14:schemeClr w14:val="tx1"/>
            </w14:solidFill>
          </w14:textFill>
        </w:rPr>
      </w:pPr>
      <w:r>
        <w:rPr>
          <w:rFonts w:ascii="Calibri" w:hAnsi="Calibri" w:cs="Calibri"/>
          <w:b/>
          <w:bCs/>
          <w:sz w:val="24"/>
          <w:szCs w:val="24"/>
          <w:lang w:val="en-GB"/>
        </w:rPr>
        <w:t xml:space="preserve">2.1 </w:t>
      </w:r>
      <w:r>
        <w:rPr>
          <w:rFonts w:ascii="Calibri" w:hAnsi="Calibri" w:cs="Calibri"/>
          <w:b/>
          <w:bCs/>
          <w:color w:val="000000" w:themeColor="text1"/>
          <w:sz w:val="24"/>
          <w:szCs w:val="24"/>
          <w14:textFill>
            <w14:solidFill>
              <w14:schemeClr w14:val="tx1"/>
            </w14:solidFill>
          </w14:textFill>
        </w:rPr>
        <w:t>Explain the differences between types of grade and pay structures</w:t>
      </w:r>
    </w:p>
    <w:p w14:paraId="09570309">
      <w:pPr>
        <w:pStyle w:val="18"/>
        <w:rPr>
          <w:rFonts w:ascii="Calibri" w:hAnsi="Calibri" w:cs="Calibri"/>
          <w:b/>
          <w:bCs/>
          <w:color w:val="000000" w:themeColor="text1"/>
          <w:sz w:val="24"/>
          <w:szCs w:val="24"/>
          <w14:textFill>
            <w14:solidFill>
              <w14:schemeClr w14:val="tx1"/>
            </w14:solidFill>
          </w14:textFill>
        </w:rPr>
      </w:pPr>
    </w:p>
    <w:p w14:paraId="0957030A">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In order to the address the current issues of staff retention and negative culture at Eco Insulate UK, it would be worth looking to introduce different types of grade and pay structures which would help to raise levels of performance and morale to ensure employees are rewarded for their contribution (Taylor and Woodhams, 2022).  Grade and pay structures can be categorised as both formal (broad and narrow graded structures and pay spines) and informal (spot rates and individual (Unison, 2023).</w:t>
      </w:r>
    </w:p>
    <w:p w14:paraId="0957030B">
      <w:pPr>
        <w:pStyle w:val="18"/>
        <w:rPr>
          <w:rFonts w:ascii="Calibri" w:hAnsi="Calibri" w:cs="Calibri"/>
          <w:color w:val="000000" w:themeColor="text1"/>
          <w:sz w:val="24"/>
          <w:szCs w:val="24"/>
          <w:lang w:val="en-GB"/>
          <w14:textFill>
            <w14:solidFill>
              <w14:schemeClr w14:val="tx1"/>
            </w14:solidFill>
          </w14:textFill>
        </w:rPr>
      </w:pPr>
    </w:p>
    <w:p w14:paraId="0957030C">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Narrow and broad graded:</w:t>
      </w:r>
    </w:p>
    <w:p w14:paraId="0957030D">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Broad graded structures have few levels compared to narrow graded structures that may have more than 10 tiers (Taylor and Woodhams, 2022, p.79).  </w:t>
      </w:r>
      <w:r>
        <w:rPr>
          <w:rFonts w:hint="default" w:ascii="Calibri" w:hAnsi="Calibri" w:cs="Calibri"/>
          <w:color w:val="000000" w:themeColor="text1"/>
          <w:sz w:val="24"/>
          <w:szCs w:val="24"/>
          <w:lang w:val="en-GB"/>
          <w14:textFill>
            <w14:solidFill>
              <w14:schemeClr w14:val="tx1"/>
            </w14:solidFill>
          </w14:textFill>
        </w:rPr>
        <w:t>In</w:t>
      </w:r>
      <w:r>
        <w:rPr>
          <w:rFonts w:ascii="Calibri" w:hAnsi="Calibri" w:cs="Calibri"/>
          <w:color w:val="000000" w:themeColor="text1"/>
          <w:sz w:val="24"/>
          <w:szCs w:val="24"/>
          <w:lang w:val="en-GB"/>
          <w14:textFill>
            <w14:solidFill>
              <w14:schemeClr w14:val="tx1"/>
            </w14:solidFill>
          </w14:textFill>
        </w:rPr>
        <w:t xml:space="preserve"> narrow graded structure</w:t>
      </w:r>
      <w:r>
        <w:rPr>
          <w:rFonts w:hint="default" w:ascii="Calibri" w:hAnsi="Calibri" w:cs="Calibri"/>
          <w:color w:val="000000" w:themeColor="text1"/>
          <w:sz w:val="24"/>
          <w:szCs w:val="24"/>
          <w:lang w:val="en-GB"/>
          <w14:textFill>
            <w14:solidFill>
              <w14:schemeClr w14:val="tx1"/>
            </w14:solidFill>
          </w14:textFill>
        </w:rPr>
        <w:t>s</w:t>
      </w:r>
      <w:r>
        <w:rPr>
          <w:rFonts w:ascii="Calibri" w:hAnsi="Calibri" w:cs="Calibri"/>
          <w:color w:val="000000" w:themeColor="text1"/>
          <w:sz w:val="24"/>
          <w:szCs w:val="24"/>
          <w:lang w:val="en-GB"/>
          <w14:textFill>
            <w14:solidFill>
              <w14:schemeClr w14:val="tx1"/>
            </w14:solidFill>
          </w14:textFill>
        </w:rPr>
        <w:t>, pay is incremental and is awarded in line with length of service or promotion and is usually found in public sector organisations. Broad graded structures are more flexible in their approach and can be based on competency where increments can be more frequent. The employer has to be mindful of equal pay requirements in this structure to ensure fair progression for all workers (Unison, 2023).</w:t>
      </w:r>
    </w:p>
    <w:p w14:paraId="0957030E">
      <w:pPr>
        <w:pStyle w:val="18"/>
        <w:rPr>
          <w:rFonts w:ascii="Calibri" w:hAnsi="Calibri" w:cs="Calibri"/>
          <w:color w:val="000000" w:themeColor="text1"/>
          <w:sz w:val="24"/>
          <w:szCs w:val="24"/>
          <w:lang w:val="en-GB"/>
          <w14:textFill>
            <w14:solidFill>
              <w14:schemeClr w14:val="tx1"/>
            </w14:solidFill>
          </w14:textFill>
        </w:rPr>
      </w:pPr>
    </w:p>
    <w:p w14:paraId="0957030F">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Pay spines:</w:t>
      </w:r>
    </w:p>
    <w:p w14:paraId="09570310">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According to the CIPD (2024), pay spines are based on incremental points that are usually aligned with length of service.  Again mostly used in the public sector and are based on increases of 2 or 3 per cent of salary. Private sector organisations use this in line with the cost of living crisis to try to align their salary increases with inflation (Unison, 2023). </w:t>
      </w:r>
    </w:p>
    <w:p w14:paraId="09570311">
      <w:pPr>
        <w:pStyle w:val="18"/>
        <w:rPr>
          <w:rFonts w:ascii="Calibri" w:hAnsi="Calibri" w:cs="Calibri"/>
          <w:color w:val="000000" w:themeColor="text1"/>
          <w:sz w:val="24"/>
          <w:szCs w:val="24"/>
          <w:lang w:val="en-GB"/>
          <w14:textFill>
            <w14:solidFill>
              <w14:schemeClr w14:val="tx1"/>
            </w14:solidFill>
          </w14:textFill>
        </w:rPr>
      </w:pPr>
    </w:p>
    <w:p w14:paraId="09570312">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Spot Rates:</w:t>
      </w:r>
    </w:p>
    <w:p w14:paraId="09570313">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Spot rates are usually found within structures linked to low level skilled employees or someone at a very senior level where the rates are set in terms of market factors or inflation. The aim of this structure is to attract and retain an individual person (CIPD, 2024). The difficulty with this structure compared to a pay spine is that employees lack morale and productivity as there is no clear path of progression (Unison, 2023).</w:t>
      </w:r>
    </w:p>
    <w:p w14:paraId="09570314">
      <w:pPr>
        <w:pStyle w:val="18"/>
        <w:rPr>
          <w:rFonts w:ascii="Calibri" w:hAnsi="Calibri" w:cs="Calibri"/>
          <w:color w:val="000000" w:themeColor="text1"/>
          <w:sz w:val="24"/>
          <w:szCs w:val="24"/>
          <w:lang w:val="en-GB"/>
          <w14:textFill>
            <w14:solidFill>
              <w14:schemeClr w14:val="tx1"/>
            </w14:solidFill>
          </w14:textFill>
        </w:rPr>
      </w:pPr>
    </w:p>
    <w:p w14:paraId="09570315">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Individual pay ranges:</w:t>
      </w:r>
    </w:p>
    <w:p w14:paraId="09570316">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This structure is very similar to spot rates by providing individual salaries but offers a range of salary</w:t>
      </w:r>
      <w:r>
        <w:rPr>
          <w:rFonts w:hint="default" w:ascii="Calibri" w:hAnsi="Calibri" w:cs="Calibri"/>
          <w:color w:val="000000" w:themeColor="text1"/>
          <w:sz w:val="24"/>
          <w:szCs w:val="24"/>
          <w:lang w:val="en-GB"/>
          <w14:textFill>
            <w14:solidFill>
              <w14:schemeClr w14:val="tx1"/>
            </w14:solidFill>
          </w14:textFill>
        </w:rPr>
        <w:t>s</w:t>
      </w:r>
      <w:r>
        <w:rPr>
          <w:rFonts w:ascii="Calibri" w:hAnsi="Calibri" w:cs="Calibri"/>
          <w:color w:val="000000" w:themeColor="text1"/>
          <w:sz w:val="24"/>
          <w:szCs w:val="24"/>
          <w:lang w:val="en-GB"/>
          <w14:textFill>
            <w14:solidFill>
              <w14:schemeClr w14:val="tx1"/>
            </w14:solidFill>
          </w14:textFill>
        </w:rPr>
        <w:t xml:space="preserve"> allowing for clear progression which will improve</w:t>
      </w:r>
      <w:r>
        <w:rPr>
          <w:rFonts w:hint="default" w:ascii="Calibri" w:hAnsi="Calibri" w:cs="Calibri"/>
          <w:color w:val="000000" w:themeColor="text1"/>
          <w:sz w:val="24"/>
          <w:szCs w:val="24"/>
          <w:lang w:val="en-GB"/>
          <w14:textFill>
            <w14:solidFill>
              <w14:schemeClr w14:val="tx1"/>
            </w14:solidFill>
          </w14:textFill>
        </w:rPr>
        <w:t xml:space="preserve"> </w:t>
      </w:r>
      <w:r>
        <w:rPr>
          <w:rFonts w:ascii="Calibri" w:hAnsi="Calibri" w:cs="Calibri"/>
          <w:color w:val="000000" w:themeColor="text1"/>
          <w:sz w:val="24"/>
          <w:szCs w:val="24"/>
          <w:lang w:val="en-GB"/>
          <w14:textFill>
            <w14:solidFill>
              <w14:schemeClr w14:val="tx1"/>
            </w14:solidFill>
          </w14:textFill>
        </w:rPr>
        <w:t>morale and productivity (CIPD, 2024). Advice and guidance can be provided to allow an employee to progress through the range as part of performance and learning and development opportunities (Unison, 2023).</w:t>
      </w:r>
    </w:p>
    <w:p w14:paraId="09570317">
      <w:pPr>
        <w:pStyle w:val="18"/>
        <w:rPr>
          <w:rFonts w:ascii="Calibri" w:hAnsi="Calibri" w:cs="Calibri"/>
          <w:color w:val="000000" w:themeColor="text1"/>
          <w:sz w:val="24"/>
          <w:szCs w:val="24"/>
          <w:lang w:val="en-GB"/>
          <w14:textFill>
            <w14:solidFill>
              <w14:schemeClr w14:val="tx1"/>
            </w14:solidFill>
          </w14:textFill>
        </w:rPr>
      </w:pPr>
    </w:p>
    <w:p w14:paraId="09570318">
      <w:pPr>
        <w:pStyle w:val="18"/>
        <w:rPr>
          <w:rFonts w:hint="default" w:ascii="Calibri" w:hAnsi="Calibri" w:cs="Calibri"/>
          <w:color w:val="000000" w:themeColor="text1"/>
          <w:sz w:val="24"/>
          <w:szCs w:val="24"/>
          <w:lang w:val="en-GB"/>
          <w14:textFill>
            <w14:solidFill>
              <w14:schemeClr w14:val="tx1"/>
            </w14:solidFill>
          </w14:textFill>
        </w:rPr>
      </w:pPr>
      <w:r>
        <w:rPr>
          <w:rFonts w:hint="default" w:ascii="Calibri" w:hAnsi="Calibri" w:cs="Calibri"/>
          <w:color w:val="000000" w:themeColor="text1"/>
          <w:sz w:val="24"/>
          <w:szCs w:val="24"/>
          <w:lang w:val="en-GB"/>
          <w14:textFill>
            <w14:solidFill>
              <w14:schemeClr w14:val="tx1"/>
            </w14:solidFill>
          </w14:textFill>
        </w:rPr>
        <w:t>T</w:t>
      </w:r>
      <w:r>
        <w:rPr>
          <w:rFonts w:ascii="Calibri" w:hAnsi="Calibri" w:cs="Calibri"/>
          <w:color w:val="000000" w:themeColor="text1"/>
          <w:sz w:val="24"/>
          <w:szCs w:val="24"/>
          <w:lang w:val="en-GB"/>
          <w14:textFill>
            <w14:solidFill>
              <w14:schemeClr w14:val="tx1"/>
            </w14:solidFill>
          </w14:textFill>
        </w:rPr>
        <w:t xml:space="preserve">here is no best fit for a single organsiation when deciding on a pay and grade structure however my recommendations for Eco Insulate UK would be to consider either a narrow graded or individual pay range to improve morale and career progression while at all times being mindful of problems with inequity (Taylor and Woodhams, 2022). </w:t>
      </w:r>
      <w:r>
        <w:rPr>
          <w:rFonts w:hint="default" w:ascii="Calibri" w:hAnsi="Calibri" w:cs="Calibri"/>
          <w:color w:val="000000" w:themeColor="text1"/>
          <w:sz w:val="24"/>
          <w:szCs w:val="24"/>
          <w:lang w:val="en-GB"/>
          <w14:textFill>
            <w14:solidFill>
              <w14:schemeClr w14:val="tx1"/>
            </w14:solidFill>
          </w14:textFill>
        </w:rPr>
        <w:t>(433)</w:t>
      </w:r>
    </w:p>
    <w:p w14:paraId="20EC9ADD">
      <w:pPr>
        <w:pStyle w:val="18"/>
        <w:rPr>
          <w:rFonts w:hint="default" w:ascii="Calibri" w:hAnsi="Calibri" w:cs="Calibri"/>
          <w:color w:val="000000" w:themeColor="text1"/>
          <w:sz w:val="24"/>
          <w:szCs w:val="24"/>
          <w:lang w:val="en-GB"/>
          <w14:textFill>
            <w14:solidFill>
              <w14:schemeClr w14:val="tx1"/>
            </w14:solidFill>
          </w14:textFill>
        </w:rPr>
      </w:pPr>
    </w:p>
    <w:p w14:paraId="6B3B8C6C">
      <w:pPr>
        <w:pStyle w:val="18"/>
        <w:rPr>
          <w:rFonts w:hint="default" w:ascii="Calibri" w:hAnsi="Calibri" w:cs="Calibri"/>
          <w:color w:val="000000" w:themeColor="text1"/>
          <w:sz w:val="24"/>
          <w:szCs w:val="24"/>
          <w:lang w:val="en-GB"/>
          <w14:textFill>
            <w14:solidFill>
              <w14:schemeClr w14:val="tx1"/>
            </w14:solidFill>
          </w14:textFill>
        </w:rPr>
      </w:pPr>
    </w:p>
    <w:p w14:paraId="09570319">
      <w:pPr>
        <w:pStyle w:val="18"/>
        <w:rPr>
          <w:rFonts w:ascii="Calibri" w:hAnsi="Calibri" w:cs="Calibri"/>
          <w:color w:val="000000" w:themeColor="text1"/>
          <w:sz w:val="24"/>
          <w:szCs w:val="24"/>
          <w:lang w:val="en-GB"/>
          <w14:textFill>
            <w14:solidFill>
              <w14:schemeClr w14:val="tx1"/>
            </w14:solidFill>
          </w14:textFill>
        </w:rPr>
      </w:pPr>
    </w:p>
    <w:p w14:paraId="3AD99848">
      <w:pPr>
        <w:pStyle w:val="18"/>
        <w:rPr>
          <w:rFonts w:ascii="Calibri" w:hAnsi="Calibri" w:cs="Calibri"/>
          <w:b/>
          <w:bCs/>
          <w:color w:val="000000" w:themeColor="text1"/>
          <w:sz w:val="24"/>
          <w:szCs w:val="28"/>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 xml:space="preserve">2.2 </w:t>
      </w:r>
      <w:r>
        <w:rPr>
          <w:rFonts w:ascii="Calibri" w:hAnsi="Calibri" w:cs="Calibri"/>
          <w:b/>
          <w:bCs/>
          <w:color w:val="000000" w:themeColor="text1"/>
          <w:sz w:val="24"/>
          <w:szCs w:val="28"/>
          <w14:textFill>
            <w14:solidFill>
              <w14:schemeClr w14:val="tx1"/>
            </w14:solidFill>
          </w14:textFill>
        </w:rPr>
        <w:t>Explain how contingent rewards can impact individual, team and organisational performance</w:t>
      </w:r>
    </w:p>
    <w:p w14:paraId="5C2033F1">
      <w:pPr>
        <w:pStyle w:val="18"/>
        <w:rPr>
          <w:rFonts w:ascii="Calibri" w:hAnsi="Calibri" w:cs="Calibri"/>
          <w:b/>
          <w:bCs/>
          <w:color w:val="000000" w:themeColor="text1"/>
          <w:sz w:val="24"/>
          <w:szCs w:val="28"/>
          <w14:textFill>
            <w14:solidFill>
              <w14:schemeClr w14:val="tx1"/>
            </w14:solidFill>
          </w14:textFill>
        </w:rPr>
      </w:pPr>
    </w:p>
    <w:p w14:paraId="634DDB97">
      <w:pPr>
        <w:pStyle w:val="18"/>
        <w:rPr>
          <w:rFonts w:hint="default" w:ascii="Calibri" w:hAnsi="Calibri" w:cs="Calibri"/>
          <w:color w:val="000000" w:themeColor="text1"/>
          <w:sz w:val="24"/>
          <w:szCs w:val="28"/>
          <w:lang w:val="en-GB"/>
          <w14:textFill>
            <w14:solidFill>
              <w14:schemeClr w14:val="tx1"/>
            </w14:solidFill>
          </w14:textFill>
        </w:rPr>
      </w:pPr>
      <w:r>
        <w:rPr>
          <w:rFonts w:hint="default" w:ascii="Calibri" w:hAnsi="Calibri" w:cs="Calibri"/>
          <w:color w:val="000000" w:themeColor="text1"/>
          <w:sz w:val="24"/>
          <w:szCs w:val="28"/>
          <w:lang w:val="en-GB"/>
          <w14:textFill>
            <w14:solidFill>
              <w14:schemeClr w14:val="tx1"/>
            </w14:solidFill>
          </w14:textFill>
        </w:rPr>
        <w:t xml:space="preserve">Contingent </w:t>
      </w:r>
      <w:r>
        <w:rPr>
          <w:rFonts w:ascii="Calibri" w:hAnsi="Calibri" w:cs="Calibri"/>
          <w:color w:val="000000" w:themeColor="text1"/>
          <w:sz w:val="24"/>
          <w:szCs w:val="28"/>
          <w:lang w:val="en-GB"/>
          <w14:textFill>
            <w14:solidFill>
              <w14:schemeClr w14:val="tx1"/>
            </w14:solidFill>
          </w14:textFill>
        </w:rPr>
        <w:t xml:space="preserve">reward could be a useful consideration </w:t>
      </w:r>
      <w:r>
        <w:rPr>
          <w:rFonts w:hint="default" w:ascii="Calibri" w:hAnsi="Calibri" w:cs="Calibri"/>
          <w:color w:val="000000" w:themeColor="text1"/>
          <w:sz w:val="24"/>
          <w:szCs w:val="28"/>
          <w:lang w:val="en-GB"/>
          <w14:textFill>
            <w14:solidFill>
              <w14:schemeClr w14:val="tx1"/>
            </w14:solidFill>
          </w14:textFill>
        </w:rPr>
        <w:t>for</w:t>
      </w:r>
      <w:r>
        <w:rPr>
          <w:rFonts w:ascii="Calibri" w:hAnsi="Calibri" w:cs="Calibri"/>
          <w:color w:val="000000" w:themeColor="text1"/>
          <w:sz w:val="24"/>
          <w:szCs w:val="28"/>
          <w:lang w:val="en-GB"/>
          <w14:textFill>
            <w14:solidFill>
              <w14:schemeClr w14:val="tx1"/>
            </w14:solidFill>
          </w14:textFill>
        </w:rPr>
        <w:t xml:space="preserve"> Eco Insulate UK to help to motivate and impro</w:t>
      </w:r>
      <w:r>
        <w:rPr>
          <w:rFonts w:hint="default" w:ascii="Calibri" w:hAnsi="Calibri" w:cs="Calibri"/>
          <w:color w:val="000000" w:themeColor="text1"/>
          <w:sz w:val="24"/>
          <w:szCs w:val="28"/>
          <w:lang w:val="en-GB"/>
          <w14:textFill>
            <w14:solidFill>
              <w14:schemeClr w14:val="tx1"/>
            </w14:solidFill>
          </w14:textFill>
        </w:rPr>
        <w:t>ve</w:t>
      </w:r>
      <w:r>
        <w:rPr>
          <w:rFonts w:ascii="Calibri" w:hAnsi="Calibri" w:cs="Calibri"/>
          <w:color w:val="000000" w:themeColor="text1"/>
          <w:sz w:val="24"/>
          <w:szCs w:val="28"/>
          <w:lang w:val="en-GB"/>
          <w14:textFill>
            <w14:solidFill>
              <w14:schemeClr w14:val="tx1"/>
            </w14:solidFill>
          </w14:textFill>
        </w:rPr>
        <w:t xml:space="preserve"> individual’s, team and overall organisational performance</w:t>
      </w:r>
      <w:r>
        <w:rPr>
          <w:rFonts w:hint="default" w:ascii="Calibri" w:hAnsi="Calibri" w:cs="Calibri"/>
          <w:color w:val="000000" w:themeColor="text1"/>
          <w:sz w:val="24"/>
          <w:szCs w:val="28"/>
          <w:lang w:val="en-GB"/>
          <w14:textFill>
            <w14:solidFill>
              <w14:schemeClr w14:val="tx1"/>
            </w14:solidFill>
          </w14:textFill>
        </w:rPr>
        <w:t xml:space="preserve"> through</w:t>
      </w:r>
      <w:r>
        <w:rPr>
          <w:rFonts w:ascii="Calibri" w:hAnsi="Calibri" w:cs="Calibri"/>
          <w:color w:val="000000" w:themeColor="text1"/>
          <w:sz w:val="24"/>
          <w:szCs w:val="28"/>
          <w:lang w:val="en-GB"/>
          <w14:textFill>
            <w14:solidFill>
              <w14:schemeClr w14:val="tx1"/>
            </w14:solidFill>
          </w14:textFill>
        </w:rPr>
        <w:t xml:space="preserve"> the use of </w:t>
      </w:r>
      <w:r>
        <w:rPr>
          <w:rFonts w:hint="default" w:ascii="Calibri" w:hAnsi="Calibri" w:cs="Calibri"/>
          <w:color w:val="000000" w:themeColor="text1"/>
          <w:sz w:val="24"/>
          <w:szCs w:val="28"/>
          <w:lang w:val="en-GB"/>
          <w14:textFill>
            <w14:solidFill>
              <w14:schemeClr w14:val="tx1"/>
            </w14:solidFill>
          </w14:textFill>
        </w:rPr>
        <w:t xml:space="preserve">the following </w:t>
      </w:r>
      <w:r>
        <w:rPr>
          <w:rFonts w:ascii="Calibri" w:hAnsi="Calibri" w:cs="Calibri"/>
          <w:color w:val="000000" w:themeColor="text1"/>
          <w:sz w:val="24"/>
          <w:szCs w:val="28"/>
          <w:lang w:val="en-GB"/>
          <w14:textFill>
            <w14:solidFill>
              <w14:schemeClr w14:val="tx1"/>
            </w14:solidFill>
          </w14:textFill>
        </w:rPr>
        <w:t>strategies</w:t>
      </w:r>
      <w:r>
        <w:rPr>
          <w:rFonts w:hint="default" w:ascii="Calibri" w:hAnsi="Calibri" w:cs="Calibri"/>
          <w:color w:val="000000" w:themeColor="text1"/>
          <w:sz w:val="24"/>
          <w:szCs w:val="28"/>
          <w:lang w:val="en-GB"/>
          <w14:textFill>
            <w14:solidFill>
              <w14:schemeClr w14:val="tx1"/>
            </w14:solidFill>
          </w14:textFill>
        </w:rPr>
        <w:t>:</w:t>
      </w:r>
    </w:p>
    <w:p w14:paraId="437D7F24">
      <w:pPr>
        <w:pStyle w:val="18"/>
        <w:rPr>
          <w:rFonts w:hint="default" w:ascii="Calibri" w:hAnsi="Calibri" w:cs="Calibri"/>
          <w:color w:val="000000" w:themeColor="text1"/>
          <w:sz w:val="24"/>
          <w:szCs w:val="28"/>
          <w:lang w:val="en-GB"/>
          <w14:textFill>
            <w14:solidFill>
              <w14:schemeClr w14:val="tx1"/>
            </w14:solidFill>
          </w14:textFill>
        </w:rPr>
      </w:pPr>
    </w:p>
    <w:p w14:paraId="35DA4F0A">
      <w:pPr>
        <w:pStyle w:val="18"/>
        <w:rPr>
          <w:rFonts w:ascii="Calibri" w:hAnsi="Calibri" w:cs="Calibri"/>
          <w:b/>
          <w:bCs/>
          <w:color w:val="000000" w:themeColor="text1"/>
          <w:sz w:val="24"/>
          <w:szCs w:val="28"/>
          <w:lang w:val="en-GB"/>
          <w14:textFill>
            <w14:solidFill>
              <w14:schemeClr w14:val="tx1"/>
            </w14:solidFill>
          </w14:textFill>
        </w:rPr>
      </w:pPr>
      <w:r>
        <w:rPr>
          <w:rFonts w:hint="default" w:ascii="Calibri" w:hAnsi="Calibri" w:cs="Calibri"/>
          <w:b/>
          <w:bCs/>
          <w:color w:val="000000" w:themeColor="text1"/>
          <w:sz w:val="24"/>
          <w:szCs w:val="28"/>
          <w:lang w:val="en-GB"/>
          <w14:textFill>
            <w14:solidFill>
              <w14:schemeClr w14:val="tx1"/>
            </w14:solidFill>
          </w14:textFill>
        </w:rPr>
        <w:t>Performance related pay</w:t>
      </w:r>
      <w:r>
        <w:rPr>
          <w:rFonts w:ascii="Calibri" w:hAnsi="Calibri" w:cs="Calibri"/>
          <w:b/>
          <w:bCs/>
          <w:color w:val="000000" w:themeColor="text1"/>
          <w:sz w:val="24"/>
          <w:szCs w:val="28"/>
          <w:lang w:val="en-GB"/>
          <w14:textFill>
            <w14:solidFill>
              <w14:schemeClr w14:val="tx1"/>
            </w14:solidFill>
          </w14:textFill>
        </w:rPr>
        <w:t>:</w:t>
      </w:r>
    </w:p>
    <w:p w14:paraId="0957031F">
      <w:pPr>
        <w:pStyle w:val="18"/>
        <w:rPr>
          <w:rFonts w:ascii="Calibri" w:hAnsi="Calibri" w:cs="Calibri"/>
          <w:color w:val="000000" w:themeColor="text1"/>
          <w:sz w:val="24"/>
          <w:szCs w:val="28"/>
          <w:lang w:val="en-GB"/>
          <w14:textFill>
            <w14:solidFill>
              <w14:schemeClr w14:val="tx1"/>
            </w14:solidFill>
          </w14:textFill>
        </w:rPr>
      </w:pPr>
      <w:r>
        <w:rPr>
          <w:rFonts w:hint="default" w:ascii="Calibri" w:hAnsi="Calibri" w:cs="Calibri"/>
          <w:color w:val="000000" w:themeColor="text1"/>
          <w:sz w:val="24"/>
          <w:szCs w:val="28"/>
          <w:lang w:val="en-GB"/>
          <w14:textFill>
            <w14:solidFill>
              <w14:schemeClr w14:val="tx1"/>
            </w14:solidFill>
          </w14:textFill>
        </w:rPr>
        <w:t xml:space="preserve">Performance related </w:t>
      </w:r>
      <w:r>
        <w:rPr>
          <w:rFonts w:ascii="Calibri" w:hAnsi="Calibri" w:cs="Calibri"/>
          <w:color w:val="000000" w:themeColor="text1"/>
          <w:sz w:val="24"/>
          <w:szCs w:val="28"/>
          <w:lang w:val="en-GB"/>
          <w14:textFill>
            <w14:solidFill>
              <w14:schemeClr w14:val="tx1"/>
            </w14:solidFill>
          </w14:textFill>
        </w:rPr>
        <w:t>pay i</w:t>
      </w:r>
      <w:r>
        <w:rPr>
          <w:rFonts w:hint="default" w:ascii="Calibri" w:hAnsi="Calibri" w:cs="Calibri"/>
          <w:color w:val="000000" w:themeColor="text1"/>
          <w:sz w:val="24"/>
          <w:szCs w:val="28"/>
          <w:lang w:val="en-GB"/>
          <w14:textFill>
            <w14:solidFill>
              <w14:schemeClr w14:val="tx1"/>
            </w14:solidFill>
          </w14:textFill>
        </w:rPr>
        <w:t>s a</w:t>
      </w:r>
      <w:r>
        <w:rPr>
          <w:rFonts w:ascii="Calibri" w:hAnsi="Calibri" w:cs="Calibri"/>
          <w:color w:val="000000" w:themeColor="text1"/>
          <w:sz w:val="24"/>
          <w:szCs w:val="28"/>
          <w:lang w:val="en-GB"/>
          <w14:textFill>
            <w14:solidFill>
              <w14:schemeClr w14:val="tx1"/>
            </w14:solidFill>
          </w14:textFill>
        </w:rPr>
        <w:t xml:space="preserve"> way to engage and motivate individuals. If employees are set specific targets linked to the organisations’ strategy, it will help them to understand the role they play in it’s achievement</w:t>
      </w:r>
      <w:r>
        <w:rPr>
          <w:rFonts w:hint="default" w:ascii="Calibri" w:hAnsi="Calibri" w:cs="Calibri"/>
          <w:color w:val="000000" w:themeColor="text1"/>
          <w:sz w:val="24"/>
          <w:szCs w:val="28"/>
          <w:lang w:val="en-GB"/>
          <w14:textFill>
            <w14:solidFill>
              <w14:schemeClr w14:val="tx1"/>
            </w14:solidFill>
          </w14:textFill>
        </w:rPr>
        <w:t>,</w:t>
      </w:r>
      <w:r>
        <w:rPr>
          <w:rFonts w:ascii="Calibri" w:hAnsi="Calibri" w:cs="Calibri"/>
          <w:color w:val="000000" w:themeColor="text1"/>
          <w:sz w:val="24"/>
          <w:szCs w:val="28"/>
          <w:lang w:val="en-GB"/>
          <w14:textFill>
            <w14:solidFill>
              <w14:schemeClr w14:val="tx1"/>
            </w14:solidFill>
          </w14:textFill>
        </w:rPr>
        <w:t xml:space="preserve"> </w:t>
      </w:r>
      <w:r>
        <w:rPr>
          <w:rFonts w:hint="default" w:ascii="Calibri" w:hAnsi="Calibri" w:cs="Calibri"/>
          <w:color w:val="000000" w:themeColor="text1"/>
          <w:sz w:val="24"/>
          <w:szCs w:val="28"/>
          <w:lang w:val="en-GB"/>
          <w14:textFill>
            <w14:solidFill>
              <w14:schemeClr w14:val="tx1"/>
            </w14:solidFill>
          </w14:textFill>
        </w:rPr>
        <w:t xml:space="preserve">helping the organisation to achieve its strategic aims </w:t>
      </w:r>
      <w:r>
        <w:rPr>
          <w:rFonts w:ascii="Calibri" w:hAnsi="Calibri" w:cs="Calibri"/>
          <w:color w:val="000000" w:themeColor="text1"/>
          <w:sz w:val="24"/>
          <w:szCs w:val="28"/>
          <w:lang w:val="en-GB"/>
          <w14:textFill>
            <w14:solidFill>
              <w14:schemeClr w14:val="tx1"/>
            </w14:solidFill>
          </w14:textFill>
        </w:rPr>
        <w:t>(Taylor and Woodhams, 2022). According to a CIPD report from 2022, performance-related pay help</w:t>
      </w:r>
      <w:r>
        <w:rPr>
          <w:rFonts w:hint="default" w:ascii="Calibri" w:hAnsi="Calibri" w:cs="Calibri"/>
          <w:color w:val="000000" w:themeColor="text1"/>
          <w:sz w:val="24"/>
          <w:szCs w:val="28"/>
          <w:lang w:val="en-GB"/>
          <w14:textFill>
            <w14:solidFill>
              <w14:schemeClr w14:val="tx1"/>
            </w14:solidFill>
          </w14:textFill>
        </w:rPr>
        <w:t>s</w:t>
      </w:r>
      <w:r>
        <w:rPr>
          <w:rFonts w:ascii="Calibri" w:hAnsi="Calibri" w:cs="Calibri"/>
          <w:color w:val="000000" w:themeColor="text1"/>
          <w:sz w:val="24"/>
          <w:szCs w:val="28"/>
          <w:lang w:val="en-GB"/>
          <w14:textFill>
            <w14:solidFill>
              <w14:schemeClr w14:val="tx1"/>
            </w14:solidFill>
          </w14:textFill>
        </w:rPr>
        <w:t xml:space="preserve"> to positively impact an individuals motivation and will improve their performance. </w:t>
      </w:r>
      <w:r>
        <w:rPr>
          <w:rFonts w:hint="default" w:ascii="Calibri" w:hAnsi="Calibri" w:cs="Calibri"/>
          <w:color w:val="000000" w:themeColor="text1"/>
          <w:sz w:val="24"/>
          <w:szCs w:val="28"/>
          <w:lang w:val="en-GB"/>
          <w14:textFill>
            <w14:solidFill>
              <w14:schemeClr w14:val="tx1"/>
            </w14:solidFill>
          </w14:textFill>
        </w:rPr>
        <w:t>It can also help</w:t>
      </w:r>
      <w:r>
        <w:rPr>
          <w:rFonts w:ascii="Calibri" w:hAnsi="Calibri" w:cs="Calibri"/>
          <w:color w:val="000000" w:themeColor="text1"/>
          <w:sz w:val="24"/>
          <w:szCs w:val="28"/>
          <w:lang w:val="en-GB"/>
          <w14:textFill>
            <w14:solidFill>
              <w14:schemeClr w14:val="tx1"/>
            </w14:solidFill>
          </w14:textFill>
        </w:rPr>
        <w:t xml:space="preserve"> to establish a positive, collaborative working environment, whereby individuals work collectively to achieve team</w:t>
      </w:r>
      <w:r>
        <w:rPr>
          <w:rFonts w:hint="default" w:ascii="Calibri" w:hAnsi="Calibri" w:cs="Calibri"/>
          <w:color w:val="000000" w:themeColor="text1"/>
          <w:sz w:val="24"/>
          <w:szCs w:val="28"/>
          <w:lang w:val="en-GB"/>
          <w14:textFill>
            <w14:solidFill>
              <w14:schemeClr w14:val="tx1"/>
            </w14:solidFill>
          </w14:textFill>
        </w:rPr>
        <w:t xml:space="preserve"> </w:t>
      </w:r>
      <w:r>
        <w:rPr>
          <w:rFonts w:ascii="Calibri" w:hAnsi="Calibri" w:cs="Calibri"/>
          <w:color w:val="000000" w:themeColor="text1"/>
          <w:sz w:val="24"/>
          <w:szCs w:val="28"/>
          <w:lang w:val="en-GB"/>
          <w14:textFill>
            <w14:solidFill>
              <w14:schemeClr w14:val="tx1"/>
            </w14:solidFill>
          </w14:textFill>
        </w:rPr>
        <w:t>succ</w:t>
      </w:r>
      <w:r>
        <w:rPr>
          <w:rFonts w:hint="default" w:ascii="Calibri" w:hAnsi="Calibri" w:cs="Calibri"/>
          <w:color w:val="000000" w:themeColor="text1"/>
          <w:sz w:val="24"/>
          <w:szCs w:val="28"/>
          <w:lang w:val="en-GB"/>
          <w14:textFill>
            <w14:solidFill>
              <w14:schemeClr w14:val="tx1"/>
            </w14:solidFill>
          </w14:textFill>
        </w:rPr>
        <w:t xml:space="preserve">ess. However, </w:t>
      </w:r>
      <w:r>
        <w:rPr>
          <w:rFonts w:ascii="Calibri" w:hAnsi="Calibri" w:cs="Calibri"/>
          <w:color w:val="000000" w:themeColor="text1"/>
          <w:sz w:val="24"/>
          <w:szCs w:val="28"/>
          <w:lang w:val="en-GB"/>
          <w14:textFill>
            <w14:solidFill>
              <w14:schemeClr w14:val="tx1"/>
            </w14:solidFill>
          </w14:textFill>
        </w:rPr>
        <w:t>this type of rew</w:t>
      </w:r>
      <w:r>
        <w:rPr>
          <w:rFonts w:hint="default" w:ascii="Calibri" w:hAnsi="Calibri" w:cs="Calibri"/>
          <w:color w:val="000000" w:themeColor="text1"/>
          <w:sz w:val="24"/>
          <w:szCs w:val="28"/>
          <w:lang w:val="en-GB"/>
          <w14:textFill>
            <w14:solidFill>
              <w14:schemeClr w14:val="tx1"/>
            </w14:solidFill>
          </w14:textFill>
        </w:rPr>
        <w:t xml:space="preserve">ard </w:t>
      </w:r>
      <w:r>
        <w:rPr>
          <w:rFonts w:ascii="Calibri" w:hAnsi="Calibri" w:cs="Calibri"/>
          <w:color w:val="000000" w:themeColor="text1"/>
          <w:sz w:val="24"/>
          <w:szCs w:val="28"/>
          <w:lang w:val="en-GB"/>
          <w14:textFill>
            <w14:solidFill>
              <w14:schemeClr w14:val="tx1"/>
            </w14:solidFill>
          </w14:textFill>
        </w:rPr>
        <w:t xml:space="preserve"> raise</w:t>
      </w:r>
      <w:r>
        <w:rPr>
          <w:rFonts w:hint="default" w:ascii="Calibri" w:hAnsi="Calibri" w:cs="Calibri"/>
          <w:color w:val="000000" w:themeColor="text1"/>
          <w:sz w:val="24"/>
          <w:szCs w:val="28"/>
          <w:lang w:val="en-GB"/>
          <w14:textFill>
            <w14:solidFill>
              <w14:schemeClr w14:val="tx1"/>
            </w14:solidFill>
          </w14:textFill>
        </w:rPr>
        <w:t>s</w:t>
      </w:r>
      <w:r>
        <w:rPr>
          <w:rFonts w:ascii="Calibri" w:hAnsi="Calibri" w:cs="Calibri"/>
          <w:color w:val="000000" w:themeColor="text1"/>
          <w:sz w:val="24"/>
          <w:szCs w:val="28"/>
          <w:lang w:val="en-GB"/>
          <w14:textFill>
            <w14:solidFill>
              <w14:schemeClr w14:val="tx1"/>
            </w14:solidFill>
          </w14:textFill>
        </w:rPr>
        <w:t xml:space="preserve"> concerns around fairness as some team members may perform better than others </w:t>
      </w:r>
      <w:r>
        <w:rPr>
          <w:rFonts w:hint="default" w:ascii="Calibri" w:hAnsi="Calibri" w:cs="Calibri"/>
          <w:color w:val="000000" w:themeColor="text1"/>
          <w:sz w:val="24"/>
          <w:szCs w:val="28"/>
          <w:lang w:val="en-GB"/>
          <w14:textFill>
            <w14:solidFill>
              <w14:schemeClr w14:val="tx1"/>
            </w14:solidFill>
          </w14:textFill>
        </w:rPr>
        <w:t xml:space="preserve">and can leads to reduced intrinsic motivation </w:t>
      </w:r>
      <w:r>
        <w:rPr>
          <w:rFonts w:ascii="Calibri" w:hAnsi="Calibri" w:cs="Calibri"/>
          <w:color w:val="000000" w:themeColor="text1"/>
          <w:sz w:val="24"/>
          <w:szCs w:val="28"/>
          <w:lang w:val="en-GB"/>
          <w14:textFill>
            <w14:solidFill>
              <w14:schemeClr w14:val="tx1"/>
            </w14:solidFill>
          </w14:textFill>
        </w:rPr>
        <w:t>(CIPD, 2015).</w:t>
      </w:r>
      <w:r>
        <w:rPr>
          <w:rFonts w:hint="default" w:ascii="Calibri" w:hAnsi="Calibri" w:cs="Calibri"/>
          <w:color w:val="000000" w:themeColor="text1"/>
          <w:sz w:val="24"/>
          <w:szCs w:val="28"/>
          <w:lang w:val="en-GB"/>
          <w14:textFill>
            <w14:solidFill>
              <w14:schemeClr w14:val="tx1"/>
            </w14:solidFill>
          </w14:textFill>
        </w:rPr>
        <w:t xml:space="preserve"> </w:t>
      </w:r>
      <w:r>
        <w:rPr>
          <w:rFonts w:ascii="Calibri" w:hAnsi="Calibri" w:cs="Calibri"/>
          <w:color w:val="000000" w:themeColor="text1"/>
          <w:sz w:val="24"/>
          <w:szCs w:val="28"/>
          <w:lang w:val="en-GB"/>
          <w14:textFill>
            <w14:solidFill>
              <w14:schemeClr w14:val="tx1"/>
            </w14:solidFill>
          </w14:textFill>
        </w:rPr>
        <w:t xml:space="preserve">An example of this is Barclays Bank where performance is used to decide on bonus outcomes (Barclays, 2024). </w:t>
      </w:r>
    </w:p>
    <w:p w14:paraId="09570320">
      <w:pPr>
        <w:pStyle w:val="18"/>
        <w:rPr>
          <w:rFonts w:ascii="Calibri" w:hAnsi="Calibri" w:cs="Calibri"/>
          <w:b/>
          <w:bCs/>
          <w:color w:val="000000" w:themeColor="text1"/>
          <w:sz w:val="24"/>
          <w:szCs w:val="28"/>
          <w:lang w:val="en-GB"/>
          <w14:textFill>
            <w14:solidFill>
              <w14:schemeClr w14:val="tx1"/>
            </w14:solidFill>
          </w14:textFill>
        </w:rPr>
      </w:pPr>
    </w:p>
    <w:p w14:paraId="09570321">
      <w:pPr>
        <w:pStyle w:val="18"/>
        <w:rPr>
          <w:rFonts w:ascii="Calibri" w:hAnsi="Calibri" w:cs="Calibri"/>
          <w:b/>
          <w:bCs/>
          <w:color w:val="000000" w:themeColor="text1"/>
          <w:sz w:val="24"/>
          <w:szCs w:val="28"/>
          <w:lang w:val="en-GB"/>
          <w14:textFill>
            <w14:solidFill>
              <w14:schemeClr w14:val="tx1"/>
            </w14:solidFill>
          </w14:textFill>
        </w:rPr>
      </w:pPr>
      <w:r>
        <w:rPr>
          <w:rFonts w:hint="default" w:ascii="Calibri" w:hAnsi="Calibri" w:cs="Calibri"/>
          <w:b/>
          <w:bCs/>
          <w:color w:val="000000" w:themeColor="text1"/>
          <w:sz w:val="24"/>
          <w:szCs w:val="28"/>
          <w:lang w:val="en-GB"/>
          <w14:textFill>
            <w14:solidFill>
              <w14:schemeClr w14:val="tx1"/>
            </w14:solidFill>
          </w14:textFill>
        </w:rPr>
        <w:t>Competence related pay</w:t>
      </w:r>
      <w:r>
        <w:rPr>
          <w:rFonts w:ascii="Calibri" w:hAnsi="Calibri" w:cs="Calibri"/>
          <w:b/>
          <w:bCs/>
          <w:color w:val="000000" w:themeColor="text1"/>
          <w:sz w:val="24"/>
          <w:szCs w:val="28"/>
          <w:lang w:val="en-GB"/>
          <w14:textFill>
            <w14:solidFill>
              <w14:schemeClr w14:val="tx1"/>
            </w14:solidFill>
          </w14:textFill>
        </w:rPr>
        <w:t>:</w:t>
      </w:r>
    </w:p>
    <w:p w14:paraId="2F750F92">
      <w:pPr>
        <w:pStyle w:val="18"/>
        <w:rPr>
          <w:rFonts w:hint="default" w:ascii="Calibri" w:hAnsi="Calibri" w:cs="Calibri"/>
          <w:b w:val="0"/>
          <w:bCs w:val="0"/>
          <w:color w:val="000000" w:themeColor="text1"/>
          <w:sz w:val="24"/>
          <w:szCs w:val="28"/>
          <w:lang w:val="en-GB"/>
          <w14:textFill>
            <w14:solidFill>
              <w14:schemeClr w14:val="tx1"/>
            </w14:solidFill>
          </w14:textFill>
        </w:rPr>
      </w:pPr>
      <w:r>
        <w:rPr>
          <w:rFonts w:hint="default" w:ascii="Calibri" w:hAnsi="Calibri" w:cs="Calibri"/>
          <w:b w:val="0"/>
          <w:bCs w:val="0"/>
          <w:color w:val="000000" w:themeColor="text1"/>
          <w:sz w:val="24"/>
          <w:szCs w:val="28"/>
          <w:lang w:val="en-GB"/>
          <w14:textFill>
            <w14:solidFill>
              <w14:schemeClr w14:val="tx1"/>
            </w14:solidFill>
          </w14:textFill>
        </w:rPr>
        <w:t xml:space="preserve">Competence related pay is a way of rewarding an individual based on their competencies. A competency framework can be used to measure the capabilities of an employee and whether they are contributing to the required standard and/or above and beyond. The benefits of using this type of reward is that employees have a set of behaviours to follow that are standardised and measureable. They also help team and organisational performance by measuring inputs which link to team and organisational goals. It is worth noting that this type of reward can try to mould employees, creating a robotic output and it is also important that line managers fully understand the competencies used to measure success (CIPD, 2024). </w:t>
      </w:r>
    </w:p>
    <w:p w14:paraId="09570323">
      <w:pPr>
        <w:pStyle w:val="18"/>
        <w:rPr>
          <w:rFonts w:ascii="Calibri" w:hAnsi="Calibri" w:cs="Calibri"/>
          <w:b/>
          <w:bCs/>
          <w:color w:val="000000" w:themeColor="text1"/>
          <w:sz w:val="24"/>
          <w:szCs w:val="28"/>
          <w:lang w:val="en-GB"/>
          <w14:textFill>
            <w14:solidFill>
              <w14:schemeClr w14:val="tx1"/>
            </w14:solidFill>
          </w14:textFill>
        </w:rPr>
      </w:pPr>
    </w:p>
    <w:p w14:paraId="09570324">
      <w:pPr>
        <w:pStyle w:val="18"/>
        <w:rPr>
          <w:rFonts w:ascii="Calibri" w:hAnsi="Calibri" w:cs="Calibri"/>
          <w:b/>
          <w:bCs/>
          <w:color w:val="000000" w:themeColor="text1"/>
          <w:sz w:val="24"/>
          <w:szCs w:val="28"/>
          <w:lang w:val="en-GB"/>
          <w14:textFill>
            <w14:solidFill>
              <w14:schemeClr w14:val="tx1"/>
            </w14:solidFill>
          </w14:textFill>
        </w:rPr>
      </w:pPr>
      <w:r>
        <w:rPr>
          <w:rFonts w:hint="default" w:ascii="Calibri" w:hAnsi="Calibri" w:cs="Calibri"/>
          <w:b/>
          <w:bCs/>
          <w:color w:val="000000" w:themeColor="text1"/>
          <w:sz w:val="24"/>
          <w:szCs w:val="28"/>
          <w:lang w:val="en-GB"/>
          <w14:textFill>
            <w14:solidFill>
              <w14:schemeClr w14:val="tx1"/>
            </w14:solidFill>
          </w14:textFill>
        </w:rPr>
        <w:t>Contribution related pay</w:t>
      </w:r>
      <w:r>
        <w:rPr>
          <w:rFonts w:ascii="Calibri" w:hAnsi="Calibri" w:cs="Calibri"/>
          <w:b/>
          <w:bCs/>
          <w:color w:val="000000" w:themeColor="text1"/>
          <w:sz w:val="24"/>
          <w:szCs w:val="28"/>
          <w:lang w:val="en-GB"/>
          <w14:textFill>
            <w14:solidFill>
              <w14:schemeClr w14:val="tx1"/>
            </w14:solidFill>
          </w14:textFill>
        </w:rPr>
        <w:t>:</w:t>
      </w:r>
    </w:p>
    <w:p w14:paraId="66242E0C">
      <w:pPr>
        <w:pStyle w:val="18"/>
      </w:pPr>
      <w:r>
        <w:rPr>
          <w:rFonts w:hint="default" w:ascii="Calibri" w:hAnsi="Calibri" w:cs="Calibri"/>
          <w:color w:val="000000" w:themeColor="text1"/>
          <w:sz w:val="24"/>
          <w:szCs w:val="28"/>
          <w:lang w:val="en-GB"/>
          <w14:textFill>
            <w14:solidFill>
              <w14:schemeClr w14:val="tx1"/>
            </w14:solidFill>
          </w14:textFill>
        </w:rPr>
        <w:t>According to a 2012 report produced by the Institute for Employment Studies, contribution related pay has two key aims. Firstly, to recognise an individual’s contribution by providing them with the ability to progress through the pay system and to reward their level of contribution leading to improved job satisfaction. This helps the organisation to establish how individuals contribute to the overall organisation’s objectives and reward those achieving these standards. Secondly, it rewards those who are making effective contributions towards meeting their targets but also paying closer attention to the how, leading to greater job satisfaction and retention. Bonuses can also be linked to team performance, helping to support better working relationships  (CIPD, 2022)</w:t>
      </w:r>
    </w:p>
    <w:p w14:paraId="64BBC9EE">
      <w:pPr>
        <w:pStyle w:val="18"/>
        <w:rPr>
          <w:rFonts w:hint="default" w:ascii="Calibri" w:hAnsi="Calibri" w:cs="Calibri"/>
          <w:color w:val="000000" w:themeColor="text1"/>
          <w:sz w:val="24"/>
          <w:szCs w:val="28"/>
          <w:lang w:val="en-GB"/>
          <w14:textFill>
            <w14:solidFill>
              <w14:schemeClr w14:val="tx1"/>
            </w14:solidFill>
          </w14:textFill>
        </w:rPr>
      </w:pPr>
    </w:p>
    <w:p w14:paraId="09570328">
      <w:pPr>
        <w:pStyle w:val="18"/>
        <w:rPr>
          <w:rFonts w:ascii="Calibri" w:hAnsi="Calibri" w:cs="Calibri"/>
          <w:color w:val="000000" w:themeColor="text1"/>
          <w:sz w:val="24"/>
          <w:szCs w:val="28"/>
          <w:lang w:val="en-GB"/>
          <w14:textFill>
            <w14:solidFill>
              <w14:schemeClr w14:val="tx1"/>
            </w14:solidFill>
          </w14:textFill>
        </w:rPr>
      </w:pPr>
      <w:r>
        <w:rPr>
          <w:rFonts w:ascii="Calibri" w:hAnsi="Calibri" w:cs="Calibri"/>
          <w:color w:val="000000" w:themeColor="text1"/>
          <w:sz w:val="24"/>
          <w:szCs w:val="28"/>
          <w:lang w:val="en-GB"/>
          <w14:textFill>
            <w14:solidFill>
              <w14:schemeClr w14:val="tx1"/>
            </w14:solidFill>
          </w14:textFill>
        </w:rPr>
        <w:t>In conclusion, Eco Insulate UK could consider a contingent reward scheme to encourage individuals to perform against set organisational objectives, contributing to the overall aims and objectives</w:t>
      </w:r>
      <w:r>
        <w:rPr>
          <w:rFonts w:hint="default" w:ascii="Calibri" w:hAnsi="Calibri" w:cs="Calibri"/>
          <w:color w:val="000000" w:themeColor="text1"/>
          <w:sz w:val="24"/>
          <w:szCs w:val="28"/>
          <w:lang w:val="en-GB"/>
          <w14:textFill>
            <w14:solidFill>
              <w14:schemeClr w14:val="tx1"/>
            </w14:solidFill>
          </w14:textFill>
        </w:rPr>
        <w:t xml:space="preserve"> of the team and business.</w:t>
      </w:r>
    </w:p>
    <w:p w14:paraId="09570329">
      <w:pPr>
        <w:pStyle w:val="18"/>
        <w:rPr>
          <w:rFonts w:ascii="Calibri" w:hAnsi="Calibri" w:cs="Calibri"/>
          <w:b/>
          <w:bCs/>
          <w:color w:val="000000" w:themeColor="text1"/>
          <w:sz w:val="24"/>
          <w:szCs w:val="24"/>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 xml:space="preserve">2.3 </w:t>
      </w:r>
      <w:r>
        <w:rPr>
          <w:rFonts w:ascii="Calibri" w:hAnsi="Calibri" w:cs="Calibri"/>
          <w:b/>
          <w:bCs/>
          <w:color w:val="000000" w:themeColor="text1"/>
          <w:sz w:val="24"/>
          <w:szCs w:val="24"/>
          <w14:textFill>
            <w14:solidFill>
              <w14:schemeClr w14:val="tx1"/>
            </w14:solidFill>
          </w14:textFill>
        </w:rPr>
        <w:t>Explain the merits of different types of benefits offered by organisations</w:t>
      </w:r>
    </w:p>
    <w:p w14:paraId="0957032A">
      <w:pPr>
        <w:pStyle w:val="18"/>
        <w:rPr>
          <w:rFonts w:ascii="Calibri" w:hAnsi="Calibri" w:cs="Calibri"/>
          <w:b/>
          <w:bCs/>
          <w:color w:val="000000" w:themeColor="text1"/>
          <w:sz w:val="24"/>
          <w:szCs w:val="24"/>
          <w:lang w:val="en-GB"/>
          <w14:textFill>
            <w14:solidFill>
              <w14:schemeClr w14:val="tx1"/>
            </w14:solidFill>
          </w14:textFill>
        </w:rPr>
      </w:pPr>
    </w:p>
    <w:p w14:paraId="0957032B">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As a way of retaining talent in Eco Insulate UK, there are number of benefits that could be considered to enhance the existing</w:t>
      </w:r>
      <w:r>
        <w:rPr>
          <w:rFonts w:hint="default" w:ascii="Calibri" w:hAnsi="Calibri" w:cs="Calibri"/>
          <w:color w:val="000000" w:themeColor="text1"/>
          <w:sz w:val="24"/>
          <w:szCs w:val="24"/>
          <w:lang w:val="en-GB"/>
          <w14:textFill>
            <w14:solidFill>
              <w14:schemeClr w14:val="tx1"/>
            </w14:solidFill>
          </w14:textFill>
        </w:rPr>
        <w:t xml:space="preserve"> </w:t>
      </w:r>
      <w:r>
        <w:rPr>
          <w:rFonts w:ascii="Calibri" w:hAnsi="Calibri" w:cs="Calibri"/>
          <w:color w:val="000000" w:themeColor="text1"/>
          <w:sz w:val="24"/>
          <w:szCs w:val="24"/>
          <w:lang w:val="en-GB"/>
          <w14:textFill>
            <w14:solidFill>
              <w14:schemeClr w14:val="tx1"/>
            </w14:solidFill>
          </w14:textFill>
        </w:rPr>
        <w:t>employee support package. These could include benefits such flexible working arrangements, Employee Assistance Programmes and additional financial benefits. Providing these extra benefits, above and beyond the basic package can help to support organisational performance and boost morale to improve staff retention (CIPD, 2025).</w:t>
      </w:r>
    </w:p>
    <w:p w14:paraId="0957032C">
      <w:pPr>
        <w:pStyle w:val="18"/>
        <w:rPr>
          <w:rFonts w:ascii="Calibri" w:hAnsi="Calibri" w:cs="Calibri"/>
          <w:color w:val="000000" w:themeColor="text1"/>
          <w:sz w:val="24"/>
          <w:szCs w:val="24"/>
          <w:lang w:val="en-GB"/>
          <w14:textFill>
            <w14:solidFill>
              <w14:schemeClr w14:val="tx1"/>
            </w14:solidFill>
          </w14:textFill>
        </w:rPr>
      </w:pPr>
    </w:p>
    <w:p w14:paraId="0957032D">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Flexible Working Arrangements:</w:t>
      </w:r>
    </w:p>
    <w:p w14:paraId="0957032E">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The CIPD (2025) define flexible working as ‘a type of working arrangement which gives a degree of flexibility on how long, where, when and at what time employees work’.The direct benefits </w:t>
      </w:r>
      <w:r>
        <w:rPr>
          <w:rFonts w:hint="default" w:ascii="Calibri" w:hAnsi="Calibri" w:cs="Calibri"/>
          <w:color w:val="000000" w:themeColor="text1"/>
          <w:sz w:val="24"/>
          <w:szCs w:val="24"/>
          <w:lang w:val="en-GB"/>
          <w14:textFill>
            <w14:solidFill>
              <w14:schemeClr w14:val="tx1"/>
            </w14:solidFill>
          </w14:textFill>
        </w:rPr>
        <w:t xml:space="preserve">to the employer </w:t>
      </w:r>
      <w:r>
        <w:rPr>
          <w:rFonts w:ascii="Calibri" w:hAnsi="Calibri" w:cs="Calibri"/>
          <w:color w:val="000000" w:themeColor="text1"/>
          <w:sz w:val="24"/>
          <w:szCs w:val="24"/>
          <w:lang w:val="en-GB"/>
          <w14:textFill>
            <w14:solidFill>
              <w14:schemeClr w14:val="tx1"/>
            </w14:solidFill>
          </w14:textFill>
        </w:rPr>
        <w:t xml:space="preserve">can include a drop in absence rates and the ability to attract a better calibre of candidate (CIPD, 2025). There are </w:t>
      </w:r>
      <w:r>
        <w:rPr>
          <w:rFonts w:hint="default" w:ascii="Calibri" w:hAnsi="Calibri" w:cs="Calibri"/>
          <w:color w:val="000000" w:themeColor="text1"/>
          <w:sz w:val="24"/>
          <w:szCs w:val="24"/>
          <w:lang w:val="en-GB"/>
          <w14:textFill>
            <w14:solidFill>
              <w14:schemeClr w14:val="tx1"/>
            </w14:solidFill>
          </w14:textFill>
        </w:rPr>
        <w:t>also</w:t>
      </w:r>
      <w:r>
        <w:rPr>
          <w:rFonts w:ascii="Calibri" w:hAnsi="Calibri" w:cs="Calibri"/>
          <w:color w:val="000000" w:themeColor="text1"/>
          <w:sz w:val="24"/>
          <w:szCs w:val="24"/>
          <w:lang w:val="en-GB"/>
          <w14:textFill>
            <w14:solidFill>
              <w14:schemeClr w14:val="tx1"/>
            </w14:solidFill>
          </w14:textFill>
        </w:rPr>
        <w:t xml:space="preserve"> benefits to the employee which include better job satisfaction, performance and the ability to manage ill health</w:t>
      </w:r>
      <w:r>
        <w:rPr>
          <w:rFonts w:hint="default" w:ascii="Calibri" w:hAnsi="Calibri" w:cs="Calibri"/>
          <w:color w:val="000000" w:themeColor="text1"/>
          <w:sz w:val="24"/>
          <w:szCs w:val="24"/>
          <w:lang w:val="en-GB"/>
          <w14:textFill>
            <w14:solidFill>
              <w14:schemeClr w14:val="tx1"/>
            </w14:solidFill>
          </w14:textFill>
        </w:rPr>
        <w:t xml:space="preserve">. </w:t>
      </w:r>
      <w:r>
        <w:rPr>
          <w:rFonts w:ascii="Calibri" w:hAnsi="Calibri" w:cs="Calibri"/>
          <w:color w:val="000000" w:themeColor="text1"/>
          <w:sz w:val="24"/>
          <w:szCs w:val="24"/>
          <w:lang w:val="en-GB"/>
          <w14:textFill>
            <w14:solidFill>
              <w14:schemeClr w14:val="tx1"/>
            </w14:solidFill>
          </w14:textFill>
        </w:rPr>
        <w:t>(The Tavistock Institute, 2009). A report produced by the CIPD (2023), has also linked flexible working arrangements to the better management of stress and health. A good example of this is the RSPCA who have introduced a successful hybrid model where employee engagement scores rose from 61% in 2019 to 80% in 2024 (CIPD, 2025)</w:t>
      </w:r>
    </w:p>
    <w:p w14:paraId="0957032F">
      <w:pPr>
        <w:pStyle w:val="18"/>
        <w:rPr>
          <w:rFonts w:ascii="Calibri" w:hAnsi="Calibri" w:cs="Calibri"/>
          <w:color w:val="000000" w:themeColor="text1"/>
          <w:sz w:val="24"/>
          <w:szCs w:val="24"/>
          <w:lang w:val="en-GB"/>
          <w14:textFill>
            <w14:solidFill>
              <w14:schemeClr w14:val="tx1"/>
            </w14:solidFill>
          </w14:textFill>
        </w:rPr>
      </w:pPr>
    </w:p>
    <w:p w14:paraId="09570330">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Employee Assistance Programmes:</w:t>
      </w:r>
    </w:p>
    <w:p w14:paraId="09570331">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EAP can be used to help employees</w:t>
      </w:r>
      <w:r>
        <w:rPr>
          <w:rFonts w:hint="default" w:ascii="Calibri" w:hAnsi="Calibri" w:cs="Calibri"/>
          <w:color w:val="000000" w:themeColor="text1"/>
          <w:sz w:val="24"/>
          <w:szCs w:val="24"/>
          <w:lang w:val="en-GB"/>
          <w14:textFill>
            <w14:solidFill>
              <w14:schemeClr w14:val="tx1"/>
            </w14:solidFill>
          </w14:textFill>
        </w:rPr>
        <w:t xml:space="preserve"> with</w:t>
      </w:r>
      <w:r>
        <w:rPr>
          <w:rFonts w:ascii="Calibri" w:hAnsi="Calibri" w:cs="Calibri"/>
          <w:color w:val="000000" w:themeColor="text1"/>
          <w:sz w:val="24"/>
          <w:szCs w:val="24"/>
          <w:lang w:val="en-GB"/>
          <w14:textFill>
            <w14:solidFill>
              <w14:schemeClr w14:val="tx1"/>
            </w14:solidFill>
          </w14:textFill>
        </w:rPr>
        <w:t xml:space="preserve"> work-related and personal issue</w:t>
      </w:r>
      <w:r>
        <w:rPr>
          <w:rFonts w:hint="default" w:ascii="Calibri" w:hAnsi="Calibri" w:cs="Calibri"/>
          <w:color w:val="000000" w:themeColor="text1"/>
          <w:sz w:val="24"/>
          <w:szCs w:val="24"/>
          <w:lang w:val="en-GB"/>
          <w14:textFill>
            <w14:solidFill>
              <w14:schemeClr w14:val="tx1"/>
            </w14:solidFill>
          </w14:textFill>
        </w:rPr>
        <w:t>s</w:t>
      </w:r>
      <w:r>
        <w:rPr>
          <w:rFonts w:ascii="Calibri" w:hAnsi="Calibri" w:cs="Calibri"/>
          <w:color w:val="000000" w:themeColor="text1"/>
          <w:sz w:val="24"/>
          <w:szCs w:val="24"/>
          <w:lang w:val="en-GB"/>
          <w14:textFill>
            <w14:solidFill>
              <w14:schemeClr w14:val="tx1"/>
            </w14:solidFill>
          </w14:textFill>
        </w:rPr>
        <w:t xml:space="preserve"> that may be affecting their physical and mental health. The main benefit to the employer is that it helps to be more proactive in dealing with any potential issues which could impact performance in the workplace.There are other benefits that these programmes can provide to both employer and employee including a reduction in absence rates and an increase in employee satisfaction. Another benefit which could directly link to Eco Insulate UK is that it can help to decrease staff turnover (CIPD, 2023).</w:t>
      </w:r>
    </w:p>
    <w:p w14:paraId="09570333">
      <w:pPr>
        <w:pStyle w:val="18"/>
        <w:rPr>
          <w:rFonts w:ascii="Calibri" w:hAnsi="Calibri" w:cs="Calibri"/>
          <w:color w:val="000000" w:themeColor="text1"/>
          <w:sz w:val="24"/>
          <w:szCs w:val="24"/>
          <w:lang w:val="en-GB"/>
          <w14:textFill>
            <w14:solidFill>
              <w14:schemeClr w14:val="tx1"/>
            </w14:solidFill>
          </w14:textFill>
        </w:rPr>
      </w:pPr>
    </w:p>
    <w:p w14:paraId="09570334">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Additional financial benefits:</w:t>
      </w:r>
    </w:p>
    <w:p w14:paraId="09570335">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According to a CIPD survey produced in 2022, SME’s similar to Eco Insulate UK are likely to offer additional financial support such as end of year/Christmas bonuses, hampers, vouchers and gifts. It is more likely that the business’s will be from the private sector as opposed to the the public (CIPD, 2022). Another term for this type of benefit is ‘Voluntary benefits’. These benefits offer small compensation for lower pay and they can be a substitute for cash, helping employers where benefits can be secured at discount rates. It can also help support employees in times of need and austerity (CIPD, 2015). </w:t>
      </w:r>
    </w:p>
    <w:p w14:paraId="09570336">
      <w:pPr>
        <w:pStyle w:val="18"/>
        <w:rPr>
          <w:rFonts w:ascii="Calibri" w:hAnsi="Calibri" w:cs="Calibri"/>
          <w:color w:val="000000" w:themeColor="text1"/>
          <w:sz w:val="24"/>
          <w:szCs w:val="24"/>
          <w:lang w:val="en-GB"/>
          <w14:textFill>
            <w14:solidFill>
              <w14:schemeClr w14:val="tx1"/>
            </w14:solidFill>
          </w14:textFill>
        </w:rPr>
      </w:pPr>
    </w:p>
    <w:p w14:paraId="09570337">
      <w:pPr>
        <w:pStyle w:val="18"/>
        <w:rPr>
          <w:rFonts w:hint="default" w:ascii="Calibri" w:hAnsi="Calibri" w:cs="Calibri"/>
          <w:color w:val="000000" w:themeColor="text1"/>
          <w:sz w:val="24"/>
          <w:szCs w:val="24"/>
          <w:lang w:val="en-GB"/>
          <w14:textFill>
            <w14:solidFill>
              <w14:schemeClr w14:val="tx1"/>
            </w14:solidFill>
          </w14:textFill>
        </w:rPr>
      </w:pPr>
      <w:r>
        <w:rPr>
          <w:rFonts w:hint="default" w:ascii="Calibri" w:hAnsi="Calibri" w:cs="Calibri"/>
          <w:color w:val="000000" w:themeColor="text1"/>
          <w:sz w:val="24"/>
          <w:szCs w:val="24"/>
          <w:lang w:val="en-GB"/>
          <w14:textFill>
            <w14:solidFill>
              <w14:schemeClr w14:val="tx1"/>
            </w14:solidFill>
          </w14:textFill>
        </w:rPr>
        <w:t>Co</w:t>
      </w:r>
      <w:r>
        <w:rPr>
          <w:rFonts w:ascii="Calibri" w:hAnsi="Calibri" w:cs="Calibri"/>
          <w:color w:val="000000" w:themeColor="text1"/>
          <w:sz w:val="24"/>
          <w:szCs w:val="24"/>
          <w:lang w:val="en-GB"/>
          <w14:textFill>
            <w14:solidFill>
              <w14:schemeClr w14:val="tx1"/>
            </w14:solidFill>
          </w14:textFill>
        </w:rPr>
        <w:t xml:space="preserve">nsidering the use of the above benefits would help to retain high calibre employees and provide better job satisfaction, therefore helping to support increased productivity and performance (CIPD, 2025). </w:t>
      </w:r>
    </w:p>
    <w:p w14:paraId="11A6BE48">
      <w:pPr>
        <w:pStyle w:val="18"/>
        <w:rPr>
          <w:rFonts w:ascii="Calibri" w:hAnsi="Calibri" w:cs="Calibri"/>
          <w:color w:val="000000" w:themeColor="text1"/>
          <w:sz w:val="24"/>
          <w:szCs w:val="24"/>
          <w:lang w:val="en-GB"/>
          <w14:textFill>
            <w14:solidFill>
              <w14:schemeClr w14:val="tx1"/>
            </w14:solidFill>
          </w14:textFill>
        </w:rPr>
      </w:pPr>
    </w:p>
    <w:p w14:paraId="43481B5A">
      <w:pPr>
        <w:pStyle w:val="18"/>
        <w:rPr>
          <w:rFonts w:ascii="Calibri" w:hAnsi="Calibri" w:cs="Calibri"/>
          <w:color w:val="000000" w:themeColor="text1"/>
          <w:sz w:val="24"/>
          <w:szCs w:val="24"/>
          <w:lang w:val="en-GB"/>
          <w14:textFill>
            <w14:solidFill>
              <w14:schemeClr w14:val="tx1"/>
            </w14:solidFill>
          </w14:textFill>
        </w:rPr>
      </w:pPr>
    </w:p>
    <w:p w14:paraId="09570338">
      <w:pPr>
        <w:pStyle w:val="18"/>
        <w:rPr>
          <w:rFonts w:ascii="Calibri" w:hAnsi="Calibri" w:cs="Calibri"/>
          <w:color w:val="000000" w:themeColor="text1"/>
          <w:sz w:val="24"/>
          <w:szCs w:val="24"/>
          <w:lang w:val="en-GB"/>
          <w14:textFill>
            <w14:solidFill>
              <w14:schemeClr w14:val="tx1"/>
            </w14:solidFill>
          </w14:textFill>
        </w:rPr>
      </w:pPr>
    </w:p>
    <w:p w14:paraId="09570339">
      <w:pPr>
        <w:pStyle w:val="18"/>
        <w:rPr>
          <w:rFonts w:ascii="Calibri" w:hAnsi="Calibri" w:cs="Calibri"/>
          <w:b/>
          <w:bCs/>
          <w:sz w:val="24"/>
          <w:szCs w:val="24"/>
        </w:rPr>
      </w:pPr>
      <w:r>
        <w:rPr>
          <w:rFonts w:ascii="Calibri" w:hAnsi="Calibri" w:cs="Calibri"/>
          <w:b/>
          <w:bCs/>
          <w:color w:val="000000" w:themeColor="text1"/>
          <w:sz w:val="24"/>
          <w:szCs w:val="24"/>
          <w:lang w:val="en-GB"/>
          <w14:textFill>
            <w14:solidFill>
              <w14:schemeClr w14:val="tx1"/>
            </w14:solidFill>
          </w14:textFill>
        </w:rPr>
        <w:t xml:space="preserve">2.4 </w:t>
      </w:r>
      <w:r>
        <w:rPr>
          <w:rFonts w:ascii="Calibri" w:hAnsi="Calibri" w:cs="Calibri"/>
          <w:b/>
          <w:bCs/>
          <w:sz w:val="24"/>
          <w:szCs w:val="24"/>
        </w:rPr>
        <w:t>Explain the merits of different types of recognition schemes offered by organisations.</w:t>
      </w:r>
    </w:p>
    <w:p w14:paraId="0957033A">
      <w:pPr>
        <w:pStyle w:val="18"/>
        <w:rPr>
          <w:rFonts w:ascii="Calibri" w:hAnsi="Calibri" w:cs="Calibri"/>
          <w:b/>
          <w:bCs/>
          <w:sz w:val="24"/>
          <w:szCs w:val="24"/>
          <w:lang w:val="en-GB"/>
        </w:rPr>
      </w:pPr>
    </w:p>
    <w:p w14:paraId="0957033B">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Recognition is defined as ‘the assignment of personal, non- monetary rewards for individual effort and work accomplishment’. Examples can include gratitiude, compliments, emails and public awards. The benefits of such rewards are seen to improve employee performance as outlined in the social comparison theory which states that comparing oneself positively with peers helps to improve self-esteem, raising performance through non-financial reward (CIPD, 2022). There are of 3 types of recognition schemes that could help Eco Insulate UK improve culture and staff retention.</w:t>
      </w:r>
    </w:p>
    <w:p w14:paraId="0957033C">
      <w:pPr>
        <w:pStyle w:val="18"/>
        <w:rPr>
          <w:rFonts w:ascii="Calibri" w:hAnsi="Calibri" w:cs="Calibri"/>
          <w:color w:val="000000" w:themeColor="text1"/>
          <w:sz w:val="24"/>
          <w:szCs w:val="24"/>
          <w:lang w:val="en-GB"/>
          <w14:textFill>
            <w14:solidFill>
              <w14:schemeClr w14:val="tx1"/>
            </w14:solidFill>
          </w14:textFill>
        </w:rPr>
      </w:pPr>
    </w:p>
    <w:p w14:paraId="0957033D">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Employee awards:</w:t>
      </w:r>
    </w:p>
    <w:p w14:paraId="0957033E">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An example of this is long service awards. Portal Training have a good example of this where employees receive recognition and a financial reward for 3,5 and 10 year service. These awards are presented in the annual corporate day to celebrate commitment to the organisation (IIP, 2024). A similar  example is the NHS who cite the benefits of long service awards as employee satisfaction, enhanced retention and improved culture (NHS, 2024). </w:t>
      </w:r>
    </w:p>
    <w:p w14:paraId="0957033F">
      <w:pPr>
        <w:pStyle w:val="18"/>
        <w:rPr>
          <w:rFonts w:ascii="Calibri" w:hAnsi="Calibri" w:cs="Calibri"/>
          <w:color w:val="000000" w:themeColor="text1"/>
          <w:sz w:val="24"/>
          <w:szCs w:val="24"/>
          <w:lang w:val="en-GB"/>
          <w14:textFill>
            <w14:solidFill>
              <w14:schemeClr w14:val="tx1"/>
            </w14:solidFill>
          </w14:textFill>
        </w:rPr>
      </w:pPr>
    </w:p>
    <w:p w14:paraId="09570340">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Individual compliments:</w:t>
      </w:r>
    </w:p>
    <w:p w14:paraId="09570341">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Recognising and thanking staff for their contribution has seen outcomes such as increased enjoyment at work, employee retention and  improvement of performance (CIPD, 2022). CIPD (2020), suggest hosting regular employee appreciation days. This can be used to formally congratulate those that have made generous contributions and succeeded in achieving KPI’s. An example of this is Employee Appreciation Day which is held each year on the first Friday in March.  If individuals feel appreciated they are more likely to stay. It also helps to form strong relationships, improving the culture of the organisation (People Insight, 2025).</w:t>
      </w:r>
    </w:p>
    <w:p w14:paraId="09570342">
      <w:pPr>
        <w:pStyle w:val="18"/>
        <w:rPr>
          <w:rFonts w:ascii="Calibri" w:hAnsi="Calibri" w:cs="Calibri"/>
          <w:color w:val="000000" w:themeColor="text1"/>
          <w:sz w:val="24"/>
          <w:szCs w:val="24"/>
          <w:lang w:val="en-GB"/>
          <w14:textFill>
            <w14:solidFill>
              <w14:schemeClr w14:val="tx1"/>
            </w14:solidFill>
          </w14:textFill>
        </w:rPr>
      </w:pPr>
    </w:p>
    <w:p w14:paraId="09570343">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Peer to peer recognition scheme:</w:t>
      </w:r>
    </w:p>
    <w:p w14:paraId="09570344">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Historically, employee recognition has been used through a top down approach, however more organisations are now starting to look at ways of peer to peer recognition (CIPD, 2022). According to Workvivo (2023), when colleagues are able to reward and recognise their peers achievements, it encourages a more collaborative and connected team ethos, leading to increased culture and productivity. Google has a good example of a ‘peer bonus’ scheme whereby a shared platform is used to share notes and messages to recognise achievements which creates a culture of appreciation. </w:t>
      </w:r>
    </w:p>
    <w:p w14:paraId="09570345">
      <w:pPr>
        <w:pStyle w:val="18"/>
        <w:rPr>
          <w:rFonts w:ascii="Calibri" w:hAnsi="Calibri" w:cs="Calibri"/>
          <w:color w:val="000000" w:themeColor="text1"/>
          <w:sz w:val="24"/>
          <w:szCs w:val="24"/>
          <w:lang w:val="en-GB"/>
          <w14:textFill>
            <w14:solidFill>
              <w14:schemeClr w14:val="tx1"/>
            </w14:solidFill>
          </w14:textFill>
        </w:rPr>
      </w:pPr>
    </w:p>
    <w:p w14:paraId="09570346">
      <w:pPr>
        <w:pStyle w:val="18"/>
        <w:rPr>
          <w:rFonts w:hint="default"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All above recognition schemes could be considered by Eco-Insulate and are easy ways of providing employee recognition without too many associated costs. Introducing such a scheme will help to make employees feel valued and more importantly for will reduce staff turnover, increase productivity and make it the employer of choice (CIPD, 2020).</w:t>
      </w:r>
      <w:r>
        <w:rPr>
          <w:rFonts w:hint="default" w:ascii="Calibri" w:hAnsi="Calibri" w:cs="Calibri"/>
          <w:color w:val="000000" w:themeColor="text1"/>
          <w:sz w:val="24"/>
          <w:szCs w:val="24"/>
          <w:lang w:val="en-GB"/>
          <w14:textFill>
            <w14:solidFill>
              <w14:schemeClr w14:val="tx1"/>
            </w14:solidFill>
          </w14:textFill>
        </w:rPr>
        <w:t xml:space="preserve"> </w:t>
      </w:r>
    </w:p>
    <w:p w14:paraId="09570347">
      <w:pPr>
        <w:pStyle w:val="18"/>
        <w:rPr>
          <w:rFonts w:ascii="Calibri" w:hAnsi="Calibri" w:cs="Calibri"/>
          <w:color w:val="000000" w:themeColor="text1"/>
          <w:sz w:val="24"/>
          <w:szCs w:val="24"/>
          <w:lang w:val="en-GB"/>
          <w14:textFill>
            <w14:solidFill>
              <w14:schemeClr w14:val="tx1"/>
            </w14:solidFill>
          </w14:textFill>
        </w:rPr>
      </w:pPr>
    </w:p>
    <w:p w14:paraId="09570348">
      <w:pPr>
        <w:pStyle w:val="18"/>
        <w:rPr>
          <w:rFonts w:ascii="Calibri" w:hAnsi="Calibri" w:cs="Calibri"/>
          <w:color w:val="000000" w:themeColor="text1"/>
          <w:sz w:val="24"/>
          <w:szCs w:val="24"/>
          <w:lang w:val="en-GB"/>
          <w14:textFill>
            <w14:solidFill>
              <w14:schemeClr w14:val="tx1"/>
            </w14:solidFill>
          </w14:textFill>
        </w:rPr>
      </w:pPr>
    </w:p>
    <w:p w14:paraId="09570349">
      <w:pPr>
        <w:pStyle w:val="18"/>
        <w:rPr>
          <w:rFonts w:ascii="Calibri" w:hAnsi="Calibri" w:cs="Calibri"/>
          <w:color w:val="000000" w:themeColor="text1"/>
          <w:sz w:val="24"/>
          <w:szCs w:val="24"/>
          <w:lang w:val="en-GB"/>
          <w14:textFill>
            <w14:solidFill>
              <w14:schemeClr w14:val="tx1"/>
            </w14:solidFill>
          </w14:textFill>
        </w:rPr>
      </w:pPr>
    </w:p>
    <w:p w14:paraId="0957034A">
      <w:pPr>
        <w:pStyle w:val="18"/>
        <w:rPr>
          <w:rFonts w:ascii="Calibri" w:hAnsi="Calibri" w:cs="Calibri"/>
          <w:color w:val="000000" w:themeColor="text1"/>
          <w:sz w:val="24"/>
          <w:szCs w:val="24"/>
          <w:lang w:val="en-GB"/>
          <w14:textFill>
            <w14:solidFill>
              <w14:schemeClr w14:val="tx1"/>
            </w14:solidFill>
          </w14:textFill>
        </w:rPr>
      </w:pPr>
    </w:p>
    <w:p w14:paraId="0957034B">
      <w:pPr>
        <w:pStyle w:val="18"/>
        <w:rPr>
          <w:rFonts w:ascii="Calibri" w:hAnsi="Calibri" w:eastAsia="Arial" w:cs="Calibri"/>
          <w:b/>
          <w:bCs/>
          <w:sz w:val="24"/>
          <w:szCs w:val="24"/>
        </w:rPr>
      </w:pPr>
      <w:r>
        <w:rPr>
          <w:rFonts w:ascii="Calibri" w:hAnsi="Calibri" w:cs="Calibri"/>
          <w:b/>
          <w:bCs/>
          <w:color w:val="000000" w:themeColor="text1"/>
          <w:sz w:val="24"/>
          <w:szCs w:val="24"/>
          <w:lang w:val="en-GB"/>
          <w14:textFill>
            <w14:solidFill>
              <w14:schemeClr w14:val="tx1"/>
            </w14:solidFill>
          </w14:textFill>
        </w:rPr>
        <w:t xml:space="preserve">3.1 </w:t>
      </w:r>
      <w:r>
        <w:rPr>
          <w:rFonts w:ascii="Calibri" w:hAnsi="Calibri" w:eastAsia="Arial" w:cs="Calibri"/>
          <w:b/>
          <w:bCs/>
          <w:sz w:val="24"/>
          <w:szCs w:val="24"/>
        </w:rPr>
        <w:t>Assess the business context of the reward environment.</w:t>
      </w:r>
    </w:p>
    <w:p w14:paraId="0957034C">
      <w:pPr>
        <w:pStyle w:val="18"/>
        <w:rPr>
          <w:rFonts w:ascii="Calibri" w:hAnsi="Calibri" w:eastAsia="Arial" w:cs="Calibri"/>
          <w:b/>
          <w:bCs/>
          <w:sz w:val="24"/>
          <w:szCs w:val="24"/>
        </w:rPr>
      </w:pPr>
    </w:p>
    <w:p w14:paraId="0957034D">
      <w:pPr>
        <w:pStyle w:val="18"/>
        <w:rPr>
          <w:rFonts w:hint="default" w:ascii="Calibri" w:hAnsi="Calibri" w:eastAsia="Arial" w:cs="Calibri"/>
          <w:sz w:val="24"/>
          <w:szCs w:val="24"/>
          <w:lang w:val="en-GB"/>
        </w:rPr>
      </w:pPr>
      <w:r>
        <w:rPr>
          <w:rFonts w:ascii="Calibri" w:hAnsi="Calibri" w:eastAsia="Arial" w:cs="Calibri"/>
          <w:sz w:val="24"/>
          <w:szCs w:val="24"/>
          <w:lang w:val="en-GB"/>
        </w:rPr>
        <w:t>Within Eco Insulate UK, there are 2 main issues that the organisation is facing, a negative culture and staff turnover rates. In order to be able to determine the right reward package</w:t>
      </w:r>
      <w:r>
        <w:rPr>
          <w:rFonts w:hint="default" w:ascii="Calibri" w:hAnsi="Calibri" w:eastAsia="Arial" w:cs="Calibri"/>
          <w:sz w:val="24"/>
          <w:szCs w:val="24"/>
          <w:lang w:val="en-GB"/>
        </w:rPr>
        <w:t>, both internal and external factors need to be considered. The internal factor that will be considered is the organisational struture and the external factor will be the recent increase to the Employer National Insurance contribution.</w:t>
      </w:r>
    </w:p>
    <w:p w14:paraId="23F62390">
      <w:pPr>
        <w:pStyle w:val="18"/>
        <w:rPr>
          <w:rFonts w:hint="default" w:ascii="Calibri" w:hAnsi="Calibri" w:eastAsia="Arial" w:cs="Calibri"/>
          <w:sz w:val="24"/>
          <w:szCs w:val="24"/>
          <w:lang w:val="en-GB"/>
        </w:rPr>
      </w:pPr>
    </w:p>
    <w:p w14:paraId="58F216A0">
      <w:pPr>
        <w:pStyle w:val="18"/>
        <w:rPr>
          <w:rFonts w:hint="default" w:ascii="Calibri" w:hAnsi="Calibri" w:eastAsia="Arial" w:cs="Calibri"/>
          <w:b/>
          <w:bCs/>
          <w:sz w:val="24"/>
          <w:szCs w:val="24"/>
          <w:lang w:val="en-GB"/>
        </w:rPr>
      </w:pPr>
      <w:r>
        <w:rPr>
          <w:rFonts w:hint="default" w:ascii="Calibri" w:hAnsi="Calibri" w:eastAsia="Arial" w:cs="Calibri"/>
          <w:b/>
          <w:bCs/>
          <w:sz w:val="24"/>
          <w:szCs w:val="24"/>
          <w:lang w:val="en-GB"/>
        </w:rPr>
        <w:t>Internal factor:</w:t>
      </w:r>
    </w:p>
    <w:p w14:paraId="4923BCA9">
      <w:pPr>
        <w:pStyle w:val="18"/>
        <w:rPr>
          <w:rFonts w:ascii="Calibri" w:hAnsi="Calibri" w:eastAsia="Arial" w:cs="Calibri"/>
          <w:sz w:val="24"/>
          <w:szCs w:val="24"/>
          <w:lang w:val="en-GB"/>
        </w:rPr>
      </w:pPr>
      <w:r>
        <w:rPr>
          <w:rFonts w:hint="default" w:ascii="Calibri" w:hAnsi="Calibri" w:eastAsia="Arial" w:cs="Calibri"/>
          <w:b w:val="0"/>
          <w:bCs w:val="0"/>
          <w:sz w:val="24"/>
          <w:szCs w:val="24"/>
          <w:lang w:val="en-GB"/>
        </w:rPr>
        <w:t>Eco Insulate UK is a medium size business in the manufacturing industry. The majority of workers within the organisational structure are on lower range salaries with a wage in line with minimal levels. With this type of employee on the factory floor, considerations need to be made whilst deciding on the most appropriate reward package which may differ to those in more senior positions who currently already have a reward scheme in place. R</w:t>
      </w:r>
      <w:r>
        <w:rPr>
          <w:rFonts w:ascii="Calibri" w:hAnsi="Calibri" w:eastAsia="Arial" w:cs="Calibri"/>
          <w:sz w:val="24"/>
          <w:szCs w:val="24"/>
          <w:lang w:val="en-GB"/>
        </w:rPr>
        <w:t xml:space="preserve">eward can have a positive effect on employee motivation ,retention, productivity and performance (Taylor and Woodhams, 2022). According to a report by Vestd in 2024, who have particularly focused on staff retention in the manufacturing industry, competitive reward packages </w:t>
      </w:r>
      <w:r>
        <w:rPr>
          <w:rFonts w:hint="default" w:ascii="Calibri" w:hAnsi="Calibri" w:eastAsia="Arial" w:cs="Calibri"/>
          <w:sz w:val="24"/>
          <w:szCs w:val="24"/>
          <w:lang w:val="en-GB"/>
        </w:rPr>
        <w:t>are</w:t>
      </w:r>
      <w:r>
        <w:rPr>
          <w:rFonts w:ascii="Calibri" w:hAnsi="Calibri" w:eastAsia="Arial" w:cs="Calibri"/>
          <w:sz w:val="24"/>
          <w:szCs w:val="24"/>
          <w:lang w:val="en-GB"/>
        </w:rPr>
        <w:t xml:space="preserve"> a great incentive to decrease employee turnover, assisting career progression and encouraging more buy in towards organisational objectives (Vestd, 2024).</w:t>
      </w:r>
      <w:r>
        <w:rPr>
          <w:rFonts w:hint="default" w:ascii="Calibri" w:hAnsi="Calibri" w:eastAsia="Arial" w:cs="Calibri"/>
          <w:sz w:val="24"/>
          <w:szCs w:val="24"/>
          <w:lang w:val="en-GB"/>
        </w:rPr>
        <w:t xml:space="preserve"> Looking at the needs and expectations of different levels of the organisational structure, will help to pre-determine the type of rewards offered. </w:t>
      </w:r>
      <w:r>
        <w:rPr>
          <w:rFonts w:ascii="Calibri" w:hAnsi="Calibri" w:eastAsia="Arial" w:cs="Calibri"/>
          <w:sz w:val="24"/>
          <w:szCs w:val="24"/>
          <w:lang w:val="en-GB"/>
        </w:rPr>
        <w:t>Examples of such incentives for factory workers could included personal recognition to boost morale, consideration of bonuses to encourage them to feel invested within the business and flexible working and paid leave to improve work life balance and job satisfaction (The Manufacturer, 2024).</w:t>
      </w:r>
    </w:p>
    <w:p w14:paraId="40D2870B">
      <w:pPr>
        <w:pStyle w:val="18"/>
        <w:rPr>
          <w:rFonts w:hint="default" w:ascii="Calibri" w:hAnsi="Calibri" w:eastAsia="Arial" w:cs="Calibri"/>
          <w:sz w:val="24"/>
          <w:szCs w:val="24"/>
          <w:lang w:val="en-GB"/>
        </w:rPr>
      </w:pPr>
    </w:p>
    <w:p w14:paraId="09570350">
      <w:pPr>
        <w:pStyle w:val="18"/>
        <w:rPr>
          <w:rFonts w:hint="default" w:ascii="Calibri" w:hAnsi="Calibri" w:eastAsia="Arial" w:cs="Calibri"/>
          <w:b/>
          <w:bCs/>
          <w:sz w:val="24"/>
          <w:szCs w:val="24"/>
          <w:lang w:val="en-GB"/>
        </w:rPr>
      </w:pPr>
      <w:r>
        <w:rPr>
          <w:rFonts w:hint="default" w:ascii="Calibri" w:hAnsi="Calibri" w:eastAsia="Arial" w:cs="Calibri"/>
          <w:b/>
          <w:bCs/>
          <w:sz w:val="24"/>
          <w:szCs w:val="24"/>
          <w:lang w:val="en-GB"/>
        </w:rPr>
        <w:t>External factor:</w:t>
      </w:r>
    </w:p>
    <w:p w14:paraId="724A68CF">
      <w:pPr>
        <w:pStyle w:val="18"/>
        <w:rPr>
          <w:rFonts w:hint="default" w:ascii="Calibri" w:hAnsi="Calibri" w:eastAsia="Arial" w:cs="Calibri"/>
          <w:sz w:val="24"/>
          <w:szCs w:val="24"/>
          <w:lang w:val="en-GB"/>
        </w:rPr>
      </w:pPr>
      <w:r>
        <w:rPr>
          <w:rFonts w:hint="default" w:ascii="Calibri" w:hAnsi="Calibri" w:eastAsia="Arial" w:cs="Calibri"/>
          <w:sz w:val="24"/>
          <w:szCs w:val="24"/>
          <w:lang w:val="en-GB"/>
        </w:rPr>
        <w:t>Recent increases to Employer National Insurance contributions are posed to place a strain on the budgets of medium sized enterprises like Eco Insulate UK. Organisations will need to put mitigating plans in place to ensure these extra costs do not impact their employees. Many employers are now considering making changes to employment terms and conditions and contractual arrangements including reduced benefits and pay. Eco Insulate UK need to be very mindful of this as many of their workers are already receiving low incomes and the implications could be costly.This in turn could have a great impact on staff morale and productivity of these costs are passed onto employees.  In this current climate in may be worth considering salary sacrifice schemes such as cycle to work, purchase of additional annual leave and pension salary sacrifices which can offset the NI contribution increases (Ppeople Management, 2025).</w:t>
      </w:r>
    </w:p>
    <w:p w14:paraId="4D8ADF29">
      <w:pPr>
        <w:pStyle w:val="18"/>
        <w:rPr>
          <w:rFonts w:hint="default" w:ascii="Calibri" w:hAnsi="Calibri" w:eastAsia="Arial" w:cs="Calibri"/>
          <w:sz w:val="24"/>
          <w:szCs w:val="24"/>
          <w:lang w:val="en-GB"/>
        </w:rPr>
      </w:pPr>
    </w:p>
    <w:p w14:paraId="67B494D4">
      <w:pPr>
        <w:pStyle w:val="18"/>
        <w:rPr>
          <w:rFonts w:hint="default" w:ascii="Calibri" w:hAnsi="Calibri" w:eastAsia="Arial" w:cs="Calibri"/>
          <w:sz w:val="24"/>
          <w:szCs w:val="24"/>
          <w:lang w:val="en-GB"/>
        </w:rPr>
      </w:pPr>
    </w:p>
    <w:p w14:paraId="437ADD53">
      <w:pPr>
        <w:pStyle w:val="18"/>
        <w:rPr>
          <w:rFonts w:hint="default" w:ascii="Calibri" w:hAnsi="Calibri" w:eastAsia="Arial" w:cs="Calibri"/>
          <w:sz w:val="24"/>
          <w:szCs w:val="24"/>
          <w:lang w:val="en-GB"/>
        </w:rPr>
      </w:pPr>
    </w:p>
    <w:p w14:paraId="367FA293">
      <w:pPr>
        <w:pStyle w:val="18"/>
        <w:rPr>
          <w:rFonts w:hint="default" w:ascii="Calibri" w:hAnsi="Calibri" w:eastAsia="Arial" w:cs="Calibri"/>
          <w:sz w:val="24"/>
          <w:szCs w:val="24"/>
          <w:lang w:val="en-GB"/>
        </w:rPr>
      </w:pPr>
    </w:p>
    <w:p w14:paraId="36E604F3">
      <w:pPr>
        <w:pStyle w:val="18"/>
        <w:rPr>
          <w:rFonts w:hint="default" w:ascii="Calibri" w:hAnsi="Calibri" w:eastAsia="Arial" w:cs="Calibri"/>
          <w:sz w:val="24"/>
          <w:szCs w:val="24"/>
          <w:lang w:val="en-GB"/>
        </w:rPr>
      </w:pPr>
    </w:p>
    <w:p w14:paraId="43EFFFBC">
      <w:pPr>
        <w:pStyle w:val="18"/>
        <w:rPr>
          <w:rFonts w:hint="default" w:ascii="Calibri" w:hAnsi="Calibri" w:eastAsia="Arial" w:cs="Calibri"/>
          <w:sz w:val="24"/>
          <w:szCs w:val="24"/>
          <w:lang w:val="en-GB"/>
        </w:rPr>
      </w:pPr>
    </w:p>
    <w:p w14:paraId="09570358">
      <w:pPr>
        <w:pStyle w:val="18"/>
        <w:rPr>
          <w:rFonts w:ascii="Calibri" w:hAnsi="Calibri" w:eastAsia="Arial" w:cs="Calibri"/>
          <w:sz w:val="24"/>
          <w:szCs w:val="24"/>
          <w:lang w:val="en-GB"/>
        </w:rPr>
      </w:pPr>
    </w:p>
    <w:p w14:paraId="09570359">
      <w:pPr>
        <w:pStyle w:val="18"/>
        <w:rPr>
          <w:rFonts w:ascii="Calibri" w:hAnsi="Calibri" w:cs="Calibri"/>
          <w:b/>
          <w:bCs/>
          <w:sz w:val="24"/>
          <w:szCs w:val="24"/>
          <w:lang w:val="en-GB"/>
        </w:rPr>
      </w:pPr>
      <w:r>
        <w:rPr>
          <w:rFonts w:ascii="Calibri" w:hAnsi="Calibri" w:eastAsia="Arial" w:cs="Calibri"/>
          <w:b/>
          <w:bCs/>
          <w:sz w:val="24"/>
          <w:szCs w:val="24"/>
          <w:lang w:val="en-GB"/>
        </w:rPr>
        <w:t xml:space="preserve">3.2 </w:t>
      </w:r>
      <w:r>
        <w:rPr>
          <w:rFonts w:ascii="Calibri" w:hAnsi="Calibri" w:cs="Calibri"/>
          <w:b/>
          <w:bCs/>
          <w:sz w:val="24"/>
          <w:szCs w:val="24"/>
        </w:rPr>
        <w:t>Evaluate the most appropriate ways in which bench</w:t>
      </w:r>
      <w:r>
        <w:rPr>
          <w:rFonts w:ascii="Calibri" w:hAnsi="Calibri" w:cs="Calibri"/>
          <w:b/>
          <w:bCs/>
          <w:sz w:val="24"/>
          <w:szCs w:val="24"/>
          <w:lang w:val="en-GB"/>
        </w:rPr>
        <w:t xml:space="preserve"> </w:t>
      </w:r>
      <w:r>
        <w:rPr>
          <w:rFonts w:ascii="Calibri" w:hAnsi="Calibri" w:cs="Calibri"/>
          <w:b/>
          <w:bCs/>
          <w:sz w:val="24"/>
          <w:szCs w:val="24"/>
        </w:rPr>
        <w:t>marking data can be gathered and   measured to develop insight</w:t>
      </w:r>
      <w:r>
        <w:rPr>
          <w:rFonts w:ascii="Calibri" w:hAnsi="Calibri" w:cs="Calibri"/>
          <w:b/>
          <w:bCs/>
          <w:sz w:val="24"/>
          <w:szCs w:val="24"/>
          <w:lang w:val="en-GB"/>
        </w:rPr>
        <w:t>.</w:t>
      </w:r>
    </w:p>
    <w:p w14:paraId="0957035A">
      <w:pPr>
        <w:pStyle w:val="18"/>
        <w:rPr>
          <w:rFonts w:ascii="Calibri" w:hAnsi="Calibri" w:cs="Calibri"/>
          <w:b/>
          <w:bCs/>
          <w:sz w:val="24"/>
          <w:szCs w:val="24"/>
          <w:lang w:val="en-GB"/>
        </w:rPr>
      </w:pPr>
    </w:p>
    <w:p w14:paraId="0957035B">
      <w:pPr>
        <w:pStyle w:val="18"/>
        <w:rPr>
          <w:rFonts w:hint="default" w:ascii="Calibri" w:hAnsi="Calibri" w:cs="Calibri"/>
          <w:sz w:val="24"/>
          <w:szCs w:val="24"/>
          <w:lang w:val="en-GB"/>
        </w:rPr>
      </w:pPr>
      <w:r>
        <w:rPr>
          <w:rFonts w:hint="default" w:ascii="Calibri" w:hAnsi="Calibri" w:cs="Calibri"/>
          <w:sz w:val="24"/>
          <w:szCs w:val="24"/>
          <w:lang w:val="en-GB"/>
        </w:rPr>
        <w:t xml:space="preserve">In order for </w:t>
      </w:r>
      <w:r>
        <w:rPr>
          <w:rFonts w:ascii="Calibri" w:hAnsi="Calibri" w:cs="Calibri"/>
          <w:sz w:val="24"/>
          <w:szCs w:val="24"/>
          <w:lang w:val="en-GB"/>
        </w:rPr>
        <w:t xml:space="preserve">Eco Insulate UK </w:t>
      </w:r>
      <w:r>
        <w:rPr>
          <w:rFonts w:hint="default" w:ascii="Calibri" w:hAnsi="Calibri" w:cs="Calibri"/>
          <w:sz w:val="24"/>
          <w:szCs w:val="24"/>
          <w:lang w:val="en-GB"/>
        </w:rPr>
        <w:t>to introduce a new reward package, i</w:t>
      </w:r>
      <w:r>
        <w:rPr>
          <w:rFonts w:ascii="Calibri" w:hAnsi="Calibri" w:cs="Calibri"/>
          <w:sz w:val="24"/>
          <w:szCs w:val="24"/>
          <w:lang w:val="en-GB"/>
        </w:rPr>
        <w:t>t would be worth</w:t>
      </w:r>
      <w:r>
        <w:rPr>
          <w:rFonts w:hint="default" w:ascii="Calibri" w:hAnsi="Calibri" w:cs="Calibri"/>
          <w:sz w:val="24"/>
          <w:szCs w:val="24"/>
          <w:lang w:val="en-GB"/>
        </w:rPr>
        <w:t xml:space="preserve"> using</w:t>
      </w:r>
      <w:r>
        <w:rPr>
          <w:rFonts w:ascii="Calibri" w:hAnsi="Calibri" w:cs="Calibri"/>
          <w:sz w:val="24"/>
          <w:szCs w:val="24"/>
          <w:lang w:val="en-GB"/>
        </w:rPr>
        <w:t xml:space="preserve"> </w:t>
      </w:r>
      <w:r>
        <w:rPr>
          <w:rFonts w:hint="default" w:ascii="Calibri" w:hAnsi="Calibri" w:cs="Calibri"/>
          <w:sz w:val="24"/>
          <w:szCs w:val="24"/>
          <w:lang w:val="en-GB"/>
        </w:rPr>
        <w:t>benchmarking data to make comparisions to other organisations.</w:t>
      </w:r>
    </w:p>
    <w:p w14:paraId="0957035C">
      <w:pPr>
        <w:pStyle w:val="18"/>
        <w:rPr>
          <w:rFonts w:ascii="Calibri" w:hAnsi="Calibri" w:cs="Calibri"/>
          <w:sz w:val="24"/>
          <w:szCs w:val="24"/>
          <w:lang w:val="en-GB"/>
        </w:rPr>
      </w:pPr>
    </w:p>
    <w:p w14:paraId="0957035D">
      <w:pPr>
        <w:pStyle w:val="18"/>
        <w:rPr>
          <w:rFonts w:ascii="Calibri" w:hAnsi="Calibri" w:cs="Calibri"/>
          <w:b/>
          <w:bCs/>
          <w:sz w:val="24"/>
          <w:szCs w:val="24"/>
          <w:lang w:val="en-GB"/>
        </w:rPr>
      </w:pPr>
      <w:r>
        <w:rPr>
          <w:rFonts w:hint="default" w:ascii="Calibri" w:hAnsi="Calibri" w:cs="Calibri"/>
          <w:b/>
          <w:bCs/>
          <w:sz w:val="24"/>
          <w:szCs w:val="24"/>
          <w:lang w:val="en-GB"/>
        </w:rPr>
        <w:t>ONS</w:t>
      </w:r>
      <w:r>
        <w:rPr>
          <w:rFonts w:ascii="Calibri" w:hAnsi="Calibri" w:cs="Calibri"/>
          <w:b/>
          <w:bCs/>
          <w:sz w:val="24"/>
          <w:szCs w:val="24"/>
          <w:lang w:val="en-GB"/>
        </w:rPr>
        <w:t>:</w:t>
      </w:r>
    </w:p>
    <w:p w14:paraId="499617E4">
      <w:pPr>
        <w:pStyle w:val="18"/>
        <w:rPr>
          <w:rFonts w:hint="default" w:ascii="Calibri" w:hAnsi="Calibri" w:cs="Calibri"/>
          <w:sz w:val="24"/>
          <w:szCs w:val="24"/>
          <w:lang w:val="en-GB"/>
        </w:rPr>
      </w:pPr>
      <w:r>
        <w:rPr>
          <w:rFonts w:hint="default" w:ascii="Calibri" w:hAnsi="Calibri" w:cs="Calibri"/>
          <w:sz w:val="24"/>
          <w:szCs w:val="24"/>
          <w:lang w:val="en-GB"/>
        </w:rPr>
        <w:t xml:space="preserve">The ONS is can provide information on data and trends, regional statistics and provides a labour market insight to make suitable comparisons. A competitor analysis could be completed using data from the ONS with </w:t>
      </w:r>
      <w:r>
        <w:rPr>
          <w:rFonts w:ascii="Calibri" w:hAnsi="Calibri" w:cs="Calibri"/>
          <w:sz w:val="24"/>
          <w:szCs w:val="24"/>
          <w:lang w:val="en-GB"/>
        </w:rPr>
        <w:t xml:space="preserve"> companies that operate in a similar labour mar</w:t>
      </w:r>
      <w:r>
        <w:rPr>
          <w:rFonts w:hint="default" w:ascii="Calibri" w:hAnsi="Calibri" w:cs="Calibri"/>
          <w:sz w:val="24"/>
          <w:szCs w:val="24"/>
          <w:lang w:val="en-GB"/>
        </w:rPr>
        <w:t xml:space="preserve">ket </w:t>
      </w:r>
      <w:r>
        <w:rPr>
          <w:rFonts w:ascii="Calibri" w:hAnsi="Calibri" w:cs="Calibri"/>
          <w:sz w:val="24"/>
          <w:szCs w:val="24"/>
          <w:lang w:val="en-GB"/>
        </w:rPr>
        <w:t xml:space="preserve">(Taylor and Woodhams, 2022, p.54). </w:t>
      </w:r>
      <w:r>
        <w:rPr>
          <w:rFonts w:hint="default" w:ascii="Calibri" w:hAnsi="Calibri" w:cs="Calibri"/>
          <w:sz w:val="24"/>
          <w:szCs w:val="24"/>
          <w:lang w:val="en-GB"/>
        </w:rPr>
        <w:t xml:space="preserve">  Eco Insulate UK can use the ONS to compare data from other similar sectors and read research on a number of areas of employment sources applicable to their issues of concern (Taylor and Woodhams, 2022). It is a valid source as it is approved by the government and used widely by the CIPD. An example of this is the Annual Population Survey which is the UK’s largest household survey. The limitations to using ONS is that it is not always reliable as it is captured at one moment in time and you need to check whether the information is up to date and current (CIPD, 2024).</w:t>
      </w:r>
    </w:p>
    <w:p w14:paraId="4BFF49C9">
      <w:pPr>
        <w:pStyle w:val="18"/>
        <w:rPr>
          <w:rFonts w:hint="default" w:ascii="Calibri" w:hAnsi="Calibri" w:cs="Calibri"/>
          <w:b/>
          <w:bCs/>
          <w:sz w:val="24"/>
          <w:szCs w:val="24"/>
          <w:lang w:val="en-GB"/>
        </w:rPr>
      </w:pPr>
    </w:p>
    <w:p w14:paraId="09570360">
      <w:pPr>
        <w:pStyle w:val="18"/>
        <w:rPr>
          <w:rFonts w:hint="default" w:ascii="Calibri" w:hAnsi="Calibri" w:cs="Calibri"/>
          <w:b/>
          <w:bCs/>
          <w:sz w:val="24"/>
          <w:szCs w:val="24"/>
          <w:lang w:val="en-GB"/>
        </w:rPr>
      </w:pPr>
      <w:r>
        <w:rPr>
          <w:rFonts w:hint="default" w:ascii="Calibri" w:hAnsi="Calibri" w:cs="Calibri"/>
          <w:b/>
          <w:bCs/>
          <w:sz w:val="24"/>
          <w:szCs w:val="24"/>
          <w:lang w:val="en-GB"/>
        </w:rPr>
        <w:t>Pay surveys (HMRC, ONS, CIPD Labour Market Outlook):</w:t>
      </w:r>
    </w:p>
    <w:p w14:paraId="29757152">
      <w:pPr>
        <w:pStyle w:val="18"/>
        <w:rPr>
          <w:rFonts w:hint="default" w:ascii="Calibri" w:hAnsi="Calibri" w:cs="Calibri"/>
          <w:b w:val="0"/>
          <w:bCs w:val="0"/>
          <w:sz w:val="24"/>
          <w:szCs w:val="24"/>
          <w:lang w:val="en-GB"/>
        </w:rPr>
      </w:pPr>
      <w:r>
        <w:rPr>
          <w:rFonts w:hint="default" w:ascii="Calibri" w:hAnsi="Calibri" w:cs="Calibri"/>
          <w:b w:val="0"/>
          <w:bCs w:val="0"/>
          <w:sz w:val="24"/>
          <w:szCs w:val="24"/>
          <w:lang w:val="en-GB"/>
        </w:rPr>
        <w:t>The use of pay surveys can help Eco Insulate to compare rates of pay in similar organisations and can be used broadly to check salaries for specific occupations and locations. They also provide reliable information on generic levels of pay and trends in the labour market. They are valid due to the main sources such as HMRC, ONS and CIPD being officially approved by the UK government which are nationally undertaken and can help to set and maintain pay structures. The data presented from these surveys can be classified as reliable due to them being conducted on an annual basis in line with changes in the market and inflation. However, they are not always applicable to Eco Insulate UK as they do not compare like for like and it can be very difficult to draw direct comparisons (CIPD, 2025).</w:t>
      </w:r>
    </w:p>
    <w:p w14:paraId="09570362">
      <w:pPr>
        <w:pStyle w:val="18"/>
        <w:rPr>
          <w:rFonts w:ascii="Calibri" w:hAnsi="Calibri" w:cs="Calibri"/>
          <w:sz w:val="24"/>
          <w:szCs w:val="24"/>
          <w:lang w:val="en-GB"/>
        </w:rPr>
      </w:pPr>
    </w:p>
    <w:p w14:paraId="09570363">
      <w:pPr>
        <w:pStyle w:val="18"/>
        <w:rPr>
          <w:rFonts w:ascii="Calibri" w:hAnsi="Calibri" w:cs="Calibri"/>
          <w:b/>
          <w:bCs/>
          <w:sz w:val="24"/>
          <w:szCs w:val="24"/>
          <w:lang w:val="en-GB"/>
        </w:rPr>
      </w:pPr>
      <w:r>
        <w:rPr>
          <w:rFonts w:ascii="Calibri" w:hAnsi="Calibri" w:cs="Calibri"/>
          <w:b/>
          <w:bCs/>
          <w:sz w:val="24"/>
          <w:szCs w:val="24"/>
          <w:lang w:val="en-GB"/>
        </w:rPr>
        <w:t>Reward surveys:</w:t>
      </w:r>
    </w:p>
    <w:p w14:paraId="3C48B5A6">
      <w:pPr>
        <w:pStyle w:val="18"/>
        <w:rPr>
          <w:rFonts w:hint="default" w:ascii="Calibri" w:hAnsi="Calibri" w:cs="Calibri"/>
          <w:sz w:val="24"/>
          <w:szCs w:val="24"/>
          <w:lang w:val="en-GB"/>
        </w:rPr>
      </w:pPr>
      <w:r>
        <w:rPr>
          <w:rFonts w:ascii="Calibri" w:hAnsi="Calibri" w:cs="Calibri"/>
          <w:sz w:val="24"/>
          <w:szCs w:val="24"/>
          <w:lang w:val="en-GB"/>
        </w:rPr>
        <w:t xml:space="preserve">The CIPD </w:t>
      </w:r>
      <w:r>
        <w:rPr>
          <w:rFonts w:hint="default" w:ascii="Calibri" w:hAnsi="Calibri" w:cs="Calibri"/>
          <w:sz w:val="24"/>
          <w:szCs w:val="24"/>
          <w:lang w:val="en-GB"/>
        </w:rPr>
        <w:t xml:space="preserve">which is a reliable source </w:t>
      </w:r>
      <w:r>
        <w:rPr>
          <w:rFonts w:ascii="Calibri" w:hAnsi="Calibri" w:cs="Calibri"/>
          <w:sz w:val="24"/>
          <w:szCs w:val="24"/>
          <w:lang w:val="en-GB"/>
        </w:rPr>
        <w:t>regularly publish Reward surveys which highlight the different types of benefits packages that organisations are offering (CIPD, 2022). This type of survey is</w:t>
      </w:r>
      <w:r>
        <w:rPr>
          <w:rFonts w:hint="default" w:ascii="Calibri" w:hAnsi="Calibri" w:cs="Calibri"/>
          <w:sz w:val="24"/>
          <w:szCs w:val="24"/>
          <w:lang w:val="en-GB"/>
        </w:rPr>
        <w:t xml:space="preserve"> a valid source</w:t>
      </w:r>
      <w:r>
        <w:rPr>
          <w:rFonts w:ascii="Calibri" w:hAnsi="Calibri" w:cs="Calibri"/>
          <w:sz w:val="24"/>
          <w:szCs w:val="24"/>
          <w:lang w:val="en-GB"/>
        </w:rPr>
        <w:t xml:space="preserve"> </w:t>
      </w:r>
      <w:r>
        <w:rPr>
          <w:rFonts w:hint="default" w:ascii="Calibri" w:hAnsi="Calibri" w:cs="Calibri"/>
          <w:sz w:val="24"/>
          <w:szCs w:val="24"/>
          <w:lang w:val="en-GB"/>
        </w:rPr>
        <w:t xml:space="preserve">to Eco Insulate UK </w:t>
      </w:r>
      <w:r>
        <w:rPr>
          <w:rFonts w:ascii="Calibri" w:hAnsi="Calibri" w:cs="Calibri"/>
          <w:sz w:val="24"/>
          <w:szCs w:val="24"/>
          <w:lang w:val="en-GB"/>
        </w:rPr>
        <w:t>as it covers all different types of employers in private, public and voluntary sectors, providing clear breakdowns of how each sector is performing in relation to reward and recognition. This survey would be a</w:t>
      </w:r>
      <w:r>
        <w:rPr>
          <w:rFonts w:hint="default" w:ascii="Calibri" w:hAnsi="Calibri" w:cs="Calibri"/>
          <w:sz w:val="24"/>
          <w:szCs w:val="24"/>
          <w:lang w:val="en-GB"/>
        </w:rPr>
        <w:t>n applicable</w:t>
      </w:r>
      <w:r>
        <w:rPr>
          <w:rFonts w:ascii="Calibri" w:hAnsi="Calibri" w:cs="Calibri"/>
          <w:sz w:val="24"/>
          <w:szCs w:val="24"/>
          <w:lang w:val="en-GB"/>
        </w:rPr>
        <w:t xml:space="preserve"> tool for Eco Insulate UK as it can directly compare against similar organsiations for example, how SME’s are providing different types of rewards.</w:t>
      </w:r>
      <w:r>
        <w:rPr>
          <w:rFonts w:hint="default" w:ascii="Calibri" w:hAnsi="Calibri" w:cs="Calibri"/>
          <w:sz w:val="24"/>
          <w:szCs w:val="24"/>
          <w:lang w:val="en-GB"/>
        </w:rPr>
        <w:t xml:space="preserve"> The limitations of such surveys are that they can be very focused on public sector and larger organisations, making it difficult to draw direct comparisons </w:t>
      </w:r>
      <w:r>
        <w:rPr>
          <w:rFonts w:ascii="Calibri" w:hAnsi="Calibri" w:cs="Calibri"/>
          <w:sz w:val="24"/>
          <w:szCs w:val="24"/>
          <w:lang w:val="en-GB"/>
        </w:rPr>
        <w:t>(Taylor and Woodhams, 2022, p.80).</w:t>
      </w:r>
    </w:p>
    <w:p w14:paraId="7CA4A73E">
      <w:pPr>
        <w:pStyle w:val="18"/>
        <w:rPr>
          <w:rFonts w:ascii="Calibri" w:hAnsi="Calibri" w:cs="Calibri"/>
          <w:sz w:val="24"/>
          <w:szCs w:val="24"/>
          <w:lang w:val="en-GB"/>
        </w:rPr>
      </w:pPr>
    </w:p>
    <w:p w14:paraId="75C38E71">
      <w:pPr>
        <w:pStyle w:val="18"/>
        <w:rPr>
          <w:rFonts w:ascii="Calibri" w:hAnsi="Calibri" w:cs="Calibri"/>
          <w:sz w:val="24"/>
          <w:szCs w:val="24"/>
          <w:lang w:val="en-GB"/>
        </w:rPr>
      </w:pPr>
    </w:p>
    <w:p w14:paraId="0F7E2833">
      <w:pPr>
        <w:pStyle w:val="18"/>
        <w:rPr>
          <w:rFonts w:ascii="Calibri" w:hAnsi="Calibri" w:cs="Calibri"/>
          <w:sz w:val="24"/>
          <w:szCs w:val="24"/>
          <w:lang w:val="en-GB"/>
        </w:rPr>
      </w:pPr>
    </w:p>
    <w:p w14:paraId="47CD856A">
      <w:pPr>
        <w:pStyle w:val="18"/>
        <w:rPr>
          <w:rFonts w:ascii="Calibri" w:hAnsi="Calibri" w:cs="Calibri"/>
          <w:sz w:val="24"/>
          <w:szCs w:val="24"/>
          <w:lang w:val="en-GB"/>
        </w:rPr>
      </w:pPr>
    </w:p>
    <w:p w14:paraId="6A43FF28">
      <w:pPr>
        <w:pStyle w:val="18"/>
        <w:rPr>
          <w:rFonts w:ascii="Calibri" w:hAnsi="Calibri" w:cs="Calibri"/>
          <w:b/>
          <w:bCs/>
          <w:sz w:val="24"/>
          <w:szCs w:val="24"/>
          <w:lang w:val="en-GB"/>
        </w:rPr>
      </w:pPr>
    </w:p>
    <w:p w14:paraId="0957036A">
      <w:pPr>
        <w:pStyle w:val="18"/>
        <w:rPr>
          <w:rFonts w:ascii="Calibri" w:hAnsi="Calibri" w:eastAsia="Arial" w:cs="Calibri"/>
          <w:b/>
          <w:bCs/>
          <w:sz w:val="24"/>
          <w:szCs w:val="24"/>
        </w:rPr>
      </w:pPr>
      <w:r>
        <w:rPr>
          <w:rFonts w:ascii="Calibri" w:hAnsi="Calibri" w:cs="Calibri"/>
          <w:b/>
          <w:bCs/>
          <w:sz w:val="24"/>
          <w:szCs w:val="24"/>
          <w:lang w:val="en-GB"/>
        </w:rPr>
        <w:t xml:space="preserve">3.3 </w:t>
      </w:r>
      <w:r>
        <w:rPr>
          <w:rFonts w:ascii="Calibri" w:hAnsi="Calibri" w:eastAsia="Arial" w:cs="Calibri"/>
          <w:b/>
          <w:bCs/>
          <w:sz w:val="24"/>
          <w:szCs w:val="24"/>
        </w:rPr>
        <w:t>Explain approaches to job evaluation</w:t>
      </w:r>
    </w:p>
    <w:p w14:paraId="0957036B">
      <w:pPr>
        <w:pStyle w:val="18"/>
        <w:rPr>
          <w:rFonts w:ascii="Calibri" w:hAnsi="Calibri" w:eastAsia="Arial" w:cs="Calibri"/>
          <w:b/>
          <w:bCs/>
          <w:sz w:val="24"/>
          <w:szCs w:val="24"/>
        </w:rPr>
      </w:pPr>
    </w:p>
    <w:p w14:paraId="0957036C">
      <w:pPr>
        <w:pStyle w:val="18"/>
        <w:rPr>
          <w:rFonts w:ascii="Calibri" w:hAnsi="Calibri" w:eastAsia="Arial" w:cs="Calibri"/>
          <w:sz w:val="24"/>
          <w:szCs w:val="24"/>
          <w:lang w:val="en-GB"/>
        </w:rPr>
      </w:pPr>
      <w:r>
        <w:rPr>
          <w:rFonts w:ascii="Calibri" w:hAnsi="Calibri" w:eastAsia="Arial" w:cs="Calibri"/>
          <w:sz w:val="24"/>
          <w:szCs w:val="24"/>
          <w:lang w:val="en-GB"/>
        </w:rPr>
        <w:t xml:space="preserve">According to Taylor and Woodhams (2022), a job evaluation is ‘a systematic process for defining the relative worth or size of jobs within an organisation’. Eco Insulate UK may want to consider conducting a job evaluation exercise to determine pay grades within its existing structure to ensure a fair pay system is in place. It would be able to do this by using the internal and external markets to compare rates of pay to similar roles (CIPD, 2025). </w:t>
      </w:r>
    </w:p>
    <w:p w14:paraId="0957036D">
      <w:pPr>
        <w:pStyle w:val="18"/>
        <w:rPr>
          <w:rFonts w:ascii="Calibri" w:hAnsi="Calibri" w:eastAsia="Arial" w:cs="Calibri"/>
          <w:sz w:val="24"/>
          <w:szCs w:val="24"/>
          <w:lang w:val="en-GB"/>
        </w:rPr>
      </w:pPr>
    </w:p>
    <w:p w14:paraId="0957036E">
      <w:pPr>
        <w:pStyle w:val="18"/>
        <w:rPr>
          <w:rFonts w:ascii="Calibri" w:hAnsi="Calibri" w:eastAsia="Arial" w:cs="Calibri"/>
          <w:b/>
          <w:bCs/>
          <w:sz w:val="24"/>
          <w:szCs w:val="24"/>
          <w:lang w:val="en-GB"/>
        </w:rPr>
      </w:pPr>
      <w:r>
        <w:rPr>
          <w:rFonts w:ascii="Calibri" w:hAnsi="Calibri" w:eastAsia="Arial" w:cs="Calibri"/>
          <w:b/>
          <w:bCs/>
          <w:sz w:val="24"/>
          <w:szCs w:val="24"/>
          <w:lang w:val="en-GB"/>
        </w:rPr>
        <w:t>Analytical evaluation:</w:t>
      </w:r>
    </w:p>
    <w:p w14:paraId="0957036F">
      <w:pPr>
        <w:pStyle w:val="18"/>
        <w:rPr>
          <w:rFonts w:ascii="Calibri" w:hAnsi="Calibri" w:eastAsia="Arial" w:cs="Calibri"/>
          <w:sz w:val="24"/>
          <w:szCs w:val="24"/>
          <w:lang w:val="en-GB"/>
        </w:rPr>
      </w:pPr>
      <w:r>
        <w:rPr>
          <w:rFonts w:ascii="Calibri" w:hAnsi="Calibri" w:eastAsia="Arial" w:cs="Calibri"/>
          <w:sz w:val="24"/>
          <w:szCs w:val="24"/>
          <w:lang w:val="en-GB"/>
        </w:rPr>
        <w:t>An analytical scheme is a f</w:t>
      </w:r>
      <w:r>
        <w:rPr>
          <w:rFonts w:hint="default" w:ascii="Calibri" w:hAnsi="Calibri" w:eastAsia="Arial" w:cs="Calibri"/>
          <w:sz w:val="24"/>
          <w:szCs w:val="24"/>
          <w:lang w:val="en-GB"/>
        </w:rPr>
        <w:t xml:space="preserve">ormal </w:t>
      </w:r>
      <w:r>
        <w:rPr>
          <w:rFonts w:ascii="Calibri" w:hAnsi="Calibri" w:eastAsia="Arial" w:cs="Calibri"/>
          <w:sz w:val="24"/>
          <w:szCs w:val="24"/>
          <w:lang w:val="en-GB"/>
        </w:rPr>
        <w:t>way of reviewing job roles within the organisation where jobs are broken down into detail, providing a more objective approach to evaluation. This can be done using a points rating where factors are assessed separately and are weighted in accordance to their value. For example, the higher the skill, more points are allocated. Such factors to be considered are knowledge, level of responsibility, communication skills and physical effort (CIPD, 2025).  However, this method has its limitations including inaccurate weighting of factors and the time its takes to implement the scheme</w:t>
      </w:r>
      <w:r>
        <w:rPr>
          <w:rFonts w:hint="default" w:ascii="Calibri" w:hAnsi="Calibri" w:eastAsia="Arial" w:cs="Calibri"/>
          <w:sz w:val="24"/>
          <w:szCs w:val="24"/>
          <w:lang w:val="en-GB"/>
        </w:rPr>
        <w:t xml:space="preserve"> which has to follow more of a formal, structured process</w:t>
      </w:r>
      <w:r>
        <w:rPr>
          <w:rFonts w:ascii="Calibri" w:hAnsi="Calibri" w:eastAsia="Arial" w:cs="Calibri"/>
          <w:sz w:val="24"/>
          <w:szCs w:val="24"/>
          <w:lang w:val="en-GB"/>
        </w:rPr>
        <w:t xml:space="preserve"> (ACAS, 2014). An example of such a process is that used by the Armed Forces where each role from various trades are assessed against six factors with the results presented as a score to inform pay grade (Institute for Employment Studies, 2016). </w:t>
      </w:r>
    </w:p>
    <w:p w14:paraId="09570370">
      <w:pPr>
        <w:pStyle w:val="18"/>
        <w:rPr>
          <w:rFonts w:ascii="Calibri" w:hAnsi="Calibri" w:eastAsia="Arial" w:cs="Calibri"/>
          <w:sz w:val="24"/>
          <w:szCs w:val="24"/>
          <w:lang w:val="en-GB"/>
        </w:rPr>
      </w:pPr>
    </w:p>
    <w:p w14:paraId="09570371">
      <w:pPr>
        <w:pStyle w:val="18"/>
        <w:rPr>
          <w:rFonts w:ascii="Calibri" w:hAnsi="Calibri" w:eastAsia="Arial" w:cs="Calibri"/>
          <w:b/>
          <w:bCs/>
          <w:sz w:val="24"/>
          <w:szCs w:val="24"/>
          <w:lang w:val="en-GB"/>
        </w:rPr>
      </w:pPr>
      <w:r>
        <w:rPr>
          <w:rFonts w:ascii="Calibri" w:hAnsi="Calibri" w:eastAsia="Arial" w:cs="Calibri"/>
          <w:b/>
          <w:bCs/>
          <w:sz w:val="24"/>
          <w:szCs w:val="24"/>
          <w:lang w:val="en-GB"/>
        </w:rPr>
        <w:t>Non-analytical evaluation:</w:t>
      </w:r>
    </w:p>
    <w:p w14:paraId="09570372">
      <w:pPr>
        <w:pStyle w:val="18"/>
        <w:rPr>
          <w:rFonts w:hint="default" w:ascii="Calibri" w:hAnsi="Calibri" w:eastAsia="Arial" w:cs="Calibri"/>
          <w:sz w:val="24"/>
          <w:szCs w:val="24"/>
          <w:lang w:val="en-GB"/>
        </w:rPr>
      </w:pPr>
      <w:r>
        <w:rPr>
          <w:rFonts w:ascii="Calibri" w:hAnsi="Calibri" w:eastAsia="Arial" w:cs="Calibri"/>
          <w:sz w:val="24"/>
          <w:szCs w:val="24"/>
          <w:lang w:val="en-GB"/>
        </w:rPr>
        <w:t xml:space="preserve">These schemes are more </w:t>
      </w:r>
      <w:r>
        <w:rPr>
          <w:rFonts w:hint="default" w:ascii="Calibri" w:hAnsi="Calibri" w:eastAsia="Arial" w:cs="Calibri"/>
          <w:sz w:val="24"/>
          <w:szCs w:val="24"/>
          <w:lang w:val="en-GB"/>
        </w:rPr>
        <w:t xml:space="preserve">informal due to their </w:t>
      </w:r>
      <w:r>
        <w:rPr>
          <w:rFonts w:ascii="Calibri" w:hAnsi="Calibri" w:eastAsia="Arial" w:cs="Calibri"/>
          <w:sz w:val="24"/>
          <w:szCs w:val="24"/>
          <w:lang w:val="en-GB"/>
        </w:rPr>
        <w:t>subjectiv</w:t>
      </w:r>
      <w:r>
        <w:rPr>
          <w:rFonts w:hint="default" w:ascii="Calibri" w:hAnsi="Calibri" w:eastAsia="Arial" w:cs="Calibri"/>
          <w:sz w:val="24"/>
          <w:szCs w:val="24"/>
          <w:lang w:val="en-GB"/>
        </w:rPr>
        <w:t>ity</w:t>
      </w:r>
      <w:r>
        <w:rPr>
          <w:rFonts w:ascii="Calibri" w:hAnsi="Calibri" w:eastAsia="Arial" w:cs="Calibri"/>
          <w:sz w:val="24"/>
          <w:szCs w:val="24"/>
          <w:lang w:val="en-GB"/>
        </w:rPr>
        <w:t xml:space="preserve"> as they rely less on data but can be used broadly to assess jobs in an organisation. Some benefits of using this approach is that they are cheaper and simpler to conduct. Employers can use such methods as ranking jobs in order of importance and job comparisions (CIPD, 2025). Organisations will tend to use this approach when using market comparisons for exiting or current roles where demand for specific skill are high during a skills shortage (Local Government Association, 2014).</w:t>
      </w:r>
      <w:r>
        <w:rPr>
          <w:rFonts w:hint="default" w:ascii="Calibri" w:hAnsi="Calibri" w:eastAsia="Arial" w:cs="Calibri"/>
          <w:sz w:val="24"/>
          <w:szCs w:val="24"/>
          <w:lang w:val="en-GB"/>
        </w:rPr>
        <w:t xml:space="preserve"> Due to its informality, non- analytical evaluation can be rather biased tending to base judgements on assumptions (HRM Handbook, 2021).</w:t>
      </w:r>
    </w:p>
    <w:p w14:paraId="09570373">
      <w:pPr>
        <w:pStyle w:val="18"/>
        <w:rPr>
          <w:rFonts w:ascii="Calibri" w:hAnsi="Calibri" w:eastAsia="Arial" w:cs="Calibri"/>
          <w:sz w:val="24"/>
          <w:szCs w:val="24"/>
          <w:lang w:val="en-GB"/>
        </w:rPr>
      </w:pPr>
    </w:p>
    <w:p w14:paraId="09570374">
      <w:pPr>
        <w:pStyle w:val="18"/>
        <w:rPr>
          <w:rFonts w:hint="default" w:ascii="Calibri" w:hAnsi="Calibri" w:eastAsia="Arial" w:cs="Calibri"/>
          <w:sz w:val="24"/>
          <w:szCs w:val="24"/>
          <w:lang w:val="en-GB"/>
        </w:rPr>
      </w:pPr>
      <w:r>
        <w:rPr>
          <w:rFonts w:ascii="Calibri" w:hAnsi="Calibri" w:eastAsia="Arial" w:cs="Calibri"/>
          <w:sz w:val="24"/>
          <w:szCs w:val="24"/>
          <w:lang w:val="en-GB"/>
        </w:rPr>
        <w:t>In relation to Eco Insulate UK, it would be worth considering the use of the points rating method as it will provide the fairness required to be able to improve the company culture, staff retention and performance. It must be mindful that this is not a quick and simplistic exercise but help to support the organisation moving forward as part of a more robust reward scheme.</w:t>
      </w:r>
      <w:r>
        <w:rPr>
          <w:rFonts w:hint="default" w:ascii="Calibri" w:hAnsi="Calibri" w:eastAsia="Arial" w:cs="Calibri"/>
          <w:sz w:val="24"/>
          <w:szCs w:val="24"/>
          <w:lang w:val="en-GB"/>
        </w:rPr>
        <w:t xml:space="preserve"> (405)</w:t>
      </w:r>
    </w:p>
    <w:p w14:paraId="09570375">
      <w:pPr>
        <w:pStyle w:val="18"/>
        <w:rPr>
          <w:rFonts w:ascii="Calibri" w:hAnsi="Calibri" w:eastAsia="Arial" w:cs="Calibri"/>
          <w:sz w:val="24"/>
          <w:szCs w:val="24"/>
          <w:lang w:val="en-GB"/>
        </w:rPr>
      </w:pPr>
    </w:p>
    <w:p w14:paraId="4F6F590E">
      <w:pPr>
        <w:pStyle w:val="18"/>
        <w:rPr>
          <w:rFonts w:ascii="Calibri" w:hAnsi="Calibri" w:eastAsia="Arial" w:cs="Calibri"/>
          <w:b/>
          <w:bCs/>
          <w:sz w:val="24"/>
          <w:szCs w:val="24"/>
          <w:lang w:val="en-GB"/>
        </w:rPr>
      </w:pPr>
    </w:p>
    <w:p w14:paraId="04213316">
      <w:pPr>
        <w:pStyle w:val="18"/>
        <w:rPr>
          <w:rFonts w:ascii="Calibri" w:hAnsi="Calibri" w:eastAsia="Arial" w:cs="Calibri"/>
          <w:b/>
          <w:bCs/>
          <w:sz w:val="24"/>
          <w:szCs w:val="24"/>
          <w:lang w:val="en-GB"/>
        </w:rPr>
      </w:pPr>
    </w:p>
    <w:p w14:paraId="542C42AB">
      <w:pPr>
        <w:pStyle w:val="18"/>
        <w:rPr>
          <w:rFonts w:ascii="Calibri" w:hAnsi="Calibri" w:eastAsia="Arial" w:cs="Calibri"/>
          <w:b/>
          <w:bCs/>
          <w:sz w:val="24"/>
          <w:szCs w:val="24"/>
          <w:lang w:val="en-GB"/>
        </w:rPr>
      </w:pPr>
    </w:p>
    <w:p w14:paraId="5148E2BC">
      <w:pPr>
        <w:pStyle w:val="18"/>
        <w:rPr>
          <w:rFonts w:ascii="Calibri" w:hAnsi="Calibri" w:eastAsia="Arial" w:cs="Calibri"/>
          <w:b/>
          <w:bCs/>
          <w:sz w:val="24"/>
          <w:szCs w:val="24"/>
          <w:lang w:val="en-GB"/>
        </w:rPr>
      </w:pPr>
    </w:p>
    <w:p w14:paraId="23AA8EC4">
      <w:pPr>
        <w:pStyle w:val="18"/>
        <w:rPr>
          <w:rFonts w:ascii="Calibri" w:hAnsi="Calibri" w:eastAsia="Arial" w:cs="Calibri"/>
          <w:b/>
          <w:bCs/>
          <w:sz w:val="24"/>
          <w:szCs w:val="24"/>
          <w:lang w:val="en-GB"/>
        </w:rPr>
      </w:pPr>
    </w:p>
    <w:p w14:paraId="1C44B1EF">
      <w:pPr>
        <w:pStyle w:val="18"/>
        <w:rPr>
          <w:rFonts w:ascii="Calibri" w:hAnsi="Calibri" w:eastAsia="Arial" w:cs="Calibri"/>
          <w:b/>
          <w:bCs/>
          <w:sz w:val="24"/>
          <w:szCs w:val="24"/>
          <w:lang w:val="en-GB"/>
        </w:rPr>
      </w:pPr>
    </w:p>
    <w:p w14:paraId="6FA050B5">
      <w:pPr>
        <w:pStyle w:val="18"/>
        <w:rPr>
          <w:rFonts w:ascii="Calibri" w:hAnsi="Calibri" w:eastAsia="Arial" w:cs="Calibri"/>
          <w:b/>
          <w:bCs/>
          <w:sz w:val="24"/>
          <w:szCs w:val="24"/>
          <w:lang w:val="en-GB"/>
        </w:rPr>
      </w:pPr>
    </w:p>
    <w:p w14:paraId="09570376">
      <w:pPr>
        <w:pStyle w:val="18"/>
        <w:rPr>
          <w:rFonts w:ascii="Calibri" w:hAnsi="Calibri" w:eastAsia="Arial" w:cs="Calibri"/>
          <w:b/>
          <w:bCs/>
          <w:sz w:val="24"/>
          <w:szCs w:val="24"/>
        </w:rPr>
      </w:pPr>
      <w:r>
        <w:rPr>
          <w:rFonts w:ascii="Calibri" w:hAnsi="Calibri" w:eastAsia="Arial" w:cs="Calibri"/>
          <w:b/>
          <w:bCs/>
          <w:sz w:val="24"/>
          <w:szCs w:val="24"/>
          <w:lang w:val="en-GB"/>
        </w:rPr>
        <w:t xml:space="preserve">3.4 </w:t>
      </w:r>
      <w:r>
        <w:rPr>
          <w:rFonts w:ascii="Calibri" w:hAnsi="Calibri" w:eastAsia="Arial" w:cs="Calibri"/>
          <w:b/>
          <w:bCs/>
          <w:sz w:val="24"/>
          <w:szCs w:val="24"/>
        </w:rPr>
        <w:t>Explain the legislative requirements that impact reward practice</w:t>
      </w:r>
    </w:p>
    <w:p w14:paraId="09570377">
      <w:pPr>
        <w:pStyle w:val="18"/>
        <w:rPr>
          <w:rFonts w:ascii="Calibri" w:hAnsi="Calibri" w:eastAsia="Arial" w:cs="Calibri"/>
          <w:b/>
          <w:bCs/>
          <w:sz w:val="24"/>
          <w:szCs w:val="24"/>
        </w:rPr>
      </w:pPr>
    </w:p>
    <w:p w14:paraId="09570378">
      <w:pPr>
        <w:pStyle w:val="18"/>
        <w:rPr>
          <w:rFonts w:ascii="Calibri" w:hAnsi="Calibri" w:eastAsia="Arial" w:cs="Calibri"/>
          <w:sz w:val="24"/>
          <w:szCs w:val="24"/>
          <w:lang w:val="en-GB"/>
        </w:rPr>
      </w:pPr>
      <w:r>
        <w:rPr>
          <w:rFonts w:ascii="Calibri" w:hAnsi="Calibri" w:eastAsia="Arial" w:cs="Calibri"/>
          <w:sz w:val="24"/>
          <w:szCs w:val="24"/>
          <w:lang w:val="en-GB"/>
        </w:rPr>
        <w:t>As part of the decision making process to introduce an employee reward package, it is important to take into consideration different legislative requirements when doing so. This will help Eco Insulate to provide staff with a fair system of rewarding employees for their commitment and hard work (CIPD, 2024). When providing employees with reward for the work they do to show their value, there can be some conflict between employees and the organisation due to tight regulations to ensure fairness and consistency is provided to all ( Taylor and Woodhams, 2022, p.101):</w:t>
      </w:r>
    </w:p>
    <w:p w14:paraId="09570379">
      <w:pPr>
        <w:pStyle w:val="18"/>
        <w:rPr>
          <w:rFonts w:ascii="Calibri" w:hAnsi="Calibri" w:eastAsia="Arial" w:cs="Calibri"/>
          <w:sz w:val="24"/>
          <w:szCs w:val="24"/>
          <w:lang w:val="en-GB"/>
        </w:rPr>
      </w:pPr>
    </w:p>
    <w:p w14:paraId="0957037A">
      <w:pPr>
        <w:pStyle w:val="18"/>
        <w:rPr>
          <w:rFonts w:ascii="Calibri" w:hAnsi="Calibri" w:eastAsia="Arial" w:cs="Calibri"/>
          <w:b/>
          <w:bCs/>
          <w:sz w:val="24"/>
          <w:szCs w:val="24"/>
          <w:lang w:val="en-GB"/>
        </w:rPr>
      </w:pPr>
      <w:r>
        <w:rPr>
          <w:rFonts w:ascii="Calibri" w:hAnsi="Calibri" w:eastAsia="Arial" w:cs="Calibri"/>
          <w:b/>
          <w:bCs/>
          <w:sz w:val="24"/>
          <w:szCs w:val="24"/>
          <w:lang w:val="en-GB"/>
        </w:rPr>
        <w:t>The National Minimum Wage:</w:t>
      </w:r>
    </w:p>
    <w:p w14:paraId="0957037B">
      <w:pPr>
        <w:pStyle w:val="18"/>
        <w:rPr>
          <w:rFonts w:ascii="Calibri" w:hAnsi="Calibri" w:eastAsia="Arial" w:cs="Calibri"/>
          <w:sz w:val="24"/>
          <w:szCs w:val="24"/>
          <w:lang w:val="en-GB"/>
        </w:rPr>
      </w:pPr>
      <w:r>
        <w:rPr>
          <w:rFonts w:ascii="Calibri" w:hAnsi="Calibri" w:eastAsia="Arial" w:cs="Calibri"/>
          <w:sz w:val="24"/>
          <w:szCs w:val="24"/>
          <w:lang w:val="en-GB"/>
        </w:rPr>
        <w:t>The National Minimum Wage Act 1998 was introduced to provide a minimum hourly rate to all workers. Under this act, any other allowances that are awarded cannot be used to contribute to this minimum wage. This is an important to considering bonuses when using as part of a reward package (Lewis et al, 2023). When conducting pay determination exercises as part of a reward scheme, it is important to ensure that the minimum wage is provided to all and many organisations now use the National Living Wage as a benchmark during the cost of living crisis to manage financial well being of staff. Examples of such organisations include Lush, Oxfam and Aviva (Living Wage Foundation, 2025).</w:t>
      </w:r>
    </w:p>
    <w:p w14:paraId="0957037C">
      <w:pPr>
        <w:pStyle w:val="18"/>
        <w:rPr>
          <w:rFonts w:ascii="Calibri" w:hAnsi="Calibri" w:eastAsia="Arial" w:cs="Calibri"/>
          <w:sz w:val="24"/>
          <w:szCs w:val="24"/>
          <w:lang w:val="en-GB"/>
        </w:rPr>
      </w:pPr>
    </w:p>
    <w:p w14:paraId="0957037D">
      <w:pPr>
        <w:pStyle w:val="18"/>
        <w:rPr>
          <w:rFonts w:ascii="Calibri" w:hAnsi="Calibri" w:eastAsia="Arial" w:cs="Calibri"/>
          <w:b/>
          <w:bCs/>
          <w:sz w:val="24"/>
          <w:szCs w:val="24"/>
          <w:lang w:val="en-GB"/>
        </w:rPr>
      </w:pPr>
      <w:r>
        <w:rPr>
          <w:rFonts w:ascii="Calibri" w:hAnsi="Calibri" w:eastAsia="Arial" w:cs="Calibri"/>
          <w:b/>
          <w:bCs/>
          <w:sz w:val="24"/>
          <w:szCs w:val="24"/>
          <w:lang w:val="en-GB"/>
        </w:rPr>
        <w:t>Equal Pay Act:</w:t>
      </w:r>
    </w:p>
    <w:p w14:paraId="0957037E">
      <w:pPr>
        <w:pStyle w:val="18"/>
        <w:rPr>
          <w:rFonts w:ascii="Calibri" w:hAnsi="Calibri" w:eastAsia="Arial" w:cs="Calibri"/>
          <w:sz w:val="24"/>
          <w:szCs w:val="24"/>
          <w:lang w:val="en-GB"/>
        </w:rPr>
      </w:pPr>
      <w:r>
        <w:rPr>
          <w:rFonts w:ascii="Calibri" w:hAnsi="Calibri" w:eastAsia="Arial" w:cs="Calibri"/>
          <w:sz w:val="24"/>
          <w:szCs w:val="24"/>
          <w:lang w:val="en-GB"/>
        </w:rPr>
        <w:t>The Equal Pay Act 1970 now sits within the umbrella legislation, the Equality Act 2010. This act was introduced to ensure that women are paid the same as men for doing the same job. This also covers examples such as equal pay for like work, for work rated as the equivalent and work of equal value (Taylor and Woodhams, 2022, p.71). When deciding on specific pay rates it is important to ensure that the pay budget is distributed fairly and there is a fair process for conducting this review in order to build trust throughout its workforce (CIPD, 2024)</w:t>
      </w:r>
    </w:p>
    <w:p w14:paraId="0957037F">
      <w:pPr>
        <w:pStyle w:val="18"/>
        <w:rPr>
          <w:rFonts w:ascii="Calibri" w:hAnsi="Calibri" w:eastAsia="Arial" w:cs="Calibri"/>
          <w:sz w:val="24"/>
          <w:szCs w:val="24"/>
          <w:lang w:val="en-GB"/>
        </w:rPr>
      </w:pPr>
    </w:p>
    <w:p w14:paraId="09570380">
      <w:pPr>
        <w:pStyle w:val="18"/>
        <w:rPr>
          <w:rFonts w:ascii="Calibri" w:hAnsi="Calibri" w:eastAsia="Arial" w:cs="Calibri"/>
          <w:b/>
          <w:bCs/>
          <w:sz w:val="24"/>
          <w:szCs w:val="24"/>
          <w:lang w:val="en-GB"/>
        </w:rPr>
      </w:pPr>
      <w:r>
        <w:rPr>
          <w:rFonts w:ascii="Calibri" w:hAnsi="Calibri" w:eastAsia="Arial" w:cs="Calibri"/>
          <w:b/>
          <w:bCs/>
          <w:sz w:val="24"/>
          <w:szCs w:val="24"/>
          <w:lang w:val="en-GB"/>
        </w:rPr>
        <w:t>The Equality Act 2010:</w:t>
      </w:r>
    </w:p>
    <w:p w14:paraId="09570381">
      <w:pPr>
        <w:pStyle w:val="18"/>
        <w:rPr>
          <w:rFonts w:ascii="Calibri" w:hAnsi="Calibri" w:eastAsia="Arial" w:cs="Calibri"/>
          <w:sz w:val="24"/>
          <w:szCs w:val="24"/>
          <w:lang w:val="en-GB"/>
        </w:rPr>
      </w:pPr>
      <w:r>
        <w:rPr>
          <w:rFonts w:ascii="Calibri" w:hAnsi="Calibri" w:eastAsia="Arial" w:cs="Calibri"/>
          <w:sz w:val="24"/>
          <w:szCs w:val="24"/>
          <w:lang w:val="en-GB"/>
        </w:rPr>
        <w:t>This act helps to provide employees, workers and on occasions those that are self employed from victimisation, discrimination and harassment that apply to the protected characteristics. These include age, disability, gender, religion, pregnancy and maternity as well as race, sexual orientation, marriage and civil partnerships. When implementing a reward scheme, it is important to ensure that any of the afore mentioned groups are not discriminated as part of this to prevent legal actions being taken against the organisation (GOV.UK, 2025).</w:t>
      </w:r>
    </w:p>
    <w:p w14:paraId="09570382">
      <w:pPr>
        <w:pStyle w:val="18"/>
        <w:rPr>
          <w:rFonts w:ascii="Calibri" w:hAnsi="Calibri" w:eastAsia="Arial" w:cs="Calibri"/>
          <w:sz w:val="24"/>
          <w:szCs w:val="24"/>
          <w:lang w:val="en-GB"/>
        </w:rPr>
      </w:pPr>
    </w:p>
    <w:p w14:paraId="09570383">
      <w:pPr>
        <w:pStyle w:val="18"/>
        <w:rPr>
          <w:rFonts w:hint="default" w:ascii="Calibri" w:hAnsi="Calibri" w:eastAsia="Arial" w:cs="Calibri"/>
          <w:sz w:val="24"/>
          <w:szCs w:val="24"/>
          <w:lang w:val="en-GB"/>
        </w:rPr>
      </w:pPr>
      <w:r>
        <w:rPr>
          <w:rFonts w:ascii="Calibri" w:hAnsi="Calibri" w:eastAsia="Arial" w:cs="Calibri"/>
          <w:sz w:val="24"/>
          <w:szCs w:val="24"/>
          <w:lang w:val="en-GB"/>
        </w:rPr>
        <w:t>Eco Insulate UK need to ensure that when deciding on a suitable reward package that up to date legislation is embedded into the package so that they are demonstrating fairness and transparency. It also worth noting the forthcoming legislative changes as part of the new Employment Rights Bill which is gradually being rolled out by the government over the next few years (CIPD, 2025).</w:t>
      </w:r>
      <w:r>
        <w:rPr>
          <w:rFonts w:hint="default" w:ascii="Calibri" w:hAnsi="Calibri" w:eastAsia="Arial" w:cs="Calibri"/>
          <w:sz w:val="24"/>
          <w:szCs w:val="24"/>
          <w:lang w:val="en-GB"/>
        </w:rPr>
        <w:t xml:space="preserve"> </w:t>
      </w:r>
    </w:p>
    <w:p w14:paraId="09570384">
      <w:pPr>
        <w:pStyle w:val="18"/>
        <w:rPr>
          <w:rFonts w:ascii="Calibri" w:hAnsi="Calibri" w:cs="Calibri"/>
          <w:b/>
          <w:bCs/>
          <w:color w:val="auto"/>
          <w:sz w:val="24"/>
          <w:szCs w:val="24"/>
          <w:lang w:val="en-GB"/>
        </w:rPr>
      </w:pPr>
    </w:p>
    <w:p w14:paraId="09570385">
      <w:pPr>
        <w:pStyle w:val="18"/>
        <w:jc w:val="center"/>
        <w:rPr>
          <w:rFonts w:ascii="Calibri" w:hAnsi="Calibri" w:cs="Calibri"/>
          <w:b/>
          <w:bCs/>
          <w:color w:val="auto"/>
          <w:sz w:val="24"/>
          <w:szCs w:val="24"/>
          <w:lang w:val="en-GB"/>
        </w:rPr>
      </w:pPr>
      <w:r>
        <w:rPr>
          <w:rFonts w:ascii="Calibri" w:hAnsi="Calibri" w:cs="Calibri"/>
          <w:b/>
          <w:bCs/>
          <w:color w:val="auto"/>
          <w:sz w:val="24"/>
          <w:szCs w:val="24"/>
          <w:lang w:val="en-GB"/>
        </w:rPr>
        <w:t>Bibliography</w:t>
      </w:r>
    </w:p>
    <w:p w14:paraId="09570386">
      <w:pPr>
        <w:pStyle w:val="18"/>
        <w:jc w:val="center"/>
        <w:rPr>
          <w:rFonts w:ascii="Calibri" w:hAnsi="Calibri" w:cs="Calibri"/>
          <w:b/>
          <w:bCs/>
          <w:color w:val="auto"/>
          <w:sz w:val="24"/>
          <w:szCs w:val="24"/>
          <w:lang w:val="en-GB"/>
        </w:rPr>
      </w:pPr>
    </w:p>
    <w:p w14:paraId="0957038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ACAS (2024) </w:t>
      </w:r>
      <w:r>
        <w:rPr>
          <w:rFonts w:ascii="Calibri" w:hAnsi="Calibri" w:eastAsia="avenir-regular-class" w:cs="Calibri"/>
          <w:i/>
          <w:iCs/>
          <w:color w:val="333333"/>
          <w:sz w:val="24"/>
          <w:szCs w:val="24"/>
          <w:shd w:val="clear" w:color="auto" w:fill="FBFBFB"/>
        </w:rPr>
        <w:t>Collective Bargaining. </w:t>
      </w:r>
      <w:r>
        <w:rPr>
          <w:rFonts w:ascii="Calibri" w:hAnsi="Calibri" w:eastAsia="avenir-regular-class" w:cs="Calibri"/>
          <w:color w:val="333333"/>
          <w:sz w:val="24"/>
          <w:szCs w:val="24"/>
          <w:shd w:val="clear" w:color="auto" w:fill="FBFBFB"/>
        </w:rPr>
        <w:t> Available at: https://www.acas.org.uk/archive/collective-bargaining (Accessed: 28 July 2025).</w:t>
      </w:r>
    </w:p>
    <w:p w14:paraId="09570388">
      <w:pPr>
        <w:pStyle w:val="18"/>
        <w:rPr>
          <w:rFonts w:ascii="Calibri" w:hAnsi="Calibri" w:eastAsia="avenir-regular-class" w:cs="Calibri"/>
          <w:color w:val="333333"/>
          <w:sz w:val="24"/>
          <w:szCs w:val="24"/>
          <w:shd w:val="clear" w:color="auto" w:fill="FBFBFB"/>
        </w:rPr>
      </w:pPr>
    </w:p>
    <w:p w14:paraId="09570389">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ACAS (2014) </w:t>
      </w:r>
      <w:r>
        <w:rPr>
          <w:rFonts w:ascii="Calibri" w:hAnsi="Calibri" w:eastAsia="avenir-regular-class" w:cs="Calibri"/>
          <w:i/>
          <w:iCs/>
          <w:color w:val="333333"/>
          <w:sz w:val="24"/>
          <w:szCs w:val="24"/>
          <w:shd w:val="clear" w:color="auto" w:fill="FBFBFB"/>
        </w:rPr>
        <w:t>Job Evaluation: Considerations and Risks</w:t>
      </w:r>
      <w:r>
        <w:rPr>
          <w:rFonts w:ascii="Calibri" w:hAnsi="Calibri" w:eastAsia="avenir-regular-class" w:cs="Calibri"/>
          <w:color w:val="333333"/>
          <w:sz w:val="24"/>
          <w:szCs w:val="24"/>
          <w:shd w:val="clear" w:color="auto" w:fill="FBFBFB"/>
        </w:rPr>
        <w:t>.  Available at: https://www.acas.org.uk/sites/default/files/2021-03/job-evaluation-considerations-and-risks-advisory-booklet.pdf  (Accessed: 28 July 2025).</w:t>
      </w:r>
    </w:p>
    <w:p w14:paraId="0957038A">
      <w:pPr>
        <w:pStyle w:val="18"/>
        <w:jc w:val="center"/>
        <w:rPr>
          <w:rFonts w:ascii="Calibri" w:hAnsi="Calibri" w:cs="Calibri"/>
          <w:b/>
          <w:bCs/>
          <w:color w:val="auto"/>
          <w:sz w:val="24"/>
          <w:szCs w:val="24"/>
          <w:lang w:val="en-GB"/>
        </w:rPr>
      </w:pPr>
    </w:p>
    <w:p w14:paraId="0957038B">
      <w:pPr>
        <w:pStyle w:val="18"/>
        <w:rPr>
          <w:rFonts w:ascii="Calibri" w:hAnsi="Calibri" w:cs="Calibri"/>
          <w:b/>
          <w:bCs/>
          <w:color w:val="auto"/>
          <w:sz w:val="24"/>
          <w:szCs w:val="24"/>
          <w:lang w:val="en-GB"/>
        </w:rPr>
      </w:pPr>
      <w:r>
        <w:rPr>
          <w:rFonts w:ascii="Calibri" w:hAnsi="Calibri" w:eastAsia="avenir-regular-class" w:cs="Calibri"/>
          <w:color w:val="333333"/>
          <w:sz w:val="24"/>
          <w:szCs w:val="24"/>
          <w:shd w:val="clear" w:color="auto" w:fill="FBFBFB"/>
        </w:rPr>
        <w:t>Barclays (2024) </w:t>
      </w:r>
      <w:r>
        <w:rPr>
          <w:rFonts w:ascii="Calibri" w:hAnsi="Calibri" w:eastAsia="avenir-regular-class" w:cs="Calibri"/>
          <w:i/>
          <w:iCs/>
          <w:color w:val="333333"/>
          <w:sz w:val="24"/>
          <w:szCs w:val="24"/>
          <w:shd w:val="clear" w:color="auto" w:fill="FBFBFB"/>
        </w:rPr>
        <w:t>Fair Pay Report 2024.</w:t>
      </w:r>
      <w:r>
        <w:rPr>
          <w:rFonts w:ascii="Calibri" w:hAnsi="Calibri" w:eastAsia="avenir-regular-class" w:cs="Calibri"/>
          <w:color w:val="333333"/>
          <w:sz w:val="24"/>
          <w:szCs w:val="24"/>
          <w:shd w:val="clear" w:color="auto" w:fill="FBFBFB"/>
        </w:rPr>
        <w:t> Available at: https://home.barclays/content/dam/home-barclays/documents/investor-relations/reports-and-events/annual-reports/2024/Barclays-PLC-Fair-Pay-Report-2024.pdf  (Accessed: 22 July 2025).</w:t>
      </w:r>
    </w:p>
    <w:p w14:paraId="0957038C">
      <w:pPr>
        <w:pStyle w:val="18"/>
        <w:jc w:val="center"/>
        <w:rPr>
          <w:rFonts w:ascii="Calibri" w:hAnsi="Calibri" w:cs="Calibri"/>
          <w:b/>
          <w:bCs/>
          <w:color w:val="auto"/>
          <w:sz w:val="24"/>
          <w:szCs w:val="24"/>
          <w:lang w:val="en-GB"/>
        </w:rPr>
      </w:pPr>
    </w:p>
    <w:p w14:paraId="0957038D">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Burns, C. (2015) </w:t>
      </w:r>
      <w:r>
        <w:rPr>
          <w:rFonts w:ascii="Calibri" w:hAnsi="Calibri" w:eastAsia="avenir-regular-class" w:cs="Calibri"/>
          <w:i/>
          <w:iCs/>
          <w:color w:val="333333"/>
          <w:sz w:val="24"/>
          <w:szCs w:val="24"/>
          <w:shd w:val="clear" w:color="auto" w:fill="FBFBFB"/>
        </w:rPr>
        <w:t> Instant Motivation</w:t>
      </w:r>
      <w:r>
        <w:rPr>
          <w:rFonts w:ascii="Calibri" w:hAnsi="Calibri" w:eastAsia="avenir-regular-class" w:cs="Calibri"/>
          <w:color w:val="333333"/>
          <w:sz w:val="24"/>
          <w:szCs w:val="24"/>
          <w:shd w:val="clear" w:color="auto" w:fill="FBFBFB"/>
        </w:rPr>
        <w:t>. Harlow: Pearson. </w:t>
      </w:r>
    </w:p>
    <w:p w14:paraId="4DC6E83D">
      <w:pPr>
        <w:pStyle w:val="18"/>
        <w:rPr>
          <w:rFonts w:ascii="Calibri" w:hAnsi="Calibri" w:eastAsia="avenir-regular-class" w:cs="Calibri"/>
          <w:color w:val="333333"/>
          <w:sz w:val="24"/>
          <w:szCs w:val="24"/>
          <w:shd w:val="clear" w:color="auto" w:fill="FBFBFB"/>
        </w:rPr>
      </w:pPr>
    </w:p>
    <w:p w14:paraId="7D47BF1C">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w:t>
      </w:r>
      <w:r>
        <w:rPr>
          <w:rFonts w:hint="default"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w:t>
      </w:r>
      <w:r>
        <w:rPr>
          <w:rFonts w:ascii="Calibri" w:hAnsi="Calibri" w:eastAsia="avenir-regular-class" w:cs="Calibri"/>
          <w:i/>
          <w:iCs/>
          <w:color w:val="333333"/>
          <w:sz w:val="24"/>
          <w:szCs w:val="24"/>
          <w:shd w:val="clear" w:color="auto" w:fill="FBFBFB"/>
        </w:rPr>
        <w:t> </w:t>
      </w:r>
      <w:r>
        <w:rPr>
          <w:rFonts w:hint="default" w:ascii="Calibri" w:hAnsi="Calibri" w:eastAsia="avenir-regular-class" w:cs="Calibri"/>
          <w:i/>
          <w:iCs/>
          <w:color w:val="333333"/>
          <w:sz w:val="24"/>
          <w:szCs w:val="24"/>
          <w:shd w:val="clear" w:color="auto" w:fill="FBFBFB"/>
          <w:lang w:val="en-GB"/>
        </w:rPr>
        <w:t>Benchmarking Employee Turnover: What are the Latest Trends and Insights</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Available at: </w:t>
      </w:r>
      <w:r>
        <w:rPr>
          <w:rFonts w:hint="default" w:ascii="Calibri" w:hAnsi="Calibri" w:eastAsia="avenir-regular-class"/>
          <w:color w:val="333333"/>
          <w:sz w:val="24"/>
          <w:szCs w:val="24"/>
          <w:shd w:val="clear" w:color="auto" w:fill="FBFBFB"/>
        </w:rPr>
        <w:t>https://www.cipd.org/uk/views-and-insights/thought-leadership/cipd-voice/benchmarking-employee-turnover/</w:t>
      </w:r>
      <w:r>
        <w:rPr>
          <w:rFonts w:ascii="Calibri" w:hAnsi="Calibri" w:eastAsia="avenir-regular-class" w:cs="Calibri"/>
          <w:color w:val="333333"/>
          <w:sz w:val="24"/>
          <w:szCs w:val="24"/>
          <w:shd w:val="clear" w:color="auto" w:fill="FBFBFB"/>
        </w:rPr>
        <w:t xml:space="preserve"> (Accessed: </w:t>
      </w:r>
      <w:r>
        <w:rPr>
          <w:rFonts w:hint="default" w:ascii="Calibri" w:hAnsi="Calibri" w:eastAsia="avenir-regular-class" w:cs="Calibri"/>
          <w:color w:val="333333"/>
          <w:sz w:val="24"/>
          <w:szCs w:val="24"/>
          <w:shd w:val="clear" w:color="auto" w:fill="FBFBFB"/>
          <w:lang w:val="en-GB"/>
        </w:rPr>
        <w:t>13</w:t>
      </w:r>
      <w:r>
        <w:rPr>
          <w:rFonts w:ascii="Calibri" w:hAnsi="Calibri" w:eastAsia="avenir-regular-class" w:cs="Calibri"/>
          <w:color w:val="333333"/>
          <w:sz w:val="24"/>
          <w:szCs w:val="24"/>
          <w:shd w:val="clear" w:color="auto" w:fill="FBFBFB"/>
        </w:rPr>
        <w:t xml:space="preserve"> </w:t>
      </w:r>
      <w:r>
        <w:rPr>
          <w:rFonts w:hint="default" w:ascii="Calibri" w:hAnsi="Calibri" w:eastAsia="avenir-regular-class" w:cs="Calibri"/>
          <w:color w:val="333333"/>
          <w:sz w:val="24"/>
          <w:szCs w:val="24"/>
          <w:shd w:val="clear" w:color="auto" w:fill="FBFBFB"/>
          <w:lang w:val="en-GB"/>
        </w:rPr>
        <w:t xml:space="preserve">August </w:t>
      </w:r>
      <w:r>
        <w:rPr>
          <w:rFonts w:ascii="Calibri" w:hAnsi="Calibri" w:eastAsia="avenir-regular-class" w:cs="Calibri"/>
          <w:color w:val="333333"/>
          <w:sz w:val="24"/>
          <w:szCs w:val="24"/>
          <w:shd w:val="clear" w:color="auto" w:fill="FBFBFB"/>
        </w:rPr>
        <w:t>2025).</w:t>
      </w:r>
    </w:p>
    <w:p w14:paraId="3EC0E235">
      <w:pPr>
        <w:pStyle w:val="18"/>
        <w:rPr>
          <w:rFonts w:ascii="Calibri" w:hAnsi="Calibri" w:eastAsia="avenir-regular-class" w:cs="Calibri"/>
          <w:color w:val="333333"/>
          <w:sz w:val="24"/>
          <w:szCs w:val="24"/>
          <w:shd w:val="clear" w:color="auto" w:fill="FBFBFB"/>
        </w:rPr>
      </w:pPr>
    </w:p>
    <w:p w14:paraId="736D3C57">
      <w:pPr>
        <w:pStyle w:val="18"/>
        <w:rPr>
          <w:rFonts w:ascii="Calibri" w:hAnsi="Calibri" w:eastAsia="avenir-regular-class" w:cs="Calibri"/>
          <w:color w:val="333333"/>
          <w:sz w:val="24"/>
          <w:szCs w:val="24"/>
          <w:shd w:val="clear" w:color="auto" w:fill="FBFBFB"/>
        </w:rPr>
      </w:pPr>
    </w:p>
    <w:p w14:paraId="7A7E5A6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w:t>
      </w:r>
      <w:r>
        <w:rPr>
          <w:rFonts w:hint="default"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 </w:t>
      </w:r>
      <w:r>
        <w:rPr>
          <w:rFonts w:hint="default" w:ascii="Calibri" w:hAnsi="Calibri" w:eastAsia="avenir-regular-class" w:cs="Calibri"/>
          <w:i/>
          <w:iCs/>
          <w:color w:val="333333"/>
          <w:sz w:val="24"/>
          <w:szCs w:val="24"/>
          <w:shd w:val="clear" w:color="auto" w:fill="FBFBFB"/>
          <w:lang w:val="en-GB"/>
        </w:rPr>
        <w:t>Competence and Competency Frameworks</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 xml:space="preserve">Available at:  </w:t>
      </w:r>
      <w:r>
        <w:rPr>
          <w:rFonts w:hint="default" w:ascii="Calibri" w:hAnsi="Calibri" w:eastAsia="avenir-regular-class"/>
          <w:color w:val="333333"/>
          <w:sz w:val="24"/>
          <w:szCs w:val="24"/>
          <w:shd w:val="clear" w:color="auto" w:fill="FBFBFB"/>
        </w:rPr>
        <w:t>https://www.cipd.org/uk/knowledge/factsheets/competency-factsheet/</w:t>
      </w:r>
      <w:r>
        <w:rPr>
          <w:rFonts w:ascii="Calibri" w:hAnsi="Calibri" w:eastAsia="avenir-regular-class" w:cs="Calibri"/>
          <w:color w:val="333333"/>
          <w:sz w:val="24"/>
          <w:szCs w:val="24"/>
          <w:shd w:val="clear" w:color="auto" w:fill="FBFBFB"/>
        </w:rPr>
        <w:t xml:space="preserve"> (Accessed: </w:t>
      </w:r>
      <w:r>
        <w:rPr>
          <w:rFonts w:hint="default" w:ascii="Calibri" w:hAnsi="Calibri" w:eastAsia="avenir-regular-class" w:cs="Calibri"/>
          <w:color w:val="333333"/>
          <w:sz w:val="24"/>
          <w:szCs w:val="24"/>
          <w:shd w:val="clear" w:color="auto" w:fill="FBFBFB"/>
          <w:lang w:val="en-GB"/>
        </w:rPr>
        <w:t>13</w:t>
      </w:r>
      <w:r>
        <w:rPr>
          <w:rFonts w:ascii="Calibri" w:hAnsi="Calibri" w:eastAsia="avenir-regular-class" w:cs="Calibri"/>
          <w:color w:val="333333"/>
          <w:sz w:val="24"/>
          <w:szCs w:val="24"/>
          <w:shd w:val="clear" w:color="auto" w:fill="FBFBFB"/>
        </w:rPr>
        <w:t xml:space="preserve"> </w:t>
      </w:r>
      <w:r>
        <w:rPr>
          <w:rFonts w:hint="default" w:ascii="Calibri" w:hAnsi="Calibri" w:eastAsia="avenir-regular-class" w:cs="Calibri"/>
          <w:color w:val="333333"/>
          <w:sz w:val="24"/>
          <w:szCs w:val="24"/>
          <w:shd w:val="clear" w:color="auto" w:fill="FBFBFB"/>
          <w:lang w:val="en-GB"/>
        </w:rPr>
        <w:t xml:space="preserve">August </w:t>
      </w:r>
      <w:r>
        <w:rPr>
          <w:rFonts w:ascii="Calibri" w:hAnsi="Calibri" w:eastAsia="avenir-regular-class" w:cs="Calibri"/>
          <w:color w:val="333333"/>
          <w:sz w:val="24"/>
          <w:szCs w:val="24"/>
          <w:shd w:val="clear" w:color="auto" w:fill="FBFBFB"/>
        </w:rPr>
        <w:t>2025).</w:t>
      </w:r>
    </w:p>
    <w:p w14:paraId="0957038E">
      <w:pPr>
        <w:pStyle w:val="18"/>
        <w:rPr>
          <w:rFonts w:ascii="Calibri" w:hAnsi="Calibri" w:eastAsia="avenir-regular-class" w:cs="Calibri"/>
          <w:color w:val="333333"/>
          <w:sz w:val="24"/>
          <w:szCs w:val="24"/>
          <w:shd w:val="clear" w:color="auto" w:fill="FBFBFB"/>
        </w:rPr>
      </w:pPr>
    </w:p>
    <w:p w14:paraId="0957038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Employee Benefits: An Introduction. </w:t>
      </w:r>
      <w:r>
        <w:rPr>
          <w:rFonts w:ascii="Calibri" w:hAnsi="Calibri" w:eastAsia="avenir-regular-class" w:cs="Calibri"/>
          <w:color w:val="333333"/>
          <w:sz w:val="24"/>
          <w:szCs w:val="24"/>
          <w:shd w:val="clear" w:color="auto" w:fill="FBFBFB"/>
        </w:rPr>
        <w:t>Available at:  https://www.cipd.org/uk/knowledge/factsheets/benefits-factsheet/ (Accessed: 22 July 2025).</w:t>
      </w:r>
    </w:p>
    <w:p w14:paraId="758235DE">
      <w:pPr>
        <w:pStyle w:val="18"/>
        <w:rPr>
          <w:rFonts w:ascii="Calibri" w:hAnsi="Calibri" w:eastAsia="avenir-regular-class" w:cs="Calibri"/>
          <w:color w:val="333333"/>
          <w:sz w:val="24"/>
          <w:szCs w:val="24"/>
          <w:shd w:val="clear" w:color="auto" w:fill="FBFBFB"/>
        </w:rPr>
      </w:pPr>
    </w:p>
    <w:p w14:paraId="4BF96F60">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 xml:space="preserve">Employee </w:t>
      </w:r>
      <w:r>
        <w:rPr>
          <w:rFonts w:hint="default" w:ascii="Calibri" w:hAnsi="Calibri" w:eastAsia="avenir-regular-class" w:cs="Calibri"/>
          <w:i/>
          <w:iCs/>
          <w:color w:val="333333"/>
          <w:sz w:val="24"/>
          <w:szCs w:val="24"/>
          <w:shd w:val="clear" w:color="auto" w:fill="FBFBFB"/>
          <w:lang w:val="en-GB"/>
        </w:rPr>
        <w:t xml:space="preserve">Engagement and Motivation. </w:t>
      </w:r>
      <w:r>
        <w:rPr>
          <w:rFonts w:ascii="Calibri" w:hAnsi="Calibri" w:eastAsia="avenir-regular-class" w:cs="Calibri"/>
          <w:color w:val="333333"/>
          <w:sz w:val="24"/>
          <w:szCs w:val="24"/>
          <w:shd w:val="clear" w:color="auto" w:fill="FBFBFB"/>
        </w:rPr>
        <w:t>Available at: </w:t>
      </w:r>
      <w:r>
        <w:rPr>
          <w:rFonts w:hint="default" w:ascii="Calibri" w:hAnsi="Calibri" w:eastAsia="avenir-regular-class"/>
          <w:color w:val="333333"/>
          <w:sz w:val="24"/>
          <w:szCs w:val="24"/>
          <w:shd w:val="clear" w:color="auto" w:fill="FBFBFB"/>
        </w:rPr>
        <w:t>https://www.cipd.org/uk/knowledge/factsheets/engagement-factsheet/</w:t>
      </w:r>
      <w:r>
        <w:rPr>
          <w:rFonts w:ascii="Calibri" w:hAnsi="Calibri" w:eastAsia="avenir-regular-class" w:cs="Calibri"/>
          <w:color w:val="333333"/>
          <w:sz w:val="24"/>
          <w:szCs w:val="24"/>
          <w:shd w:val="clear" w:color="auto" w:fill="FBFBFB"/>
        </w:rPr>
        <w:t xml:space="preserve"> (Accessed: </w:t>
      </w:r>
      <w:r>
        <w:rPr>
          <w:rFonts w:hint="default" w:ascii="Calibri" w:hAnsi="Calibri" w:eastAsia="avenir-regular-class" w:cs="Calibri"/>
          <w:color w:val="333333"/>
          <w:sz w:val="24"/>
          <w:szCs w:val="24"/>
          <w:shd w:val="clear" w:color="auto" w:fill="FBFBFB"/>
          <w:lang w:val="en-GB"/>
        </w:rPr>
        <w:t>11 August</w:t>
      </w:r>
      <w:r>
        <w:rPr>
          <w:rFonts w:ascii="Calibri" w:hAnsi="Calibri" w:eastAsia="avenir-regular-class" w:cs="Calibri"/>
          <w:color w:val="333333"/>
          <w:sz w:val="24"/>
          <w:szCs w:val="24"/>
          <w:shd w:val="clear" w:color="auto" w:fill="FBFBFB"/>
        </w:rPr>
        <w:t xml:space="preserve"> 2025).</w:t>
      </w:r>
    </w:p>
    <w:p w14:paraId="09570390">
      <w:pPr>
        <w:pStyle w:val="18"/>
        <w:jc w:val="both"/>
        <w:rPr>
          <w:rFonts w:ascii="Calibri" w:hAnsi="Calibri" w:cs="Calibri"/>
          <w:b/>
          <w:bCs/>
          <w:color w:val="auto"/>
          <w:sz w:val="24"/>
          <w:szCs w:val="24"/>
          <w:lang w:val="en-GB"/>
        </w:rPr>
      </w:pPr>
    </w:p>
    <w:p w14:paraId="0957039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(2022) </w:t>
      </w:r>
      <w:r>
        <w:rPr>
          <w:rFonts w:ascii="Calibri" w:hAnsi="Calibri" w:eastAsia="avenir-regular-class" w:cs="Calibri"/>
          <w:i/>
          <w:iCs/>
          <w:color w:val="333333"/>
          <w:sz w:val="24"/>
          <w:szCs w:val="24"/>
          <w:shd w:val="clear" w:color="auto" w:fill="FBFBFB"/>
        </w:rPr>
        <w:t> Employee Recognition and Non-Financial Rewards</w:t>
      </w:r>
      <w:r>
        <w:rPr>
          <w:rFonts w:ascii="Calibri" w:hAnsi="Calibri" w:eastAsia="avenir-regular-class" w:cs="Calibri"/>
          <w:color w:val="333333"/>
          <w:sz w:val="24"/>
          <w:szCs w:val="24"/>
          <w:shd w:val="clear" w:color="auto" w:fill="FBFBFB"/>
        </w:rPr>
        <w:t>. Available at:</w:t>
      </w:r>
      <w:r>
        <w:rPr>
          <w:rFonts w:ascii="Calibri" w:hAnsi="Calibri" w:eastAsia="avenir-regular-class" w:cs="Calibri"/>
          <w:color w:val="333333"/>
          <w:sz w:val="24"/>
          <w:szCs w:val="24"/>
          <w:shd w:val="clear" w:color="auto" w:fill="FBFBFB"/>
          <w:lang w:val="en-GB"/>
        </w:rPr>
        <w:t xml:space="preserve"> </w:t>
      </w:r>
      <w:r>
        <w:rPr>
          <w:rFonts w:ascii="Calibri" w:hAnsi="Calibri" w:eastAsia="avenir-regular-class" w:cs="Calibri"/>
          <w:color w:val="333333"/>
          <w:sz w:val="24"/>
          <w:szCs w:val="24"/>
          <w:shd w:val="clear" w:color="auto" w:fill="FBFBFB"/>
        </w:rPr>
        <w:t>https://www.cipd.org/globalassets/media/knowledge/knowledge-hub/evidence-reviews/non-financial-recognition-scientific-summary_tcm18-105469.pdf  (Accessed: 17 July 2025).</w:t>
      </w:r>
    </w:p>
    <w:p w14:paraId="09570392">
      <w:pPr>
        <w:pStyle w:val="18"/>
        <w:rPr>
          <w:rFonts w:ascii="Calibri" w:hAnsi="Calibri" w:eastAsia="avenir-regular-class" w:cs="Calibri"/>
          <w:color w:val="333333"/>
          <w:sz w:val="24"/>
          <w:szCs w:val="24"/>
          <w:shd w:val="clear" w:color="auto" w:fill="FBFBFB"/>
        </w:rPr>
      </w:pPr>
    </w:p>
    <w:p w14:paraId="09570393">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(2020)</w:t>
      </w:r>
      <w:r>
        <w:rPr>
          <w:rFonts w:ascii="Calibri" w:hAnsi="Calibri" w:eastAsia="avenir-regular-class" w:cs="Calibri"/>
          <w:b/>
          <w:bCs/>
          <w:color w:val="333333"/>
          <w:sz w:val="24"/>
          <w:szCs w:val="24"/>
          <w:shd w:val="clear" w:color="auto" w:fill="FBFBFB"/>
        </w:rPr>
        <w:t> </w:t>
      </w:r>
      <w:r>
        <w:rPr>
          <w:rFonts w:ascii="Calibri" w:hAnsi="Calibri" w:eastAsia="avenir-regular-class" w:cs="Calibri"/>
          <w:i/>
          <w:iCs/>
          <w:color w:val="333333"/>
          <w:sz w:val="24"/>
          <w:szCs w:val="24"/>
          <w:shd w:val="clear" w:color="auto" w:fill="FBFBFB"/>
        </w:rPr>
        <w:t>Five Ideas for Employee Recognition</w:t>
      </w:r>
      <w:r>
        <w:rPr>
          <w:rFonts w:ascii="Calibri" w:hAnsi="Calibri" w:eastAsia="avenir-regular-class" w:cs="Calibri"/>
          <w:color w:val="333333"/>
          <w:sz w:val="24"/>
          <w:szCs w:val="24"/>
          <w:shd w:val="clear" w:color="auto" w:fill="FBFBFB"/>
        </w:rPr>
        <w:t>. Available at: https://www.cipd.org/uk/about/news/five-ideas-employee-recognition/ Accessed: 23 July 2025).</w:t>
      </w:r>
    </w:p>
    <w:p w14:paraId="09570394">
      <w:pPr>
        <w:pStyle w:val="18"/>
        <w:rPr>
          <w:rFonts w:ascii="Calibri" w:hAnsi="Calibri" w:eastAsia="avenir-regular-class" w:cs="Calibri"/>
          <w:color w:val="333333"/>
          <w:sz w:val="24"/>
          <w:szCs w:val="24"/>
          <w:shd w:val="clear" w:color="auto" w:fill="FBFBFB"/>
        </w:rPr>
      </w:pPr>
    </w:p>
    <w:p w14:paraId="0957039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Flexible and Hybrid Working Practices in 2025</w:t>
      </w:r>
      <w:r>
        <w:rPr>
          <w:rFonts w:ascii="Calibri" w:hAnsi="Calibri" w:eastAsia="avenir-regular-class" w:cs="Calibri"/>
          <w:color w:val="333333"/>
          <w:sz w:val="24"/>
          <w:szCs w:val="24"/>
          <w:shd w:val="clear" w:color="auto" w:fill="FBFBFB"/>
        </w:rPr>
        <w:t>. Available at: https://www.cipd.org/uk/knowledge/reports/flexible-hybrid-working/ Accessed: 22 July 2025).</w:t>
      </w:r>
    </w:p>
    <w:p w14:paraId="09570396">
      <w:pPr>
        <w:pStyle w:val="18"/>
        <w:rPr>
          <w:rFonts w:ascii="Calibri" w:hAnsi="Calibri" w:eastAsia="avenir-regular-class" w:cs="Calibri"/>
          <w:color w:val="333333"/>
          <w:sz w:val="24"/>
          <w:szCs w:val="24"/>
          <w:shd w:val="clear" w:color="auto" w:fill="FBFBFB"/>
        </w:rPr>
      </w:pPr>
    </w:p>
    <w:p w14:paraId="0957039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Flexible Working Practices</w:t>
      </w:r>
      <w:r>
        <w:rPr>
          <w:rFonts w:ascii="Calibri" w:hAnsi="Calibri" w:eastAsia="avenir-regular-class" w:cs="Calibri"/>
          <w:color w:val="333333"/>
          <w:sz w:val="24"/>
          <w:szCs w:val="24"/>
          <w:shd w:val="clear" w:color="auto" w:fill="FBFBFB"/>
        </w:rPr>
        <w:t>. Available at: https://www.cipd.org/uk/knowledge/factsheets/flexible-working-factsheet/#title2 (Accessed: 22 July 2025).</w:t>
      </w:r>
    </w:p>
    <w:p w14:paraId="09570398">
      <w:pPr>
        <w:pStyle w:val="18"/>
        <w:rPr>
          <w:rFonts w:ascii="Calibri" w:hAnsi="Calibri" w:eastAsia="avenir-regular-class" w:cs="Calibri"/>
          <w:color w:val="333333"/>
          <w:sz w:val="24"/>
          <w:szCs w:val="24"/>
          <w:shd w:val="clear" w:color="auto" w:fill="FBFBFB"/>
        </w:rPr>
      </w:pPr>
    </w:p>
    <w:p w14:paraId="0957039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Implementing Flexible Hybrid Working as Part of Modernising the Employee Experience: RSPCA</w:t>
      </w:r>
      <w:r>
        <w:rPr>
          <w:rFonts w:ascii="Calibri" w:hAnsi="Calibri" w:eastAsia="avenir-regular-class" w:cs="Calibri"/>
          <w:color w:val="333333"/>
          <w:sz w:val="24"/>
          <w:szCs w:val="24"/>
          <w:shd w:val="clear" w:color="auto" w:fill="FBFBFB"/>
        </w:rPr>
        <w:t>. Available at: https://www.cipd.org/uk/knowledge/case-studies/flexible-hybrid-rspca/ Accessed: 22 July 2025).</w:t>
      </w:r>
    </w:p>
    <w:p w14:paraId="0957039A">
      <w:pPr>
        <w:pStyle w:val="18"/>
        <w:rPr>
          <w:rFonts w:ascii="Calibri" w:hAnsi="Calibri" w:eastAsia="avenir-regular-class" w:cs="Calibri"/>
          <w:color w:val="333333"/>
          <w:sz w:val="24"/>
          <w:szCs w:val="24"/>
          <w:shd w:val="clear" w:color="auto" w:fill="FBFBFB"/>
        </w:rPr>
      </w:pPr>
    </w:p>
    <w:p w14:paraId="0957039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(2022) </w:t>
      </w:r>
      <w:r>
        <w:rPr>
          <w:rFonts w:ascii="Calibri" w:hAnsi="Calibri" w:eastAsia="avenir-regular-class" w:cs="Calibri"/>
          <w:i/>
          <w:iCs/>
          <w:color w:val="333333"/>
          <w:sz w:val="24"/>
          <w:szCs w:val="24"/>
          <w:shd w:val="clear" w:color="auto" w:fill="FBFBFB"/>
        </w:rPr>
        <w:t>Incentives and Recognition:  An Evidence Review. Practice Summary</w:t>
      </w:r>
      <w:r>
        <w:rPr>
          <w:rFonts w:ascii="Calibri" w:hAnsi="Calibri" w:eastAsia="avenir-regular-class" w:cs="Calibri"/>
          <w:color w:val="333333"/>
          <w:sz w:val="24"/>
          <w:szCs w:val="24"/>
          <w:shd w:val="clear" w:color="auto" w:fill="FBFBFB"/>
        </w:rPr>
        <w:t>. Available at: https://www.cipd.org/globalassets/media/knowledge/knowledge-hub/evidence-reviews/incentives-recognition-practice-summary_tcm18-105466.pdf (Accessed: 22 July 2025).</w:t>
      </w:r>
    </w:p>
    <w:p w14:paraId="0957039C">
      <w:pPr>
        <w:pStyle w:val="18"/>
        <w:rPr>
          <w:rFonts w:ascii="Calibri" w:hAnsi="Calibri" w:eastAsia="avenir-regular-class" w:cs="Calibri"/>
          <w:color w:val="333333"/>
          <w:sz w:val="24"/>
          <w:szCs w:val="24"/>
          <w:shd w:val="clear" w:color="auto" w:fill="FBFBFB"/>
        </w:rPr>
      </w:pPr>
    </w:p>
    <w:p w14:paraId="0957039D">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Job Evaluation and Market Pricing</w:t>
      </w:r>
      <w:r>
        <w:rPr>
          <w:rFonts w:ascii="Calibri" w:hAnsi="Calibri" w:eastAsia="avenir-regular-class" w:cs="Calibri"/>
          <w:color w:val="333333"/>
          <w:sz w:val="24"/>
          <w:szCs w:val="24"/>
          <w:shd w:val="clear" w:color="auto" w:fill="FBFBFB"/>
        </w:rPr>
        <w:t>.  Available at: https://www.cipd.org/uk/knowledge/factsheets/market-pricing-factsheet/#jobevaluationmarket (Accessed: 28 July 2025).</w:t>
      </w:r>
    </w:p>
    <w:p w14:paraId="0957039E">
      <w:pPr>
        <w:pStyle w:val="18"/>
        <w:rPr>
          <w:rFonts w:ascii="Calibri" w:hAnsi="Calibri" w:eastAsia="avenir-regular-class" w:cs="Calibri"/>
          <w:color w:val="333333"/>
          <w:sz w:val="24"/>
          <w:szCs w:val="24"/>
          <w:shd w:val="clear" w:color="auto" w:fill="FBFBFB"/>
        </w:rPr>
      </w:pPr>
    </w:p>
    <w:p w14:paraId="0957039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(2024) </w:t>
      </w:r>
      <w:r>
        <w:rPr>
          <w:rFonts w:ascii="Calibri" w:hAnsi="Calibri" w:eastAsia="avenir-regular-class" w:cs="Calibri"/>
          <w:i/>
          <w:iCs/>
          <w:color w:val="333333"/>
          <w:sz w:val="24"/>
          <w:szCs w:val="24"/>
          <w:shd w:val="clear" w:color="auto" w:fill="FBFBFB"/>
        </w:rPr>
        <w:t>Pay Fairness and Pay Reporting. </w:t>
      </w:r>
      <w:r>
        <w:rPr>
          <w:rFonts w:ascii="Calibri" w:hAnsi="Calibri" w:eastAsia="avenir-regular-class" w:cs="Calibri"/>
          <w:color w:val="333333"/>
          <w:sz w:val="24"/>
          <w:szCs w:val="24"/>
          <w:shd w:val="clear" w:color="auto" w:fill="FBFBFB"/>
        </w:rPr>
        <w:t>Available at: https://www.cipd.org/uk/knowledge/factsheets/pay-fairness-reporting-factsheet/ (Accessed: 28 July 2025).</w:t>
      </w:r>
    </w:p>
    <w:p w14:paraId="095703A0">
      <w:pPr>
        <w:pStyle w:val="18"/>
        <w:rPr>
          <w:rFonts w:ascii="Calibri" w:hAnsi="Calibri" w:eastAsia="avenir-regular-class" w:cs="Calibri"/>
          <w:color w:val="333333"/>
          <w:sz w:val="24"/>
          <w:szCs w:val="24"/>
          <w:shd w:val="clear" w:color="auto" w:fill="FBFBFB"/>
        </w:rPr>
      </w:pPr>
    </w:p>
    <w:p w14:paraId="728E019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w:t>
      </w:r>
      <w:r>
        <w:rPr>
          <w:rFonts w:hint="default" w:ascii="Calibri" w:hAnsi="Calibri" w:eastAsia="avenir-regular-class" w:cs="Calibri"/>
          <w:color w:val="333333"/>
          <w:sz w:val="24"/>
          <w:szCs w:val="24"/>
          <w:shd w:val="clear" w:color="auto" w:fill="FBFBFB"/>
          <w:lang w:val="en-GB"/>
        </w:rPr>
        <w:t>1</w:t>
      </w:r>
      <w:r>
        <w:rPr>
          <w:rFonts w:ascii="Calibri" w:hAnsi="Calibri" w:eastAsia="avenir-regular-class" w:cs="Calibri"/>
          <w:color w:val="333333"/>
          <w:sz w:val="24"/>
          <w:szCs w:val="24"/>
          <w:shd w:val="clear" w:color="auto" w:fill="FBFBFB"/>
        </w:rPr>
        <w:t>) </w:t>
      </w:r>
      <w:r>
        <w:rPr>
          <w:rFonts w:ascii="Calibri" w:hAnsi="Calibri" w:eastAsia="avenir-regular-class" w:cs="Calibri"/>
          <w:i/>
          <w:iCs/>
          <w:color w:val="333333"/>
          <w:sz w:val="24"/>
          <w:szCs w:val="24"/>
          <w:shd w:val="clear" w:color="auto" w:fill="FBFBFB"/>
        </w:rPr>
        <w:t>Pay</w:t>
      </w:r>
      <w:r>
        <w:rPr>
          <w:rFonts w:hint="default" w:ascii="Calibri" w:hAnsi="Calibri" w:eastAsia="avenir-regular-class" w:cs="Calibri"/>
          <w:i/>
          <w:iCs/>
          <w:color w:val="333333"/>
          <w:sz w:val="24"/>
          <w:szCs w:val="24"/>
          <w:shd w:val="clear" w:color="auto" w:fill="FBFBFB"/>
          <w:lang w:val="en-GB"/>
        </w:rPr>
        <w:t>ing for Stress</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Available at: </w:t>
      </w:r>
      <w:r>
        <w:rPr>
          <w:rFonts w:hint="default" w:ascii="Calibri" w:hAnsi="Calibri" w:eastAsia="avenir-regular-class"/>
          <w:color w:val="333333"/>
          <w:sz w:val="24"/>
          <w:szCs w:val="24"/>
          <w:u w:val="none"/>
          <w:shd w:val="clear" w:color="auto" w:fill="FBFBFB"/>
        </w:rPr>
        <w:t>https://www.cipd.org/uk/knowledge/bitesize-research/paying-for-stress/</w:t>
      </w:r>
      <w:r>
        <w:rPr>
          <w:rFonts w:hint="default" w:ascii="Calibri" w:hAnsi="Calibri" w:eastAsia="avenir-regular-class"/>
          <w:color w:val="333333"/>
          <w:sz w:val="24"/>
          <w:szCs w:val="24"/>
          <w:shd w:val="clear" w:color="auto" w:fill="FBFBFB"/>
          <w:lang w:val="en-GB"/>
        </w:rPr>
        <w:t xml:space="preserve"> </w:t>
      </w:r>
      <w:r>
        <w:rPr>
          <w:rFonts w:ascii="Calibri" w:hAnsi="Calibri" w:eastAsia="avenir-regular-class" w:cs="Calibri"/>
          <w:color w:val="333333"/>
          <w:sz w:val="24"/>
          <w:szCs w:val="24"/>
          <w:shd w:val="clear" w:color="auto" w:fill="FBFBFB"/>
        </w:rPr>
        <w:t xml:space="preserve">(Accessed: </w:t>
      </w:r>
      <w:r>
        <w:rPr>
          <w:rFonts w:hint="default" w:ascii="Calibri" w:hAnsi="Calibri" w:eastAsia="avenir-regular-class" w:cs="Calibri"/>
          <w:color w:val="333333"/>
          <w:sz w:val="24"/>
          <w:szCs w:val="24"/>
          <w:shd w:val="clear" w:color="auto" w:fill="FBFBFB"/>
          <w:lang w:val="en-GB"/>
        </w:rPr>
        <w:t>11 August 2025</w:t>
      </w:r>
      <w:r>
        <w:rPr>
          <w:rFonts w:ascii="Calibri" w:hAnsi="Calibri" w:eastAsia="avenir-regular-class" w:cs="Calibri"/>
          <w:color w:val="333333"/>
          <w:sz w:val="24"/>
          <w:szCs w:val="24"/>
          <w:shd w:val="clear" w:color="auto" w:fill="FBFBFB"/>
        </w:rPr>
        <w:t>).</w:t>
      </w:r>
    </w:p>
    <w:p w14:paraId="31E88E7C">
      <w:pPr>
        <w:pStyle w:val="18"/>
        <w:rPr>
          <w:rFonts w:ascii="Calibri" w:hAnsi="Calibri" w:eastAsia="avenir-regular-class" w:cs="Calibri"/>
          <w:color w:val="333333"/>
          <w:sz w:val="24"/>
          <w:szCs w:val="24"/>
          <w:shd w:val="clear" w:color="auto" w:fill="FBFBFB"/>
        </w:rPr>
      </w:pPr>
    </w:p>
    <w:p w14:paraId="095703A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(2024) </w:t>
      </w:r>
      <w:r>
        <w:rPr>
          <w:rFonts w:ascii="Calibri" w:hAnsi="Calibri" w:eastAsia="avenir-regular-class" w:cs="Calibri"/>
          <w:i/>
          <w:iCs/>
          <w:color w:val="333333"/>
          <w:sz w:val="24"/>
          <w:szCs w:val="24"/>
          <w:shd w:val="clear" w:color="auto" w:fill="FBFBFB"/>
        </w:rPr>
        <w:t>Pay Structures and Pay Progression.</w:t>
      </w:r>
      <w:r>
        <w:rPr>
          <w:rFonts w:ascii="Calibri" w:hAnsi="Calibri" w:eastAsia="avenir-regular-class" w:cs="Calibri"/>
          <w:color w:val="333333"/>
          <w:sz w:val="24"/>
          <w:szCs w:val="24"/>
          <w:shd w:val="clear" w:color="auto" w:fill="FBFBFB"/>
        </w:rPr>
        <w:t> Available at: https://www.cipd.org/uk/knowledge/factsheets/pay-structures-factsheet/ (Accessed: 21 July 2025).</w:t>
      </w:r>
    </w:p>
    <w:p w14:paraId="095703A2">
      <w:pPr>
        <w:pStyle w:val="18"/>
        <w:rPr>
          <w:rFonts w:ascii="Calibri" w:hAnsi="Calibri" w:eastAsia="avenir-regular-class" w:cs="Calibri"/>
          <w:color w:val="333333"/>
          <w:sz w:val="24"/>
          <w:szCs w:val="24"/>
          <w:shd w:val="clear" w:color="auto" w:fill="FBFBFB"/>
        </w:rPr>
      </w:pPr>
    </w:p>
    <w:p w14:paraId="095703A3">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CIPD (2024)</w:t>
      </w:r>
      <w:r>
        <w:rPr>
          <w:rFonts w:ascii="Calibri" w:hAnsi="Calibri" w:eastAsia="avenir-regular-class" w:cs="Calibri"/>
          <w:i/>
          <w:iCs/>
          <w:color w:val="333333"/>
          <w:sz w:val="24"/>
          <w:szCs w:val="24"/>
          <w:shd w:val="clear" w:color="auto" w:fill="FBFBFB"/>
        </w:rPr>
        <w:t> People Management and Productivity Report</w:t>
      </w:r>
      <w:r>
        <w:rPr>
          <w:rFonts w:ascii="Calibri" w:hAnsi="Calibri" w:eastAsia="avenir-regular-class" w:cs="Calibri"/>
          <w:color w:val="333333"/>
          <w:sz w:val="24"/>
          <w:szCs w:val="24"/>
          <w:shd w:val="clear" w:color="auto" w:fill="FBFBFB"/>
        </w:rPr>
        <w:t>.  Available at: https://www.cipd.org/globalassets/media/knowledge/knowledge-hub/reports/2024-pdfs/8551-pay-performance-and-transparency-report-web2.pdf (Accessed: 28 July 2025).</w:t>
      </w:r>
    </w:p>
    <w:p w14:paraId="095703A4">
      <w:pPr>
        <w:pStyle w:val="18"/>
        <w:jc w:val="center"/>
        <w:rPr>
          <w:rFonts w:ascii="Calibri" w:hAnsi="Calibri" w:cs="Calibri"/>
          <w:b/>
          <w:bCs/>
          <w:color w:val="auto"/>
          <w:sz w:val="24"/>
          <w:szCs w:val="24"/>
          <w:lang w:val="en-GB"/>
        </w:rPr>
      </w:pPr>
    </w:p>
    <w:p w14:paraId="095703A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(2024) </w:t>
      </w:r>
      <w:r>
        <w:rPr>
          <w:rFonts w:ascii="Calibri" w:hAnsi="Calibri" w:eastAsia="avenir-regular-class" w:cs="Calibri"/>
          <w:i/>
          <w:iCs/>
          <w:color w:val="333333"/>
          <w:sz w:val="24"/>
          <w:szCs w:val="24"/>
          <w:shd w:val="clear" w:color="auto" w:fill="FBFBFB"/>
        </w:rPr>
        <w:t>Performance-Related Pay</w:t>
      </w:r>
      <w:r>
        <w:rPr>
          <w:rFonts w:ascii="Calibri" w:hAnsi="Calibri" w:eastAsia="avenir-regular-class" w:cs="Calibri"/>
          <w:color w:val="333333"/>
          <w:sz w:val="24"/>
          <w:szCs w:val="24"/>
          <w:shd w:val="clear" w:color="auto" w:fill="FBFBFB"/>
        </w:rPr>
        <w:t>. Available at: https://www.cipd.org/uk/knowledge/factsheets/pay-performance-factsheet/#rationaleperformancerelatedpay (Accessed: 17 July 2025).</w:t>
      </w:r>
    </w:p>
    <w:p w14:paraId="095703A6">
      <w:pPr>
        <w:pStyle w:val="18"/>
        <w:rPr>
          <w:rFonts w:ascii="Calibri" w:hAnsi="Calibri" w:eastAsia="avenir-regular-class" w:cs="Calibri"/>
          <w:color w:val="333333"/>
          <w:sz w:val="24"/>
          <w:szCs w:val="24"/>
          <w:shd w:val="clear" w:color="auto" w:fill="FBFBFB"/>
        </w:rPr>
      </w:pPr>
    </w:p>
    <w:p w14:paraId="095703A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(2024) </w:t>
      </w:r>
      <w:r>
        <w:rPr>
          <w:rFonts w:ascii="Calibri" w:hAnsi="Calibri" w:eastAsia="avenir-regular-class" w:cs="Calibri"/>
          <w:i/>
          <w:iCs/>
          <w:color w:val="333333"/>
          <w:sz w:val="24"/>
          <w:szCs w:val="24"/>
          <w:shd w:val="clear" w:color="auto" w:fill="FBFBFB"/>
        </w:rPr>
        <w:t>Resourcing and Talent Planning  Report 2024</w:t>
      </w:r>
      <w:r>
        <w:rPr>
          <w:rFonts w:ascii="Calibri" w:hAnsi="Calibri" w:eastAsia="avenir-regular-class" w:cs="Calibri"/>
          <w:color w:val="333333"/>
          <w:sz w:val="24"/>
          <w:szCs w:val="24"/>
          <w:shd w:val="clear" w:color="auto" w:fill="FBFBFB"/>
        </w:rPr>
        <w:t>. Available at: https://www.cipd.org/globalassets/media/knowledge/knowledge-hub/reports/2024-pdfs/8662-resource-and-talent-planning-2024-report-web.pdf (Accessed: 28 July 2025).</w:t>
      </w:r>
    </w:p>
    <w:p w14:paraId="095703A8">
      <w:pPr>
        <w:pStyle w:val="18"/>
        <w:rPr>
          <w:rFonts w:ascii="Calibri" w:hAnsi="Calibri" w:eastAsia="avenir-regular-class" w:cs="Calibri"/>
          <w:color w:val="333333"/>
          <w:sz w:val="24"/>
          <w:szCs w:val="24"/>
          <w:shd w:val="clear" w:color="auto" w:fill="FBFBFB"/>
        </w:rPr>
      </w:pPr>
    </w:p>
    <w:p w14:paraId="095703A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 Reward: An Introduction</w:t>
      </w:r>
      <w:r>
        <w:rPr>
          <w:rFonts w:ascii="Calibri" w:hAnsi="Calibri" w:eastAsia="avenir-regular-class" w:cs="Calibri"/>
          <w:color w:val="333333"/>
          <w:sz w:val="24"/>
          <w:szCs w:val="24"/>
          <w:shd w:val="clear" w:color="auto" w:fill="FBFBFB"/>
        </w:rPr>
        <w:t>. Available at: https://www.cipd.org/uk/knowledge/factsheets/reward-factsheet/#totalreward (Accessed: 17 July 2025).</w:t>
      </w:r>
    </w:p>
    <w:p w14:paraId="095703AA">
      <w:pPr>
        <w:pStyle w:val="18"/>
        <w:rPr>
          <w:rFonts w:ascii="Calibri" w:hAnsi="Calibri" w:eastAsia="avenir-regular-class" w:cs="Calibri"/>
          <w:color w:val="333333"/>
          <w:sz w:val="24"/>
          <w:szCs w:val="24"/>
          <w:shd w:val="clear" w:color="auto" w:fill="FBFBFB"/>
        </w:rPr>
      </w:pPr>
    </w:p>
    <w:p w14:paraId="095703A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(2022) </w:t>
      </w:r>
      <w:r>
        <w:rPr>
          <w:rFonts w:ascii="Calibri" w:hAnsi="Calibri" w:eastAsia="avenir-regular-class" w:cs="Calibri"/>
          <w:i/>
          <w:iCs/>
          <w:color w:val="333333"/>
          <w:sz w:val="24"/>
          <w:szCs w:val="24"/>
          <w:shd w:val="clear" w:color="auto" w:fill="FBFBFB"/>
        </w:rPr>
        <w:t>Reward Management Survey 2022</w:t>
      </w:r>
      <w:r>
        <w:rPr>
          <w:rFonts w:ascii="Calibri" w:hAnsi="Calibri" w:eastAsia="avenir-regular-class" w:cs="Calibri"/>
          <w:color w:val="333333"/>
          <w:sz w:val="24"/>
          <w:szCs w:val="24"/>
          <w:shd w:val="clear" w:color="auto" w:fill="FBFBFB"/>
        </w:rPr>
        <w:t>. Available at:  https://www.cipd.org/globalassets/media/knowledge/knowledge-hub/reports/reward-management-survey-2022_tcm18-108776.pdf (Accessed: 18 July 2025).</w:t>
      </w:r>
    </w:p>
    <w:p w14:paraId="095703AC">
      <w:pPr>
        <w:pStyle w:val="18"/>
        <w:rPr>
          <w:rFonts w:ascii="Calibri" w:hAnsi="Calibri" w:eastAsia="avenir-regular-class" w:cs="Calibri"/>
          <w:color w:val="333333"/>
          <w:sz w:val="24"/>
          <w:szCs w:val="24"/>
          <w:shd w:val="clear" w:color="auto" w:fill="FBFBFB"/>
        </w:rPr>
      </w:pPr>
    </w:p>
    <w:p w14:paraId="095703AD">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CIPD (2015) </w:t>
      </w:r>
      <w:r>
        <w:rPr>
          <w:rFonts w:ascii="Calibri" w:hAnsi="Calibri" w:eastAsia="avenir-regular-class" w:cs="Calibri"/>
          <w:i/>
          <w:iCs/>
          <w:color w:val="333333"/>
          <w:sz w:val="24"/>
          <w:szCs w:val="24"/>
          <w:shd w:val="clear" w:color="auto" w:fill="FBFBFB"/>
        </w:rPr>
        <w:t>Show me the Money 2015. Behavioural Science of Reward</w:t>
      </w:r>
      <w:r>
        <w:rPr>
          <w:rFonts w:ascii="Calibri" w:hAnsi="Calibri" w:eastAsia="avenir-regular-class" w:cs="Calibri"/>
          <w:color w:val="333333"/>
          <w:sz w:val="24"/>
          <w:szCs w:val="24"/>
          <w:shd w:val="clear" w:color="auto" w:fill="FBFBFB"/>
        </w:rPr>
        <w:t>. Available at:  https://www.cipd.org/globalassets/media/knowledge/knowledge-hub/reports/show-me-the-money_2015-behavioural-science-of-reward_tcm18-9560.pdf (Accessed: 22 July 2025).</w:t>
      </w:r>
    </w:p>
    <w:p w14:paraId="095703AE">
      <w:pPr>
        <w:pStyle w:val="18"/>
        <w:jc w:val="center"/>
        <w:rPr>
          <w:rFonts w:ascii="Calibri" w:hAnsi="Calibri" w:cs="Calibri"/>
          <w:b/>
          <w:bCs/>
          <w:color w:val="auto"/>
          <w:sz w:val="24"/>
          <w:szCs w:val="24"/>
          <w:lang w:val="en-GB"/>
        </w:rPr>
      </w:pPr>
    </w:p>
    <w:p w14:paraId="095703A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Strategic Reward and Total Reward</w:t>
      </w:r>
      <w:r>
        <w:rPr>
          <w:rFonts w:ascii="Calibri" w:hAnsi="Calibri" w:eastAsia="avenir-regular-class" w:cs="Calibri"/>
          <w:color w:val="333333"/>
          <w:sz w:val="24"/>
          <w:szCs w:val="24"/>
          <w:shd w:val="clear" w:color="auto" w:fill="FBFBFB"/>
        </w:rPr>
        <w:t>. Available at: https://www.cipd.org/uk/knowledge/factsheets/strategic-total-factsheet/ (Accessed: 17 July 2025).</w:t>
      </w:r>
    </w:p>
    <w:p w14:paraId="095703B0">
      <w:pPr>
        <w:pStyle w:val="18"/>
        <w:rPr>
          <w:rFonts w:ascii="Calibri" w:hAnsi="Calibri" w:eastAsia="avenir-regular-class" w:cs="Calibri"/>
          <w:color w:val="333333"/>
          <w:sz w:val="24"/>
          <w:szCs w:val="24"/>
          <w:shd w:val="clear" w:color="auto" w:fill="FBFBFB"/>
        </w:rPr>
      </w:pPr>
    </w:p>
    <w:p w14:paraId="095703B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Tracking Law Changes: Employment Rights Bill and Make Work Pay Plan</w:t>
      </w:r>
      <w:r>
        <w:rPr>
          <w:rFonts w:ascii="Calibri" w:hAnsi="Calibri" w:eastAsia="avenir-regular-class" w:cs="Calibri"/>
          <w:color w:val="333333"/>
          <w:sz w:val="24"/>
          <w:szCs w:val="24"/>
          <w:shd w:val="clear" w:color="auto" w:fill="FBFBFB"/>
        </w:rPr>
        <w:t> . Available at: https://www.cipd.org/uk/knowledge/employment-law/proposed-changes-under-labour-government/#employment-rights-bill-timeline (Accessed: 28 July 2025).</w:t>
      </w:r>
    </w:p>
    <w:p w14:paraId="095703B2">
      <w:pPr>
        <w:pStyle w:val="18"/>
        <w:rPr>
          <w:rFonts w:ascii="avenir-regular-class" w:hAnsi="avenir-regular-class" w:eastAsia="avenir-regular-class" w:cs="avenir-regular-class"/>
          <w:color w:val="333333"/>
          <w:sz w:val="18"/>
          <w:szCs w:val="18"/>
          <w:shd w:val="clear" w:color="auto" w:fill="FBFBFB"/>
        </w:rPr>
      </w:pPr>
    </w:p>
    <w:p w14:paraId="095703B3">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(2023) </w:t>
      </w:r>
      <w:r>
        <w:rPr>
          <w:rFonts w:ascii="Calibri" w:hAnsi="Calibri" w:eastAsia="avenir-regular-class" w:cs="Calibri"/>
          <w:i/>
          <w:iCs/>
          <w:color w:val="333333"/>
          <w:sz w:val="24"/>
          <w:szCs w:val="24"/>
          <w:shd w:val="clear" w:color="auto" w:fill="FBFBFB"/>
        </w:rPr>
        <w:t>Understanding Employee Assistance programmes</w:t>
      </w:r>
      <w:r>
        <w:rPr>
          <w:rFonts w:ascii="Calibri" w:hAnsi="Calibri" w:eastAsia="avenir-regular-class" w:cs="Calibri"/>
          <w:color w:val="333333"/>
          <w:sz w:val="24"/>
          <w:szCs w:val="24"/>
          <w:shd w:val="clear" w:color="auto" w:fill="FBFBFB"/>
        </w:rPr>
        <w:t>. Available at: https://www.hr-inform.co.uk/how-to-guide/how-to-implement-an-employee-assistance-programme#collapse-accordion-33031-2 Accessed: 23 July 2025).</w:t>
      </w:r>
    </w:p>
    <w:p w14:paraId="095703B4">
      <w:pPr>
        <w:pStyle w:val="18"/>
        <w:rPr>
          <w:rFonts w:ascii="Calibri" w:hAnsi="Calibri" w:eastAsia="avenir-regular-class" w:cs="Calibri"/>
          <w:color w:val="333333"/>
          <w:sz w:val="24"/>
          <w:szCs w:val="24"/>
          <w:shd w:val="clear" w:color="auto" w:fill="FBFBFB"/>
        </w:rPr>
      </w:pPr>
    </w:p>
    <w:p w14:paraId="095703B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(2021) </w:t>
      </w:r>
      <w:r>
        <w:rPr>
          <w:rFonts w:ascii="Calibri" w:hAnsi="Calibri" w:eastAsia="avenir-regular-class" w:cs="Calibri"/>
          <w:i/>
          <w:iCs/>
          <w:color w:val="333333"/>
          <w:sz w:val="24"/>
          <w:szCs w:val="24"/>
          <w:shd w:val="clear" w:color="auto" w:fill="FBFBFB"/>
        </w:rPr>
        <w:t>Understanding What Really Drives Your Workforce</w:t>
      </w:r>
      <w:r>
        <w:rPr>
          <w:rFonts w:ascii="Calibri" w:hAnsi="Calibri" w:eastAsia="avenir-regular-class" w:cs="Calibri"/>
          <w:color w:val="333333"/>
          <w:sz w:val="24"/>
          <w:szCs w:val="24"/>
          <w:shd w:val="clear" w:color="auto" w:fill="FBFBFB"/>
        </w:rPr>
        <w:t>. Available at: https://www.cipd.org/uk/about/news/understanding-what-really-drives-your-workforce/ (Accessed: 18 July 2025).</w:t>
      </w:r>
    </w:p>
    <w:p w14:paraId="095703B6">
      <w:pPr>
        <w:pStyle w:val="18"/>
        <w:rPr>
          <w:rFonts w:ascii="Calibri" w:hAnsi="Calibri" w:eastAsia="avenir-regular-class" w:cs="Calibri"/>
          <w:color w:val="333333"/>
          <w:sz w:val="24"/>
          <w:szCs w:val="24"/>
          <w:shd w:val="clear" w:color="auto" w:fill="FBFBFB"/>
        </w:rPr>
      </w:pPr>
    </w:p>
    <w:p w14:paraId="095703B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(2021) </w:t>
      </w:r>
      <w:r>
        <w:rPr>
          <w:rFonts w:ascii="Calibri" w:hAnsi="Calibri" w:eastAsia="avenir-regular-class" w:cs="Calibri"/>
          <w:i/>
          <w:iCs/>
          <w:color w:val="333333"/>
          <w:sz w:val="24"/>
          <w:szCs w:val="24"/>
          <w:shd w:val="clear" w:color="auto" w:fill="FBFBFB"/>
        </w:rPr>
        <w:t>Work Motivation: An Evidence Review</w:t>
      </w:r>
      <w:r>
        <w:rPr>
          <w:rFonts w:ascii="Calibri" w:hAnsi="Calibri" w:eastAsia="avenir-regular-class" w:cs="Calibri"/>
          <w:color w:val="333333"/>
          <w:sz w:val="24"/>
          <w:szCs w:val="24"/>
          <w:shd w:val="clear" w:color="auto" w:fill="FBFBFB"/>
        </w:rPr>
        <w:t>. Available at:https://www.cipd.org/globalassets/media/knowledge/knowledge-hub/evidence-reviews/work-motivation-scientific-summary_tcm18-89562.pdf  (Accessed: 18 July 2025).</w:t>
      </w:r>
    </w:p>
    <w:p w14:paraId="095703B8">
      <w:pPr>
        <w:pStyle w:val="18"/>
        <w:rPr>
          <w:rFonts w:ascii="Calibri" w:hAnsi="Calibri" w:eastAsia="avenir-regular-class" w:cs="Calibri"/>
          <w:color w:val="333333"/>
          <w:sz w:val="24"/>
          <w:szCs w:val="24"/>
          <w:shd w:val="clear" w:color="auto" w:fill="FBFBFB"/>
        </w:rPr>
      </w:pPr>
    </w:p>
    <w:p w14:paraId="095703B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CNBC (2021) </w:t>
      </w:r>
      <w:r>
        <w:rPr>
          <w:rFonts w:ascii="Calibri" w:hAnsi="Calibri" w:eastAsia="avenir-regular-class" w:cs="Calibri"/>
          <w:i/>
          <w:iCs/>
          <w:color w:val="333333"/>
          <w:sz w:val="24"/>
          <w:szCs w:val="24"/>
          <w:shd w:val="clear" w:color="auto" w:fill="FBFBFB"/>
        </w:rPr>
        <w:t>Google's 20% Rule</w:t>
      </w:r>
      <w:r>
        <w:rPr>
          <w:rFonts w:ascii="Calibri" w:hAnsi="Calibri" w:eastAsia="avenir-regular-class" w:cs="Calibri"/>
          <w:color w:val="333333"/>
          <w:sz w:val="24"/>
          <w:szCs w:val="24"/>
          <w:shd w:val="clear" w:color="auto" w:fill="FBFBFB"/>
        </w:rPr>
        <w:t>. Available at: https://www.cnbc.com/2021/12/16/google-20-percent-rule-shows-exactly-how-much-time-you-should-spend-learning-new-skills.html (Accessed: 18 July 2025).</w:t>
      </w:r>
    </w:p>
    <w:p w14:paraId="095703BA">
      <w:pPr>
        <w:pStyle w:val="18"/>
        <w:rPr>
          <w:rFonts w:ascii="Calibri" w:hAnsi="Calibri" w:eastAsia="avenir-regular-class" w:cs="Calibri"/>
          <w:color w:val="333333"/>
          <w:sz w:val="24"/>
          <w:szCs w:val="24"/>
          <w:shd w:val="clear" w:color="auto" w:fill="FBFBFB"/>
        </w:rPr>
      </w:pPr>
    </w:p>
    <w:p w14:paraId="095703B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GOV.UK (2025) </w:t>
      </w:r>
      <w:r>
        <w:rPr>
          <w:rFonts w:ascii="Calibri" w:hAnsi="Calibri" w:eastAsia="avenir-regular-class" w:cs="Calibri"/>
          <w:i/>
          <w:iCs/>
          <w:color w:val="333333"/>
          <w:sz w:val="24"/>
          <w:szCs w:val="24"/>
          <w:shd w:val="clear" w:color="auto" w:fill="FBFBFB"/>
        </w:rPr>
        <w:t>Employment Status and Employment Rights: Guidance for HR Professionals, Legal Professionals and Other Groups </w:t>
      </w:r>
      <w:r>
        <w:rPr>
          <w:rFonts w:ascii="Calibri" w:hAnsi="Calibri" w:eastAsia="avenir-regular-class" w:cs="Calibri"/>
          <w:color w:val="333333"/>
          <w:sz w:val="24"/>
          <w:szCs w:val="24"/>
          <w:shd w:val="clear" w:color="auto" w:fill="FBFBFB"/>
        </w:rPr>
        <w:t>. Available at: https://www.gov.uk/government/publications/employment-status-and-employment-rights/employment-status-and-employment-rights-guidance-for-hr-professionals-legal-professionals-and-other-groups (Accessed: 28 July 2025).</w:t>
      </w:r>
    </w:p>
    <w:p w14:paraId="095703BC">
      <w:pPr>
        <w:pStyle w:val="18"/>
        <w:rPr>
          <w:rFonts w:ascii="Calibri" w:hAnsi="Calibri" w:eastAsia="avenir-regular-class" w:cs="Calibri"/>
          <w:color w:val="333333"/>
          <w:sz w:val="24"/>
          <w:szCs w:val="24"/>
          <w:shd w:val="clear" w:color="auto" w:fill="FBFBFB"/>
        </w:rPr>
      </w:pPr>
    </w:p>
    <w:p w14:paraId="095703BD">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GOV.UK (2024) </w:t>
      </w:r>
      <w:r>
        <w:rPr>
          <w:rFonts w:ascii="Calibri" w:hAnsi="Calibri" w:eastAsia="avenir-regular-class" w:cs="Calibri"/>
          <w:i/>
          <w:iCs/>
          <w:color w:val="333333"/>
          <w:sz w:val="24"/>
          <w:szCs w:val="24"/>
          <w:shd w:val="clear" w:color="auto" w:fill="FBFBFB"/>
        </w:rPr>
        <w:t>Topps Tiles UK LTD 2024-25 Gender Pay Gap Report</w:t>
      </w:r>
      <w:r>
        <w:rPr>
          <w:rFonts w:ascii="Calibri" w:hAnsi="Calibri" w:eastAsia="avenir-regular-class" w:cs="Calibri"/>
          <w:color w:val="333333"/>
          <w:sz w:val="24"/>
          <w:szCs w:val="24"/>
          <w:shd w:val="clear" w:color="auto" w:fill="FBFBFB"/>
        </w:rPr>
        <w:t> . Available at: https://gender-pay-gap.service.gov.uk/employers/12805/reporting-year-2024#:~:text=Main%20gender%20pay%20gap%20figures&amp;text=women%20earned%2099p%20for%20every,compared%20with%2095.8%25%20of%20men (Accessed: 17 July 2025).</w:t>
      </w:r>
    </w:p>
    <w:p w14:paraId="3EC5B1EE">
      <w:pPr>
        <w:pStyle w:val="18"/>
        <w:rPr>
          <w:rFonts w:ascii="Calibri" w:hAnsi="Calibri" w:eastAsia="avenir-regular-class" w:cs="Calibri"/>
          <w:color w:val="333333"/>
          <w:sz w:val="24"/>
          <w:szCs w:val="24"/>
          <w:shd w:val="clear" w:color="auto" w:fill="FBFBFB"/>
        </w:rPr>
      </w:pPr>
    </w:p>
    <w:p w14:paraId="72DC4E87">
      <w:pPr>
        <w:pStyle w:val="18"/>
        <w:rPr>
          <w:rFonts w:ascii="Calibri" w:hAnsi="Calibri" w:eastAsia="avenir-regular-class" w:cs="Calibri"/>
          <w:color w:val="333333"/>
          <w:sz w:val="24"/>
          <w:szCs w:val="24"/>
          <w:shd w:val="clear" w:color="auto" w:fill="FBFBFB"/>
        </w:rPr>
      </w:pPr>
      <w:r>
        <w:rPr>
          <w:rFonts w:hint="default" w:ascii="Calibri" w:hAnsi="Calibri" w:eastAsia="avenir-regular-class" w:cs="Calibri"/>
          <w:color w:val="333333"/>
          <w:sz w:val="24"/>
          <w:szCs w:val="24"/>
          <w:shd w:val="clear" w:color="auto" w:fill="FBFBFB"/>
          <w:lang w:val="en-GB"/>
        </w:rPr>
        <w:t>HRM Handbook</w:t>
      </w:r>
      <w:r>
        <w:rPr>
          <w:rFonts w:ascii="Calibri" w:hAnsi="Calibri" w:eastAsia="avenir-regular-class" w:cs="Calibri"/>
          <w:color w:val="333333"/>
          <w:sz w:val="24"/>
          <w:szCs w:val="24"/>
          <w:shd w:val="clear" w:color="auto" w:fill="FBFBFB"/>
        </w:rPr>
        <w:t xml:space="preserve"> (2021)</w:t>
      </w:r>
      <w:r>
        <w:rPr>
          <w:rFonts w:hint="default" w:ascii="Calibri" w:hAnsi="Calibri" w:eastAsia="avenir-regular-class" w:cs="Calibri"/>
          <w:color w:val="333333"/>
          <w:sz w:val="24"/>
          <w:szCs w:val="24"/>
          <w:shd w:val="clear" w:color="auto" w:fill="FBFBFB"/>
          <w:lang w:val="en-GB"/>
        </w:rPr>
        <w:t xml:space="preserve"> </w:t>
      </w:r>
      <w:r>
        <w:rPr>
          <w:rFonts w:hint="default" w:ascii="Calibri" w:hAnsi="Calibri" w:eastAsia="avenir-regular-class" w:cs="Calibri"/>
          <w:i/>
          <w:iCs/>
          <w:color w:val="333333"/>
          <w:sz w:val="24"/>
          <w:szCs w:val="24"/>
          <w:shd w:val="clear" w:color="auto" w:fill="FBFBFB"/>
          <w:lang w:val="en-GB"/>
        </w:rPr>
        <w:t>Job Evaluation</w:t>
      </w:r>
      <w:r>
        <w:rPr>
          <w:rFonts w:ascii="Calibri" w:hAnsi="Calibri" w:eastAsia="avenir-regular-class" w:cs="Calibri"/>
          <w:i/>
          <w:iCs/>
          <w:color w:val="333333"/>
          <w:sz w:val="24"/>
          <w:szCs w:val="24"/>
          <w:shd w:val="clear" w:color="auto" w:fill="FBFBFB"/>
        </w:rPr>
        <w:t>.</w:t>
      </w:r>
      <w:r>
        <w:rPr>
          <w:rFonts w:ascii="Calibri" w:hAnsi="Calibri" w:eastAsia="avenir-regular-class" w:cs="Calibri"/>
          <w:color w:val="333333"/>
          <w:sz w:val="24"/>
          <w:szCs w:val="24"/>
          <w:shd w:val="clear" w:color="auto" w:fill="FBFBFB"/>
        </w:rPr>
        <w:t xml:space="preserve"> Available</w:t>
      </w:r>
      <w:r>
        <w:rPr>
          <w:rFonts w:hint="default" w:ascii="Calibri" w:hAnsi="Calibri" w:eastAsia="avenir-regular-class" w:cs="Calibri"/>
          <w:color w:val="333333"/>
          <w:sz w:val="24"/>
          <w:szCs w:val="24"/>
          <w:shd w:val="clear" w:color="auto" w:fill="FBFBFB"/>
          <w:lang w:val="en-GB"/>
        </w:rPr>
        <w:t xml:space="preserve"> at:</w:t>
      </w:r>
      <w:r>
        <w:rPr>
          <w:rFonts w:hint="default" w:ascii="Calibri" w:hAnsi="Calibri" w:eastAsia="avenir-regular-class"/>
          <w:color w:val="333333"/>
          <w:sz w:val="24"/>
          <w:szCs w:val="24"/>
          <w:shd w:val="clear" w:color="auto" w:fill="FBFBFB"/>
          <w:lang w:val="en-GB"/>
        </w:rPr>
        <w:t>https://hrmhandbook.com/hrp/compensation/job-evaluation/</w:t>
      </w:r>
      <w:r>
        <w:rPr>
          <w:rFonts w:hint="default" w:ascii="Calibri" w:hAnsi="Calibri" w:eastAsia="avenir-regular-class" w:cs="Calibri"/>
          <w:color w:val="333333"/>
          <w:sz w:val="24"/>
          <w:szCs w:val="24"/>
          <w:shd w:val="clear" w:color="auto" w:fill="FBFBFB"/>
          <w:lang w:val="en-GB"/>
        </w:rPr>
        <w:t xml:space="preserve"> </w:t>
      </w:r>
      <w:r>
        <w:rPr>
          <w:rFonts w:ascii="Calibri" w:hAnsi="Calibri" w:eastAsia="avenir-regular-class" w:cs="Calibri"/>
          <w:color w:val="333333"/>
          <w:sz w:val="24"/>
          <w:szCs w:val="24"/>
          <w:shd w:val="clear" w:color="auto" w:fill="FBFBFB"/>
        </w:rPr>
        <w:t xml:space="preserve"> (Accessed: 1</w:t>
      </w:r>
      <w:r>
        <w:rPr>
          <w:rFonts w:hint="default" w:ascii="Calibri" w:hAnsi="Calibri" w:eastAsia="avenir-regular-class" w:cs="Calibri"/>
          <w:color w:val="333333"/>
          <w:sz w:val="24"/>
          <w:szCs w:val="24"/>
          <w:shd w:val="clear" w:color="auto" w:fill="FBFBFB"/>
          <w:lang w:val="en-GB"/>
        </w:rPr>
        <w:t>3 August</w:t>
      </w:r>
      <w:r>
        <w:rPr>
          <w:rFonts w:ascii="Calibri" w:hAnsi="Calibri" w:eastAsia="avenir-regular-class" w:cs="Calibri"/>
          <w:color w:val="333333"/>
          <w:sz w:val="24"/>
          <w:szCs w:val="24"/>
          <w:shd w:val="clear" w:color="auto" w:fill="FBFBFB"/>
        </w:rPr>
        <w:t xml:space="preserve"> 2025).</w:t>
      </w:r>
    </w:p>
    <w:p w14:paraId="095703BE">
      <w:pPr>
        <w:pStyle w:val="18"/>
        <w:rPr>
          <w:rFonts w:ascii="Calibri" w:hAnsi="Calibri" w:eastAsia="avenir-regular-class" w:cs="Calibri"/>
          <w:color w:val="333333"/>
          <w:sz w:val="24"/>
          <w:szCs w:val="24"/>
          <w:shd w:val="clear" w:color="auto" w:fill="FBFBFB"/>
        </w:rPr>
      </w:pPr>
    </w:p>
    <w:p w14:paraId="095703B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Lewis, D.-Sargeant, M and  Schwab, B. (2023) </w:t>
      </w:r>
      <w:r>
        <w:rPr>
          <w:rFonts w:ascii="Calibri" w:hAnsi="Calibri" w:eastAsia="avenir-regular-class" w:cs="Calibri"/>
          <w:i/>
          <w:iCs/>
          <w:color w:val="333333"/>
          <w:sz w:val="24"/>
          <w:szCs w:val="24"/>
          <w:shd w:val="clear" w:color="auto" w:fill="FBFBFB"/>
        </w:rPr>
        <w:t>Employment Law: The Essentials</w:t>
      </w:r>
      <w:r>
        <w:rPr>
          <w:rFonts w:ascii="Calibri" w:hAnsi="Calibri" w:eastAsia="avenir-regular-class" w:cs="Calibri"/>
          <w:color w:val="333333"/>
          <w:sz w:val="24"/>
          <w:szCs w:val="24"/>
          <w:shd w:val="clear" w:color="auto" w:fill="FBFBFB"/>
        </w:rPr>
        <w:t>. 16th Edition. London: Kogan Page. </w:t>
      </w:r>
    </w:p>
    <w:p w14:paraId="095703C0">
      <w:pPr>
        <w:pStyle w:val="18"/>
        <w:rPr>
          <w:rFonts w:ascii="Calibri" w:hAnsi="Calibri" w:eastAsia="avenir-regular-class" w:cs="Calibri"/>
          <w:color w:val="333333"/>
          <w:sz w:val="24"/>
          <w:szCs w:val="24"/>
          <w:shd w:val="clear" w:color="auto" w:fill="FBFBFB"/>
        </w:rPr>
      </w:pPr>
    </w:p>
    <w:p w14:paraId="095703C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Living Wage Foundation (2025) </w:t>
      </w:r>
      <w:r>
        <w:rPr>
          <w:rFonts w:ascii="Calibri" w:hAnsi="Calibri" w:eastAsia="avenir-regular-class" w:cs="Calibri"/>
          <w:i/>
          <w:iCs/>
          <w:color w:val="333333"/>
          <w:sz w:val="24"/>
          <w:szCs w:val="24"/>
          <w:shd w:val="clear" w:color="auto" w:fill="FBFBFB"/>
        </w:rPr>
        <w:t>Accredited Living Wage Employers.</w:t>
      </w:r>
      <w:r>
        <w:rPr>
          <w:rFonts w:ascii="Calibri" w:hAnsi="Calibri" w:eastAsia="avenir-regular-class" w:cs="Calibri"/>
          <w:color w:val="333333"/>
          <w:sz w:val="24"/>
          <w:szCs w:val="24"/>
          <w:shd w:val="clear" w:color="auto" w:fill="FBFBFB"/>
        </w:rPr>
        <w:t> Available at: https://www.livingwage.org.uk/accredited-living-wage-employers (Accessed: 28 July 2025).</w:t>
      </w:r>
    </w:p>
    <w:p w14:paraId="095703C2">
      <w:pPr>
        <w:pStyle w:val="18"/>
        <w:rPr>
          <w:rFonts w:ascii="Calibri" w:hAnsi="Calibri" w:eastAsia="avenir-regular-class" w:cs="Calibri"/>
          <w:color w:val="333333"/>
          <w:sz w:val="24"/>
          <w:szCs w:val="24"/>
          <w:shd w:val="clear" w:color="auto" w:fill="FBFBFB"/>
        </w:rPr>
      </w:pPr>
    </w:p>
    <w:p w14:paraId="095703C3">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Local Government Association (2014) </w:t>
      </w:r>
      <w:r>
        <w:rPr>
          <w:rFonts w:ascii="Calibri" w:hAnsi="Calibri" w:eastAsia="avenir-regular-class" w:cs="Calibri"/>
          <w:i/>
          <w:iCs/>
          <w:color w:val="333333"/>
          <w:sz w:val="24"/>
          <w:szCs w:val="24"/>
          <w:shd w:val="clear" w:color="auto" w:fill="FBFBFB"/>
        </w:rPr>
        <w:t>Local Government Services Job Evaluation Scheme. </w:t>
      </w:r>
      <w:r>
        <w:rPr>
          <w:rFonts w:ascii="Calibri" w:hAnsi="Calibri" w:eastAsia="avenir-regular-class" w:cs="Calibri"/>
          <w:color w:val="333333"/>
          <w:sz w:val="24"/>
          <w:szCs w:val="24"/>
          <w:shd w:val="clear" w:color="auto" w:fill="FBFBFB"/>
        </w:rPr>
        <w:t> Available at: https://www.local.gov.uk/sites/default/files/documents/tech-note-4-options-deali-1eb.pdf  (Accessed: 28 July 2025).</w:t>
      </w:r>
    </w:p>
    <w:p w14:paraId="095703C4">
      <w:pPr>
        <w:pStyle w:val="18"/>
        <w:rPr>
          <w:rFonts w:ascii="Calibri" w:hAnsi="Calibri" w:eastAsia="avenir-regular-class" w:cs="Calibri"/>
          <w:color w:val="333333"/>
          <w:sz w:val="24"/>
          <w:szCs w:val="24"/>
          <w:shd w:val="clear" w:color="auto" w:fill="FBFBFB"/>
        </w:rPr>
      </w:pPr>
    </w:p>
    <w:p w14:paraId="095703C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 xml:space="preserve">NHS </w:t>
      </w:r>
      <w:r>
        <w:rPr>
          <w:rFonts w:ascii="Calibri" w:hAnsi="Calibri" w:eastAsia="avenir-regular-class" w:cs="Calibri"/>
          <w:color w:val="333333"/>
          <w:sz w:val="24"/>
          <w:szCs w:val="24"/>
          <w:shd w:val="clear" w:color="auto" w:fill="FBFBFB"/>
          <w:lang w:val="en-GB"/>
        </w:rPr>
        <w:t xml:space="preserve">Employers </w:t>
      </w:r>
      <w:r>
        <w:rPr>
          <w:rFonts w:ascii="Calibri" w:hAnsi="Calibri" w:eastAsia="avenir-regular-class" w:cs="Calibri"/>
          <w:color w:val="333333"/>
          <w:sz w:val="24"/>
          <w:szCs w:val="24"/>
          <w:shd w:val="clear" w:color="auto" w:fill="FBFBFB"/>
        </w:rPr>
        <w:t>(2024)</w:t>
      </w:r>
      <w:r>
        <w:rPr>
          <w:rFonts w:ascii="Calibri" w:hAnsi="Calibri" w:eastAsia="avenir-regular-class" w:cs="Calibri"/>
          <w:i/>
          <w:iCs/>
          <w:color w:val="333333"/>
          <w:sz w:val="24"/>
          <w:szCs w:val="24"/>
          <w:shd w:val="clear" w:color="auto" w:fill="FBFBFB"/>
        </w:rPr>
        <w:t> Long Service Awards for Employee Retention. </w:t>
      </w:r>
      <w:r>
        <w:rPr>
          <w:rFonts w:ascii="Calibri" w:hAnsi="Calibri" w:eastAsia="avenir-regular-class" w:cs="Calibri"/>
          <w:color w:val="333333"/>
          <w:sz w:val="24"/>
          <w:szCs w:val="24"/>
          <w:shd w:val="clear" w:color="auto" w:fill="FBFBFB"/>
        </w:rPr>
        <w:t>Available at: https://www.nhsemployers.org/articles/long-service-awards-employee-retention Accessed: 23 July 2025).</w:t>
      </w:r>
    </w:p>
    <w:p w14:paraId="095703C6">
      <w:pPr>
        <w:pStyle w:val="18"/>
        <w:rPr>
          <w:rFonts w:ascii="Calibri" w:hAnsi="Calibri" w:eastAsia="avenir-regular-class" w:cs="Calibri"/>
          <w:color w:val="333333"/>
          <w:sz w:val="24"/>
          <w:szCs w:val="24"/>
          <w:shd w:val="clear" w:color="auto" w:fill="FBFBFB"/>
        </w:rPr>
      </w:pPr>
    </w:p>
    <w:p w14:paraId="095703C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People Insight (2025) </w:t>
      </w:r>
      <w:r>
        <w:rPr>
          <w:rFonts w:ascii="Calibri" w:hAnsi="Calibri" w:eastAsia="avenir-regular-class" w:cs="Calibri"/>
          <w:i/>
          <w:iCs/>
          <w:color w:val="333333"/>
          <w:sz w:val="24"/>
          <w:szCs w:val="24"/>
          <w:shd w:val="clear" w:color="auto" w:fill="FBFBFB"/>
        </w:rPr>
        <w:t>10 Ideas for Employee Appreciation Day</w:t>
      </w:r>
      <w:r>
        <w:rPr>
          <w:rFonts w:ascii="Calibri" w:hAnsi="Calibri" w:eastAsia="avenir-regular-class" w:cs="Calibri"/>
          <w:color w:val="333333"/>
          <w:sz w:val="24"/>
          <w:szCs w:val="24"/>
          <w:shd w:val="clear" w:color="auto" w:fill="FBFBFB"/>
        </w:rPr>
        <w:t>. Available at: https://peopleinsight.co.uk/employee-appreciation-day/ Accessed: 23 July 2025).</w:t>
      </w:r>
    </w:p>
    <w:p w14:paraId="095703C8">
      <w:pPr>
        <w:pStyle w:val="18"/>
        <w:rPr>
          <w:rFonts w:ascii="Calibri" w:hAnsi="Calibri" w:eastAsia="avenir-regular-class" w:cs="Calibri"/>
          <w:color w:val="333333"/>
          <w:sz w:val="24"/>
          <w:szCs w:val="24"/>
          <w:shd w:val="clear" w:color="auto" w:fill="FBFBFB"/>
        </w:rPr>
      </w:pPr>
    </w:p>
    <w:p w14:paraId="095703C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People Management (2017) </w:t>
      </w:r>
      <w:r>
        <w:rPr>
          <w:rFonts w:ascii="Calibri" w:hAnsi="Calibri" w:eastAsia="avenir-regular-class" w:cs="Calibri"/>
          <w:i/>
          <w:iCs/>
          <w:color w:val="333333"/>
          <w:sz w:val="24"/>
          <w:szCs w:val="24"/>
          <w:shd w:val="clear" w:color="auto" w:fill="FBFBFB"/>
        </w:rPr>
        <w:t>What is the Real Value of Reward</w:t>
      </w:r>
      <w:r>
        <w:rPr>
          <w:rFonts w:ascii="Calibri" w:hAnsi="Calibri" w:eastAsia="avenir-regular-class" w:cs="Calibri"/>
          <w:color w:val="333333"/>
          <w:sz w:val="24"/>
          <w:szCs w:val="24"/>
          <w:shd w:val="clear" w:color="auto" w:fill="FBFBFB"/>
        </w:rPr>
        <w:t>. Available at: https://www.peoplemanagement.co.uk/article/1743866/real-value-reward (Accessed: 18 July 2025).</w:t>
      </w:r>
    </w:p>
    <w:p w14:paraId="2E42432A">
      <w:pPr>
        <w:pStyle w:val="18"/>
        <w:rPr>
          <w:rFonts w:ascii="Calibri" w:hAnsi="Calibri" w:eastAsia="avenir-regular-class" w:cs="Calibri"/>
          <w:color w:val="333333"/>
          <w:sz w:val="24"/>
          <w:szCs w:val="24"/>
          <w:shd w:val="clear" w:color="auto" w:fill="FBFBFB"/>
        </w:rPr>
      </w:pPr>
    </w:p>
    <w:p w14:paraId="78F0BA1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People Management (20</w:t>
      </w:r>
      <w:r>
        <w:rPr>
          <w:rFonts w:hint="default" w:ascii="Calibri" w:hAnsi="Calibri" w:eastAsia="avenir-regular-class" w:cs="Calibri"/>
          <w:color w:val="333333"/>
          <w:sz w:val="24"/>
          <w:szCs w:val="24"/>
          <w:shd w:val="clear" w:color="auto" w:fill="FBFBFB"/>
          <w:lang w:val="en-GB"/>
        </w:rPr>
        <w:t>25</w:t>
      </w:r>
      <w:r>
        <w:rPr>
          <w:rFonts w:ascii="Calibri" w:hAnsi="Calibri" w:eastAsia="avenir-regular-class" w:cs="Calibri"/>
          <w:color w:val="333333"/>
          <w:sz w:val="24"/>
          <w:szCs w:val="24"/>
          <w:shd w:val="clear" w:color="auto" w:fill="FBFBFB"/>
        </w:rPr>
        <w:t>) </w:t>
      </w:r>
      <w:r>
        <w:rPr>
          <w:rFonts w:hint="default" w:ascii="Calibri" w:hAnsi="Calibri" w:eastAsia="avenir-regular-class" w:cs="Calibri"/>
          <w:i/>
          <w:iCs/>
          <w:color w:val="333333"/>
          <w:sz w:val="24"/>
          <w:szCs w:val="24"/>
          <w:shd w:val="clear" w:color="auto" w:fill="FBFBFB"/>
          <w:lang w:val="en-GB"/>
        </w:rPr>
        <w:t>How will National Insurance Increases Affect Employers</w:t>
      </w:r>
      <w:r>
        <w:rPr>
          <w:rFonts w:ascii="Calibri" w:hAnsi="Calibri" w:eastAsia="avenir-regular-class" w:cs="Calibri"/>
          <w:color w:val="333333"/>
          <w:sz w:val="24"/>
          <w:szCs w:val="24"/>
          <w:shd w:val="clear" w:color="auto" w:fill="FBFBFB"/>
        </w:rPr>
        <w:t>. Available at:</w:t>
      </w:r>
      <w:r>
        <w:rPr>
          <w:rFonts w:hint="default" w:ascii="Calibri" w:hAnsi="Calibri" w:eastAsia="avenir-regular-class"/>
          <w:color w:val="333333"/>
          <w:sz w:val="24"/>
          <w:szCs w:val="24"/>
          <w:shd w:val="clear" w:color="auto" w:fill="FBFBFB"/>
        </w:rPr>
        <w:t>https://www.peoplemanagement.co.uk/article/1906721/will-national-insurance-increases-affect-employers</w:t>
      </w:r>
      <w:r>
        <w:rPr>
          <w:rFonts w:ascii="Calibri" w:hAnsi="Calibri" w:eastAsia="avenir-regular-class" w:cs="Calibri"/>
          <w:color w:val="333333"/>
          <w:sz w:val="24"/>
          <w:szCs w:val="24"/>
          <w:shd w:val="clear" w:color="auto" w:fill="FBFBFB"/>
        </w:rPr>
        <w:t>  (Accessed: 1</w:t>
      </w:r>
      <w:r>
        <w:rPr>
          <w:rFonts w:hint="default" w:ascii="Calibri" w:hAnsi="Calibri" w:eastAsia="avenir-regular-class" w:cs="Calibri"/>
          <w:color w:val="333333"/>
          <w:sz w:val="24"/>
          <w:szCs w:val="24"/>
          <w:shd w:val="clear" w:color="auto" w:fill="FBFBFB"/>
          <w:lang w:val="en-GB"/>
        </w:rPr>
        <w:t>3 August 2025</w:t>
      </w:r>
      <w:r>
        <w:rPr>
          <w:rFonts w:ascii="Calibri" w:hAnsi="Calibri" w:eastAsia="avenir-regular-class" w:cs="Calibri"/>
          <w:color w:val="333333"/>
          <w:sz w:val="24"/>
          <w:szCs w:val="24"/>
          <w:shd w:val="clear" w:color="auto" w:fill="FBFBFB"/>
        </w:rPr>
        <w:t>).</w:t>
      </w:r>
    </w:p>
    <w:p w14:paraId="095703CA">
      <w:pPr>
        <w:pStyle w:val="18"/>
        <w:rPr>
          <w:rFonts w:ascii="Calibri" w:hAnsi="Calibri" w:eastAsia="avenir-regular-class" w:cs="Calibri"/>
          <w:color w:val="333333"/>
          <w:sz w:val="24"/>
          <w:szCs w:val="24"/>
          <w:shd w:val="clear" w:color="auto" w:fill="FBFBFB"/>
        </w:rPr>
      </w:pPr>
    </w:p>
    <w:p w14:paraId="095703C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Portal Training (2024) </w:t>
      </w:r>
      <w:r>
        <w:rPr>
          <w:rFonts w:ascii="Calibri" w:hAnsi="Calibri" w:eastAsia="avenir-regular-class" w:cs="Calibri"/>
          <w:i/>
          <w:iCs/>
          <w:color w:val="333333"/>
          <w:sz w:val="24"/>
          <w:szCs w:val="24"/>
          <w:shd w:val="clear" w:color="auto" w:fill="FBFBFB"/>
        </w:rPr>
        <w:t>Portal Training: The First Provider in Wales to Achieve Double Gold. </w:t>
      </w:r>
      <w:r>
        <w:rPr>
          <w:rFonts w:ascii="Calibri" w:hAnsi="Calibri" w:eastAsia="avenir-regular-class" w:cs="Calibri"/>
          <w:color w:val="333333"/>
          <w:sz w:val="24"/>
          <w:szCs w:val="24"/>
          <w:shd w:val="clear" w:color="auto" w:fill="FBFBFB"/>
        </w:rPr>
        <w:t>Available at: https://portaltraining.co.uk/about/news/235-portal-the-first-provider-in-wales-to-achieve-double-gold.html (Accessed: 29 July 2025).</w:t>
      </w:r>
    </w:p>
    <w:p w14:paraId="095703CC">
      <w:pPr>
        <w:pStyle w:val="18"/>
        <w:rPr>
          <w:rFonts w:ascii="Calibri" w:hAnsi="Calibri" w:eastAsia="avenir-regular-class" w:cs="Calibri"/>
          <w:color w:val="333333"/>
          <w:sz w:val="24"/>
          <w:szCs w:val="24"/>
          <w:shd w:val="clear" w:color="auto" w:fill="FBFBFB"/>
        </w:rPr>
      </w:pPr>
    </w:p>
    <w:p w14:paraId="095703CD">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lang w:val="en-GB"/>
        </w:rPr>
        <w:t>Rolls Royce</w:t>
      </w:r>
      <w:r>
        <w:rPr>
          <w:rFonts w:ascii="Calibri" w:hAnsi="Calibri" w:eastAsia="avenir-regular-class" w:cs="Calibri"/>
          <w:color w:val="333333"/>
          <w:sz w:val="24"/>
          <w:szCs w:val="24"/>
          <w:shd w:val="clear" w:color="auto" w:fill="FBFBFB"/>
        </w:rPr>
        <w:t xml:space="preserve"> (20</w:t>
      </w:r>
      <w:r>
        <w:rPr>
          <w:rFonts w:ascii="Calibri" w:hAnsi="Calibri" w:eastAsia="avenir-regular-class" w:cs="Calibri"/>
          <w:color w:val="333333"/>
          <w:sz w:val="24"/>
          <w:szCs w:val="24"/>
          <w:shd w:val="clear" w:color="auto" w:fill="FBFBFB"/>
          <w:lang w:val="en-GB"/>
        </w:rPr>
        <w:t>25</w:t>
      </w:r>
      <w:r>
        <w:rPr>
          <w:rFonts w:ascii="Calibri" w:hAnsi="Calibri" w:eastAsia="avenir-regular-class" w:cs="Calibri"/>
          <w:color w:val="333333"/>
          <w:sz w:val="24"/>
          <w:szCs w:val="24"/>
          <w:shd w:val="clear" w:color="auto" w:fill="FBFBFB"/>
        </w:rPr>
        <w:t>) </w:t>
      </w:r>
      <w:r>
        <w:rPr>
          <w:rFonts w:ascii="Calibri" w:hAnsi="Calibri" w:eastAsia="avenir-regular-class" w:cs="Calibri"/>
          <w:i/>
          <w:iCs/>
          <w:color w:val="333333"/>
          <w:sz w:val="24"/>
          <w:szCs w:val="24"/>
          <w:shd w:val="clear" w:color="auto" w:fill="FBFBFB"/>
          <w:lang w:val="en-GB"/>
        </w:rPr>
        <w:t>Rewarding You and Empowering your Future</w:t>
      </w:r>
      <w:r>
        <w:rPr>
          <w:rFonts w:ascii="Calibri" w:hAnsi="Calibri" w:eastAsia="avenir-regular-class" w:cs="Calibri"/>
          <w:i/>
          <w:iCs/>
          <w:color w:val="333333"/>
          <w:sz w:val="24"/>
          <w:szCs w:val="24"/>
          <w:shd w:val="clear" w:color="auto" w:fill="FBFBFB"/>
        </w:rPr>
        <w:t>.</w:t>
      </w:r>
      <w:r>
        <w:rPr>
          <w:rFonts w:ascii="Calibri" w:hAnsi="Calibri" w:eastAsia="avenir-regular-class" w:cs="Calibri"/>
          <w:color w:val="333333"/>
          <w:sz w:val="24"/>
          <w:szCs w:val="24"/>
          <w:shd w:val="clear" w:color="auto" w:fill="FBFBFB"/>
        </w:rPr>
        <w:t xml:space="preserve"> Available at: </w:t>
      </w:r>
      <w:r>
        <w:rPr>
          <w:rFonts w:ascii="Calibri" w:hAnsi="Calibri" w:eastAsia="avenir-regular-class"/>
          <w:color w:val="333333"/>
          <w:sz w:val="24"/>
          <w:szCs w:val="24"/>
          <w:shd w:val="clear" w:color="auto" w:fill="FBFBFB"/>
        </w:rPr>
        <w:t>https://careers.rolls-royce.com/what-we-offer/rewards-and-benefits</w:t>
      </w:r>
      <w:r>
        <w:rPr>
          <w:rFonts w:ascii="Calibri" w:hAnsi="Calibri" w:eastAsia="avenir-regular-class"/>
          <w:color w:val="333333"/>
          <w:sz w:val="24"/>
          <w:szCs w:val="24"/>
          <w:shd w:val="clear" w:color="auto" w:fill="FBFBFB"/>
          <w:lang w:val="en-GB"/>
        </w:rPr>
        <w:t xml:space="preserve"> </w:t>
      </w:r>
      <w:r>
        <w:rPr>
          <w:rFonts w:ascii="Calibri" w:hAnsi="Calibri" w:eastAsia="avenir-regular-class" w:cs="Calibri"/>
          <w:color w:val="333333"/>
          <w:sz w:val="24"/>
          <w:szCs w:val="24"/>
          <w:shd w:val="clear" w:color="auto" w:fill="FBFBFB"/>
        </w:rPr>
        <w:t xml:space="preserve">(Accessed: </w:t>
      </w:r>
      <w:r>
        <w:rPr>
          <w:rFonts w:ascii="Calibri" w:hAnsi="Calibri" w:eastAsia="avenir-regular-class" w:cs="Calibri"/>
          <w:color w:val="333333"/>
          <w:sz w:val="24"/>
          <w:szCs w:val="24"/>
          <w:shd w:val="clear" w:color="auto" w:fill="FBFBFB"/>
          <w:lang w:val="en-GB"/>
        </w:rPr>
        <w:t xml:space="preserve">24 </w:t>
      </w:r>
      <w:r>
        <w:rPr>
          <w:rFonts w:ascii="Calibri" w:hAnsi="Calibri" w:eastAsia="avenir-regular-class" w:cs="Calibri"/>
          <w:color w:val="333333"/>
          <w:sz w:val="24"/>
          <w:szCs w:val="24"/>
          <w:shd w:val="clear" w:color="auto" w:fill="FBFBFB"/>
        </w:rPr>
        <w:t>July 2025).</w:t>
      </w:r>
    </w:p>
    <w:p w14:paraId="095703CE">
      <w:pPr>
        <w:pStyle w:val="18"/>
        <w:rPr>
          <w:rFonts w:ascii="Calibri" w:hAnsi="Calibri" w:eastAsia="avenir-regular-class" w:cs="Calibri"/>
          <w:color w:val="333333"/>
          <w:sz w:val="24"/>
          <w:szCs w:val="24"/>
          <w:shd w:val="clear" w:color="auto" w:fill="FBFBFB"/>
        </w:rPr>
      </w:pPr>
    </w:p>
    <w:p w14:paraId="095703C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Taylor, S. and Woodhams, C. (2022)</w:t>
      </w:r>
      <w:r>
        <w:rPr>
          <w:rFonts w:ascii="Calibri" w:hAnsi="Calibri" w:eastAsia="avenir-regular-class" w:cs="Calibri"/>
          <w:i/>
          <w:iCs/>
          <w:color w:val="333333"/>
          <w:sz w:val="24"/>
          <w:szCs w:val="24"/>
          <w:shd w:val="clear" w:color="auto" w:fill="FBFBFB"/>
        </w:rPr>
        <w:t> Human Resource Management: People and Organisations.</w:t>
      </w:r>
      <w:r>
        <w:rPr>
          <w:rFonts w:ascii="Calibri" w:hAnsi="Calibri" w:eastAsia="avenir-regular-class" w:cs="Calibri"/>
          <w:color w:val="333333"/>
          <w:sz w:val="24"/>
          <w:szCs w:val="24"/>
          <w:shd w:val="clear" w:color="auto" w:fill="FBFBFB"/>
        </w:rPr>
        <w:t xml:space="preserve"> 3rd Edition. London: Kogan page.</w:t>
      </w:r>
    </w:p>
    <w:p w14:paraId="095703D0">
      <w:pPr>
        <w:pStyle w:val="18"/>
        <w:rPr>
          <w:rFonts w:ascii="Calibri" w:hAnsi="Calibri" w:eastAsia="avenir-regular-class" w:cs="Calibri"/>
          <w:color w:val="333333"/>
          <w:sz w:val="24"/>
          <w:szCs w:val="24"/>
          <w:shd w:val="clear" w:color="auto" w:fill="FBFBFB"/>
        </w:rPr>
      </w:pPr>
    </w:p>
    <w:p w14:paraId="095703D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The Tavistock Institute (2009) </w:t>
      </w:r>
      <w:r>
        <w:rPr>
          <w:rFonts w:ascii="Calibri" w:hAnsi="Calibri" w:eastAsia="avenir-regular-class" w:cs="Calibri"/>
          <w:i/>
          <w:iCs/>
          <w:color w:val="333333"/>
          <w:sz w:val="24"/>
          <w:szCs w:val="24"/>
          <w:shd w:val="clear" w:color="auto" w:fill="FBFBFB"/>
        </w:rPr>
        <w:t>Doing more with less? Flexible Working Practices and the Intensification of Work. </w:t>
      </w:r>
      <w:r>
        <w:rPr>
          <w:rFonts w:ascii="Calibri" w:hAnsi="Calibri" w:eastAsia="avenir-regular-class" w:cs="Calibri"/>
          <w:color w:val="333333"/>
          <w:sz w:val="24"/>
          <w:szCs w:val="24"/>
          <w:shd w:val="clear" w:color="auto" w:fill="FBFBFB"/>
        </w:rPr>
        <w:t>Available at: https://www.som.cranfield.ac.uk/som/media/images/research/wbl/moreless.pdf (Accessed: 22 July 2025).</w:t>
      </w:r>
    </w:p>
    <w:p w14:paraId="095703D2">
      <w:pPr>
        <w:pStyle w:val="18"/>
        <w:rPr>
          <w:rFonts w:ascii="Calibri" w:hAnsi="Calibri" w:eastAsia="avenir-regular-class" w:cs="Calibri"/>
          <w:color w:val="333333"/>
          <w:sz w:val="24"/>
          <w:szCs w:val="24"/>
          <w:shd w:val="clear" w:color="auto" w:fill="FBFBFB"/>
        </w:rPr>
      </w:pPr>
    </w:p>
    <w:p w14:paraId="095703D3">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Topps Group (2023) </w:t>
      </w:r>
      <w:r>
        <w:rPr>
          <w:rFonts w:ascii="Calibri" w:hAnsi="Calibri" w:eastAsia="avenir-regular-class" w:cs="Calibri"/>
          <w:i/>
          <w:iCs/>
          <w:color w:val="333333"/>
          <w:sz w:val="24"/>
          <w:szCs w:val="24"/>
          <w:shd w:val="clear" w:color="auto" w:fill="FBFBFB"/>
        </w:rPr>
        <w:t>Gender Pay Gap Review 2023</w:t>
      </w:r>
      <w:r>
        <w:rPr>
          <w:rFonts w:ascii="Calibri" w:hAnsi="Calibri" w:eastAsia="avenir-regular-class" w:cs="Calibri"/>
          <w:color w:val="333333"/>
          <w:sz w:val="24"/>
          <w:szCs w:val="24"/>
          <w:shd w:val="clear" w:color="auto" w:fill="FBFBFB"/>
        </w:rPr>
        <w:t> . Available at: https://toppstiles-toppsgroupcom.azurewebsites.net/media/wcdfoehy/topps-group-gender-pay-report-2023-gpg.pdf (Accessed: 17 July 2025).</w:t>
      </w:r>
    </w:p>
    <w:p w14:paraId="095703D4">
      <w:pPr>
        <w:pStyle w:val="18"/>
        <w:rPr>
          <w:rFonts w:ascii="Calibri" w:hAnsi="Calibri" w:eastAsia="avenir-regular-class" w:cs="Calibri"/>
          <w:color w:val="333333"/>
          <w:sz w:val="24"/>
          <w:szCs w:val="24"/>
          <w:shd w:val="clear" w:color="auto" w:fill="FBFBFB"/>
        </w:rPr>
      </w:pPr>
    </w:p>
    <w:p w14:paraId="095703D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Unison (2023) </w:t>
      </w:r>
      <w:r>
        <w:rPr>
          <w:rFonts w:ascii="Calibri" w:hAnsi="Calibri" w:eastAsia="avenir-regular-class" w:cs="Calibri"/>
          <w:i/>
          <w:iCs/>
          <w:color w:val="333333"/>
          <w:sz w:val="24"/>
          <w:szCs w:val="24"/>
          <w:shd w:val="clear" w:color="auto" w:fill="FBFBFB"/>
        </w:rPr>
        <w:t>Negotiating Pay Structures</w:t>
      </w:r>
      <w:r>
        <w:rPr>
          <w:rFonts w:ascii="Calibri" w:hAnsi="Calibri" w:eastAsia="avenir-regular-class" w:cs="Calibri"/>
          <w:color w:val="333333"/>
          <w:sz w:val="24"/>
          <w:szCs w:val="24"/>
          <w:shd w:val="clear" w:color="auto" w:fill="FBFBFB"/>
        </w:rPr>
        <w:t>. Available at: https://www.unison.org.uk/content/uploads/2019/05/Pay-structures-v2.pdf (Accessed: 21 July 2025).</w:t>
      </w:r>
    </w:p>
    <w:p w14:paraId="095703D6">
      <w:pPr>
        <w:pStyle w:val="18"/>
        <w:rPr>
          <w:rFonts w:ascii="Calibri" w:hAnsi="Calibri" w:eastAsia="avenir-regular-class" w:cs="Calibri"/>
          <w:color w:val="333333"/>
          <w:sz w:val="24"/>
          <w:szCs w:val="24"/>
          <w:shd w:val="clear" w:color="auto" w:fill="FBFBFB"/>
        </w:rPr>
      </w:pPr>
    </w:p>
    <w:p w14:paraId="095703D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Unison (2024) </w:t>
      </w:r>
      <w:r>
        <w:rPr>
          <w:rFonts w:ascii="Calibri" w:hAnsi="Calibri" w:eastAsia="avenir-regular-class" w:cs="Calibri"/>
          <w:i/>
          <w:iCs/>
          <w:color w:val="333333"/>
          <w:sz w:val="24"/>
          <w:szCs w:val="24"/>
          <w:shd w:val="clear" w:color="auto" w:fill="FBFBFB"/>
        </w:rPr>
        <w:t> Performance-Related Pay</w:t>
      </w:r>
      <w:r>
        <w:rPr>
          <w:rFonts w:ascii="Calibri" w:hAnsi="Calibri" w:eastAsia="avenir-regular-class" w:cs="Calibri"/>
          <w:color w:val="333333"/>
          <w:sz w:val="24"/>
          <w:szCs w:val="24"/>
          <w:shd w:val="clear" w:color="auto" w:fill="FBFBFB"/>
        </w:rPr>
        <w:t>. Available at: https://www.unison.org.uk/content/uploads/2019/05/Performance-related-pay-Nov-2024.pdf (Accessed: 17 July 2025).</w:t>
      </w:r>
    </w:p>
    <w:p w14:paraId="095703D8">
      <w:pPr>
        <w:pStyle w:val="18"/>
        <w:rPr>
          <w:rFonts w:ascii="Calibri" w:hAnsi="Calibri" w:eastAsia="avenir-regular-class" w:cs="Calibri"/>
          <w:color w:val="333333"/>
          <w:sz w:val="24"/>
          <w:szCs w:val="24"/>
          <w:shd w:val="clear" w:color="auto" w:fill="FBFBFB"/>
        </w:rPr>
      </w:pPr>
    </w:p>
    <w:p w14:paraId="095703D9">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lang w:val="en-GB"/>
        </w:rPr>
        <w:t xml:space="preserve">The Manufacturer </w:t>
      </w:r>
      <w:r>
        <w:rPr>
          <w:rFonts w:ascii="Calibri" w:hAnsi="Calibri" w:eastAsia="avenir-regular-class" w:cs="Calibri"/>
          <w:color w:val="333333"/>
          <w:sz w:val="24"/>
          <w:szCs w:val="24"/>
          <w:shd w:val="clear" w:color="auto" w:fill="FBFBFB"/>
        </w:rPr>
        <w:t>(202</w:t>
      </w:r>
      <w:r>
        <w:rPr>
          <w:rFonts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w:t>
      </w:r>
      <w:r>
        <w:rPr>
          <w:rFonts w:ascii="Calibri" w:hAnsi="Calibri" w:eastAsia="avenir-regular-class" w:cs="Calibri"/>
          <w:i/>
          <w:iCs/>
          <w:color w:val="333333"/>
          <w:sz w:val="24"/>
          <w:szCs w:val="24"/>
          <w:shd w:val="clear" w:color="auto" w:fill="FBFBFB"/>
        </w:rPr>
        <w:t> </w:t>
      </w:r>
      <w:r>
        <w:rPr>
          <w:rFonts w:ascii="Calibri" w:hAnsi="Calibri" w:eastAsia="avenir-regular-class" w:cs="Calibri"/>
          <w:i/>
          <w:iCs/>
          <w:color w:val="333333"/>
          <w:sz w:val="24"/>
          <w:szCs w:val="24"/>
          <w:shd w:val="clear" w:color="auto" w:fill="FBFBFB"/>
          <w:lang w:val="en-GB"/>
        </w:rPr>
        <w:t>Manufacturing Industry has the Highest Staff Retention in the UK</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 xml:space="preserve">Available at:  </w:t>
      </w:r>
      <w:r>
        <w:rPr>
          <w:rFonts w:ascii="Calibri" w:hAnsi="Calibri" w:eastAsia="avenir-regular-class"/>
          <w:color w:val="333333"/>
          <w:sz w:val="24"/>
          <w:szCs w:val="24"/>
          <w:shd w:val="clear" w:color="auto" w:fill="FBFBFB"/>
        </w:rPr>
        <w:t>https://www.themanufacturer.com/articles/manufacturing-industry-has-the-highest-staff-retention-in-the-uk-study/</w:t>
      </w:r>
    </w:p>
    <w:p w14:paraId="095703DA">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lang w:val="en-GB"/>
        </w:rPr>
        <w:t>(</w:t>
      </w:r>
      <w:r>
        <w:rPr>
          <w:rFonts w:ascii="Calibri" w:hAnsi="Calibri" w:eastAsia="avenir-regular-class" w:cs="Calibri"/>
          <w:color w:val="333333"/>
          <w:sz w:val="24"/>
          <w:szCs w:val="24"/>
          <w:shd w:val="clear" w:color="auto" w:fill="FBFBFB"/>
        </w:rPr>
        <w:t>Accessed: 2</w:t>
      </w:r>
      <w:r>
        <w:rPr>
          <w:rFonts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 xml:space="preserve"> July 2025).</w:t>
      </w:r>
    </w:p>
    <w:p w14:paraId="095703DB">
      <w:pPr>
        <w:pStyle w:val="18"/>
        <w:rPr>
          <w:rFonts w:ascii="Calibri" w:hAnsi="Calibri" w:eastAsia="avenir-regular-class" w:cs="Calibri"/>
          <w:color w:val="333333"/>
          <w:sz w:val="24"/>
          <w:szCs w:val="24"/>
          <w:shd w:val="clear" w:color="auto" w:fill="FBFBFB"/>
        </w:rPr>
      </w:pPr>
    </w:p>
    <w:p w14:paraId="095703DC">
      <w:pPr>
        <w:pStyle w:val="18"/>
        <w:rPr>
          <w:rFonts w:ascii="Calibri" w:hAnsi="Calibri" w:eastAsia="avenir-regular-class" w:cs="Calibri"/>
          <w:color w:val="333333"/>
          <w:sz w:val="24"/>
          <w:szCs w:val="24"/>
          <w:shd w:val="clear" w:color="auto" w:fill="FBFBFB"/>
        </w:rPr>
      </w:pPr>
    </w:p>
    <w:p w14:paraId="095703DD">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Workvivo by Zoom (2023)</w:t>
      </w:r>
      <w:r>
        <w:rPr>
          <w:rFonts w:ascii="Calibri" w:hAnsi="Calibri" w:eastAsia="avenir-regular-class" w:cs="Calibri"/>
          <w:i/>
          <w:iCs/>
          <w:color w:val="333333"/>
          <w:sz w:val="24"/>
          <w:szCs w:val="24"/>
          <w:shd w:val="clear" w:color="auto" w:fill="FBFBFB"/>
        </w:rPr>
        <w:t> 5 Companies That Nail a Culture of Peer Recognition. </w:t>
      </w:r>
      <w:r>
        <w:rPr>
          <w:rFonts w:ascii="Calibri" w:hAnsi="Calibri" w:eastAsia="avenir-regular-class" w:cs="Calibri"/>
          <w:color w:val="333333"/>
          <w:sz w:val="24"/>
          <w:szCs w:val="24"/>
          <w:shd w:val="clear" w:color="auto" w:fill="FBFBFB"/>
        </w:rPr>
        <w:t>Available at: https://www.workvivo.com/blog/peer-recognition-real-life-examples/ Accessed: 23 July 2025).</w:t>
      </w:r>
    </w:p>
    <w:sectPr>
      <w:pgSz w:w="11900" w:h="16840"/>
      <w:pgMar w:top="1440" w:right="1440" w:bottom="1440" w:left="1440" w:header="708" w:footer="708"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Unicode MS">
    <w:altName w:val="SimSun"/>
    <w:panose1 w:val="020B0604020202020204"/>
    <w:charset w:val="86"/>
    <w:family w:val="roman"/>
    <w:pitch w:val="default"/>
    <w:sig w:usb0="00000000" w:usb1="00000000" w:usb2="00000000" w:usb3="00000000" w:csb0="00000000" w:csb1="00000000"/>
  </w:font>
  <w:font w:name="Helvetica Neue">
    <w:altName w:val="Times New Roman"/>
    <w:panose1 w:val="00000000000000000000"/>
    <w:charset w:val="00"/>
    <w:family w:val="roman"/>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Georgia">
    <w:panose1 w:val="02040502050405020303"/>
    <w:charset w:val="00"/>
    <w:family w:val="roman"/>
    <w:pitch w:val="default"/>
    <w:sig w:usb0="00000287" w:usb1="00000000" w:usb2="00000000" w:usb3="00000000" w:csb0="2000009F" w:csb1="00000000"/>
  </w:font>
  <w:font w:name="Trebuchet MS">
    <w:panose1 w:val="020B0603020202020204"/>
    <w:charset w:val="00"/>
    <w:family w:val="swiss"/>
    <w:pitch w:val="default"/>
    <w:sig w:usb0="00000687" w:usb1="00000000" w:usb2="00000000" w:usb3="00000000" w:csb0="2000009F" w:csb1="00000000"/>
  </w:font>
  <w:font w:name="avenir-regular-clas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Palatino Linotype">
    <w:panose1 w:val="02040502050505030304"/>
    <w:charset w:val="00"/>
    <w:family w:val="roman"/>
    <w:pitch w:val="default"/>
    <w:sig w:usb0="E0000287" w:usb1="40000013" w:usb2="00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DD0C4AE"/>
    <w:multiLevelType w:val="multilevel"/>
    <w:tmpl w:val="BDD0C4AE"/>
    <w:lvl w:ilvl="0" w:tentative="0">
      <w:start w:val="1"/>
      <w:numFmt w:val="decimal"/>
      <w:suff w:val="space"/>
      <w:lvlText w:val="%1"/>
      <w:lvlJc w:val="left"/>
      <w:pPr>
        <w:ind w:left="0" w:firstLine="0"/>
      </w:pPr>
      <w:rPr>
        <w:rFonts w:hint="default"/>
      </w:rPr>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isplayBackgroundShape w:val="1"/>
  <w:documentProtection w:enforcement="0"/>
  <w:defaultTabStop w:val="720"/>
  <w:noPunctuationKerning w:val="1"/>
  <w:characterSpacingControl w:val="doNotCompress"/>
  <w:noLineBreaksAfter w:lang="zh-CN" w:val="‘“(〔[{〈《「『【⦅〘〖«〝︵︷︹︻︽︿﹁﹃﹇﹙﹛﹝｢"/>
  <w:noLineBreaksBefore w:lang="zh-CN" w:val="’”)〕]}〉"/>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374"/>
    <w:rsid w:val="00007881"/>
    <w:rsid w:val="0003718E"/>
    <w:rsid w:val="000C5DED"/>
    <w:rsid w:val="00116C04"/>
    <w:rsid w:val="001E634A"/>
    <w:rsid w:val="002552C3"/>
    <w:rsid w:val="002872CD"/>
    <w:rsid w:val="00297C64"/>
    <w:rsid w:val="002A1F9B"/>
    <w:rsid w:val="00345868"/>
    <w:rsid w:val="00441D31"/>
    <w:rsid w:val="00456433"/>
    <w:rsid w:val="004D0651"/>
    <w:rsid w:val="00511DAF"/>
    <w:rsid w:val="00521374"/>
    <w:rsid w:val="00587F28"/>
    <w:rsid w:val="006D148C"/>
    <w:rsid w:val="00735961"/>
    <w:rsid w:val="00737374"/>
    <w:rsid w:val="0076520C"/>
    <w:rsid w:val="007A4D35"/>
    <w:rsid w:val="008127CB"/>
    <w:rsid w:val="00834875"/>
    <w:rsid w:val="008642FD"/>
    <w:rsid w:val="008E0B93"/>
    <w:rsid w:val="00956355"/>
    <w:rsid w:val="009C4F3B"/>
    <w:rsid w:val="00A06C97"/>
    <w:rsid w:val="00A22FBA"/>
    <w:rsid w:val="00A531C4"/>
    <w:rsid w:val="00B34E12"/>
    <w:rsid w:val="00B537E4"/>
    <w:rsid w:val="00B820FD"/>
    <w:rsid w:val="00BA1492"/>
    <w:rsid w:val="00BE788A"/>
    <w:rsid w:val="00BF2AC5"/>
    <w:rsid w:val="00C0627B"/>
    <w:rsid w:val="00C3454B"/>
    <w:rsid w:val="00CE454B"/>
    <w:rsid w:val="00D15606"/>
    <w:rsid w:val="00D96664"/>
    <w:rsid w:val="00E53484"/>
    <w:rsid w:val="00ED0F85"/>
    <w:rsid w:val="00F15371"/>
    <w:rsid w:val="00F528B0"/>
    <w:rsid w:val="00F5421B"/>
    <w:rsid w:val="00FF7863"/>
    <w:rsid w:val="015C27D6"/>
    <w:rsid w:val="01C94908"/>
    <w:rsid w:val="01D73E25"/>
    <w:rsid w:val="024063D2"/>
    <w:rsid w:val="04324D51"/>
    <w:rsid w:val="04616D4B"/>
    <w:rsid w:val="04B64D90"/>
    <w:rsid w:val="04BA750E"/>
    <w:rsid w:val="04D27D3C"/>
    <w:rsid w:val="05EC5694"/>
    <w:rsid w:val="0639074C"/>
    <w:rsid w:val="06AD0181"/>
    <w:rsid w:val="07F32889"/>
    <w:rsid w:val="082F0A74"/>
    <w:rsid w:val="083002FD"/>
    <w:rsid w:val="085C2446"/>
    <w:rsid w:val="092E1D2C"/>
    <w:rsid w:val="09956CE0"/>
    <w:rsid w:val="0A8B5DBA"/>
    <w:rsid w:val="0AEB5DFF"/>
    <w:rsid w:val="0AF44688"/>
    <w:rsid w:val="0CBE27C4"/>
    <w:rsid w:val="0D4241B8"/>
    <w:rsid w:val="0D4C3165"/>
    <w:rsid w:val="0E0A7659"/>
    <w:rsid w:val="0E171A87"/>
    <w:rsid w:val="0F262DE9"/>
    <w:rsid w:val="10D4430A"/>
    <w:rsid w:val="115A0E16"/>
    <w:rsid w:val="11CE79E9"/>
    <w:rsid w:val="121C431D"/>
    <w:rsid w:val="1238091E"/>
    <w:rsid w:val="12B816B6"/>
    <w:rsid w:val="12CC2A49"/>
    <w:rsid w:val="12E3598A"/>
    <w:rsid w:val="13F2672C"/>
    <w:rsid w:val="145D66F5"/>
    <w:rsid w:val="145E4D9F"/>
    <w:rsid w:val="157E428B"/>
    <w:rsid w:val="15DE07AF"/>
    <w:rsid w:val="160000DD"/>
    <w:rsid w:val="16C2647E"/>
    <w:rsid w:val="176813D8"/>
    <w:rsid w:val="17692FF8"/>
    <w:rsid w:val="17925306"/>
    <w:rsid w:val="1849250F"/>
    <w:rsid w:val="18C07FBF"/>
    <w:rsid w:val="18C621D4"/>
    <w:rsid w:val="1A8B481D"/>
    <w:rsid w:val="1AC26F03"/>
    <w:rsid w:val="1AD05557"/>
    <w:rsid w:val="1AF81154"/>
    <w:rsid w:val="1B6E13F2"/>
    <w:rsid w:val="1B982D53"/>
    <w:rsid w:val="1BA1719A"/>
    <w:rsid w:val="1BD74BD8"/>
    <w:rsid w:val="1C2C5063"/>
    <w:rsid w:val="1C6A041B"/>
    <w:rsid w:val="1C973BE9"/>
    <w:rsid w:val="1D831B40"/>
    <w:rsid w:val="1DD332E5"/>
    <w:rsid w:val="1E040EBA"/>
    <w:rsid w:val="1E9D33E9"/>
    <w:rsid w:val="1EA0715A"/>
    <w:rsid w:val="1F5F678E"/>
    <w:rsid w:val="1FB027EF"/>
    <w:rsid w:val="1FE05593"/>
    <w:rsid w:val="1FF11EA8"/>
    <w:rsid w:val="201A0C8D"/>
    <w:rsid w:val="202055FF"/>
    <w:rsid w:val="20B378F7"/>
    <w:rsid w:val="222E0BE7"/>
    <w:rsid w:val="229D5AD9"/>
    <w:rsid w:val="235834BF"/>
    <w:rsid w:val="23E427C1"/>
    <w:rsid w:val="245625F1"/>
    <w:rsid w:val="24C0486A"/>
    <w:rsid w:val="250052C3"/>
    <w:rsid w:val="25874A87"/>
    <w:rsid w:val="25957022"/>
    <w:rsid w:val="25CA5F96"/>
    <w:rsid w:val="2612195B"/>
    <w:rsid w:val="261F5F6C"/>
    <w:rsid w:val="26305976"/>
    <w:rsid w:val="27B55939"/>
    <w:rsid w:val="281A017F"/>
    <w:rsid w:val="289406A2"/>
    <w:rsid w:val="29466031"/>
    <w:rsid w:val="29552CDF"/>
    <w:rsid w:val="2982076C"/>
    <w:rsid w:val="29874F67"/>
    <w:rsid w:val="2BB41FE4"/>
    <w:rsid w:val="2C481F3A"/>
    <w:rsid w:val="2C9027C2"/>
    <w:rsid w:val="2D2C6F7B"/>
    <w:rsid w:val="2DA92C79"/>
    <w:rsid w:val="2E11295B"/>
    <w:rsid w:val="2E4436E4"/>
    <w:rsid w:val="2EEA004F"/>
    <w:rsid w:val="2F9A4761"/>
    <w:rsid w:val="305F65E8"/>
    <w:rsid w:val="30C05F91"/>
    <w:rsid w:val="30D646C7"/>
    <w:rsid w:val="30F14B09"/>
    <w:rsid w:val="312B1EC8"/>
    <w:rsid w:val="315E7B1E"/>
    <w:rsid w:val="317B64C2"/>
    <w:rsid w:val="318C0AB5"/>
    <w:rsid w:val="32BF6007"/>
    <w:rsid w:val="33B574DD"/>
    <w:rsid w:val="344F470B"/>
    <w:rsid w:val="345F7430"/>
    <w:rsid w:val="346E1392"/>
    <w:rsid w:val="34850E2D"/>
    <w:rsid w:val="3492718C"/>
    <w:rsid w:val="34D63E9D"/>
    <w:rsid w:val="34DA2928"/>
    <w:rsid w:val="359647DF"/>
    <w:rsid w:val="35B00F49"/>
    <w:rsid w:val="35B12D3D"/>
    <w:rsid w:val="35C01FE6"/>
    <w:rsid w:val="35E51050"/>
    <w:rsid w:val="36BD3743"/>
    <w:rsid w:val="373B3ED9"/>
    <w:rsid w:val="378217DC"/>
    <w:rsid w:val="37DD51B9"/>
    <w:rsid w:val="38AC0FD0"/>
    <w:rsid w:val="39F77C2F"/>
    <w:rsid w:val="3A812FB6"/>
    <w:rsid w:val="3ACA282F"/>
    <w:rsid w:val="3B10402B"/>
    <w:rsid w:val="3BBE24DE"/>
    <w:rsid w:val="3C174B97"/>
    <w:rsid w:val="3C5553C9"/>
    <w:rsid w:val="3CDC01E8"/>
    <w:rsid w:val="3D8D64B0"/>
    <w:rsid w:val="3DDC316C"/>
    <w:rsid w:val="3E096602"/>
    <w:rsid w:val="3E612AEF"/>
    <w:rsid w:val="3F0F0A25"/>
    <w:rsid w:val="3F722798"/>
    <w:rsid w:val="3FC468DB"/>
    <w:rsid w:val="3FCE66BB"/>
    <w:rsid w:val="40E800BD"/>
    <w:rsid w:val="41690FD5"/>
    <w:rsid w:val="418A7597"/>
    <w:rsid w:val="41E8276B"/>
    <w:rsid w:val="42CC79A8"/>
    <w:rsid w:val="433F1D9A"/>
    <w:rsid w:val="43B26758"/>
    <w:rsid w:val="43BE3C88"/>
    <w:rsid w:val="46223EB9"/>
    <w:rsid w:val="47BD6FCC"/>
    <w:rsid w:val="48476ADE"/>
    <w:rsid w:val="48493247"/>
    <w:rsid w:val="48D4476D"/>
    <w:rsid w:val="49445BE1"/>
    <w:rsid w:val="496C7FA3"/>
    <w:rsid w:val="49C76D6F"/>
    <w:rsid w:val="4A8E0DF6"/>
    <w:rsid w:val="4ACF62A7"/>
    <w:rsid w:val="4B026AB9"/>
    <w:rsid w:val="4B3D4425"/>
    <w:rsid w:val="4BFE521B"/>
    <w:rsid w:val="4C986EF9"/>
    <w:rsid w:val="4CD21B81"/>
    <w:rsid w:val="4CF21958"/>
    <w:rsid w:val="4DB87989"/>
    <w:rsid w:val="4E0651E8"/>
    <w:rsid w:val="4E5A6291"/>
    <w:rsid w:val="4E7E610F"/>
    <w:rsid w:val="4E7F77A9"/>
    <w:rsid w:val="4EB5265B"/>
    <w:rsid w:val="4F213E73"/>
    <w:rsid w:val="4F97548C"/>
    <w:rsid w:val="4FBB774F"/>
    <w:rsid w:val="4FBE52E9"/>
    <w:rsid w:val="4FD41305"/>
    <w:rsid w:val="50B019F5"/>
    <w:rsid w:val="51037C15"/>
    <w:rsid w:val="5181716B"/>
    <w:rsid w:val="52B2016E"/>
    <w:rsid w:val="52FF7F2F"/>
    <w:rsid w:val="53185172"/>
    <w:rsid w:val="53706829"/>
    <w:rsid w:val="537173D8"/>
    <w:rsid w:val="53B27DB8"/>
    <w:rsid w:val="541240CA"/>
    <w:rsid w:val="546163DD"/>
    <w:rsid w:val="555E3F91"/>
    <w:rsid w:val="55A41A91"/>
    <w:rsid w:val="55FA495C"/>
    <w:rsid w:val="56CD32C1"/>
    <w:rsid w:val="56E56356"/>
    <w:rsid w:val="570B3B32"/>
    <w:rsid w:val="576C2E54"/>
    <w:rsid w:val="58D37421"/>
    <w:rsid w:val="58D8469B"/>
    <w:rsid w:val="58EE016A"/>
    <w:rsid w:val="58FF1653"/>
    <w:rsid w:val="59A8085C"/>
    <w:rsid w:val="5A672B83"/>
    <w:rsid w:val="5AA20F1F"/>
    <w:rsid w:val="5B7C3D01"/>
    <w:rsid w:val="5BE91805"/>
    <w:rsid w:val="5C042E53"/>
    <w:rsid w:val="5C5947E4"/>
    <w:rsid w:val="5D126C47"/>
    <w:rsid w:val="5D804F27"/>
    <w:rsid w:val="5D935C37"/>
    <w:rsid w:val="5E2E7A5D"/>
    <w:rsid w:val="5EB537DB"/>
    <w:rsid w:val="5FF05E05"/>
    <w:rsid w:val="60C44977"/>
    <w:rsid w:val="611C6055"/>
    <w:rsid w:val="615758E1"/>
    <w:rsid w:val="61787D03"/>
    <w:rsid w:val="61A50E9D"/>
    <w:rsid w:val="61F8244A"/>
    <w:rsid w:val="620C420A"/>
    <w:rsid w:val="62B41646"/>
    <w:rsid w:val="62E820EE"/>
    <w:rsid w:val="636B06D0"/>
    <w:rsid w:val="63730C40"/>
    <w:rsid w:val="638D3374"/>
    <w:rsid w:val="63DF7E2D"/>
    <w:rsid w:val="641B6DD9"/>
    <w:rsid w:val="64471332"/>
    <w:rsid w:val="64A93306"/>
    <w:rsid w:val="65015586"/>
    <w:rsid w:val="6557621F"/>
    <w:rsid w:val="67041660"/>
    <w:rsid w:val="672E45B2"/>
    <w:rsid w:val="6751169F"/>
    <w:rsid w:val="67E33AD0"/>
    <w:rsid w:val="67E532EF"/>
    <w:rsid w:val="68582403"/>
    <w:rsid w:val="68B66A4A"/>
    <w:rsid w:val="68F45D00"/>
    <w:rsid w:val="691114E7"/>
    <w:rsid w:val="693521D1"/>
    <w:rsid w:val="699763FB"/>
    <w:rsid w:val="699C3056"/>
    <w:rsid w:val="69AB1EBA"/>
    <w:rsid w:val="6B303D36"/>
    <w:rsid w:val="6BBD3A50"/>
    <w:rsid w:val="6C3C4A70"/>
    <w:rsid w:val="6EBD0676"/>
    <w:rsid w:val="6EFB1C52"/>
    <w:rsid w:val="6FC06DB2"/>
    <w:rsid w:val="712C16B1"/>
    <w:rsid w:val="72031F76"/>
    <w:rsid w:val="72AF2D92"/>
    <w:rsid w:val="72DC6E5B"/>
    <w:rsid w:val="72FD3138"/>
    <w:rsid w:val="730C6636"/>
    <w:rsid w:val="748007EE"/>
    <w:rsid w:val="752878DB"/>
    <w:rsid w:val="755A6A51"/>
    <w:rsid w:val="760B0CAB"/>
    <w:rsid w:val="769C51A0"/>
    <w:rsid w:val="76E722F3"/>
    <w:rsid w:val="77E0741B"/>
    <w:rsid w:val="78797912"/>
    <w:rsid w:val="78F71022"/>
    <w:rsid w:val="7A574260"/>
    <w:rsid w:val="7ADF613C"/>
    <w:rsid w:val="7B0F1164"/>
    <w:rsid w:val="7BAC12BA"/>
    <w:rsid w:val="7C2B04C8"/>
    <w:rsid w:val="7C971A1B"/>
    <w:rsid w:val="7CE528FF"/>
    <w:rsid w:val="7D680A57"/>
    <w:rsid w:val="7EC7081D"/>
    <w:rsid w:val="7EC95A9B"/>
    <w:rsid w:val="7F4732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rPr>
      <w:rFonts w:ascii="Times New Roman" w:hAnsi="Times New Roman" w:eastAsia="Arial Unicode MS" w:cs="Times New Roman"/>
      <w:sz w:val="24"/>
      <w:szCs w:val="24"/>
      <w:lang w:val="en-US" w:eastAsia="en-US" w:bidi="ar-SA"/>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2">
    <w:name w:val="Body Text"/>
    <w:qFormat/>
    <w:uiPriority w:val="0"/>
    <w:pPr>
      <w:spacing w:after="180"/>
    </w:pPr>
    <w:rPr>
      <w:rFonts w:ascii="Palatino Linotype" w:hAnsi="Palatino Linotype" w:eastAsia="Times New Roman" w:cs="Times New Roman"/>
      <w:sz w:val="24"/>
      <w:szCs w:val="22"/>
      <w:lang w:val="en-GB" w:eastAsia="en-GB" w:bidi="ar-SA"/>
    </w:rPr>
  </w:style>
  <w:style w:type="character" w:styleId="5">
    <w:name w:val="annotation reference"/>
    <w:basedOn w:val="3"/>
    <w:qFormat/>
    <w:uiPriority w:val="0"/>
    <w:rPr>
      <w:sz w:val="16"/>
      <w:szCs w:val="16"/>
    </w:rPr>
  </w:style>
  <w:style w:type="paragraph" w:styleId="6">
    <w:name w:val="annotation text"/>
    <w:basedOn w:val="1"/>
    <w:link w:val="24"/>
    <w:qFormat/>
    <w:uiPriority w:val="0"/>
    <w:rPr>
      <w:sz w:val="20"/>
      <w:szCs w:val="20"/>
    </w:rPr>
  </w:style>
  <w:style w:type="paragraph" w:styleId="7">
    <w:name w:val="annotation subject"/>
    <w:basedOn w:val="6"/>
    <w:next w:val="6"/>
    <w:link w:val="25"/>
    <w:qFormat/>
    <w:uiPriority w:val="0"/>
    <w:rPr>
      <w:b/>
      <w:bCs/>
    </w:rPr>
  </w:style>
  <w:style w:type="character" w:styleId="8">
    <w:name w:val="Emphasis"/>
    <w:basedOn w:val="3"/>
    <w:qFormat/>
    <w:uiPriority w:val="0"/>
    <w:rPr>
      <w:i/>
      <w:iCs/>
    </w:rPr>
  </w:style>
  <w:style w:type="character" w:styleId="9">
    <w:name w:val="FollowedHyperlink"/>
    <w:basedOn w:val="3"/>
    <w:qFormat/>
    <w:uiPriority w:val="0"/>
    <w:rPr>
      <w:color w:val="800080"/>
      <w:u w:val="single"/>
    </w:rPr>
  </w:style>
  <w:style w:type="paragraph" w:styleId="10">
    <w:name w:val="footer"/>
    <w:basedOn w:val="1"/>
    <w:link w:val="23"/>
    <w:qFormat/>
    <w:uiPriority w:val="0"/>
    <w:pPr>
      <w:tabs>
        <w:tab w:val="center" w:pos="4513"/>
        <w:tab w:val="right" w:pos="9026"/>
      </w:tabs>
    </w:pPr>
  </w:style>
  <w:style w:type="paragraph" w:styleId="11">
    <w:name w:val="header"/>
    <w:basedOn w:val="1"/>
    <w:link w:val="22"/>
    <w:qFormat/>
    <w:uiPriority w:val="0"/>
    <w:pPr>
      <w:tabs>
        <w:tab w:val="center" w:pos="4513"/>
        <w:tab w:val="right" w:pos="9026"/>
      </w:tabs>
    </w:pPr>
  </w:style>
  <w:style w:type="character" w:styleId="12">
    <w:name w:val="Hyperlink"/>
    <w:qFormat/>
    <w:uiPriority w:val="0"/>
    <w:rPr>
      <w:u w:val="single"/>
    </w:rPr>
  </w:style>
  <w:style w:type="paragraph" w:styleId="13">
    <w:name w:val="Normal (Web)"/>
    <w:qFormat/>
    <w:uiPriority w:val="0"/>
    <w:pPr>
      <w:spacing w:before="100" w:after="100"/>
    </w:pPr>
    <w:rPr>
      <w:rFonts w:ascii="Times New Roman" w:hAnsi="Times New Roman" w:eastAsia="Arial Unicode MS" w:cs="Arial Unicode MS"/>
      <w:color w:val="000000"/>
      <w:sz w:val="24"/>
      <w:szCs w:val="24"/>
      <w:u w:color="000000"/>
      <w:lang w:val="en-US" w:eastAsia="zh-CN" w:bidi="ar-SA"/>
    </w:rPr>
  </w:style>
  <w:style w:type="character" w:styleId="14">
    <w:name w:val="Strong"/>
    <w:basedOn w:val="3"/>
    <w:qFormat/>
    <w:uiPriority w:val="0"/>
    <w:rPr>
      <w:b/>
      <w:bCs/>
    </w:rPr>
  </w:style>
  <w:style w:type="table" w:customStyle="1" w:styleId="15">
    <w:name w:val="Table Normal1"/>
    <w:qFormat/>
    <w:uiPriority w:val="0"/>
    <w:tblPr>
      <w:tblCellMar>
        <w:top w:w="0" w:type="dxa"/>
        <w:left w:w="0" w:type="dxa"/>
        <w:bottom w:w="0" w:type="dxa"/>
        <w:right w:w="0" w:type="dxa"/>
      </w:tblCellMar>
    </w:tblPr>
  </w:style>
  <w:style w:type="paragraph" w:customStyle="1" w:styleId="16">
    <w:name w:val="Header &amp; Footer"/>
    <w:qFormat/>
    <w:uiPriority w:val="0"/>
    <w:pPr>
      <w:tabs>
        <w:tab w:val="right" w:pos="9020"/>
      </w:tabs>
    </w:pPr>
    <w:rPr>
      <w:rFonts w:ascii="Helvetica Neue" w:hAnsi="Helvetica Neue" w:eastAsia="Arial Unicode MS" w:cs="Arial Unicode MS"/>
      <w:color w:val="000000"/>
      <w:sz w:val="24"/>
      <w:szCs w:val="24"/>
      <w:lang w:val="en-GB" w:eastAsia="zh-CN" w:bidi="ar-SA"/>
    </w:rPr>
  </w:style>
  <w:style w:type="paragraph" w:customStyle="1" w:styleId="17">
    <w:name w:val="Body"/>
    <w:qFormat/>
    <w:uiPriority w:val="0"/>
    <w:rPr>
      <w:rFonts w:ascii="Aptos" w:hAnsi="Aptos" w:eastAsia="Aptos" w:cs="Aptos"/>
      <w:color w:val="000000"/>
      <w:kern w:val="2"/>
      <w:sz w:val="24"/>
      <w:szCs w:val="24"/>
      <w:u w:color="000000"/>
      <w:lang w:val="en-GB" w:eastAsia="zh-CN" w:bidi="ar-SA"/>
    </w:rPr>
  </w:style>
  <w:style w:type="paragraph" w:customStyle="1" w:styleId="18">
    <w:name w:val="Body A"/>
    <w:qFormat/>
    <w:uiPriority w:val="0"/>
    <w:pPr>
      <w:spacing w:line="256" w:lineRule="auto"/>
    </w:pPr>
    <w:rPr>
      <w:rFonts w:ascii="Arial" w:hAnsi="Arial" w:eastAsia="Arial Unicode MS" w:cs="Arial Unicode MS"/>
      <w:color w:val="000000"/>
      <w:sz w:val="22"/>
      <w:szCs w:val="22"/>
      <w:u w:color="000000"/>
      <w:lang w:val="en-US" w:eastAsia="zh-CN" w:bidi="ar-SA"/>
    </w:rPr>
  </w:style>
  <w:style w:type="paragraph" w:customStyle="1" w:styleId="19">
    <w:name w:val="List parag"/>
    <w:qFormat/>
    <w:uiPriority w:val="0"/>
    <w:pPr>
      <w:spacing w:before="100" w:after="120" w:line="264" w:lineRule="auto"/>
    </w:pPr>
    <w:rPr>
      <w:rFonts w:ascii="Arial" w:hAnsi="Arial" w:eastAsia="Arial Unicode MS" w:cs="Arial Unicode MS"/>
      <w:color w:val="000000"/>
      <w:sz w:val="22"/>
      <w:szCs w:val="22"/>
      <w:u w:color="000000"/>
      <w:lang w:val="en-US" w:eastAsia="zh-CN" w:bidi="ar-SA"/>
    </w:rPr>
  </w:style>
  <w:style w:type="paragraph" w:customStyle="1" w:styleId="20">
    <w:name w:val="Heading"/>
    <w:next w:val="17"/>
    <w:qFormat/>
    <w:uiPriority w:val="0"/>
    <w:pPr>
      <w:spacing w:before="120" w:after="360" w:line="264" w:lineRule="auto"/>
      <w:outlineLvl w:val="0"/>
    </w:pPr>
    <w:rPr>
      <w:rFonts w:ascii="Georgia" w:hAnsi="Georgia" w:eastAsia="Arial Unicode MS" w:cs="Arial Unicode MS"/>
      <w:i/>
      <w:iCs/>
      <w:color w:val="004147"/>
      <w:sz w:val="48"/>
      <w:szCs w:val="48"/>
      <w:u w:color="004147"/>
      <w:lang w:val="it-IT" w:eastAsia="zh-CN" w:bidi="ar-SA"/>
    </w:rPr>
  </w:style>
  <w:style w:type="paragraph" w:customStyle="1" w:styleId="21">
    <w:name w:val="Nornal"/>
    <w:qFormat/>
    <w:uiPriority w:val="0"/>
    <w:pPr>
      <w:spacing w:after="160" w:line="264" w:lineRule="auto"/>
    </w:pPr>
    <w:rPr>
      <w:rFonts w:ascii="Arial" w:hAnsi="Arial" w:eastAsia="Arial" w:cs="Arial"/>
      <w:color w:val="000000"/>
      <w:sz w:val="22"/>
      <w:szCs w:val="22"/>
      <w:u w:color="000000"/>
      <w:lang w:val="en-US" w:eastAsia="zh-CN" w:bidi="ar-SA"/>
    </w:rPr>
  </w:style>
  <w:style w:type="character" w:customStyle="1" w:styleId="22">
    <w:name w:val="Header Char"/>
    <w:basedOn w:val="3"/>
    <w:link w:val="11"/>
    <w:qFormat/>
    <w:uiPriority w:val="0"/>
    <w:rPr>
      <w:rFonts w:eastAsia="Arial Unicode MS"/>
      <w:sz w:val="24"/>
      <w:szCs w:val="24"/>
      <w:lang w:val="en-US" w:eastAsia="en-US"/>
    </w:rPr>
  </w:style>
  <w:style w:type="character" w:customStyle="1" w:styleId="23">
    <w:name w:val="Footer Char"/>
    <w:basedOn w:val="3"/>
    <w:link w:val="10"/>
    <w:qFormat/>
    <w:uiPriority w:val="0"/>
    <w:rPr>
      <w:rFonts w:eastAsia="Arial Unicode MS"/>
      <w:sz w:val="24"/>
      <w:szCs w:val="24"/>
      <w:lang w:val="en-US" w:eastAsia="en-US"/>
    </w:rPr>
  </w:style>
  <w:style w:type="character" w:customStyle="1" w:styleId="24">
    <w:name w:val="Comment Text Char"/>
    <w:basedOn w:val="3"/>
    <w:link w:val="6"/>
    <w:qFormat/>
    <w:uiPriority w:val="0"/>
    <w:rPr>
      <w:rFonts w:eastAsia="Arial Unicode MS"/>
      <w:lang w:val="en-US" w:eastAsia="en-US"/>
    </w:rPr>
  </w:style>
  <w:style w:type="character" w:customStyle="1" w:styleId="25">
    <w:name w:val="Comment Subject Char"/>
    <w:basedOn w:val="24"/>
    <w:link w:val="7"/>
    <w:qFormat/>
    <w:uiPriority w:val="0"/>
    <w:rPr>
      <w:rFonts w:eastAsia="Arial Unicode MS"/>
      <w:b/>
      <w:bCs/>
      <w:lang w:val="en-US" w:eastAsia="en-US"/>
    </w:rPr>
  </w:style>
  <w:style w:type="character" w:customStyle="1" w:styleId="26">
    <w:name w:val="Unresolved Mention1"/>
    <w:basedOn w:val="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spPr>
      <a:bodyPr rot="0" spcFirstLastPara="1" vertOverflow="overflow" horzOverflow="overflow" vert="horz" wrap="square" lIns="45719" tIns="45719" rIns="45719" bIns="45719" numCol="1" spcCol="38100" rtlCol="0" anchor="ctr">
        <a:spAutoFit/>
      </a:bodyPr>
      <a:lstStyle/>
      <a:style>
        <a:lnRef idx="0">
          <a:srgbClr val="FFFFFF"/>
        </a:lnRef>
        <a:fillRef idx="0">
          <a:srgbClr val="FFFFFF"/>
        </a:fillRef>
        <a:effectRef idx="0">
          <a:srgbClr val="FFFFFF"/>
        </a:effectRef>
        <a:fontRef idx="none"/>
      </a:style>
    </a:spDef>
    <a:lnDef>
      <a:spPr>
        <a:noFill/>
        <a:ln w="12700" cap="flat">
          <a:solidFill>
            <a:schemeClr val="accent1"/>
          </a:solidFill>
          <a:prstDash val="solid"/>
          <a:miter lim="800000"/>
        </a:ln>
      </a:spPr>
      <a:bodyPr rot="0" spcFirstLastPara="1" vertOverflow="overflow" horzOverflow="overflow" vert="horz" wrap="square" lIns="91439" tIns="45719" rIns="91439" bIns="45719" numCol="1" spcCol="38100" rtlCol="0" anchor="t">
        <a:noAutofit/>
      </a:bodyPr>
      <a:lstStyle/>
      <a:style>
        <a:lnRef idx="0">
          <a:srgbClr val="FFFFFF"/>
        </a:lnRef>
        <a:fillRef idx="0">
          <a:srgbClr val="FFFFFF"/>
        </a:fillRef>
        <a:effectRef idx="0">
          <a:srgbClr val="FFFFFF"/>
        </a:effectRef>
        <a:fontRef idx="none"/>
      </a:style>
    </a:lnDef>
    <a:txDef>
      <a:spPr>
        <a:noFill/>
        <a:ln w="12700" cap="flat">
          <a:noFill/>
          <a:miter lim="400000"/>
        </a:ln>
      </a:spPr>
      <a:bodyPr rot="0" spcFirstLastPara="1" vertOverflow="overflow" horzOverflow="overflow" vert="horz" wrap="square" lIns="45719" tIns="45719" rIns="45719" bIns="45719" numCol="1" spcCol="38100" rtlCol="0" anchor="t">
        <a:spAutoFit/>
      </a:bodyPr>
      <a:lstStyle/>
      <a:style>
        <a:lnRef idx="0">
          <a:srgbClr val="FFFFFF"/>
        </a:lnRef>
        <a:fillRef idx="0">
          <a:srgbClr val="FFFFFF"/>
        </a:fillRef>
        <a:effectRef idx="0">
          <a:srgbClr val="FFFFFF"/>
        </a:effectRef>
        <a:fontRef idx="none"/>
      </a:style>
    </a:txDef>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16</Pages>
  <Words>5564</Words>
  <Characters>31717</Characters>
  <Lines>264</Lines>
  <Paragraphs>74</Paragraphs>
  <TotalTime>53</TotalTime>
  <ScaleCrop>false</ScaleCrop>
  <LinksUpToDate>false</LinksUpToDate>
  <CharactersWithSpaces>37207</CharactersWithSpaces>
  <Application>WPS Office_12.2.0.22222_F1E327BC-269C-435d-A152-05C5408002CA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2025-08-07T11:28:00Z</dcterms:created>
  <dc:creator>andrea.matthews</dc:creator>
  <cp:lastModifiedBy>WPS_1727684645</cp:lastModifiedBy>
  <dcterms:modified xsi:type="dcterms:W3CDTF">2025-08-13T16:16:03Z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1033-12.2.0.22222</vt:lpwstr>
  </property>
  <property fmtid="{D5CDD505-2E9C-101B-9397-08002B2CF9AE}" pid="3" name="ICV">
    <vt:lpwstr>692C5815E0CE432E91E2F4D00E3F52BE_13</vt:lpwstr>
  </property>
  <property fmtid="{D5CDD505-2E9C-101B-9397-08002B2CF9AE}" pid="4" name="GrammarlyDocumentId">
    <vt:lpwstr>cb722638-ec1f-4951-ad4c-d0d140c01d34</vt:lpwstr>
  </property>
</Properties>
</file>