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ED66D" w14:textId="77777777" w:rsidR="00D0623C" w:rsidRDefault="00D0623C"/>
    <w:p w14:paraId="37A4761E" w14:textId="4EBBC2D9" w:rsidR="007C3CA1" w:rsidRDefault="002B60B6">
      <w:r>
        <w:rPr>
          <w:noProof/>
        </w:rPr>
        <w:drawing>
          <wp:inline distT="0" distB="0" distL="0" distR="0" wp14:anchorId="6643DF49" wp14:editId="54D9DAB2">
            <wp:extent cx="3143250" cy="1060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0" cy="1060450"/>
                    </a:xfrm>
                    <a:prstGeom prst="rect">
                      <a:avLst/>
                    </a:prstGeom>
                    <a:noFill/>
                    <a:ln>
                      <a:noFill/>
                    </a:ln>
                  </pic:spPr>
                </pic:pic>
              </a:graphicData>
            </a:graphic>
          </wp:inline>
        </w:drawing>
      </w:r>
    </w:p>
    <w:p w14:paraId="4AC26BCA" w14:textId="77777777" w:rsidR="00B50DB0" w:rsidRDefault="00B50DB0"/>
    <w:p w14:paraId="44821E7C" w14:textId="13294209" w:rsidR="002B60B6" w:rsidRPr="00DA5839" w:rsidRDefault="002B60B6" w:rsidP="002B60B6">
      <w:pPr>
        <w:spacing w:line="240" w:lineRule="auto"/>
        <w:jc w:val="both"/>
        <w:rPr>
          <w:rFonts w:ascii="Arial" w:hAnsi="Arial" w:cs="Arial"/>
          <w:b/>
          <w:bCs/>
          <w:sz w:val="24"/>
          <w:szCs w:val="24"/>
        </w:rPr>
      </w:pPr>
      <w:bookmarkStart w:id="0" w:name="_Hlk211950938"/>
      <w:r w:rsidRPr="00DA5839">
        <w:rPr>
          <w:rFonts w:ascii="Arial" w:hAnsi="Arial" w:cs="Arial"/>
          <w:b/>
          <w:bCs/>
          <w:sz w:val="24"/>
          <w:szCs w:val="24"/>
        </w:rPr>
        <w:t xml:space="preserve">Programmed: Master of Business Administration </w:t>
      </w:r>
    </w:p>
    <w:p w14:paraId="4ED84167" w14:textId="77777777" w:rsidR="002B60B6" w:rsidRPr="00DA5839" w:rsidRDefault="002B60B6" w:rsidP="002B60B6">
      <w:pPr>
        <w:spacing w:line="240" w:lineRule="auto"/>
        <w:jc w:val="both"/>
        <w:rPr>
          <w:rFonts w:ascii="Arial" w:hAnsi="Arial" w:cs="Arial"/>
          <w:b/>
          <w:bCs/>
          <w:sz w:val="24"/>
          <w:szCs w:val="24"/>
        </w:rPr>
      </w:pPr>
    </w:p>
    <w:p w14:paraId="5951FBC3" w14:textId="3765F9C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Module: Marketing Management </w:t>
      </w:r>
    </w:p>
    <w:p w14:paraId="39343E88" w14:textId="77777777" w:rsidR="002B60B6" w:rsidRPr="00DA5839" w:rsidRDefault="002B60B6" w:rsidP="002B60B6">
      <w:pPr>
        <w:spacing w:line="240" w:lineRule="auto"/>
        <w:jc w:val="both"/>
        <w:rPr>
          <w:rFonts w:ascii="Arial" w:hAnsi="Arial" w:cs="Arial"/>
          <w:b/>
          <w:bCs/>
          <w:sz w:val="24"/>
          <w:szCs w:val="24"/>
        </w:rPr>
      </w:pPr>
    </w:p>
    <w:p w14:paraId="239E3516" w14:textId="3196669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Module code: LCMB7024</w:t>
      </w:r>
    </w:p>
    <w:p w14:paraId="71EA4123" w14:textId="77777777" w:rsidR="002B60B6" w:rsidRPr="00DA5839" w:rsidRDefault="002B60B6" w:rsidP="002B60B6">
      <w:pPr>
        <w:spacing w:line="240" w:lineRule="auto"/>
        <w:jc w:val="both"/>
        <w:rPr>
          <w:rFonts w:ascii="Arial" w:hAnsi="Arial" w:cs="Arial"/>
          <w:b/>
          <w:bCs/>
          <w:sz w:val="24"/>
          <w:szCs w:val="24"/>
        </w:rPr>
      </w:pPr>
    </w:p>
    <w:p w14:paraId="07674B7C" w14:textId="0ECC36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Title: Marketing Environmental Analysis for Pioneers and Followers</w:t>
      </w:r>
    </w:p>
    <w:p w14:paraId="20C79A42" w14:textId="77777777" w:rsidR="002B60B6" w:rsidRPr="00DA5839" w:rsidRDefault="002B60B6" w:rsidP="002B60B6">
      <w:pPr>
        <w:spacing w:line="240" w:lineRule="auto"/>
        <w:jc w:val="both"/>
        <w:rPr>
          <w:rFonts w:ascii="Arial" w:hAnsi="Arial" w:cs="Arial"/>
          <w:b/>
          <w:bCs/>
          <w:sz w:val="24"/>
          <w:szCs w:val="24"/>
        </w:rPr>
      </w:pPr>
    </w:p>
    <w:p w14:paraId="24759106" w14:textId="4FC4AC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Lecturer: </w:t>
      </w:r>
      <w:r w:rsidRPr="00DA5839">
        <w:rPr>
          <w:rFonts w:ascii="Arial" w:hAnsi="Arial" w:cs="Arial"/>
          <w:b/>
          <w:sz w:val="24"/>
          <w:szCs w:val="24"/>
        </w:rPr>
        <w:t xml:space="preserve">Dian </w:t>
      </w:r>
      <w:proofErr w:type="spellStart"/>
      <w:r w:rsidRPr="00DA5839">
        <w:rPr>
          <w:rFonts w:ascii="Arial" w:hAnsi="Arial" w:cs="Arial"/>
          <w:b/>
          <w:sz w:val="24"/>
          <w:szCs w:val="24"/>
        </w:rPr>
        <w:t>Mayasari</w:t>
      </w:r>
      <w:proofErr w:type="spellEnd"/>
    </w:p>
    <w:p w14:paraId="4D494BC0" w14:textId="77777777" w:rsidR="002B60B6" w:rsidRPr="00DA5839" w:rsidRDefault="002B60B6" w:rsidP="002B60B6">
      <w:pPr>
        <w:spacing w:line="240" w:lineRule="auto"/>
        <w:jc w:val="both"/>
        <w:rPr>
          <w:rFonts w:ascii="Arial" w:hAnsi="Arial" w:cs="Arial"/>
          <w:b/>
          <w:bCs/>
          <w:sz w:val="24"/>
          <w:szCs w:val="24"/>
        </w:rPr>
      </w:pPr>
    </w:p>
    <w:p w14:paraId="0FEBE3EA"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Name: Muskan Kapadia </w:t>
      </w:r>
    </w:p>
    <w:p w14:paraId="67932F58" w14:textId="77777777" w:rsidR="002B60B6" w:rsidRPr="00DA5839" w:rsidRDefault="002B60B6" w:rsidP="002B60B6">
      <w:pPr>
        <w:spacing w:line="240" w:lineRule="auto"/>
        <w:jc w:val="both"/>
        <w:rPr>
          <w:rFonts w:ascii="Arial" w:hAnsi="Arial" w:cs="Arial"/>
          <w:b/>
          <w:bCs/>
          <w:sz w:val="24"/>
          <w:szCs w:val="24"/>
        </w:rPr>
      </w:pPr>
    </w:p>
    <w:p w14:paraId="148C2AAC" w14:textId="7777777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Student ID: 2511297 </w:t>
      </w:r>
    </w:p>
    <w:p w14:paraId="604DCAF2" w14:textId="77777777" w:rsidR="002B60B6" w:rsidRPr="00DA5839" w:rsidRDefault="002B60B6" w:rsidP="002B60B6">
      <w:pPr>
        <w:spacing w:line="240" w:lineRule="auto"/>
        <w:jc w:val="both"/>
        <w:rPr>
          <w:rFonts w:ascii="Arial" w:hAnsi="Arial" w:cs="Arial"/>
          <w:b/>
          <w:bCs/>
          <w:sz w:val="24"/>
          <w:szCs w:val="24"/>
        </w:rPr>
      </w:pPr>
    </w:p>
    <w:p w14:paraId="236F842D" w14:textId="7C6C53D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Submission Date- 24th October 2025</w:t>
      </w:r>
    </w:p>
    <w:p w14:paraId="14119CF3" w14:textId="02BED7FE" w:rsidR="00DF4B95" w:rsidRPr="00DA5839" w:rsidRDefault="00DF4B95">
      <w:pPr>
        <w:rPr>
          <w:rFonts w:ascii="Arial" w:hAnsi="Arial" w:cs="Arial"/>
          <w:sz w:val="24"/>
          <w:szCs w:val="24"/>
        </w:rPr>
      </w:pPr>
    </w:p>
    <w:bookmarkEnd w:id="0"/>
    <w:p w14:paraId="6E70EA36" w14:textId="7CD609A2" w:rsidR="00DF4B95" w:rsidRPr="00DA5839" w:rsidRDefault="00DF4B95">
      <w:pPr>
        <w:rPr>
          <w:rFonts w:ascii="Arial" w:hAnsi="Arial" w:cs="Arial"/>
          <w:sz w:val="24"/>
          <w:szCs w:val="24"/>
        </w:rPr>
      </w:pPr>
    </w:p>
    <w:p w14:paraId="3A3C91E6" w14:textId="40B5FCBF" w:rsidR="00DF4B95" w:rsidRPr="00DA5839" w:rsidRDefault="00DF4B95">
      <w:pPr>
        <w:rPr>
          <w:rFonts w:ascii="Arial" w:hAnsi="Arial" w:cs="Arial"/>
          <w:sz w:val="24"/>
          <w:szCs w:val="24"/>
        </w:rPr>
      </w:pPr>
    </w:p>
    <w:p w14:paraId="20ADFD36" w14:textId="4DD7C194" w:rsidR="00DF4B95" w:rsidRPr="00DA5839" w:rsidRDefault="00DF4B95">
      <w:pPr>
        <w:rPr>
          <w:rFonts w:ascii="Arial" w:hAnsi="Arial" w:cs="Arial"/>
          <w:sz w:val="24"/>
          <w:szCs w:val="24"/>
        </w:rPr>
      </w:pPr>
    </w:p>
    <w:p w14:paraId="692A371C" w14:textId="1391200A" w:rsidR="00DF4B95" w:rsidRPr="00DA5839" w:rsidRDefault="00DF4B95">
      <w:pPr>
        <w:rPr>
          <w:rFonts w:ascii="Arial" w:hAnsi="Arial" w:cs="Arial"/>
          <w:sz w:val="24"/>
          <w:szCs w:val="24"/>
        </w:rPr>
      </w:pPr>
    </w:p>
    <w:p w14:paraId="4186E491" w14:textId="29487E79" w:rsidR="00DF4B95" w:rsidRDefault="00DF4B95">
      <w:pPr>
        <w:rPr>
          <w:rFonts w:ascii="Arial" w:hAnsi="Arial" w:cs="Arial"/>
          <w:sz w:val="24"/>
          <w:szCs w:val="24"/>
        </w:rPr>
      </w:pPr>
    </w:p>
    <w:p w14:paraId="5D28A52C" w14:textId="77777777" w:rsidR="00DA5839" w:rsidRPr="00DA5839" w:rsidRDefault="00DA5839">
      <w:pPr>
        <w:rPr>
          <w:rFonts w:ascii="Arial" w:hAnsi="Arial" w:cs="Arial"/>
          <w:sz w:val="24"/>
          <w:szCs w:val="24"/>
        </w:rPr>
      </w:pPr>
    </w:p>
    <w:p w14:paraId="3E865A62" w14:textId="43463A8B" w:rsidR="00DF4B95" w:rsidRPr="00DA5839" w:rsidRDefault="00DF4B95">
      <w:pPr>
        <w:rPr>
          <w:rFonts w:ascii="Arial" w:hAnsi="Arial" w:cs="Arial"/>
          <w:sz w:val="24"/>
          <w:szCs w:val="24"/>
        </w:rPr>
      </w:pPr>
    </w:p>
    <w:p w14:paraId="4898DD4C" w14:textId="2B6E98F5" w:rsidR="00DF4B95" w:rsidRPr="00DA5839" w:rsidRDefault="00DF4B95">
      <w:pPr>
        <w:rPr>
          <w:rFonts w:ascii="Arial" w:hAnsi="Arial" w:cs="Arial"/>
          <w:sz w:val="24"/>
          <w:szCs w:val="24"/>
        </w:rPr>
      </w:pPr>
    </w:p>
    <w:p w14:paraId="4CEEBB81" w14:textId="566C6681" w:rsidR="00DF4B95" w:rsidRPr="00DA5839" w:rsidRDefault="00757B94" w:rsidP="00757B94">
      <w:pPr>
        <w:jc w:val="center"/>
        <w:rPr>
          <w:rFonts w:ascii="Arial" w:hAnsi="Arial" w:cs="Arial"/>
          <w:b/>
          <w:bCs/>
          <w:sz w:val="24"/>
          <w:szCs w:val="24"/>
        </w:rPr>
      </w:pPr>
      <w:r w:rsidRPr="00DA5839">
        <w:rPr>
          <w:rFonts w:ascii="Arial" w:hAnsi="Arial" w:cs="Arial"/>
          <w:b/>
          <w:bCs/>
          <w:sz w:val="24"/>
          <w:szCs w:val="24"/>
        </w:rPr>
        <w:t>Table of content:</w:t>
      </w:r>
    </w:p>
    <w:p w14:paraId="17A54D30" w14:textId="77777777" w:rsidR="00CD78DC" w:rsidRPr="00DA5839" w:rsidRDefault="00CD78DC" w:rsidP="00757B94">
      <w:pPr>
        <w:jc w:val="center"/>
        <w:rPr>
          <w:rFonts w:ascii="Arial" w:hAnsi="Arial" w:cs="Arial"/>
          <w:b/>
          <w:bCs/>
          <w:sz w:val="24"/>
          <w:szCs w:val="24"/>
        </w:rPr>
      </w:pPr>
    </w:p>
    <w:tbl>
      <w:tblPr>
        <w:tblStyle w:val="TableGrid"/>
        <w:tblpPr w:leftFromText="180" w:rightFromText="180" w:vertAnchor="page" w:horzAnchor="margin" w:tblpXSpec="center" w:tblpY="2881"/>
        <w:tblW w:w="0" w:type="auto"/>
        <w:tblLook w:val="04A0" w:firstRow="1" w:lastRow="0" w:firstColumn="1" w:lastColumn="0" w:noHBand="0" w:noVBand="1"/>
      </w:tblPr>
      <w:tblGrid>
        <w:gridCol w:w="4461"/>
        <w:gridCol w:w="1023"/>
      </w:tblGrid>
      <w:tr w:rsidR="00757B94" w:rsidRPr="00DA5839" w14:paraId="17AF5580" w14:textId="77777777" w:rsidTr="00CD78DC">
        <w:trPr>
          <w:trHeight w:val="1297"/>
        </w:trPr>
        <w:tc>
          <w:tcPr>
            <w:tcW w:w="4461" w:type="dxa"/>
          </w:tcPr>
          <w:p w14:paraId="1D0E6236" w14:textId="65A4717C" w:rsidR="00757B94" w:rsidRPr="00DA5839" w:rsidRDefault="00757B94" w:rsidP="00CD78DC">
            <w:pPr>
              <w:rPr>
                <w:rFonts w:ascii="Arial" w:hAnsi="Arial" w:cs="Arial"/>
                <w:sz w:val="24"/>
                <w:szCs w:val="24"/>
              </w:rPr>
            </w:pPr>
            <w:bookmarkStart w:id="1" w:name="_Hlk211951023"/>
            <w:r w:rsidRPr="00DA5839">
              <w:rPr>
                <w:rFonts w:ascii="Arial" w:hAnsi="Arial" w:cs="Arial"/>
                <w:sz w:val="24"/>
                <w:szCs w:val="24"/>
              </w:rPr>
              <w:t>Introduction</w:t>
            </w:r>
          </w:p>
        </w:tc>
        <w:tc>
          <w:tcPr>
            <w:tcW w:w="1023" w:type="dxa"/>
          </w:tcPr>
          <w:p w14:paraId="4BDA7B0C" w14:textId="59F9CA40" w:rsidR="00757B94" w:rsidRPr="004D1947" w:rsidRDefault="00366B35" w:rsidP="00CD78DC">
            <w:pPr>
              <w:jc w:val="center"/>
              <w:rPr>
                <w:rFonts w:ascii="Arial" w:hAnsi="Arial" w:cs="Arial"/>
                <w:sz w:val="24"/>
                <w:szCs w:val="24"/>
              </w:rPr>
            </w:pPr>
            <w:r w:rsidRPr="004D1947">
              <w:rPr>
                <w:rFonts w:ascii="Arial" w:hAnsi="Arial" w:cs="Arial"/>
                <w:sz w:val="24"/>
                <w:szCs w:val="24"/>
              </w:rPr>
              <w:t>03</w:t>
            </w:r>
          </w:p>
        </w:tc>
      </w:tr>
      <w:tr w:rsidR="00757B94" w:rsidRPr="00DA5839" w14:paraId="7163FE68" w14:textId="77777777" w:rsidTr="00CD78DC">
        <w:trPr>
          <w:trHeight w:val="1249"/>
        </w:trPr>
        <w:tc>
          <w:tcPr>
            <w:tcW w:w="4461" w:type="dxa"/>
          </w:tcPr>
          <w:p w14:paraId="3C6FD6AF" w14:textId="17003BA8" w:rsidR="00757B94" w:rsidRPr="00DA5839" w:rsidRDefault="008E239C" w:rsidP="00CD78DC">
            <w:pPr>
              <w:rPr>
                <w:rFonts w:ascii="Arial" w:hAnsi="Arial" w:cs="Arial"/>
                <w:sz w:val="24"/>
                <w:szCs w:val="24"/>
              </w:rPr>
            </w:pPr>
            <w:r w:rsidRPr="00DA5839">
              <w:rPr>
                <w:rFonts w:ascii="Arial" w:hAnsi="Arial" w:cs="Arial"/>
                <w:sz w:val="24"/>
                <w:szCs w:val="24"/>
              </w:rPr>
              <w:t>Task 1</w:t>
            </w:r>
          </w:p>
        </w:tc>
        <w:tc>
          <w:tcPr>
            <w:tcW w:w="1023" w:type="dxa"/>
          </w:tcPr>
          <w:p w14:paraId="298BC07B" w14:textId="0BAC51A0" w:rsidR="00757B94" w:rsidRPr="004D1947" w:rsidRDefault="00366B35" w:rsidP="00CD78DC">
            <w:pPr>
              <w:jc w:val="center"/>
              <w:rPr>
                <w:rFonts w:ascii="Arial" w:hAnsi="Arial" w:cs="Arial"/>
                <w:sz w:val="24"/>
                <w:szCs w:val="24"/>
              </w:rPr>
            </w:pPr>
            <w:r w:rsidRPr="004D1947">
              <w:rPr>
                <w:rFonts w:ascii="Arial" w:hAnsi="Arial" w:cs="Arial"/>
                <w:sz w:val="24"/>
                <w:szCs w:val="24"/>
              </w:rPr>
              <w:t>04</w:t>
            </w:r>
          </w:p>
        </w:tc>
      </w:tr>
      <w:tr w:rsidR="00757B94" w:rsidRPr="00DA5839" w14:paraId="4500AAB7" w14:textId="77777777" w:rsidTr="00CD78DC">
        <w:trPr>
          <w:trHeight w:val="1297"/>
        </w:trPr>
        <w:tc>
          <w:tcPr>
            <w:tcW w:w="4461" w:type="dxa"/>
          </w:tcPr>
          <w:p w14:paraId="2423BFD0" w14:textId="171AEE21" w:rsidR="00757B94" w:rsidRPr="00DA5839" w:rsidRDefault="008E239C" w:rsidP="00CD78DC">
            <w:pPr>
              <w:rPr>
                <w:rFonts w:ascii="Arial" w:hAnsi="Arial" w:cs="Arial"/>
                <w:sz w:val="24"/>
                <w:szCs w:val="24"/>
              </w:rPr>
            </w:pPr>
            <w:r w:rsidRPr="00DA5839">
              <w:rPr>
                <w:rFonts w:ascii="Arial" w:hAnsi="Arial" w:cs="Arial"/>
                <w:sz w:val="24"/>
                <w:szCs w:val="24"/>
              </w:rPr>
              <w:t>Task 2</w:t>
            </w:r>
          </w:p>
        </w:tc>
        <w:tc>
          <w:tcPr>
            <w:tcW w:w="1023" w:type="dxa"/>
          </w:tcPr>
          <w:p w14:paraId="0A8254EC" w14:textId="3CEC58B5" w:rsidR="00757B94" w:rsidRPr="004D1947" w:rsidRDefault="00366B35" w:rsidP="00CD78DC">
            <w:pPr>
              <w:jc w:val="center"/>
              <w:rPr>
                <w:rFonts w:ascii="Arial" w:hAnsi="Arial" w:cs="Arial"/>
                <w:sz w:val="24"/>
                <w:szCs w:val="24"/>
              </w:rPr>
            </w:pPr>
            <w:r w:rsidRPr="004D1947">
              <w:rPr>
                <w:rFonts w:ascii="Arial" w:hAnsi="Arial" w:cs="Arial"/>
                <w:sz w:val="24"/>
                <w:szCs w:val="24"/>
              </w:rPr>
              <w:t>08</w:t>
            </w:r>
          </w:p>
        </w:tc>
      </w:tr>
      <w:tr w:rsidR="00757B94" w:rsidRPr="00DA5839" w14:paraId="59D23FD9" w14:textId="77777777" w:rsidTr="00CD78DC">
        <w:trPr>
          <w:trHeight w:val="1297"/>
        </w:trPr>
        <w:tc>
          <w:tcPr>
            <w:tcW w:w="4461" w:type="dxa"/>
          </w:tcPr>
          <w:p w14:paraId="45A2052C" w14:textId="46B2A989" w:rsidR="00757B94" w:rsidRPr="00DA5839" w:rsidRDefault="008E239C" w:rsidP="00CD78DC">
            <w:pPr>
              <w:rPr>
                <w:rFonts w:ascii="Arial" w:hAnsi="Arial" w:cs="Arial"/>
                <w:sz w:val="24"/>
                <w:szCs w:val="24"/>
              </w:rPr>
            </w:pPr>
            <w:r w:rsidRPr="00DA5839">
              <w:rPr>
                <w:rFonts w:ascii="Arial" w:hAnsi="Arial" w:cs="Arial"/>
                <w:sz w:val="24"/>
                <w:szCs w:val="24"/>
              </w:rPr>
              <w:t>Conclusion</w:t>
            </w:r>
          </w:p>
        </w:tc>
        <w:tc>
          <w:tcPr>
            <w:tcW w:w="1023" w:type="dxa"/>
          </w:tcPr>
          <w:p w14:paraId="73AD48E4" w14:textId="5BE2746A" w:rsidR="00757B94" w:rsidRPr="004D1947" w:rsidRDefault="00366B35" w:rsidP="00CD78DC">
            <w:pPr>
              <w:jc w:val="center"/>
              <w:rPr>
                <w:rFonts w:ascii="Arial" w:hAnsi="Arial" w:cs="Arial"/>
                <w:sz w:val="24"/>
                <w:szCs w:val="24"/>
              </w:rPr>
            </w:pPr>
            <w:r w:rsidRPr="004D1947">
              <w:rPr>
                <w:rFonts w:ascii="Arial" w:hAnsi="Arial" w:cs="Arial"/>
                <w:sz w:val="24"/>
                <w:szCs w:val="24"/>
              </w:rPr>
              <w:t>15</w:t>
            </w:r>
          </w:p>
        </w:tc>
      </w:tr>
      <w:tr w:rsidR="00757B94" w:rsidRPr="00DA5839" w14:paraId="59B550E3" w14:textId="77777777" w:rsidTr="00CD78DC">
        <w:trPr>
          <w:trHeight w:val="1249"/>
        </w:trPr>
        <w:tc>
          <w:tcPr>
            <w:tcW w:w="4461" w:type="dxa"/>
          </w:tcPr>
          <w:p w14:paraId="71E84CC2" w14:textId="129D1D0A" w:rsidR="00757B94" w:rsidRPr="00DA5839" w:rsidRDefault="008E239C" w:rsidP="00CD78DC">
            <w:pPr>
              <w:rPr>
                <w:rFonts w:ascii="Arial" w:hAnsi="Arial" w:cs="Arial"/>
                <w:sz w:val="24"/>
                <w:szCs w:val="24"/>
              </w:rPr>
            </w:pPr>
            <w:r w:rsidRPr="00DA5839">
              <w:rPr>
                <w:rFonts w:ascii="Arial" w:hAnsi="Arial" w:cs="Arial"/>
                <w:sz w:val="24"/>
                <w:szCs w:val="24"/>
              </w:rPr>
              <w:t>Reference</w:t>
            </w:r>
          </w:p>
        </w:tc>
        <w:tc>
          <w:tcPr>
            <w:tcW w:w="1023" w:type="dxa"/>
          </w:tcPr>
          <w:p w14:paraId="77D5A203" w14:textId="1D44AC92" w:rsidR="00757B94" w:rsidRPr="004D1947" w:rsidRDefault="00366B35" w:rsidP="00CD78DC">
            <w:pPr>
              <w:jc w:val="center"/>
              <w:rPr>
                <w:rFonts w:ascii="Arial" w:hAnsi="Arial" w:cs="Arial"/>
                <w:sz w:val="24"/>
                <w:szCs w:val="24"/>
              </w:rPr>
            </w:pPr>
            <w:r w:rsidRPr="004D1947">
              <w:rPr>
                <w:rFonts w:ascii="Arial" w:hAnsi="Arial" w:cs="Arial"/>
                <w:sz w:val="24"/>
                <w:szCs w:val="24"/>
              </w:rPr>
              <w:t>16</w:t>
            </w:r>
          </w:p>
        </w:tc>
      </w:tr>
      <w:bookmarkEnd w:id="1"/>
    </w:tbl>
    <w:p w14:paraId="0C5A1D82" w14:textId="77777777" w:rsidR="00757B94" w:rsidRPr="00DA5839" w:rsidRDefault="00757B94" w:rsidP="00757B94">
      <w:pPr>
        <w:jc w:val="center"/>
        <w:rPr>
          <w:rFonts w:ascii="Arial" w:hAnsi="Arial" w:cs="Arial"/>
          <w:b/>
          <w:bCs/>
          <w:sz w:val="24"/>
          <w:szCs w:val="24"/>
        </w:rPr>
      </w:pPr>
    </w:p>
    <w:p w14:paraId="6BCA15ED" w14:textId="42B823CD" w:rsidR="00DF4B95" w:rsidRPr="00DA5839" w:rsidRDefault="00DF4B95">
      <w:pPr>
        <w:rPr>
          <w:rFonts w:ascii="Arial" w:hAnsi="Arial" w:cs="Arial"/>
          <w:sz w:val="24"/>
          <w:szCs w:val="24"/>
        </w:rPr>
      </w:pPr>
    </w:p>
    <w:p w14:paraId="2D424F4F" w14:textId="63E94963" w:rsidR="00DF4B95" w:rsidRPr="00DA5839" w:rsidRDefault="00DF4B95">
      <w:pPr>
        <w:rPr>
          <w:rFonts w:ascii="Arial" w:hAnsi="Arial" w:cs="Arial"/>
          <w:sz w:val="24"/>
          <w:szCs w:val="24"/>
        </w:rPr>
      </w:pPr>
    </w:p>
    <w:p w14:paraId="07B143F1" w14:textId="36883A63" w:rsidR="00DF4B95" w:rsidRPr="00DA5839" w:rsidRDefault="00DF4B95">
      <w:pPr>
        <w:rPr>
          <w:rFonts w:ascii="Arial" w:hAnsi="Arial" w:cs="Arial"/>
          <w:sz w:val="24"/>
          <w:szCs w:val="24"/>
        </w:rPr>
      </w:pPr>
    </w:p>
    <w:p w14:paraId="2334A688" w14:textId="35E57C95" w:rsidR="00DF4B95" w:rsidRPr="00DA5839" w:rsidRDefault="00DF4B95">
      <w:pPr>
        <w:rPr>
          <w:rFonts w:ascii="Arial" w:hAnsi="Arial" w:cs="Arial"/>
          <w:sz w:val="24"/>
          <w:szCs w:val="24"/>
        </w:rPr>
      </w:pPr>
    </w:p>
    <w:p w14:paraId="3FE93D6A" w14:textId="71E5EAD0" w:rsidR="00DF4B95" w:rsidRPr="00DA5839" w:rsidRDefault="00DF4B95">
      <w:pPr>
        <w:rPr>
          <w:rFonts w:ascii="Arial" w:hAnsi="Arial" w:cs="Arial"/>
          <w:sz w:val="24"/>
          <w:szCs w:val="24"/>
        </w:rPr>
      </w:pPr>
    </w:p>
    <w:p w14:paraId="1C6E2F91" w14:textId="4A2386D9" w:rsidR="00DF4B95" w:rsidRPr="00DA5839" w:rsidRDefault="00DF4B95">
      <w:pPr>
        <w:rPr>
          <w:rFonts w:ascii="Arial" w:hAnsi="Arial" w:cs="Arial"/>
          <w:sz w:val="24"/>
          <w:szCs w:val="24"/>
        </w:rPr>
      </w:pPr>
    </w:p>
    <w:p w14:paraId="4FF8FD03" w14:textId="1E0F2F30" w:rsidR="00DF4B95" w:rsidRPr="00DA5839" w:rsidRDefault="00DF4B95">
      <w:pPr>
        <w:rPr>
          <w:rFonts w:ascii="Arial" w:hAnsi="Arial" w:cs="Arial"/>
          <w:sz w:val="24"/>
          <w:szCs w:val="24"/>
        </w:rPr>
      </w:pPr>
    </w:p>
    <w:p w14:paraId="479208C6" w14:textId="48676095" w:rsidR="00DF4B95" w:rsidRPr="00DA5839" w:rsidRDefault="00DF4B95">
      <w:pPr>
        <w:rPr>
          <w:rFonts w:ascii="Arial" w:hAnsi="Arial" w:cs="Arial"/>
          <w:sz w:val="24"/>
          <w:szCs w:val="24"/>
        </w:rPr>
      </w:pPr>
    </w:p>
    <w:p w14:paraId="40F10700" w14:textId="79A660CA" w:rsidR="00DF4B95" w:rsidRPr="00DA5839" w:rsidRDefault="00DF4B95">
      <w:pPr>
        <w:rPr>
          <w:rFonts w:ascii="Arial" w:hAnsi="Arial" w:cs="Arial"/>
          <w:sz w:val="24"/>
          <w:szCs w:val="24"/>
        </w:rPr>
      </w:pPr>
    </w:p>
    <w:p w14:paraId="7EDC24C2" w14:textId="5E7B1E96" w:rsidR="00DF4B95" w:rsidRPr="00DA5839" w:rsidRDefault="00DF4B95">
      <w:pPr>
        <w:rPr>
          <w:rFonts w:ascii="Arial" w:hAnsi="Arial" w:cs="Arial"/>
          <w:sz w:val="24"/>
          <w:szCs w:val="24"/>
        </w:rPr>
      </w:pPr>
    </w:p>
    <w:p w14:paraId="345140ED" w14:textId="2C34952C" w:rsidR="00DF4B95" w:rsidRPr="00DA5839" w:rsidRDefault="00DF4B95">
      <w:pPr>
        <w:rPr>
          <w:rFonts w:ascii="Arial" w:hAnsi="Arial" w:cs="Arial"/>
          <w:sz w:val="24"/>
          <w:szCs w:val="24"/>
        </w:rPr>
      </w:pPr>
    </w:p>
    <w:p w14:paraId="784B80FD" w14:textId="03A0591C" w:rsidR="00DF4B95" w:rsidRPr="00DA5839" w:rsidRDefault="00DF4B95">
      <w:pPr>
        <w:rPr>
          <w:rFonts w:ascii="Arial" w:hAnsi="Arial" w:cs="Arial"/>
          <w:sz w:val="24"/>
          <w:szCs w:val="24"/>
        </w:rPr>
      </w:pPr>
    </w:p>
    <w:p w14:paraId="39872991" w14:textId="11526177" w:rsidR="00DF4B95" w:rsidRPr="00DA5839" w:rsidRDefault="00DF4B95">
      <w:pPr>
        <w:rPr>
          <w:rFonts w:ascii="Arial" w:hAnsi="Arial" w:cs="Arial"/>
          <w:sz w:val="24"/>
          <w:szCs w:val="24"/>
        </w:rPr>
      </w:pPr>
    </w:p>
    <w:p w14:paraId="2071D824" w14:textId="4A7DA29C" w:rsidR="00DF4B95" w:rsidRPr="00DA5839" w:rsidRDefault="00DF4B95">
      <w:pPr>
        <w:rPr>
          <w:rFonts w:ascii="Arial" w:hAnsi="Arial" w:cs="Arial"/>
          <w:sz w:val="24"/>
          <w:szCs w:val="24"/>
        </w:rPr>
      </w:pPr>
    </w:p>
    <w:p w14:paraId="50D42A17" w14:textId="765F9203" w:rsidR="00DF4B95" w:rsidRPr="00DA5839" w:rsidRDefault="00DF4B95">
      <w:pPr>
        <w:rPr>
          <w:rFonts w:ascii="Arial" w:hAnsi="Arial" w:cs="Arial"/>
          <w:sz w:val="24"/>
          <w:szCs w:val="24"/>
        </w:rPr>
      </w:pPr>
    </w:p>
    <w:p w14:paraId="4B717F3D" w14:textId="5C2B34A1" w:rsidR="00DF4B95" w:rsidRPr="00DA5839" w:rsidRDefault="00DF4B95">
      <w:pPr>
        <w:rPr>
          <w:rFonts w:ascii="Arial" w:hAnsi="Arial" w:cs="Arial"/>
          <w:sz w:val="24"/>
          <w:szCs w:val="24"/>
        </w:rPr>
      </w:pPr>
    </w:p>
    <w:p w14:paraId="008EECCB" w14:textId="061ED53B" w:rsidR="00DF4B95" w:rsidRPr="00DA5839" w:rsidRDefault="00DF4B95">
      <w:pPr>
        <w:rPr>
          <w:rFonts w:ascii="Arial" w:hAnsi="Arial" w:cs="Arial"/>
          <w:sz w:val="24"/>
          <w:szCs w:val="24"/>
        </w:rPr>
      </w:pPr>
    </w:p>
    <w:p w14:paraId="67E6F5B9" w14:textId="226DB5E0" w:rsidR="00DF4B95" w:rsidRPr="00DA5839" w:rsidRDefault="00DF4B95">
      <w:pPr>
        <w:rPr>
          <w:rFonts w:ascii="Arial" w:hAnsi="Arial" w:cs="Arial"/>
          <w:sz w:val="24"/>
          <w:szCs w:val="24"/>
        </w:rPr>
      </w:pPr>
    </w:p>
    <w:p w14:paraId="65E709AC" w14:textId="6B6AE745" w:rsidR="00DF4B95" w:rsidRPr="00DA5839" w:rsidRDefault="00DF4B95">
      <w:pPr>
        <w:rPr>
          <w:rFonts w:ascii="Arial" w:hAnsi="Arial" w:cs="Arial"/>
          <w:sz w:val="24"/>
          <w:szCs w:val="24"/>
        </w:rPr>
      </w:pPr>
    </w:p>
    <w:p w14:paraId="7F372F75" w14:textId="0324A334" w:rsidR="00DF4B95" w:rsidRPr="00DA5839" w:rsidRDefault="00DF4B95">
      <w:pPr>
        <w:rPr>
          <w:rFonts w:ascii="Arial" w:hAnsi="Arial" w:cs="Arial"/>
          <w:sz w:val="24"/>
          <w:szCs w:val="24"/>
        </w:rPr>
      </w:pPr>
    </w:p>
    <w:p w14:paraId="2F95B392" w14:textId="1D16ABEE" w:rsidR="00DF4B95" w:rsidRPr="00DA5839" w:rsidRDefault="00DF4B95">
      <w:pPr>
        <w:rPr>
          <w:rFonts w:ascii="Arial" w:hAnsi="Arial" w:cs="Arial"/>
          <w:sz w:val="24"/>
          <w:szCs w:val="24"/>
        </w:rPr>
      </w:pPr>
    </w:p>
    <w:p w14:paraId="09CE834F" w14:textId="529029DE" w:rsidR="00DF4B95" w:rsidRPr="00DA5839" w:rsidRDefault="00DF4B95">
      <w:pPr>
        <w:rPr>
          <w:rFonts w:ascii="Arial" w:hAnsi="Arial" w:cs="Arial"/>
          <w:sz w:val="24"/>
          <w:szCs w:val="24"/>
        </w:rPr>
      </w:pPr>
    </w:p>
    <w:p w14:paraId="7FA2FE04" w14:textId="2AF7CD86" w:rsidR="00DF4B95" w:rsidRPr="00DA5839" w:rsidRDefault="00DF4B95">
      <w:pPr>
        <w:rPr>
          <w:rFonts w:ascii="Arial" w:hAnsi="Arial" w:cs="Arial"/>
          <w:sz w:val="24"/>
          <w:szCs w:val="24"/>
        </w:rPr>
      </w:pPr>
    </w:p>
    <w:p w14:paraId="7F946112" w14:textId="7A5CF61B" w:rsidR="00DF4B95" w:rsidRPr="00DA5839" w:rsidRDefault="00DF4B95">
      <w:pPr>
        <w:rPr>
          <w:rFonts w:ascii="Arial" w:hAnsi="Arial" w:cs="Arial"/>
          <w:sz w:val="24"/>
          <w:szCs w:val="24"/>
        </w:rPr>
      </w:pPr>
    </w:p>
    <w:p w14:paraId="016C9142" w14:textId="3D0D382A" w:rsidR="00DF4B95" w:rsidRPr="00DA5839" w:rsidRDefault="00DF4B95">
      <w:pPr>
        <w:rPr>
          <w:rFonts w:ascii="Arial" w:hAnsi="Arial" w:cs="Arial"/>
          <w:sz w:val="24"/>
          <w:szCs w:val="24"/>
        </w:rPr>
      </w:pPr>
    </w:p>
    <w:p w14:paraId="3F307D06" w14:textId="42392559" w:rsidR="00DF4B95" w:rsidRPr="00DA5839" w:rsidRDefault="00DF4B95">
      <w:pPr>
        <w:rPr>
          <w:rFonts w:ascii="Arial" w:hAnsi="Arial" w:cs="Arial"/>
          <w:sz w:val="24"/>
          <w:szCs w:val="24"/>
        </w:rPr>
      </w:pPr>
    </w:p>
    <w:p w14:paraId="7022F78A" w14:textId="6D2604E9" w:rsidR="00DF4B95" w:rsidRPr="004D1947" w:rsidRDefault="00DF4B95" w:rsidP="00B46AB6">
      <w:pPr>
        <w:jc w:val="center"/>
        <w:rPr>
          <w:rFonts w:ascii="Arial" w:hAnsi="Arial" w:cs="Arial"/>
          <w:b/>
          <w:bCs/>
          <w:sz w:val="28"/>
          <w:szCs w:val="28"/>
        </w:rPr>
      </w:pPr>
      <w:r w:rsidRPr="004D1947">
        <w:rPr>
          <w:rFonts w:ascii="Arial" w:hAnsi="Arial" w:cs="Arial"/>
          <w:b/>
          <w:bCs/>
          <w:sz w:val="28"/>
          <w:szCs w:val="28"/>
        </w:rPr>
        <w:t>Introduction:</w:t>
      </w:r>
    </w:p>
    <w:p w14:paraId="4FE3B1BA" w14:textId="77777777" w:rsidR="00B46AB6" w:rsidRPr="00DA5839" w:rsidRDefault="00B46AB6" w:rsidP="00B46AB6">
      <w:pPr>
        <w:jc w:val="both"/>
        <w:rPr>
          <w:rFonts w:ascii="Arial" w:hAnsi="Arial" w:cs="Arial"/>
          <w:sz w:val="24"/>
          <w:szCs w:val="24"/>
        </w:rPr>
      </w:pPr>
      <w:r w:rsidRPr="00DA5839">
        <w:rPr>
          <w:rFonts w:ascii="Arial" w:hAnsi="Arial" w:cs="Arial"/>
          <w:sz w:val="24"/>
          <w:szCs w:val="24"/>
        </w:rPr>
        <w:t xml:space="preserve">It focused on two external macro marketing actors particularly salient to the beauty &amp; personal-care industry today: (1) Technological change (digital transformation, AI, AR, e-commerce and beauty-tech) and (2) Sociocultural / Environmental change (sustainability, ethical consumption, inclusivity and changing beauty norms). For each actor I will show how changes create opportunities and threats for pioneers and followers in the same industry. Building on that analysis, I critically evaluate how L’Oréal (a technology-forward pioneer in beauty tech) and Dove (a follower/heritage brand within Unilever with a strong purpose-led positioning) have strategically responded to these macro forces to maintain competitiveness. I conclude with a focused comparison of one similar product category mass-market haircare (L’Oréal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vs Dove Nutritive Solutions) to illustrate how technological and sociocultural/environmental drivers appear at product and marketing-mix level.</w:t>
      </w:r>
    </w:p>
    <w:p w14:paraId="17C87EB8" w14:textId="01B22653" w:rsidR="00DF4B95" w:rsidRPr="00DA5839" w:rsidRDefault="00DF4B95" w:rsidP="00DF4B95">
      <w:pPr>
        <w:rPr>
          <w:rFonts w:ascii="Arial" w:hAnsi="Arial" w:cs="Arial"/>
          <w:sz w:val="24"/>
          <w:szCs w:val="24"/>
        </w:rPr>
      </w:pPr>
    </w:p>
    <w:p w14:paraId="2A74EA96" w14:textId="704E5690" w:rsidR="00DF4B95" w:rsidRPr="00DA5839" w:rsidRDefault="00DF4B95" w:rsidP="00DF4B95">
      <w:pPr>
        <w:tabs>
          <w:tab w:val="left" w:pos="4068"/>
        </w:tabs>
        <w:rPr>
          <w:rFonts w:ascii="Arial" w:hAnsi="Arial" w:cs="Arial"/>
          <w:sz w:val="24"/>
          <w:szCs w:val="24"/>
        </w:rPr>
      </w:pPr>
      <w:r w:rsidRPr="00DA5839">
        <w:rPr>
          <w:rFonts w:ascii="Arial" w:hAnsi="Arial" w:cs="Arial"/>
          <w:sz w:val="24"/>
          <w:szCs w:val="24"/>
        </w:rPr>
        <w:tab/>
      </w:r>
    </w:p>
    <w:p w14:paraId="085BC0FC" w14:textId="430741F6" w:rsidR="00DF4B95" w:rsidRPr="00DA5839" w:rsidRDefault="00DF4B95" w:rsidP="00DF4B95">
      <w:pPr>
        <w:tabs>
          <w:tab w:val="left" w:pos="4068"/>
        </w:tabs>
        <w:rPr>
          <w:rFonts w:ascii="Arial" w:hAnsi="Arial" w:cs="Arial"/>
          <w:sz w:val="24"/>
          <w:szCs w:val="24"/>
        </w:rPr>
      </w:pPr>
    </w:p>
    <w:p w14:paraId="087A5FF9" w14:textId="59C0929F" w:rsidR="00DF4B95" w:rsidRPr="00DA5839" w:rsidRDefault="00DF4B95" w:rsidP="00DF4B95">
      <w:pPr>
        <w:tabs>
          <w:tab w:val="left" w:pos="4068"/>
        </w:tabs>
        <w:rPr>
          <w:rFonts w:ascii="Arial" w:hAnsi="Arial" w:cs="Arial"/>
          <w:sz w:val="24"/>
          <w:szCs w:val="24"/>
        </w:rPr>
      </w:pPr>
    </w:p>
    <w:p w14:paraId="4BC5BC52" w14:textId="7BD67877" w:rsidR="00DF4B95" w:rsidRPr="00DA5839" w:rsidRDefault="00DF4B95" w:rsidP="00DF4B95">
      <w:pPr>
        <w:tabs>
          <w:tab w:val="left" w:pos="4068"/>
        </w:tabs>
        <w:rPr>
          <w:rFonts w:ascii="Arial" w:hAnsi="Arial" w:cs="Arial"/>
          <w:sz w:val="24"/>
          <w:szCs w:val="24"/>
        </w:rPr>
      </w:pPr>
    </w:p>
    <w:p w14:paraId="6DD875E6" w14:textId="242FDE62" w:rsidR="00DF4B95" w:rsidRPr="00DA5839" w:rsidRDefault="00DF4B95" w:rsidP="00DF4B95">
      <w:pPr>
        <w:tabs>
          <w:tab w:val="left" w:pos="4068"/>
        </w:tabs>
        <w:rPr>
          <w:rFonts w:ascii="Arial" w:hAnsi="Arial" w:cs="Arial"/>
          <w:sz w:val="24"/>
          <w:szCs w:val="24"/>
        </w:rPr>
      </w:pPr>
    </w:p>
    <w:p w14:paraId="5B7329BF" w14:textId="6C155D8D" w:rsidR="00DF4B95" w:rsidRPr="00DA5839" w:rsidRDefault="00DF4B95" w:rsidP="00DF4B95">
      <w:pPr>
        <w:tabs>
          <w:tab w:val="left" w:pos="4068"/>
        </w:tabs>
        <w:rPr>
          <w:rFonts w:ascii="Arial" w:hAnsi="Arial" w:cs="Arial"/>
          <w:sz w:val="24"/>
          <w:szCs w:val="24"/>
        </w:rPr>
      </w:pPr>
    </w:p>
    <w:p w14:paraId="0AB2C9E9" w14:textId="07F8A17A" w:rsidR="00DF4B95" w:rsidRPr="00DA5839" w:rsidRDefault="00DF4B95" w:rsidP="00DF4B95">
      <w:pPr>
        <w:tabs>
          <w:tab w:val="left" w:pos="4068"/>
        </w:tabs>
        <w:rPr>
          <w:rFonts w:ascii="Arial" w:hAnsi="Arial" w:cs="Arial"/>
          <w:sz w:val="24"/>
          <w:szCs w:val="24"/>
        </w:rPr>
      </w:pPr>
    </w:p>
    <w:p w14:paraId="685770C7" w14:textId="7D8E699E" w:rsidR="00DF4B95" w:rsidRPr="00DA5839" w:rsidRDefault="00DF4B95" w:rsidP="00DF4B95">
      <w:pPr>
        <w:tabs>
          <w:tab w:val="left" w:pos="4068"/>
        </w:tabs>
        <w:rPr>
          <w:rFonts w:ascii="Arial" w:hAnsi="Arial" w:cs="Arial"/>
          <w:sz w:val="24"/>
          <w:szCs w:val="24"/>
        </w:rPr>
      </w:pPr>
    </w:p>
    <w:p w14:paraId="5B76BEBE" w14:textId="75807209" w:rsidR="00DF4B95" w:rsidRPr="00DA5839" w:rsidRDefault="00DF4B95" w:rsidP="00DF4B95">
      <w:pPr>
        <w:tabs>
          <w:tab w:val="left" w:pos="4068"/>
        </w:tabs>
        <w:rPr>
          <w:rFonts w:ascii="Arial" w:hAnsi="Arial" w:cs="Arial"/>
          <w:sz w:val="24"/>
          <w:szCs w:val="24"/>
        </w:rPr>
      </w:pPr>
    </w:p>
    <w:p w14:paraId="5BA3BC81" w14:textId="338376CF" w:rsidR="00DF4B95" w:rsidRPr="00DA5839" w:rsidRDefault="00DF4B95" w:rsidP="00DF4B95">
      <w:pPr>
        <w:tabs>
          <w:tab w:val="left" w:pos="4068"/>
        </w:tabs>
        <w:rPr>
          <w:rFonts w:ascii="Arial" w:hAnsi="Arial" w:cs="Arial"/>
          <w:sz w:val="24"/>
          <w:szCs w:val="24"/>
        </w:rPr>
      </w:pPr>
    </w:p>
    <w:p w14:paraId="5571A3C9" w14:textId="03A545E4" w:rsidR="00DF4B95" w:rsidRPr="00DA5839" w:rsidRDefault="00DF4B95" w:rsidP="00DF4B95">
      <w:pPr>
        <w:tabs>
          <w:tab w:val="left" w:pos="4068"/>
        </w:tabs>
        <w:rPr>
          <w:rFonts w:ascii="Arial" w:hAnsi="Arial" w:cs="Arial"/>
          <w:sz w:val="24"/>
          <w:szCs w:val="24"/>
        </w:rPr>
      </w:pPr>
    </w:p>
    <w:p w14:paraId="7676F692" w14:textId="4CDE2876" w:rsidR="00DF4B95" w:rsidRPr="00DA5839" w:rsidRDefault="00DF4B95" w:rsidP="00DF4B95">
      <w:pPr>
        <w:tabs>
          <w:tab w:val="left" w:pos="4068"/>
        </w:tabs>
        <w:rPr>
          <w:rFonts w:ascii="Arial" w:hAnsi="Arial" w:cs="Arial"/>
          <w:sz w:val="24"/>
          <w:szCs w:val="24"/>
        </w:rPr>
      </w:pPr>
    </w:p>
    <w:p w14:paraId="0855E584" w14:textId="6252A5AF" w:rsidR="00DF4B95" w:rsidRPr="00DA5839" w:rsidRDefault="00DF4B95" w:rsidP="00DF4B95">
      <w:pPr>
        <w:tabs>
          <w:tab w:val="left" w:pos="4068"/>
        </w:tabs>
        <w:rPr>
          <w:rFonts w:ascii="Arial" w:hAnsi="Arial" w:cs="Arial"/>
          <w:sz w:val="24"/>
          <w:szCs w:val="24"/>
        </w:rPr>
      </w:pPr>
    </w:p>
    <w:p w14:paraId="4756D956" w14:textId="69DC90F4" w:rsidR="00DF4B95" w:rsidRPr="00DA5839" w:rsidRDefault="00DF4B95" w:rsidP="00DF4B95">
      <w:pPr>
        <w:tabs>
          <w:tab w:val="left" w:pos="4068"/>
        </w:tabs>
        <w:rPr>
          <w:rFonts w:ascii="Arial" w:hAnsi="Arial" w:cs="Arial"/>
          <w:sz w:val="24"/>
          <w:szCs w:val="24"/>
        </w:rPr>
      </w:pPr>
    </w:p>
    <w:p w14:paraId="48176DCD" w14:textId="77E96564" w:rsidR="00DF4B95" w:rsidRPr="00DA5839" w:rsidRDefault="00DF4B95" w:rsidP="00B46AB6">
      <w:pPr>
        <w:tabs>
          <w:tab w:val="left" w:pos="4068"/>
        </w:tabs>
        <w:jc w:val="center"/>
        <w:rPr>
          <w:rFonts w:ascii="Arial" w:hAnsi="Arial" w:cs="Arial"/>
          <w:b/>
          <w:bCs/>
          <w:sz w:val="24"/>
          <w:szCs w:val="24"/>
        </w:rPr>
      </w:pPr>
    </w:p>
    <w:p w14:paraId="3F7DE610" w14:textId="5BEFCA5A" w:rsidR="00B46AB6" w:rsidRPr="00DA5839" w:rsidRDefault="00B46AB6" w:rsidP="00B46AB6">
      <w:pPr>
        <w:tabs>
          <w:tab w:val="left" w:pos="4068"/>
        </w:tabs>
        <w:rPr>
          <w:rFonts w:ascii="Arial" w:hAnsi="Arial" w:cs="Arial"/>
          <w:b/>
          <w:bCs/>
          <w:sz w:val="24"/>
          <w:szCs w:val="24"/>
        </w:rPr>
      </w:pPr>
    </w:p>
    <w:p w14:paraId="52527CBA" w14:textId="77777777" w:rsidR="00B46AB6" w:rsidRPr="00DA5839" w:rsidRDefault="00B46AB6" w:rsidP="00B46AB6">
      <w:pPr>
        <w:tabs>
          <w:tab w:val="left" w:pos="4068"/>
        </w:tabs>
        <w:rPr>
          <w:rFonts w:ascii="Arial" w:hAnsi="Arial" w:cs="Arial"/>
          <w:b/>
          <w:bCs/>
          <w:sz w:val="24"/>
          <w:szCs w:val="24"/>
        </w:rPr>
      </w:pPr>
    </w:p>
    <w:p w14:paraId="36D34C20" w14:textId="2A958787" w:rsidR="00075A83" w:rsidRPr="004D1947" w:rsidRDefault="00075A83" w:rsidP="00CD544C">
      <w:pPr>
        <w:pStyle w:val="ListParagraph"/>
        <w:numPr>
          <w:ilvl w:val="0"/>
          <w:numId w:val="1"/>
        </w:numPr>
        <w:tabs>
          <w:tab w:val="left" w:pos="4068"/>
        </w:tabs>
        <w:jc w:val="both"/>
        <w:rPr>
          <w:rFonts w:ascii="Arial" w:hAnsi="Arial" w:cs="Arial"/>
          <w:b/>
          <w:bCs/>
          <w:sz w:val="28"/>
          <w:szCs w:val="28"/>
        </w:rPr>
      </w:pPr>
      <w:r w:rsidRPr="004D1947">
        <w:rPr>
          <w:rFonts w:ascii="Arial" w:hAnsi="Arial" w:cs="Arial"/>
          <w:b/>
          <w:bCs/>
          <w:sz w:val="28"/>
          <w:szCs w:val="28"/>
        </w:rPr>
        <w:t>Macro actor 1: Technological change</w:t>
      </w:r>
    </w:p>
    <w:p w14:paraId="38E586D7" w14:textId="77777777" w:rsidR="00075A83" w:rsidRPr="004D1947" w:rsidRDefault="00075A83" w:rsidP="00CD544C">
      <w:pPr>
        <w:tabs>
          <w:tab w:val="left" w:pos="4068"/>
        </w:tabs>
        <w:rPr>
          <w:rFonts w:ascii="Arial" w:hAnsi="Arial" w:cs="Arial"/>
          <w:b/>
          <w:bCs/>
          <w:sz w:val="28"/>
          <w:szCs w:val="28"/>
        </w:rPr>
      </w:pPr>
    </w:p>
    <w:p w14:paraId="5872A575" w14:textId="77777777" w:rsidR="00075A83" w:rsidRPr="004D1947" w:rsidRDefault="00075A83" w:rsidP="00CD544C">
      <w:pPr>
        <w:pStyle w:val="ListParagraph"/>
        <w:numPr>
          <w:ilvl w:val="0"/>
          <w:numId w:val="4"/>
        </w:numPr>
        <w:tabs>
          <w:tab w:val="left" w:pos="4068"/>
        </w:tabs>
        <w:rPr>
          <w:rFonts w:ascii="Arial" w:hAnsi="Arial" w:cs="Arial"/>
          <w:b/>
          <w:bCs/>
          <w:sz w:val="28"/>
          <w:szCs w:val="28"/>
        </w:rPr>
      </w:pPr>
      <w:r w:rsidRPr="004D1947">
        <w:rPr>
          <w:rFonts w:ascii="Arial" w:hAnsi="Arial" w:cs="Arial"/>
          <w:b/>
          <w:bCs/>
          <w:sz w:val="28"/>
          <w:szCs w:val="28"/>
        </w:rPr>
        <w:t>How technological change creates opportunities</w:t>
      </w:r>
    </w:p>
    <w:p w14:paraId="41425644" w14:textId="77777777" w:rsidR="00075A83" w:rsidRPr="004D1947" w:rsidRDefault="00075A83" w:rsidP="00CD544C">
      <w:pPr>
        <w:tabs>
          <w:tab w:val="left" w:pos="4068"/>
        </w:tabs>
        <w:rPr>
          <w:rFonts w:ascii="Arial" w:hAnsi="Arial" w:cs="Arial"/>
          <w:sz w:val="28"/>
          <w:szCs w:val="28"/>
        </w:rPr>
      </w:pPr>
    </w:p>
    <w:p w14:paraId="3DD216B4" w14:textId="4EF759A7" w:rsidR="00075A83" w:rsidRPr="004D1947" w:rsidRDefault="00075A83" w:rsidP="00A6453D">
      <w:pPr>
        <w:pStyle w:val="ListParagraph"/>
        <w:numPr>
          <w:ilvl w:val="0"/>
          <w:numId w:val="2"/>
        </w:numPr>
        <w:tabs>
          <w:tab w:val="left" w:pos="4068"/>
        </w:tabs>
        <w:rPr>
          <w:rFonts w:ascii="Arial" w:hAnsi="Arial" w:cs="Arial"/>
          <w:b/>
          <w:bCs/>
          <w:sz w:val="28"/>
          <w:szCs w:val="28"/>
        </w:rPr>
      </w:pPr>
      <w:r w:rsidRPr="004D1947">
        <w:rPr>
          <w:rFonts w:ascii="Arial" w:hAnsi="Arial" w:cs="Arial"/>
          <w:b/>
          <w:bCs/>
          <w:sz w:val="28"/>
          <w:szCs w:val="28"/>
        </w:rPr>
        <w:t>For pioneers</w:t>
      </w:r>
    </w:p>
    <w:p w14:paraId="3FBDD43A" w14:textId="77777777" w:rsidR="00075A83" w:rsidRPr="00DA5839" w:rsidRDefault="00075A83" w:rsidP="00CD544C">
      <w:pPr>
        <w:tabs>
          <w:tab w:val="left" w:pos="4068"/>
        </w:tabs>
        <w:rPr>
          <w:rFonts w:ascii="Arial" w:hAnsi="Arial" w:cs="Arial"/>
          <w:sz w:val="24"/>
          <w:szCs w:val="24"/>
        </w:rPr>
      </w:pPr>
      <w:r w:rsidRPr="00DA5839">
        <w:rPr>
          <w:rFonts w:ascii="Arial" w:hAnsi="Arial" w:cs="Arial"/>
          <w:sz w:val="24"/>
          <w:szCs w:val="24"/>
        </w:rPr>
        <w:t xml:space="preserve">First-mover personalization advantage. Pioneers that build robust AI-driven personalization platforms can offer more relevant product recommendations, improving conversion and lifetime value. Early adopters can lock in consumer data and learning loops that raise switching costs for consumers and retail partners. L’Oréal’s investments in AI/AR and e-commerce provide an example of capturing digital consumer touchpoints. </w:t>
      </w:r>
    </w:p>
    <w:p w14:paraId="1BE5F1F1" w14:textId="4B881003" w:rsidR="00075A83" w:rsidRPr="00DA5839" w:rsidRDefault="00CD544C" w:rsidP="00CD544C">
      <w:pPr>
        <w:tabs>
          <w:tab w:val="left" w:pos="4068"/>
        </w:tabs>
        <w:rPr>
          <w:rFonts w:ascii="Arial" w:hAnsi="Arial" w:cs="Arial"/>
          <w:sz w:val="24"/>
          <w:szCs w:val="24"/>
        </w:rPr>
      </w:pPr>
      <w:r w:rsidRPr="00DA5839">
        <w:rPr>
          <w:rFonts w:ascii="Arial" w:hAnsi="Arial" w:cs="Arial"/>
          <w:sz w:val="24"/>
          <w:szCs w:val="24"/>
        </w:rPr>
        <w:t xml:space="preserve">Example: </w:t>
      </w:r>
      <w:r w:rsidR="00075A83" w:rsidRPr="00DA5839">
        <w:rPr>
          <w:rFonts w:ascii="Arial" w:hAnsi="Arial" w:cs="Arial"/>
          <w:sz w:val="24"/>
          <w:szCs w:val="24"/>
        </w:rPr>
        <w:t>LinkedIn</w:t>
      </w:r>
    </w:p>
    <w:p w14:paraId="3518F1C7" w14:textId="3DDB30A3" w:rsidR="00075A83" w:rsidRPr="00DA5839" w:rsidRDefault="00075A83" w:rsidP="00CD544C">
      <w:pPr>
        <w:tabs>
          <w:tab w:val="left" w:pos="4068"/>
        </w:tabs>
        <w:jc w:val="both"/>
        <w:rPr>
          <w:rFonts w:ascii="Arial" w:hAnsi="Arial" w:cs="Arial"/>
          <w:sz w:val="24"/>
          <w:szCs w:val="24"/>
        </w:rPr>
      </w:pPr>
      <w:r w:rsidRPr="00DA5839">
        <w:rPr>
          <w:rFonts w:ascii="Arial" w:hAnsi="Arial" w:cs="Arial"/>
          <w:sz w:val="24"/>
          <w:szCs w:val="24"/>
        </w:rPr>
        <w:t>New business models. Tech enables DTC (direct-to-consumer) selling, subscription models, and digital services (virtual try-on, tele-beauty consultations), allowing pioneers to capture higher margins and direct consumer relationships.</w:t>
      </w:r>
    </w:p>
    <w:p w14:paraId="192F1FFB" w14:textId="1D9F2194" w:rsidR="00075A83" w:rsidRPr="00DA5839" w:rsidRDefault="00075A83" w:rsidP="00CD544C">
      <w:pPr>
        <w:tabs>
          <w:tab w:val="left" w:pos="4068"/>
        </w:tabs>
        <w:jc w:val="both"/>
        <w:rPr>
          <w:rFonts w:ascii="Arial" w:hAnsi="Arial" w:cs="Arial"/>
          <w:sz w:val="24"/>
          <w:szCs w:val="24"/>
        </w:rPr>
      </w:pPr>
      <w:r w:rsidRPr="00DA5839">
        <w:rPr>
          <w:rFonts w:ascii="Arial" w:hAnsi="Arial" w:cs="Arial"/>
          <w:sz w:val="24"/>
          <w:szCs w:val="24"/>
        </w:rPr>
        <w:t>Product innovation via beauty-tech. Access to R&amp;D tools (bio-tech, 3D printing, IoT devices) lets pioneers create differentiated products or device-plus-consumable ecosystems that are harder to copy quickly.</w:t>
      </w:r>
    </w:p>
    <w:p w14:paraId="7CD7F10C" w14:textId="034741BD" w:rsidR="00CD544C" w:rsidRPr="00DA5839" w:rsidRDefault="00CD544C" w:rsidP="00CD544C">
      <w:pPr>
        <w:tabs>
          <w:tab w:val="left" w:pos="4068"/>
        </w:tabs>
        <w:jc w:val="both"/>
        <w:rPr>
          <w:rFonts w:ascii="Arial" w:hAnsi="Arial" w:cs="Arial"/>
          <w:sz w:val="24"/>
          <w:szCs w:val="24"/>
        </w:rPr>
      </w:pPr>
    </w:p>
    <w:p w14:paraId="5FB1A42F" w14:textId="3CF48594" w:rsidR="00CD544C" w:rsidRPr="00DA5839" w:rsidRDefault="00CD544C" w:rsidP="00CD544C">
      <w:pPr>
        <w:tabs>
          <w:tab w:val="left" w:pos="4068"/>
        </w:tabs>
        <w:jc w:val="both"/>
        <w:rPr>
          <w:rFonts w:ascii="Arial" w:hAnsi="Arial" w:cs="Arial"/>
          <w:sz w:val="24"/>
          <w:szCs w:val="24"/>
        </w:rPr>
      </w:pPr>
    </w:p>
    <w:p w14:paraId="31D99215" w14:textId="76860A09" w:rsidR="001A4BC7" w:rsidRPr="004D1947" w:rsidRDefault="001A4BC7" w:rsidP="00A6453D">
      <w:pPr>
        <w:pStyle w:val="ListParagraph"/>
        <w:numPr>
          <w:ilvl w:val="0"/>
          <w:numId w:val="2"/>
        </w:numPr>
        <w:tabs>
          <w:tab w:val="left" w:pos="4068"/>
        </w:tabs>
        <w:jc w:val="both"/>
        <w:rPr>
          <w:rFonts w:ascii="Arial" w:hAnsi="Arial" w:cs="Arial"/>
          <w:b/>
          <w:bCs/>
          <w:sz w:val="28"/>
          <w:szCs w:val="28"/>
        </w:rPr>
      </w:pPr>
      <w:r w:rsidRPr="004D1947">
        <w:rPr>
          <w:rFonts w:ascii="Arial" w:hAnsi="Arial" w:cs="Arial"/>
          <w:b/>
          <w:bCs/>
          <w:sz w:val="28"/>
          <w:szCs w:val="28"/>
        </w:rPr>
        <w:t>For followers</w:t>
      </w:r>
    </w:p>
    <w:p w14:paraId="7E69A02C" w14:textId="0F3C01D8" w:rsidR="001A4BC7" w:rsidRPr="00DA5839" w:rsidRDefault="001A4BC7" w:rsidP="001A4BC7">
      <w:pPr>
        <w:tabs>
          <w:tab w:val="left" w:pos="4068"/>
        </w:tabs>
        <w:jc w:val="both"/>
        <w:rPr>
          <w:rFonts w:ascii="Arial" w:hAnsi="Arial" w:cs="Arial"/>
          <w:sz w:val="24"/>
          <w:szCs w:val="24"/>
        </w:rPr>
      </w:pPr>
      <w:r w:rsidRPr="00DA5839">
        <w:rPr>
          <w:rFonts w:ascii="Arial" w:hAnsi="Arial" w:cs="Arial"/>
          <w:sz w:val="24"/>
          <w:szCs w:val="24"/>
        </w:rPr>
        <w:t>Lowered R&amp;D entry cost. Cloud services, third-party AR/AI providers, and white-label e-commerce platforms let followers deploy advanced capabilities without building from scratch. Followers can “plug and play” leading tech at lower upfront cost.</w:t>
      </w:r>
    </w:p>
    <w:p w14:paraId="0BB55BD5" w14:textId="3532BCE9" w:rsidR="00CD544C" w:rsidRPr="00DA5839" w:rsidRDefault="001A4BC7" w:rsidP="001A4BC7">
      <w:pPr>
        <w:tabs>
          <w:tab w:val="left" w:pos="4068"/>
        </w:tabs>
        <w:jc w:val="both"/>
        <w:rPr>
          <w:rFonts w:ascii="Arial" w:hAnsi="Arial" w:cs="Arial"/>
          <w:sz w:val="24"/>
          <w:szCs w:val="24"/>
        </w:rPr>
      </w:pPr>
      <w:r w:rsidRPr="00DA5839">
        <w:rPr>
          <w:rFonts w:ascii="Arial" w:hAnsi="Arial" w:cs="Arial"/>
          <w:sz w:val="24"/>
          <w:szCs w:val="24"/>
        </w:rPr>
        <w:t>Fast follower learning. Followers benefit from observing early adopter pitfalls (UX issues, privacy missteps), enabling smoother rollouts and better alignment with customers’ proven needs.</w:t>
      </w:r>
    </w:p>
    <w:p w14:paraId="6A10DAB5" w14:textId="23A3406D" w:rsidR="00075A83" w:rsidRPr="00DA5839" w:rsidRDefault="00075A83" w:rsidP="001A4BC7">
      <w:pPr>
        <w:tabs>
          <w:tab w:val="left" w:pos="4068"/>
        </w:tabs>
        <w:jc w:val="both"/>
        <w:rPr>
          <w:rFonts w:ascii="Arial" w:hAnsi="Arial" w:cs="Arial"/>
          <w:sz w:val="24"/>
          <w:szCs w:val="24"/>
        </w:rPr>
      </w:pPr>
    </w:p>
    <w:p w14:paraId="48EB53F0" w14:textId="06FFFCD3" w:rsidR="00075A83" w:rsidRPr="00DA5839" w:rsidRDefault="00075A83" w:rsidP="001A4BC7">
      <w:pPr>
        <w:tabs>
          <w:tab w:val="left" w:pos="4068"/>
        </w:tabs>
        <w:jc w:val="both"/>
        <w:rPr>
          <w:rFonts w:ascii="Arial" w:hAnsi="Arial" w:cs="Arial"/>
          <w:sz w:val="24"/>
          <w:szCs w:val="24"/>
        </w:rPr>
      </w:pPr>
    </w:p>
    <w:p w14:paraId="2592EDF1" w14:textId="10BEEE60" w:rsidR="00075A83" w:rsidRPr="00DA5839" w:rsidRDefault="00075A83" w:rsidP="001A4BC7">
      <w:pPr>
        <w:tabs>
          <w:tab w:val="left" w:pos="4068"/>
        </w:tabs>
        <w:jc w:val="both"/>
        <w:rPr>
          <w:rFonts w:ascii="Arial" w:hAnsi="Arial" w:cs="Arial"/>
          <w:b/>
          <w:bCs/>
          <w:sz w:val="24"/>
          <w:szCs w:val="24"/>
        </w:rPr>
      </w:pPr>
    </w:p>
    <w:p w14:paraId="07CB98B8" w14:textId="28AE7508" w:rsidR="00075A83" w:rsidRPr="00DA5839" w:rsidRDefault="00075A83" w:rsidP="00DF4B95">
      <w:pPr>
        <w:tabs>
          <w:tab w:val="left" w:pos="4068"/>
        </w:tabs>
        <w:jc w:val="center"/>
        <w:rPr>
          <w:rFonts w:ascii="Arial" w:hAnsi="Arial" w:cs="Arial"/>
          <w:b/>
          <w:bCs/>
          <w:sz w:val="24"/>
          <w:szCs w:val="24"/>
        </w:rPr>
      </w:pPr>
    </w:p>
    <w:p w14:paraId="47CC717F" w14:textId="092AFAD1" w:rsidR="00075A83" w:rsidRPr="00DA5839" w:rsidRDefault="00075A83" w:rsidP="00DF4B95">
      <w:pPr>
        <w:tabs>
          <w:tab w:val="left" w:pos="4068"/>
        </w:tabs>
        <w:jc w:val="center"/>
        <w:rPr>
          <w:rFonts w:ascii="Arial" w:hAnsi="Arial" w:cs="Arial"/>
          <w:b/>
          <w:bCs/>
          <w:sz w:val="24"/>
          <w:szCs w:val="24"/>
        </w:rPr>
      </w:pPr>
    </w:p>
    <w:p w14:paraId="47DEB685" w14:textId="460CEB40" w:rsidR="00075A83" w:rsidRPr="00DA5839" w:rsidRDefault="00075A83" w:rsidP="004D1947">
      <w:pPr>
        <w:tabs>
          <w:tab w:val="left" w:pos="4068"/>
        </w:tabs>
        <w:rPr>
          <w:rFonts w:ascii="Arial" w:hAnsi="Arial" w:cs="Arial"/>
          <w:b/>
          <w:bCs/>
          <w:sz w:val="24"/>
          <w:szCs w:val="24"/>
        </w:rPr>
      </w:pPr>
    </w:p>
    <w:p w14:paraId="20B24296" w14:textId="77777777" w:rsidR="001A4BC7" w:rsidRPr="004D1947" w:rsidRDefault="001A4BC7" w:rsidP="001A4BC7">
      <w:pPr>
        <w:pStyle w:val="ListParagraph"/>
        <w:numPr>
          <w:ilvl w:val="0"/>
          <w:numId w:val="4"/>
        </w:numPr>
        <w:tabs>
          <w:tab w:val="left" w:pos="4068"/>
        </w:tabs>
        <w:rPr>
          <w:rFonts w:ascii="Arial" w:hAnsi="Arial" w:cs="Arial"/>
          <w:b/>
          <w:bCs/>
          <w:sz w:val="28"/>
          <w:szCs w:val="28"/>
        </w:rPr>
      </w:pPr>
      <w:r w:rsidRPr="004D1947">
        <w:rPr>
          <w:rFonts w:ascii="Arial" w:hAnsi="Arial" w:cs="Arial"/>
          <w:b/>
          <w:bCs/>
          <w:sz w:val="28"/>
          <w:szCs w:val="28"/>
        </w:rPr>
        <w:t>How technological change creates threats</w:t>
      </w:r>
    </w:p>
    <w:p w14:paraId="71B14137" w14:textId="77777777" w:rsidR="001A4BC7" w:rsidRPr="004D1947" w:rsidRDefault="001A4BC7" w:rsidP="001A4BC7">
      <w:pPr>
        <w:tabs>
          <w:tab w:val="left" w:pos="4068"/>
        </w:tabs>
        <w:jc w:val="center"/>
        <w:rPr>
          <w:rFonts w:ascii="Arial" w:hAnsi="Arial" w:cs="Arial"/>
          <w:b/>
          <w:bCs/>
          <w:sz w:val="28"/>
          <w:szCs w:val="28"/>
        </w:rPr>
      </w:pPr>
    </w:p>
    <w:p w14:paraId="39286BD2" w14:textId="7FE2036F" w:rsidR="001A4BC7" w:rsidRPr="00DA5839" w:rsidRDefault="001A4BC7" w:rsidP="00A6453D">
      <w:pPr>
        <w:pStyle w:val="ListParagraph"/>
        <w:numPr>
          <w:ilvl w:val="0"/>
          <w:numId w:val="15"/>
        </w:numPr>
        <w:tabs>
          <w:tab w:val="left" w:pos="4068"/>
        </w:tabs>
        <w:rPr>
          <w:rFonts w:ascii="Arial" w:hAnsi="Arial" w:cs="Arial"/>
          <w:b/>
          <w:bCs/>
          <w:sz w:val="24"/>
          <w:szCs w:val="24"/>
        </w:rPr>
      </w:pPr>
      <w:r w:rsidRPr="004D1947">
        <w:rPr>
          <w:rFonts w:ascii="Arial" w:hAnsi="Arial" w:cs="Arial"/>
          <w:b/>
          <w:bCs/>
          <w:sz w:val="28"/>
          <w:szCs w:val="28"/>
        </w:rPr>
        <w:t>For pioneers</w:t>
      </w:r>
    </w:p>
    <w:p w14:paraId="1C0CA569" w14:textId="1CAAB110" w:rsidR="001A4BC7" w:rsidRPr="00DA5839" w:rsidRDefault="001A4BC7" w:rsidP="005838C3">
      <w:pPr>
        <w:tabs>
          <w:tab w:val="left" w:pos="4068"/>
        </w:tabs>
        <w:jc w:val="both"/>
        <w:rPr>
          <w:rFonts w:ascii="Arial" w:hAnsi="Arial" w:cs="Arial"/>
          <w:sz w:val="24"/>
          <w:szCs w:val="24"/>
        </w:rPr>
      </w:pPr>
      <w:r w:rsidRPr="00DA5839">
        <w:rPr>
          <w:rFonts w:ascii="Arial" w:hAnsi="Arial" w:cs="Arial"/>
          <w:sz w:val="24"/>
          <w:szCs w:val="24"/>
        </w:rPr>
        <w:t>High development and scaling costs. Building proprietary AI and biotech solutions requires heavy investment, and failure to achieve adoption makes this sunk cost risky.</w:t>
      </w:r>
    </w:p>
    <w:p w14:paraId="2C327946" w14:textId="77777777" w:rsidR="001A4BC7" w:rsidRPr="00DA5839" w:rsidRDefault="001A4BC7" w:rsidP="005838C3">
      <w:pPr>
        <w:tabs>
          <w:tab w:val="left" w:pos="4068"/>
        </w:tabs>
        <w:jc w:val="both"/>
        <w:rPr>
          <w:rFonts w:ascii="Arial" w:hAnsi="Arial" w:cs="Arial"/>
          <w:sz w:val="24"/>
          <w:szCs w:val="24"/>
        </w:rPr>
      </w:pPr>
      <w:r w:rsidRPr="00DA5839">
        <w:rPr>
          <w:rFonts w:ascii="Arial" w:hAnsi="Arial" w:cs="Arial"/>
          <w:sz w:val="24"/>
          <w:szCs w:val="24"/>
        </w:rPr>
        <w:t>Rapid obsolescence and platform risk. Technology evolves fast; pioneers can be leapfrogged if they commit to a now-outdated standard or architecture.</w:t>
      </w:r>
    </w:p>
    <w:p w14:paraId="27633AE3" w14:textId="77777777" w:rsidR="001A4BC7" w:rsidRPr="00DA5839" w:rsidRDefault="001A4BC7" w:rsidP="001A4BC7">
      <w:pPr>
        <w:tabs>
          <w:tab w:val="left" w:pos="4068"/>
        </w:tabs>
        <w:jc w:val="center"/>
        <w:rPr>
          <w:rFonts w:ascii="Arial" w:hAnsi="Arial" w:cs="Arial"/>
          <w:b/>
          <w:bCs/>
          <w:sz w:val="24"/>
          <w:szCs w:val="24"/>
        </w:rPr>
      </w:pPr>
    </w:p>
    <w:p w14:paraId="62C5696A" w14:textId="5B57707A" w:rsidR="001A4BC7" w:rsidRPr="004D1947" w:rsidRDefault="001A4BC7" w:rsidP="00A6453D">
      <w:pPr>
        <w:pStyle w:val="ListParagraph"/>
        <w:numPr>
          <w:ilvl w:val="0"/>
          <w:numId w:val="15"/>
        </w:numPr>
        <w:tabs>
          <w:tab w:val="left" w:pos="4068"/>
        </w:tabs>
        <w:rPr>
          <w:rFonts w:ascii="Arial" w:hAnsi="Arial" w:cs="Arial"/>
          <w:b/>
          <w:bCs/>
          <w:sz w:val="28"/>
          <w:szCs w:val="28"/>
        </w:rPr>
      </w:pPr>
      <w:r w:rsidRPr="004D1947">
        <w:rPr>
          <w:rFonts w:ascii="Arial" w:hAnsi="Arial" w:cs="Arial"/>
          <w:b/>
          <w:bCs/>
          <w:sz w:val="28"/>
          <w:szCs w:val="28"/>
        </w:rPr>
        <w:t>For followers</w:t>
      </w:r>
    </w:p>
    <w:p w14:paraId="4A69F1E8" w14:textId="77777777" w:rsidR="001A4BC7" w:rsidRPr="00DA5839" w:rsidRDefault="001A4BC7" w:rsidP="005838C3">
      <w:pPr>
        <w:tabs>
          <w:tab w:val="left" w:pos="4068"/>
        </w:tabs>
        <w:rPr>
          <w:rFonts w:ascii="Arial" w:hAnsi="Arial" w:cs="Arial"/>
          <w:sz w:val="24"/>
          <w:szCs w:val="24"/>
        </w:rPr>
      </w:pPr>
      <w:r w:rsidRPr="00DA5839">
        <w:rPr>
          <w:rFonts w:ascii="Arial" w:hAnsi="Arial" w:cs="Arial"/>
          <w:sz w:val="24"/>
          <w:szCs w:val="24"/>
        </w:rPr>
        <w:t xml:space="preserve">Data and network effects. If pioneers lock in vast first-party data and platform partnerships, followers may struggle to match personalization quality or distribution reach. L’Oréal’s early integration of AR try-on into retailer ecosystems creates such a barrier. </w:t>
      </w:r>
    </w:p>
    <w:p w14:paraId="43886726" w14:textId="77777777" w:rsidR="001A4BC7" w:rsidRPr="00DA5839" w:rsidRDefault="001A4BC7" w:rsidP="005838C3">
      <w:pPr>
        <w:tabs>
          <w:tab w:val="left" w:pos="4068"/>
        </w:tabs>
        <w:rPr>
          <w:rFonts w:ascii="Arial" w:hAnsi="Arial" w:cs="Arial"/>
          <w:b/>
          <w:bCs/>
          <w:sz w:val="24"/>
          <w:szCs w:val="24"/>
        </w:rPr>
      </w:pPr>
    </w:p>
    <w:p w14:paraId="62EA03FB" w14:textId="77777777" w:rsidR="001A4BC7" w:rsidRPr="00DA5839" w:rsidRDefault="001A4BC7" w:rsidP="005838C3">
      <w:pPr>
        <w:tabs>
          <w:tab w:val="left" w:pos="4068"/>
        </w:tabs>
        <w:rPr>
          <w:rFonts w:ascii="Arial" w:hAnsi="Arial" w:cs="Arial"/>
          <w:sz w:val="24"/>
          <w:szCs w:val="24"/>
        </w:rPr>
      </w:pPr>
      <w:r w:rsidRPr="00DA5839">
        <w:rPr>
          <w:rFonts w:ascii="Arial" w:hAnsi="Arial" w:cs="Arial"/>
          <w:sz w:val="24"/>
          <w:szCs w:val="24"/>
        </w:rPr>
        <w:t>Perception of lagging innovation. Consumers may view followers as behind the curve, making it harder for them to capture premium segments.</w:t>
      </w:r>
    </w:p>
    <w:p w14:paraId="46A79298" w14:textId="77777777" w:rsidR="001A4BC7" w:rsidRPr="00DA5839" w:rsidRDefault="001A4BC7" w:rsidP="005838C3">
      <w:pPr>
        <w:tabs>
          <w:tab w:val="left" w:pos="4068"/>
        </w:tabs>
        <w:rPr>
          <w:rFonts w:ascii="Arial" w:hAnsi="Arial" w:cs="Arial"/>
          <w:sz w:val="24"/>
          <w:szCs w:val="24"/>
        </w:rPr>
      </w:pPr>
    </w:p>
    <w:p w14:paraId="5E7EB8EA" w14:textId="1E46AEE9" w:rsidR="001A4BC7" w:rsidRPr="004D1947" w:rsidRDefault="001A4BC7" w:rsidP="00A6453D">
      <w:pPr>
        <w:pStyle w:val="ListParagraph"/>
        <w:numPr>
          <w:ilvl w:val="0"/>
          <w:numId w:val="15"/>
        </w:numPr>
        <w:tabs>
          <w:tab w:val="left" w:pos="4068"/>
        </w:tabs>
        <w:rPr>
          <w:rFonts w:ascii="Arial" w:hAnsi="Arial" w:cs="Arial"/>
          <w:b/>
          <w:bCs/>
          <w:sz w:val="28"/>
          <w:szCs w:val="28"/>
        </w:rPr>
      </w:pPr>
      <w:r w:rsidRPr="004D1947">
        <w:rPr>
          <w:rFonts w:ascii="Arial" w:hAnsi="Arial" w:cs="Arial"/>
          <w:b/>
          <w:bCs/>
          <w:sz w:val="28"/>
          <w:szCs w:val="28"/>
        </w:rPr>
        <w:t>Critical synthesis</w:t>
      </w:r>
    </w:p>
    <w:p w14:paraId="78A9D568" w14:textId="19F31A5A" w:rsidR="00075A83" w:rsidRPr="00DA5839" w:rsidRDefault="001A4BC7" w:rsidP="005838C3">
      <w:pPr>
        <w:tabs>
          <w:tab w:val="left" w:pos="4068"/>
        </w:tabs>
        <w:rPr>
          <w:rFonts w:ascii="Arial" w:hAnsi="Arial" w:cs="Arial"/>
          <w:sz w:val="24"/>
          <w:szCs w:val="24"/>
        </w:rPr>
      </w:pPr>
      <w:r w:rsidRPr="00DA5839">
        <w:rPr>
          <w:rFonts w:ascii="Arial" w:hAnsi="Arial" w:cs="Arial"/>
          <w:sz w:val="24"/>
          <w:szCs w:val="24"/>
        </w:rPr>
        <w:t xml:space="preserve">Technological change increases the returns to scale and data. Pioneers who build platforms and accumulate data can create layered advantages (product, personalization, distribution), but they risk heavy capital exposure and potential regulatory or privacy backlash. Followers can reduce cost and risk by adopting off-the-shelf tech but must be strategic about partnerships and niche value propositions to avoid being </w:t>
      </w:r>
      <w:r w:rsidR="005838C3" w:rsidRPr="00DA5839">
        <w:rPr>
          <w:rFonts w:ascii="Arial" w:hAnsi="Arial" w:cs="Arial"/>
          <w:sz w:val="24"/>
          <w:szCs w:val="24"/>
        </w:rPr>
        <w:t>commoditized</w:t>
      </w:r>
      <w:r w:rsidRPr="00DA5839">
        <w:rPr>
          <w:rFonts w:ascii="Arial" w:hAnsi="Arial" w:cs="Arial"/>
          <w:sz w:val="24"/>
          <w:szCs w:val="24"/>
        </w:rPr>
        <w:t>.</w:t>
      </w:r>
    </w:p>
    <w:p w14:paraId="3B7A483F" w14:textId="5D326251" w:rsidR="00075A83" w:rsidRPr="00DA5839" w:rsidRDefault="00075A83" w:rsidP="00DF4B95">
      <w:pPr>
        <w:tabs>
          <w:tab w:val="left" w:pos="4068"/>
        </w:tabs>
        <w:jc w:val="center"/>
        <w:rPr>
          <w:rFonts w:ascii="Arial" w:hAnsi="Arial" w:cs="Arial"/>
          <w:b/>
          <w:bCs/>
          <w:sz w:val="24"/>
          <w:szCs w:val="24"/>
        </w:rPr>
      </w:pPr>
    </w:p>
    <w:p w14:paraId="70F29790" w14:textId="25AD5CDC" w:rsidR="00075A83" w:rsidRPr="00DA5839" w:rsidRDefault="00075A83" w:rsidP="00DF4B95">
      <w:pPr>
        <w:tabs>
          <w:tab w:val="left" w:pos="4068"/>
        </w:tabs>
        <w:jc w:val="center"/>
        <w:rPr>
          <w:rFonts w:ascii="Arial" w:hAnsi="Arial" w:cs="Arial"/>
          <w:b/>
          <w:bCs/>
          <w:sz w:val="24"/>
          <w:szCs w:val="24"/>
        </w:rPr>
      </w:pPr>
    </w:p>
    <w:p w14:paraId="06D02CFB" w14:textId="7B5A507A" w:rsidR="00075A83" w:rsidRPr="00DA5839" w:rsidRDefault="00075A83" w:rsidP="00DF4B95">
      <w:pPr>
        <w:tabs>
          <w:tab w:val="left" w:pos="4068"/>
        </w:tabs>
        <w:jc w:val="center"/>
        <w:rPr>
          <w:rFonts w:ascii="Arial" w:hAnsi="Arial" w:cs="Arial"/>
          <w:b/>
          <w:bCs/>
          <w:sz w:val="24"/>
          <w:szCs w:val="24"/>
        </w:rPr>
      </w:pPr>
    </w:p>
    <w:p w14:paraId="52CE5A78" w14:textId="51719B10" w:rsidR="00075A83" w:rsidRPr="00DA5839" w:rsidRDefault="00075A83" w:rsidP="00DF4B95">
      <w:pPr>
        <w:tabs>
          <w:tab w:val="left" w:pos="4068"/>
        </w:tabs>
        <w:jc w:val="center"/>
        <w:rPr>
          <w:rFonts w:ascii="Arial" w:hAnsi="Arial" w:cs="Arial"/>
          <w:b/>
          <w:bCs/>
          <w:sz w:val="24"/>
          <w:szCs w:val="24"/>
        </w:rPr>
      </w:pPr>
    </w:p>
    <w:p w14:paraId="0E569D1E" w14:textId="2BD63562" w:rsidR="00075A83" w:rsidRPr="00DA5839" w:rsidRDefault="00075A83" w:rsidP="00DF4B95">
      <w:pPr>
        <w:tabs>
          <w:tab w:val="left" w:pos="4068"/>
        </w:tabs>
        <w:jc w:val="center"/>
        <w:rPr>
          <w:rFonts w:ascii="Arial" w:hAnsi="Arial" w:cs="Arial"/>
          <w:b/>
          <w:bCs/>
          <w:sz w:val="24"/>
          <w:szCs w:val="24"/>
        </w:rPr>
      </w:pPr>
    </w:p>
    <w:p w14:paraId="53CAADE4" w14:textId="217DF3FF" w:rsidR="00075A83" w:rsidRPr="00DA5839" w:rsidRDefault="00075A83" w:rsidP="00DF4B95">
      <w:pPr>
        <w:tabs>
          <w:tab w:val="left" w:pos="4068"/>
        </w:tabs>
        <w:jc w:val="center"/>
        <w:rPr>
          <w:rFonts w:ascii="Arial" w:hAnsi="Arial" w:cs="Arial"/>
          <w:b/>
          <w:bCs/>
          <w:sz w:val="24"/>
          <w:szCs w:val="24"/>
        </w:rPr>
      </w:pPr>
    </w:p>
    <w:p w14:paraId="78065440" w14:textId="18B0EDAC" w:rsidR="00075A83" w:rsidRPr="00DA5839" w:rsidRDefault="00075A83" w:rsidP="00DF4B95">
      <w:pPr>
        <w:tabs>
          <w:tab w:val="left" w:pos="4068"/>
        </w:tabs>
        <w:jc w:val="center"/>
        <w:rPr>
          <w:rFonts w:ascii="Arial" w:hAnsi="Arial" w:cs="Arial"/>
          <w:b/>
          <w:bCs/>
          <w:sz w:val="24"/>
          <w:szCs w:val="24"/>
        </w:rPr>
      </w:pPr>
    </w:p>
    <w:p w14:paraId="112038CE" w14:textId="1C2FE3F2" w:rsidR="005838C3" w:rsidRPr="00DA5839" w:rsidRDefault="005838C3" w:rsidP="00DF4B95">
      <w:pPr>
        <w:tabs>
          <w:tab w:val="left" w:pos="4068"/>
        </w:tabs>
        <w:jc w:val="center"/>
        <w:rPr>
          <w:rFonts w:ascii="Arial" w:hAnsi="Arial" w:cs="Arial"/>
          <w:b/>
          <w:bCs/>
          <w:sz w:val="24"/>
          <w:szCs w:val="24"/>
        </w:rPr>
      </w:pPr>
    </w:p>
    <w:p w14:paraId="0D558E97" w14:textId="6BF897DA" w:rsidR="005838C3" w:rsidRPr="004D1947" w:rsidRDefault="005838C3" w:rsidP="005838C3">
      <w:pPr>
        <w:pStyle w:val="ListParagraph"/>
        <w:numPr>
          <w:ilvl w:val="0"/>
          <w:numId w:val="4"/>
        </w:numPr>
        <w:tabs>
          <w:tab w:val="left" w:pos="4068"/>
        </w:tabs>
        <w:rPr>
          <w:rFonts w:ascii="Arial" w:hAnsi="Arial" w:cs="Arial"/>
          <w:b/>
          <w:bCs/>
          <w:sz w:val="28"/>
          <w:szCs w:val="28"/>
        </w:rPr>
      </w:pPr>
      <w:r w:rsidRPr="004D1947">
        <w:rPr>
          <w:rFonts w:ascii="Arial" w:hAnsi="Arial" w:cs="Arial"/>
          <w:b/>
          <w:bCs/>
          <w:sz w:val="28"/>
          <w:szCs w:val="28"/>
        </w:rPr>
        <w:t>Macro actor 2: Sociocultural &amp; Environmental change</w:t>
      </w:r>
    </w:p>
    <w:p w14:paraId="3AE66A9A" w14:textId="77777777" w:rsidR="00A6453D" w:rsidRPr="004D1947" w:rsidRDefault="00A6453D" w:rsidP="00A6453D">
      <w:pPr>
        <w:pStyle w:val="ListParagraph"/>
        <w:tabs>
          <w:tab w:val="left" w:pos="4068"/>
        </w:tabs>
        <w:rPr>
          <w:rFonts w:ascii="Arial" w:hAnsi="Arial" w:cs="Arial"/>
          <w:b/>
          <w:bCs/>
          <w:sz w:val="28"/>
          <w:szCs w:val="28"/>
        </w:rPr>
      </w:pPr>
    </w:p>
    <w:p w14:paraId="48B478B3" w14:textId="2AB55921" w:rsidR="005838C3" w:rsidRPr="004D1947" w:rsidRDefault="005838C3" w:rsidP="005838C3">
      <w:pPr>
        <w:pStyle w:val="ListParagraph"/>
        <w:numPr>
          <w:ilvl w:val="0"/>
          <w:numId w:val="2"/>
        </w:numPr>
        <w:tabs>
          <w:tab w:val="left" w:pos="4068"/>
        </w:tabs>
        <w:rPr>
          <w:rFonts w:ascii="Arial" w:hAnsi="Arial" w:cs="Arial"/>
          <w:b/>
          <w:bCs/>
          <w:sz w:val="28"/>
          <w:szCs w:val="28"/>
        </w:rPr>
      </w:pPr>
      <w:r w:rsidRPr="004D1947">
        <w:rPr>
          <w:rFonts w:ascii="Arial" w:hAnsi="Arial" w:cs="Arial"/>
          <w:b/>
          <w:bCs/>
          <w:sz w:val="28"/>
          <w:szCs w:val="28"/>
        </w:rPr>
        <w:t>Nature of the actor</w:t>
      </w:r>
    </w:p>
    <w:p w14:paraId="0A291A89" w14:textId="77777777" w:rsidR="005838C3" w:rsidRPr="00DA5839" w:rsidRDefault="005838C3" w:rsidP="005838C3">
      <w:pPr>
        <w:pStyle w:val="ListParagraph"/>
        <w:tabs>
          <w:tab w:val="left" w:pos="4068"/>
        </w:tabs>
        <w:rPr>
          <w:rFonts w:ascii="Arial" w:hAnsi="Arial" w:cs="Arial"/>
          <w:b/>
          <w:bCs/>
          <w:sz w:val="24"/>
          <w:szCs w:val="24"/>
        </w:rPr>
      </w:pPr>
    </w:p>
    <w:p w14:paraId="4E873B80" w14:textId="77777777" w:rsidR="005838C3" w:rsidRPr="00DA5839" w:rsidRDefault="005838C3" w:rsidP="005838C3">
      <w:pPr>
        <w:pStyle w:val="ListParagraph"/>
        <w:numPr>
          <w:ilvl w:val="0"/>
          <w:numId w:val="3"/>
        </w:numPr>
        <w:tabs>
          <w:tab w:val="left" w:pos="4068"/>
        </w:tabs>
        <w:jc w:val="both"/>
        <w:rPr>
          <w:rFonts w:ascii="Arial" w:hAnsi="Arial" w:cs="Arial"/>
          <w:sz w:val="24"/>
          <w:szCs w:val="24"/>
        </w:rPr>
      </w:pPr>
      <w:r w:rsidRPr="00DA5839">
        <w:rPr>
          <w:rFonts w:ascii="Arial" w:hAnsi="Arial" w:cs="Arial"/>
          <w:sz w:val="24"/>
          <w:szCs w:val="24"/>
        </w:rPr>
        <w:t xml:space="preserve">Consumer expectations around sustainability, ethical sourcing, inclusivity and authenticity are reshaping product choices and brand evaluations. In beauty, consumers increasingly demand sustainable packaging, reduced waste, ethically sourced ingredients, cruelty-free claims, and representation in marketing. Regulators and NGOs also raise standards and scrutiny. Both L’Oréal and Unilever (Dove) have prominent public commitments on sustainability and responsible marketing. </w:t>
      </w:r>
    </w:p>
    <w:p w14:paraId="206D1883" w14:textId="77777777" w:rsidR="005838C3" w:rsidRPr="00DA5839" w:rsidRDefault="005838C3" w:rsidP="005838C3">
      <w:pPr>
        <w:tabs>
          <w:tab w:val="left" w:pos="4068"/>
        </w:tabs>
        <w:jc w:val="center"/>
        <w:rPr>
          <w:rFonts w:ascii="Arial" w:hAnsi="Arial" w:cs="Arial"/>
          <w:b/>
          <w:bCs/>
          <w:sz w:val="24"/>
          <w:szCs w:val="24"/>
        </w:rPr>
      </w:pPr>
    </w:p>
    <w:p w14:paraId="47AFB0D1" w14:textId="65EBC18D" w:rsidR="005838C3" w:rsidRPr="004D1947" w:rsidRDefault="005838C3" w:rsidP="005838C3">
      <w:pPr>
        <w:pStyle w:val="ListParagraph"/>
        <w:numPr>
          <w:ilvl w:val="0"/>
          <w:numId w:val="4"/>
        </w:numPr>
        <w:tabs>
          <w:tab w:val="left" w:pos="4068"/>
        </w:tabs>
        <w:rPr>
          <w:rFonts w:ascii="Arial" w:hAnsi="Arial" w:cs="Arial"/>
          <w:b/>
          <w:bCs/>
          <w:sz w:val="28"/>
          <w:szCs w:val="28"/>
        </w:rPr>
      </w:pPr>
      <w:r w:rsidRPr="004D1947">
        <w:rPr>
          <w:rFonts w:ascii="Arial" w:hAnsi="Arial" w:cs="Arial"/>
          <w:b/>
          <w:bCs/>
          <w:sz w:val="28"/>
          <w:szCs w:val="28"/>
        </w:rPr>
        <w:t>How sociocultural/environmental change creates opportunities</w:t>
      </w:r>
    </w:p>
    <w:p w14:paraId="3A1F1339" w14:textId="77777777" w:rsidR="005838C3" w:rsidRPr="004D1947" w:rsidRDefault="005838C3" w:rsidP="005838C3">
      <w:pPr>
        <w:tabs>
          <w:tab w:val="left" w:pos="4068"/>
        </w:tabs>
        <w:rPr>
          <w:rFonts w:ascii="Arial" w:hAnsi="Arial" w:cs="Arial"/>
          <w:b/>
          <w:bCs/>
          <w:sz w:val="28"/>
          <w:szCs w:val="28"/>
        </w:rPr>
      </w:pPr>
    </w:p>
    <w:p w14:paraId="5FA1E63A" w14:textId="05B9C8BC" w:rsidR="005838C3" w:rsidRPr="004D1947" w:rsidRDefault="005838C3" w:rsidP="00A6453D">
      <w:pPr>
        <w:pStyle w:val="ListParagraph"/>
        <w:numPr>
          <w:ilvl w:val="0"/>
          <w:numId w:val="2"/>
        </w:numPr>
        <w:tabs>
          <w:tab w:val="left" w:pos="4068"/>
        </w:tabs>
        <w:rPr>
          <w:rFonts w:ascii="Arial" w:hAnsi="Arial" w:cs="Arial"/>
          <w:b/>
          <w:bCs/>
          <w:sz w:val="28"/>
          <w:szCs w:val="28"/>
        </w:rPr>
      </w:pPr>
      <w:r w:rsidRPr="004D1947">
        <w:rPr>
          <w:rFonts w:ascii="Arial" w:hAnsi="Arial" w:cs="Arial"/>
          <w:b/>
          <w:bCs/>
          <w:sz w:val="28"/>
          <w:szCs w:val="28"/>
        </w:rPr>
        <w:t>For pioneers</w:t>
      </w:r>
    </w:p>
    <w:p w14:paraId="5EC5EDA5" w14:textId="43569602" w:rsidR="005838C3" w:rsidRPr="00DA5839" w:rsidRDefault="005838C3" w:rsidP="005838C3">
      <w:pPr>
        <w:tabs>
          <w:tab w:val="left" w:pos="4068"/>
        </w:tabs>
        <w:jc w:val="both"/>
        <w:rPr>
          <w:rFonts w:ascii="Arial" w:hAnsi="Arial" w:cs="Arial"/>
          <w:sz w:val="24"/>
          <w:szCs w:val="24"/>
        </w:rPr>
      </w:pPr>
      <w:r w:rsidRPr="00DA5839">
        <w:rPr>
          <w:rFonts w:ascii="Arial" w:hAnsi="Arial" w:cs="Arial"/>
          <w:sz w:val="24"/>
          <w:szCs w:val="24"/>
        </w:rPr>
        <w:t>Purpose-led differentiation. Pioneers that authentically embed sustainability and inclusivity into product and brand DNA can capture ethically-motivated segments and command price premiums.</w:t>
      </w:r>
    </w:p>
    <w:p w14:paraId="6A3ACE1F" w14:textId="77777777" w:rsidR="005838C3" w:rsidRPr="00DA5839" w:rsidRDefault="005838C3" w:rsidP="005838C3">
      <w:pPr>
        <w:tabs>
          <w:tab w:val="left" w:pos="4068"/>
        </w:tabs>
        <w:jc w:val="both"/>
        <w:rPr>
          <w:rFonts w:ascii="Arial" w:hAnsi="Arial" w:cs="Arial"/>
          <w:sz w:val="24"/>
          <w:szCs w:val="24"/>
        </w:rPr>
      </w:pPr>
      <w:r w:rsidRPr="00DA5839">
        <w:rPr>
          <w:rFonts w:ascii="Arial" w:hAnsi="Arial" w:cs="Arial"/>
          <w:sz w:val="24"/>
          <w:szCs w:val="24"/>
        </w:rPr>
        <w:t xml:space="preserve">Innovation in materials &amp; formats. Early investment in refillable packaging, recycled content, or biodegradable formulations can secure scarce green-supply partnerships and substitute future regulatory compliance costs with market advantage. L’Oréal has set wide-reaching sustainability targets (renewable energy, recycled plastics, ingredient sourcing) and invests in circularity. </w:t>
      </w:r>
    </w:p>
    <w:p w14:paraId="44CE45E3" w14:textId="77777777" w:rsidR="005838C3" w:rsidRPr="00DA5839" w:rsidRDefault="005838C3" w:rsidP="005838C3">
      <w:pPr>
        <w:tabs>
          <w:tab w:val="left" w:pos="4068"/>
        </w:tabs>
        <w:jc w:val="center"/>
        <w:rPr>
          <w:rFonts w:ascii="Arial" w:hAnsi="Arial" w:cs="Arial"/>
          <w:b/>
          <w:bCs/>
          <w:sz w:val="24"/>
          <w:szCs w:val="24"/>
        </w:rPr>
      </w:pPr>
    </w:p>
    <w:p w14:paraId="3ACFEB4F" w14:textId="63C61911" w:rsidR="005838C3" w:rsidRPr="004D1947" w:rsidRDefault="005838C3" w:rsidP="00A6453D">
      <w:pPr>
        <w:pStyle w:val="ListParagraph"/>
        <w:numPr>
          <w:ilvl w:val="0"/>
          <w:numId w:val="2"/>
        </w:numPr>
        <w:tabs>
          <w:tab w:val="left" w:pos="4068"/>
        </w:tabs>
        <w:jc w:val="both"/>
        <w:rPr>
          <w:rFonts w:ascii="Arial" w:hAnsi="Arial" w:cs="Arial"/>
          <w:b/>
          <w:bCs/>
          <w:sz w:val="28"/>
          <w:szCs w:val="28"/>
        </w:rPr>
      </w:pPr>
      <w:r w:rsidRPr="004D1947">
        <w:rPr>
          <w:rFonts w:ascii="Arial" w:hAnsi="Arial" w:cs="Arial"/>
          <w:b/>
          <w:bCs/>
          <w:sz w:val="28"/>
          <w:szCs w:val="28"/>
        </w:rPr>
        <w:t>For followers</w:t>
      </w:r>
    </w:p>
    <w:p w14:paraId="55830CEA" w14:textId="4A323FCA" w:rsidR="005838C3" w:rsidRPr="00DA5839" w:rsidRDefault="005838C3" w:rsidP="005838C3">
      <w:pPr>
        <w:tabs>
          <w:tab w:val="left" w:pos="4068"/>
        </w:tabs>
        <w:jc w:val="both"/>
        <w:rPr>
          <w:rFonts w:ascii="Arial" w:hAnsi="Arial" w:cs="Arial"/>
          <w:sz w:val="24"/>
          <w:szCs w:val="24"/>
        </w:rPr>
      </w:pPr>
      <w:r w:rsidRPr="00DA5839">
        <w:rPr>
          <w:rFonts w:ascii="Arial" w:hAnsi="Arial" w:cs="Arial"/>
          <w:sz w:val="24"/>
          <w:szCs w:val="24"/>
        </w:rPr>
        <w:t xml:space="preserve">Leapfrogging via operational simplicity. Followers can adopt proven sustainable practices (recycled packaging, refill programs) without the R&amp;D burden of pioneers, often quicker to implement across fewer SKUs or geographies. Unilever/Dove have piloted refill schemes and reusable bottle programs as scalable moves. </w:t>
      </w:r>
    </w:p>
    <w:p w14:paraId="04C5F2F1" w14:textId="77777777" w:rsidR="00126159" w:rsidRPr="00DA5839" w:rsidRDefault="00126159" w:rsidP="005838C3">
      <w:pPr>
        <w:tabs>
          <w:tab w:val="left" w:pos="4068"/>
        </w:tabs>
        <w:jc w:val="both"/>
        <w:rPr>
          <w:rFonts w:ascii="Arial" w:hAnsi="Arial" w:cs="Arial"/>
          <w:sz w:val="24"/>
          <w:szCs w:val="24"/>
        </w:rPr>
      </w:pPr>
    </w:p>
    <w:p w14:paraId="6165F3A6" w14:textId="77777777" w:rsidR="00126159" w:rsidRPr="00DA5839" w:rsidRDefault="00126159" w:rsidP="00126159">
      <w:pPr>
        <w:jc w:val="both"/>
        <w:rPr>
          <w:rFonts w:ascii="Arial" w:hAnsi="Arial" w:cs="Arial"/>
          <w:sz w:val="24"/>
          <w:szCs w:val="24"/>
        </w:rPr>
      </w:pPr>
      <w:r w:rsidRPr="00DA5839">
        <w:rPr>
          <w:rFonts w:ascii="Arial" w:hAnsi="Arial" w:cs="Arial"/>
          <w:sz w:val="24"/>
          <w:szCs w:val="24"/>
        </w:rPr>
        <w:t>Authentic storytelling. Followers with trusted heritage brands can mobilize purpose narratives (e.g., Dove’s Real Beauty) to resonate with consumers even without radical product innovation.</w:t>
      </w:r>
    </w:p>
    <w:p w14:paraId="24556EF6" w14:textId="7C8E8EEF" w:rsidR="00126159" w:rsidRPr="00DA5839" w:rsidRDefault="00126159" w:rsidP="00DF4B95">
      <w:pPr>
        <w:tabs>
          <w:tab w:val="left" w:pos="4068"/>
        </w:tabs>
        <w:jc w:val="center"/>
        <w:rPr>
          <w:rFonts w:ascii="Arial" w:hAnsi="Arial" w:cs="Arial"/>
          <w:b/>
          <w:bCs/>
          <w:sz w:val="24"/>
          <w:szCs w:val="24"/>
        </w:rPr>
      </w:pPr>
    </w:p>
    <w:p w14:paraId="68E24546" w14:textId="4B8872C2" w:rsidR="00126159" w:rsidRPr="00DA5839" w:rsidRDefault="00126159" w:rsidP="00DF4B95">
      <w:pPr>
        <w:tabs>
          <w:tab w:val="left" w:pos="4068"/>
        </w:tabs>
        <w:jc w:val="center"/>
        <w:rPr>
          <w:rFonts w:ascii="Arial" w:hAnsi="Arial" w:cs="Arial"/>
          <w:b/>
          <w:bCs/>
          <w:sz w:val="24"/>
          <w:szCs w:val="24"/>
        </w:rPr>
      </w:pPr>
    </w:p>
    <w:p w14:paraId="35B12502" w14:textId="0EAED03C" w:rsidR="00126159" w:rsidRDefault="00126159" w:rsidP="00126159">
      <w:pPr>
        <w:pStyle w:val="ListParagraph"/>
        <w:numPr>
          <w:ilvl w:val="0"/>
          <w:numId w:val="4"/>
        </w:numPr>
        <w:tabs>
          <w:tab w:val="left" w:pos="4068"/>
        </w:tabs>
        <w:rPr>
          <w:rFonts w:ascii="Arial" w:hAnsi="Arial" w:cs="Arial"/>
          <w:b/>
          <w:bCs/>
          <w:sz w:val="28"/>
          <w:szCs w:val="28"/>
        </w:rPr>
      </w:pPr>
      <w:r w:rsidRPr="004D1947">
        <w:rPr>
          <w:rFonts w:ascii="Arial" w:hAnsi="Arial" w:cs="Arial"/>
          <w:b/>
          <w:bCs/>
          <w:sz w:val="28"/>
          <w:szCs w:val="28"/>
        </w:rPr>
        <w:t>How sociocultural/environmental change creates threats</w:t>
      </w:r>
    </w:p>
    <w:p w14:paraId="6377350F" w14:textId="77777777" w:rsidR="004D1947" w:rsidRPr="004D1947" w:rsidRDefault="004D1947" w:rsidP="004D1947">
      <w:pPr>
        <w:pStyle w:val="ListParagraph"/>
        <w:tabs>
          <w:tab w:val="left" w:pos="4068"/>
        </w:tabs>
        <w:rPr>
          <w:rFonts w:ascii="Arial" w:hAnsi="Arial" w:cs="Arial"/>
          <w:b/>
          <w:bCs/>
          <w:sz w:val="28"/>
          <w:szCs w:val="28"/>
        </w:rPr>
      </w:pPr>
    </w:p>
    <w:p w14:paraId="540C0EA8" w14:textId="252B8052" w:rsidR="004D1947" w:rsidRPr="004D1947" w:rsidRDefault="00126159" w:rsidP="004D1947">
      <w:pPr>
        <w:pStyle w:val="ListParagraph"/>
        <w:numPr>
          <w:ilvl w:val="0"/>
          <w:numId w:val="16"/>
        </w:numPr>
        <w:tabs>
          <w:tab w:val="left" w:pos="4068"/>
        </w:tabs>
        <w:rPr>
          <w:rFonts w:ascii="Arial" w:hAnsi="Arial" w:cs="Arial"/>
          <w:b/>
          <w:bCs/>
          <w:sz w:val="28"/>
          <w:szCs w:val="28"/>
        </w:rPr>
      </w:pPr>
      <w:r w:rsidRPr="004D1947">
        <w:rPr>
          <w:rFonts w:ascii="Arial" w:hAnsi="Arial" w:cs="Arial"/>
          <w:b/>
          <w:bCs/>
          <w:sz w:val="28"/>
          <w:szCs w:val="28"/>
        </w:rPr>
        <w:t>For pioneers</w:t>
      </w:r>
    </w:p>
    <w:p w14:paraId="20D99DD7" w14:textId="053CBCD5" w:rsidR="00126159" w:rsidRPr="00DA5839" w:rsidRDefault="00126159" w:rsidP="00A6453D">
      <w:pPr>
        <w:pStyle w:val="ListParagraph"/>
        <w:tabs>
          <w:tab w:val="left" w:pos="4068"/>
        </w:tabs>
        <w:jc w:val="both"/>
        <w:rPr>
          <w:rFonts w:ascii="Arial" w:hAnsi="Arial" w:cs="Arial"/>
          <w:sz w:val="24"/>
          <w:szCs w:val="24"/>
        </w:rPr>
      </w:pPr>
      <w:r w:rsidRPr="00DA5839">
        <w:rPr>
          <w:rFonts w:ascii="Arial" w:hAnsi="Arial" w:cs="Arial"/>
          <w:sz w:val="24"/>
          <w:szCs w:val="24"/>
        </w:rPr>
        <w:t xml:space="preserve">Greenwashing risk &amp; scrutiny. Ambitious sustainability promises invite scrutiny; misaligned claims or slow progress damage reputation more for pioneers with high visibility. L’Oréal and Unilever have both faced heightened stakeholder scrutiny about targets and execution. </w:t>
      </w:r>
    </w:p>
    <w:p w14:paraId="0624F1D4" w14:textId="77777777" w:rsidR="00A6453D" w:rsidRPr="00DA5839" w:rsidRDefault="00A6453D" w:rsidP="00A6453D">
      <w:pPr>
        <w:pStyle w:val="ListParagraph"/>
        <w:tabs>
          <w:tab w:val="left" w:pos="4068"/>
        </w:tabs>
        <w:jc w:val="both"/>
        <w:rPr>
          <w:rFonts w:ascii="Arial" w:hAnsi="Arial" w:cs="Arial"/>
          <w:sz w:val="24"/>
          <w:szCs w:val="24"/>
        </w:rPr>
      </w:pPr>
    </w:p>
    <w:p w14:paraId="27EC47A1" w14:textId="525DF934" w:rsidR="00126159" w:rsidRPr="00DA5839" w:rsidRDefault="00126159" w:rsidP="00A6453D">
      <w:pPr>
        <w:pStyle w:val="ListParagraph"/>
        <w:tabs>
          <w:tab w:val="left" w:pos="4068"/>
        </w:tabs>
        <w:jc w:val="both"/>
        <w:rPr>
          <w:rFonts w:ascii="Arial" w:hAnsi="Arial" w:cs="Arial"/>
          <w:sz w:val="24"/>
          <w:szCs w:val="24"/>
        </w:rPr>
      </w:pPr>
      <w:r w:rsidRPr="00DA5839">
        <w:rPr>
          <w:rFonts w:ascii="Arial" w:hAnsi="Arial" w:cs="Arial"/>
          <w:sz w:val="24"/>
          <w:szCs w:val="24"/>
        </w:rPr>
        <w:t>Example: Financial Times</w:t>
      </w:r>
    </w:p>
    <w:p w14:paraId="7A2E19A7" w14:textId="77777777" w:rsidR="00A6453D" w:rsidRPr="00DA5839" w:rsidRDefault="00A6453D" w:rsidP="00A6453D">
      <w:pPr>
        <w:pStyle w:val="ListParagraph"/>
        <w:tabs>
          <w:tab w:val="left" w:pos="4068"/>
        </w:tabs>
        <w:jc w:val="both"/>
        <w:rPr>
          <w:rFonts w:ascii="Arial" w:hAnsi="Arial" w:cs="Arial"/>
          <w:sz w:val="24"/>
          <w:szCs w:val="24"/>
        </w:rPr>
      </w:pPr>
    </w:p>
    <w:p w14:paraId="2E84C21B" w14:textId="77777777" w:rsidR="00126159" w:rsidRPr="00DA5839" w:rsidRDefault="00126159" w:rsidP="00A6453D">
      <w:pPr>
        <w:pStyle w:val="ListParagraph"/>
        <w:tabs>
          <w:tab w:val="left" w:pos="4068"/>
        </w:tabs>
        <w:jc w:val="both"/>
        <w:rPr>
          <w:rFonts w:ascii="Arial" w:hAnsi="Arial" w:cs="Arial"/>
          <w:sz w:val="24"/>
          <w:szCs w:val="24"/>
        </w:rPr>
      </w:pPr>
      <w:r w:rsidRPr="00DA5839">
        <w:rPr>
          <w:rFonts w:ascii="Arial" w:hAnsi="Arial" w:cs="Arial"/>
          <w:sz w:val="24"/>
          <w:szCs w:val="24"/>
        </w:rPr>
        <w:t>Cost of sustainable inputs. Transitioning to bio-based or recycled materials can raise per-unit cost, squeezing margins if consumers don’t pay premiums.</w:t>
      </w:r>
    </w:p>
    <w:p w14:paraId="36175EC0" w14:textId="77777777" w:rsidR="00126159" w:rsidRPr="00DA5839" w:rsidRDefault="00126159" w:rsidP="00126159">
      <w:pPr>
        <w:tabs>
          <w:tab w:val="left" w:pos="4068"/>
        </w:tabs>
        <w:jc w:val="center"/>
        <w:rPr>
          <w:rFonts w:ascii="Arial" w:hAnsi="Arial" w:cs="Arial"/>
          <w:b/>
          <w:bCs/>
          <w:sz w:val="24"/>
          <w:szCs w:val="24"/>
        </w:rPr>
      </w:pPr>
    </w:p>
    <w:p w14:paraId="7F593D85" w14:textId="21B6D072" w:rsidR="00126159" w:rsidRPr="004D1947" w:rsidRDefault="00126159" w:rsidP="00A6453D">
      <w:pPr>
        <w:pStyle w:val="ListParagraph"/>
        <w:numPr>
          <w:ilvl w:val="0"/>
          <w:numId w:val="16"/>
        </w:numPr>
        <w:tabs>
          <w:tab w:val="left" w:pos="4068"/>
        </w:tabs>
        <w:rPr>
          <w:rFonts w:ascii="Arial" w:hAnsi="Arial" w:cs="Arial"/>
          <w:b/>
          <w:bCs/>
          <w:sz w:val="28"/>
          <w:szCs w:val="28"/>
        </w:rPr>
      </w:pPr>
      <w:r w:rsidRPr="004D1947">
        <w:rPr>
          <w:rFonts w:ascii="Arial" w:hAnsi="Arial" w:cs="Arial"/>
          <w:b/>
          <w:bCs/>
          <w:sz w:val="28"/>
          <w:szCs w:val="28"/>
        </w:rPr>
        <w:t>For followers</w:t>
      </w:r>
    </w:p>
    <w:p w14:paraId="391B16CB" w14:textId="2F091189" w:rsidR="00126159" w:rsidRPr="00DA5839" w:rsidRDefault="00126159" w:rsidP="00126159">
      <w:pPr>
        <w:tabs>
          <w:tab w:val="left" w:pos="4068"/>
        </w:tabs>
        <w:rPr>
          <w:rFonts w:ascii="Arial" w:hAnsi="Arial" w:cs="Arial"/>
          <w:sz w:val="24"/>
          <w:szCs w:val="24"/>
        </w:rPr>
      </w:pPr>
      <w:r w:rsidRPr="00DA5839">
        <w:rPr>
          <w:rFonts w:ascii="Arial" w:hAnsi="Arial" w:cs="Arial"/>
          <w:sz w:val="24"/>
          <w:szCs w:val="24"/>
        </w:rPr>
        <w:t>Credibility/scale tradeoff. Followers may be seen as “tacking on” sustainability to maintain market share rather than genuine purpose leaders; consumers can detect inauthenticity.</w:t>
      </w:r>
    </w:p>
    <w:p w14:paraId="5F4646CE" w14:textId="77777777" w:rsidR="00126159" w:rsidRPr="00DA5839" w:rsidRDefault="00126159" w:rsidP="00126159">
      <w:pPr>
        <w:tabs>
          <w:tab w:val="left" w:pos="4068"/>
        </w:tabs>
        <w:rPr>
          <w:rFonts w:ascii="Arial" w:hAnsi="Arial" w:cs="Arial"/>
          <w:sz w:val="24"/>
          <w:szCs w:val="24"/>
        </w:rPr>
      </w:pPr>
      <w:r w:rsidRPr="00DA5839">
        <w:rPr>
          <w:rFonts w:ascii="Arial" w:hAnsi="Arial" w:cs="Arial"/>
          <w:sz w:val="24"/>
          <w:szCs w:val="24"/>
        </w:rPr>
        <w:t>Regulatory convergence pressures. When sustainability standards become table stakes, followers that have only marginal efforts may be forced into costly retrofits.</w:t>
      </w:r>
    </w:p>
    <w:p w14:paraId="26173D9B" w14:textId="77777777" w:rsidR="00126159" w:rsidRPr="00DA5839" w:rsidRDefault="00126159" w:rsidP="00126159">
      <w:pPr>
        <w:tabs>
          <w:tab w:val="left" w:pos="4068"/>
        </w:tabs>
        <w:jc w:val="center"/>
        <w:rPr>
          <w:rFonts w:ascii="Arial" w:hAnsi="Arial" w:cs="Arial"/>
          <w:b/>
          <w:bCs/>
          <w:sz w:val="24"/>
          <w:szCs w:val="24"/>
        </w:rPr>
      </w:pPr>
    </w:p>
    <w:p w14:paraId="61CD363F" w14:textId="520194D0" w:rsidR="00126159" w:rsidRPr="004D1947" w:rsidRDefault="00126159" w:rsidP="00A6453D">
      <w:pPr>
        <w:pStyle w:val="ListParagraph"/>
        <w:numPr>
          <w:ilvl w:val="0"/>
          <w:numId w:val="16"/>
        </w:numPr>
        <w:tabs>
          <w:tab w:val="left" w:pos="4068"/>
        </w:tabs>
        <w:rPr>
          <w:rFonts w:ascii="Arial" w:hAnsi="Arial" w:cs="Arial"/>
          <w:b/>
          <w:bCs/>
          <w:sz w:val="28"/>
          <w:szCs w:val="28"/>
        </w:rPr>
      </w:pPr>
      <w:r w:rsidRPr="004D1947">
        <w:rPr>
          <w:rFonts w:ascii="Arial" w:hAnsi="Arial" w:cs="Arial"/>
          <w:b/>
          <w:bCs/>
          <w:sz w:val="28"/>
          <w:szCs w:val="28"/>
        </w:rPr>
        <w:t>Critical synthesis</w:t>
      </w:r>
    </w:p>
    <w:p w14:paraId="4CA75EA2" w14:textId="1168662C" w:rsidR="00126159" w:rsidRPr="00DA5839" w:rsidRDefault="00126159" w:rsidP="00126159">
      <w:pPr>
        <w:tabs>
          <w:tab w:val="left" w:pos="4068"/>
        </w:tabs>
        <w:jc w:val="both"/>
        <w:rPr>
          <w:rFonts w:ascii="Arial" w:hAnsi="Arial" w:cs="Arial"/>
          <w:sz w:val="24"/>
          <w:szCs w:val="24"/>
        </w:rPr>
      </w:pPr>
      <w:r w:rsidRPr="00DA5839">
        <w:rPr>
          <w:rFonts w:ascii="Arial" w:hAnsi="Arial" w:cs="Arial"/>
          <w:sz w:val="24"/>
          <w:szCs w:val="24"/>
        </w:rPr>
        <w:t>Sociocultural and environmental change rewards authentic, systemic integration of purpose across product, packaging and communication not just PR. Pioneers can shape standards and capture reputational benefit, but only if they deliver measurable progress. Followers can capitalize by adopting proven programs at scale and leveraging brand trust, but risk accusations of opportunism.</w:t>
      </w:r>
    </w:p>
    <w:p w14:paraId="6D2454F6" w14:textId="25DC5D4D" w:rsidR="00126159" w:rsidRPr="00DA5839" w:rsidRDefault="00126159" w:rsidP="00126159">
      <w:pPr>
        <w:tabs>
          <w:tab w:val="left" w:pos="4068"/>
        </w:tabs>
        <w:jc w:val="both"/>
        <w:rPr>
          <w:rFonts w:ascii="Arial" w:hAnsi="Arial" w:cs="Arial"/>
          <w:sz w:val="24"/>
          <w:szCs w:val="24"/>
        </w:rPr>
      </w:pPr>
    </w:p>
    <w:p w14:paraId="11F4173C" w14:textId="5C2C1E7B" w:rsidR="00126159" w:rsidRPr="00DA5839" w:rsidRDefault="00126159" w:rsidP="00126159">
      <w:pPr>
        <w:tabs>
          <w:tab w:val="left" w:pos="4068"/>
        </w:tabs>
        <w:jc w:val="both"/>
        <w:rPr>
          <w:rFonts w:ascii="Arial" w:hAnsi="Arial" w:cs="Arial"/>
          <w:sz w:val="24"/>
          <w:szCs w:val="24"/>
        </w:rPr>
      </w:pPr>
    </w:p>
    <w:p w14:paraId="239A2BAD" w14:textId="6C8A6143" w:rsidR="00126159" w:rsidRPr="00DA5839" w:rsidRDefault="00126159" w:rsidP="00126159">
      <w:pPr>
        <w:tabs>
          <w:tab w:val="left" w:pos="4068"/>
        </w:tabs>
        <w:jc w:val="both"/>
        <w:rPr>
          <w:rFonts w:ascii="Arial" w:hAnsi="Arial" w:cs="Arial"/>
          <w:sz w:val="24"/>
          <w:szCs w:val="24"/>
        </w:rPr>
      </w:pPr>
    </w:p>
    <w:p w14:paraId="13C24A3E" w14:textId="11AF01A5" w:rsidR="00126159" w:rsidRPr="00DA5839" w:rsidRDefault="00126159" w:rsidP="00126159">
      <w:pPr>
        <w:tabs>
          <w:tab w:val="left" w:pos="4068"/>
        </w:tabs>
        <w:jc w:val="both"/>
        <w:rPr>
          <w:rFonts w:ascii="Arial" w:hAnsi="Arial" w:cs="Arial"/>
          <w:sz w:val="24"/>
          <w:szCs w:val="24"/>
        </w:rPr>
      </w:pPr>
    </w:p>
    <w:p w14:paraId="01DEC3D4" w14:textId="3B8EFA9D" w:rsidR="00DB5A29" w:rsidRPr="00DA5839" w:rsidRDefault="00DB5A29" w:rsidP="00126159">
      <w:pPr>
        <w:tabs>
          <w:tab w:val="left" w:pos="4068"/>
        </w:tabs>
        <w:jc w:val="both"/>
        <w:rPr>
          <w:rFonts w:ascii="Arial" w:hAnsi="Arial" w:cs="Arial"/>
          <w:sz w:val="24"/>
          <w:szCs w:val="24"/>
        </w:rPr>
      </w:pPr>
    </w:p>
    <w:p w14:paraId="77311A25" w14:textId="77777777" w:rsidR="00CD78DC" w:rsidRPr="00DA5839" w:rsidRDefault="00CD78DC" w:rsidP="00126159">
      <w:pPr>
        <w:tabs>
          <w:tab w:val="left" w:pos="4068"/>
        </w:tabs>
        <w:jc w:val="both"/>
        <w:rPr>
          <w:rFonts w:ascii="Arial" w:hAnsi="Arial" w:cs="Arial"/>
          <w:sz w:val="24"/>
          <w:szCs w:val="24"/>
        </w:rPr>
      </w:pPr>
    </w:p>
    <w:p w14:paraId="61CF1BF1" w14:textId="51116C86" w:rsidR="00126159" w:rsidRPr="00DA5839" w:rsidRDefault="00126159" w:rsidP="00126159">
      <w:pPr>
        <w:tabs>
          <w:tab w:val="left" w:pos="4068"/>
        </w:tabs>
        <w:jc w:val="both"/>
        <w:rPr>
          <w:rFonts w:ascii="Arial" w:hAnsi="Arial" w:cs="Arial"/>
          <w:sz w:val="24"/>
          <w:szCs w:val="24"/>
        </w:rPr>
      </w:pPr>
    </w:p>
    <w:p w14:paraId="247D2D38" w14:textId="6C0E3C59" w:rsidR="00A6453D" w:rsidRPr="004D1947" w:rsidRDefault="008E239C" w:rsidP="008E239C">
      <w:pPr>
        <w:tabs>
          <w:tab w:val="left" w:pos="4068"/>
        </w:tabs>
        <w:jc w:val="center"/>
        <w:rPr>
          <w:rFonts w:ascii="Arial" w:hAnsi="Arial" w:cs="Arial"/>
          <w:b/>
          <w:bCs/>
          <w:sz w:val="28"/>
          <w:szCs w:val="28"/>
        </w:rPr>
      </w:pPr>
      <w:r w:rsidRPr="004D1947">
        <w:rPr>
          <w:rFonts w:ascii="Arial" w:hAnsi="Arial" w:cs="Arial"/>
          <w:b/>
          <w:bCs/>
          <w:sz w:val="28"/>
          <w:szCs w:val="28"/>
        </w:rPr>
        <w:t>Task 2</w:t>
      </w:r>
    </w:p>
    <w:p w14:paraId="340FC84E" w14:textId="5C84262F" w:rsidR="00126159" w:rsidRPr="004D1947" w:rsidRDefault="00126159" w:rsidP="00126159">
      <w:pPr>
        <w:tabs>
          <w:tab w:val="left" w:pos="4068"/>
        </w:tabs>
        <w:jc w:val="both"/>
        <w:rPr>
          <w:rFonts w:ascii="Arial" w:hAnsi="Arial" w:cs="Arial"/>
          <w:sz w:val="28"/>
          <w:szCs w:val="28"/>
        </w:rPr>
      </w:pPr>
    </w:p>
    <w:p w14:paraId="6993F533" w14:textId="622715D2" w:rsidR="00B50DB0" w:rsidRPr="004D1947" w:rsidRDefault="00B50DB0" w:rsidP="00B50DB0">
      <w:pPr>
        <w:pStyle w:val="ListParagraph"/>
        <w:numPr>
          <w:ilvl w:val="0"/>
          <w:numId w:val="5"/>
        </w:numPr>
        <w:tabs>
          <w:tab w:val="left" w:pos="4068"/>
        </w:tabs>
        <w:jc w:val="both"/>
        <w:rPr>
          <w:rFonts w:ascii="Arial" w:hAnsi="Arial" w:cs="Arial"/>
          <w:b/>
          <w:bCs/>
          <w:sz w:val="28"/>
          <w:szCs w:val="28"/>
        </w:rPr>
      </w:pPr>
      <w:r w:rsidRPr="004D1947">
        <w:rPr>
          <w:rFonts w:ascii="Arial" w:hAnsi="Arial" w:cs="Arial"/>
          <w:b/>
          <w:bCs/>
          <w:sz w:val="28"/>
          <w:szCs w:val="28"/>
        </w:rPr>
        <w:t>Task 2 — How L’Oréal and Dove strategically respond to the selected factors</w:t>
      </w:r>
    </w:p>
    <w:p w14:paraId="6C329B50" w14:textId="77777777" w:rsidR="00B50DB0" w:rsidRPr="004D1947" w:rsidRDefault="00B50DB0" w:rsidP="00B50DB0">
      <w:pPr>
        <w:tabs>
          <w:tab w:val="left" w:pos="4068"/>
        </w:tabs>
        <w:jc w:val="both"/>
        <w:rPr>
          <w:rFonts w:ascii="Arial" w:hAnsi="Arial" w:cs="Arial"/>
          <w:b/>
          <w:bCs/>
          <w:sz w:val="28"/>
          <w:szCs w:val="28"/>
        </w:rPr>
      </w:pPr>
      <w:r w:rsidRPr="004D1947">
        <w:rPr>
          <w:rFonts w:ascii="Arial" w:hAnsi="Arial" w:cs="Arial"/>
          <w:b/>
          <w:bCs/>
          <w:sz w:val="28"/>
          <w:szCs w:val="28"/>
        </w:rPr>
        <w:t>A. Responses to Technological Change</w:t>
      </w:r>
    </w:p>
    <w:p w14:paraId="1B3D3CF9" w14:textId="4BCE9871" w:rsidR="00B50DB0" w:rsidRPr="004D1947" w:rsidRDefault="00B50DB0" w:rsidP="001123EA">
      <w:pPr>
        <w:pStyle w:val="ListParagraph"/>
        <w:numPr>
          <w:ilvl w:val="0"/>
          <w:numId w:val="5"/>
        </w:numPr>
        <w:tabs>
          <w:tab w:val="left" w:pos="4068"/>
        </w:tabs>
        <w:jc w:val="both"/>
        <w:rPr>
          <w:rFonts w:ascii="Arial" w:hAnsi="Arial" w:cs="Arial"/>
          <w:b/>
          <w:bCs/>
          <w:sz w:val="28"/>
          <w:szCs w:val="28"/>
        </w:rPr>
      </w:pPr>
      <w:r w:rsidRPr="004D1947">
        <w:rPr>
          <w:rFonts w:ascii="Arial" w:hAnsi="Arial" w:cs="Arial"/>
          <w:b/>
          <w:bCs/>
          <w:sz w:val="28"/>
          <w:szCs w:val="28"/>
        </w:rPr>
        <w:t>L’Oréal — Strategic moves &amp; evaluation</w:t>
      </w:r>
    </w:p>
    <w:p w14:paraId="4FBAF2CD" w14:textId="77777777" w:rsidR="001123EA" w:rsidRPr="004D1947" w:rsidRDefault="001123EA" w:rsidP="001123EA">
      <w:pPr>
        <w:pStyle w:val="ListParagraph"/>
        <w:tabs>
          <w:tab w:val="left" w:pos="4068"/>
        </w:tabs>
        <w:jc w:val="both"/>
        <w:rPr>
          <w:rFonts w:ascii="Arial" w:hAnsi="Arial" w:cs="Arial"/>
          <w:b/>
          <w:bCs/>
          <w:sz w:val="28"/>
          <w:szCs w:val="28"/>
        </w:rPr>
      </w:pPr>
    </w:p>
    <w:p w14:paraId="1758E404" w14:textId="6C9D9895" w:rsidR="00B50DB0" w:rsidRPr="00DA5839" w:rsidRDefault="00B50DB0" w:rsidP="00DD1460">
      <w:pPr>
        <w:pStyle w:val="ListParagraph"/>
        <w:numPr>
          <w:ilvl w:val="0"/>
          <w:numId w:val="6"/>
        </w:numPr>
        <w:tabs>
          <w:tab w:val="left" w:pos="4068"/>
        </w:tabs>
        <w:jc w:val="both"/>
        <w:rPr>
          <w:rFonts w:ascii="Arial" w:hAnsi="Arial" w:cs="Arial"/>
          <w:sz w:val="24"/>
          <w:szCs w:val="24"/>
        </w:rPr>
      </w:pPr>
      <w:r w:rsidRPr="004D1947">
        <w:rPr>
          <w:rFonts w:ascii="Arial" w:hAnsi="Arial" w:cs="Arial"/>
          <w:b/>
          <w:bCs/>
          <w:sz w:val="28"/>
          <w:szCs w:val="28"/>
        </w:rPr>
        <w:t>Beauty-tech positioning and acquisitions</w:t>
      </w:r>
      <w:r w:rsidR="00DD1460" w:rsidRPr="004D1947">
        <w:rPr>
          <w:rFonts w:ascii="Arial" w:hAnsi="Arial" w:cs="Arial"/>
          <w:b/>
          <w:bCs/>
          <w:sz w:val="28"/>
          <w:szCs w:val="28"/>
        </w:rPr>
        <w:t>:</w:t>
      </w:r>
      <w:r w:rsidRPr="004D1947">
        <w:rPr>
          <w:rFonts w:ascii="Arial" w:hAnsi="Arial" w:cs="Arial"/>
          <w:sz w:val="28"/>
          <w:szCs w:val="28"/>
        </w:rPr>
        <w:t xml:space="preserve"> </w:t>
      </w:r>
      <w:r w:rsidRPr="00DA5839">
        <w:rPr>
          <w:rFonts w:ascii="Arial" w:hAnsi="Arial" w:cs="Arial"/>
          <w:sz w:val="24"/>
          <w:szCs w:val="24"/>
        </w:rPr>
        <w:t xml:space="preserve">L’Oréal has framed itself as a beauty-tech firm, buying or building capabilities (notably </w:t>
      </w:r>
      <w:proofErr w:type="spellStart"/>
      <w:r w:rsidRPr="00DA5839">
        <w:rPr>
          <w:rFonts w:ascii="Arial" w:hAnsi="Arial" w:cs="Arial"/>
          <w:sz w:val="24"/>
          <w:szCs w:val="24"/>
        </w:rPr>
        <w:t>ModiFace</w:t>
      </w:r>
      <w:proofErr w:type="spellEnd"/>
      <w:r w:rsidRPr="00DA5839">
        <w:rPr>
          <w:rFonts w:ascii="Arial" w:hAnsi="Arial" w:cs="Arial"/>
          <w:sz w:val="24"/>
          <w:szCs w:val="24"/>
        </w:rPr>
        <w:t xml:space="preserve"> for AR, heavy investments in AI and proprietary R&amp;D), and training employees on AI use — all aimed at delivering personalized consumer experiences and product innovation. This vertical integration of tech into product and marketing is consistent with a pioneer strategy: capturing data, improving personalization and creating ‘sticky’ digital experiences. </w:t>
      </w:r>
    </w:p>
    <w:p w14:paraId="373CF99C" w14:textId="13AAA709" w:rsidR="00B50DB0" w:rsidRPr="00DA5839" w:rsidRDefault="001123EA" w:rsidP="00B50DB0">
      <w:pPr>
        <w:tabs>
          <w:tab w:val="left" w:pos="4068"/>
        </w:tabs>
        <w:jc w:val="both"/>
        <w:rPr>
          <w:rFonts w:ascii="Arial" w:hAnsi="Arial" w:cs="Arial"/>
          <w:sz w:val="24"/>
          <w:szCs w:val="24"/>
        </w:rPr>
      </w:pPr>
      <w:r w:rsidRPr="00DA5839">
        <w:rPr>
          <w:rFonts w:ascii="Arial" w:hAnsi="Arial" w:cs="Arial"/>
          <w:sz w:val="24"/>
          <w:szCs w:val="24"/>
        </w:rPr>
        <w:t xml:space="preserve">            </w:t>
      </w:r>
      <w:r w:rsidR="00DD1460" w:rsidRPr="00DA5839">
        <w:rPr>
          <w:rFonts w:ascii="Arial" w:hAnsi="Arial" w:cs="Arial"/>
          <w:sz w:val="24"/>
          <w:szCs w:val="24"/>
        </w:rPr>
        <w:t xml:space="preserve">Example: </w:t>
      </w:r>
      <w:r w:rsidR="00B50DB0" w:rsidRPr="00DA5839">
        <w:rPr>
          <w:rFonts w:ascii="Arial" w:hAnsi="Arial" w:cs="Arial"/>
          <w:sz w:val="24"/>
          <w:szCs w:val="24"/>
        </w:rPr>
        <w:t>LinkedIn</w:t>
      </w:r>
    </w:p>
    <w:p w14:paraId="6BACA553" w14:textId="01A521C9" w:rsidR="00DD1460" w:rsidRPr="00DA5839" w:rsidRDefault="00B50DB0"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4D1947">
        <w:rPr>
          <w:rFonts w:ascii="Arial" w:hAnsi="Arial" w:cs="Arial"/>
          <w:sz w:val="28"/>
          <w:szCs w:val="28"/>
        </w:rPr>
        <w:t xml:space="preserve"> </w:t>
      </w:r>
      <w:r w:rsidRPr="00DA5839">
        <w:rPr>
          <w:rFonts w:ascii="Arial" w:hAnsi="Arial" w:cs="Arial"/>
          <w:sz w:val="24"/>
          <w:szCs w:val="24"/>
        </w:rPr>
        <w:t xml:space="preserve">This approach builds high switching costs and supports premiumization (consumers value hyper-personalized recommendations and AR try-ons). The risk is capital intensity and the need to continuously update platforms to avoid obsolescence — a cost L’Oréal appears willing to bear given its scale and margins. Financial filings and corporate narrative indicate systematic investment in beauty-tech. </w:t>
      </w:r>
    </w:p>
    <w:p w14:paraId="33CE658E" w14:textId="15BCA8D1" w:rsidR="00DD1460" w:rsidRPr="00DA5839" w:rsidRDefault="00B50DB0" w:rsidP="00DD1460">
      <w:pPr>
        <w:pStyle w:val="ListParagraph"/>
        <w:numPr>
          <w:ilvl w:val="0"/>
          <w:numId w:val="6"/>
        </w:numPr>
        <w:tabs>
          <w:tab w:val="left" w:pos="4068"/>
        </w:tabs>
        <w:jc w:val="both"/>
        <w:rPr>
          <w:rFonts w:ascii="Arial" w:hAnsi="Arial" w:cs="Arial"/>
          <w:sz w:val="24"/>
          <w:szCs w:val="24"/>
        </w:rPr>
      </w:pPr>
      <w:r w:rsidRPr="004D1947">
        <w:rPr>
          <w:rFonts w:ascii="Arial" w:hAnsi="Arial" w:cs="Arial"/>
          <w:b/>
          <w:bCs/>
          <w:sz w:val="28"/>
          <w:szCs w:val="28"/>
        </w:rPr>
        <w:t>Omni-channel and e-commerce acceleration</w:t>
      </w:r>
      <w:r w:rsidR="00DD1460" w:rsidRPr="004D1947">
        <w:rPr>
          <w:rFonts w:ascii="Arial" w:hAnsi="Arial" w:cs="Arial"/>
          <w:b/>
          <w:bCs/>
          <w:sz w:val="28"/>
          <w:szCs w:val="28"/>
        </w:rPr>
        <w:t>:</w:t>
      </w:r>
      <w:r w:rsidRPr="00DA5839">
        <w:rPr>
          <w:rFonts w:ascii="Arial" w:hAnsi="Arial" w:cs="Arial"/>
          <w:sz w:val="24"/>
          <w:szCs w:val="24"/>
        </w:rPr>
        <w:t xml:space="preserve"> L’Oréal has aggressively expanded e-commerce channels and partnerships with beauty retailers while also strengthening DTC channels. The strategy integrates digital sampling, virtual consultations and data capture across channels to close the loop between online intent and offline purchase. </w:t>
      </w:r>
    </w:p>
    <w:p w14:paraId="42D3E4B4" w14:textId="77777777" w:rsidR="00B50DB0" w:rsidRPr="00DA5839" w:rsidRDefault="00B50DB0"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DA5839">
        <w:rPr>
          <w:rFonts w:ascii="Arial" w:hAnsi="Arial" w:cs="Arial"/>
          <w:sz w:val="24"/>
          <w:szCs w:val="24"/>
        </w:rPr>
        <w:t xml:space="preserve"> This reduces retailer decline risk and captures first-party data. However, L’Oréal must manage partner relationships to avoid channel conflict (e.g., retailers objecting to DTC emphasis).</w:t>
      </w:r>
    </w:p>
    <w:p w14:paraId="480F09EE" w14:textId="36CF5DB1" w:rsidR="00DD1460" w:rsidRPr="00DA5839" w:rsidRDefault="00DD1460" w:rsidP="00DD1460">
      <w:pPr>
        <w:pStyle w:val="ListParagraph"/>
        <w:numPr>
          <w:ilvl w:val="0"/>
          <w:numId w:val="6"/>
        </w:numPr>
        <w:tabs>
          <w:tab w:val="left" w:pos="4068"/>
        </w:tabs>
        <w:jc w:val="both"/>
        <w:rPr>
          <w:rFonts w:ascii="Arial" w:hAnsi="Arial" w:cs="Arial"/>
          <w:sz w:val="24"/>
          <w:szCs w:val="24"/>
        </w:rPr>
      </w:pPr>
      <w:r w:rsidRPr="004D1947">
        <w:rPr>
          <w:rFonts w:ascii="Arial" w:hAnsi="Arial" w:cs="Arial"/>
          <w:b/>
          <w:bCs/>
          <w:sz w:val="28"/>
          <w:szCs w:val="28"/>
        </w:rPr>
        <w:t>Platform + product innovation synergy:</w:t>
      </w:r>
      <w:r w:rsidRPr="00DA5839">
        <w:rPr>
          <w:rFonts w:ascii="Arial" w:hAnsi="Arial" w:cs="Arial"/>
          <w:sz w:val="24"/>
          <w:szCs w:val="24"/>
        </w:rPr>
        <w:t xml:space="preserve"> L’Oréal couples device/tech launches with consumable products (beauty devices requiring specific serums or app subscriptions), creating recurring revenues and differentiation. </w:t>
      </w:r>
    </w:p>
    <w:p w14:paraId="164183F0" w14:textId="7F808131" w:rsidR="00DD1460" w:rsidRPr="00DA5839" w:rsidRDefault="001123EA" w:rsidP="00DD1460">
      <w:pPr>
        <w:tabs>
          <w:tab w:val="left" w:pos="4068"/>
        </w:tabs>
        <w:jc w:val="both"/>
        <w:rPr>
          <w:rFonts w:ascii="Arial" w:hAnsi="Arial" w:cs="Arial"/>
          <w:sz w:val="24"/>
          <w:szCs w:val="24"/>
        </w:rPr>
      </w:pPr>
      <w:r w:rsidRPr="00DA5839">
        <w:rPr>
          <w:rFonts w:ascii="Arial" w:hAnsi="Arial" w:cs="Arial"/>
          <w:sz w:val="24"/>
          <w:szCs w:val="24"/>
        </w:rPr>
        <w:t xml:space="preserve">            </w:t>
      </w:r>
      <w:r w:rsidR="00DD1460" w:rsidRPr="00DA5839">
        <w:rPr>
          <w:rFonts w:ascii="Arial" w:hAnsi="Arial" w:cs="Arial"/>
          <w:sz w:val="24"/>
          <w:szCs w:val="24"/>
        </w:rPr>
        <w:t>Example: TIME</w:t>
      </w:r>
    </w:p>
    <w:p w14:paraId="54B9CEB6" w14:textId="5AA0829E" w:rsidR="00126159" w:rsidRPr="00DA5839" w:rsidRDefault="00DD1460" w:rsidP="001123EA">
      <w:pPr>
        <w:pStyle w:val="ListParagraph"/>
        <w:numPr>
          <w:ilvl w:val="0"/>
          <w:numId w:val="14"/>
        </w:numPr>
        <w:tabs>
          <w:tab w:val="left" w:pos="4068"/>
        </w:tabs>
        <w:jc w:val="both"/>
        <w:rPr>
          <w:rFonts w:ascii="Arial" w:hAnsi="Arial" w:cs="Arial"/>
          <w:sz w:val="24"/>
          <w:szCs w:val="24"/>
        </w:rPr>
      </w:pPr>
      <w:r w:rsidRPr="004D1947">
        <w:rPr>
          <w:rFonts w:ascii="Arial" w:hAnsi="Arial" w:cs="Arial"/>
          <w:b/>
          <w:bCs/>
          <w:sz w:val="28"/>
          <w:szCs w:val="28"/>
        </w:rPr>
        <w:lastRenderedPageBreak/>
        <w:t>Evaluation:</w:t>
      </w:r>
      <w:r w:rsidRPr="004D1947">
        <w:rPr>
          <w:rFonts w:ascii="Arial" w:hAnsi="Arial" w:cs="Arial"/>
          <w:sz w:val="28"/>
          <w:szCs w:val="28"/>
        </w:rPr>
        <w:t xml:space="preserve"> </w:t>
      </w:r>
      <w:r w:rsidRPr="00DA5839">
        <w:rPr>
          <w:rFonts w:ascii="Arial" w:hAnsi="Arial" w:cs="Arial"/>
          <w:sz w:val="24"/>
          <w:szCs w:val="24"/>
        </w:rPr>
        <w:t>This creates franchised ecosystems hard to replicate quickly. It is consistent with a pioneer playbook invest to create entry barriers but requires convincing consumers of the value of the combined system.</w:t>
      </w:r>
    </w:p>
    <w:p w14:paraId="63B3D612" w14:textId="0528631C" w:rsidR="00912F72" w:rsidRPr="00DA5839" w:rsidRDefault="00912F72" w:rsidP="00DD1460">
      <w:pPr>
        <w:tabs>
          <w:tab w:val="left" w:pos="4068"/>
        </w:tabs>
        <w:jc w:val="both"/>
        <w:rPr>
          <w:rFonts w:ascii="Arial" w:hAnsi="Arial" w:cs="Arial"/>
          <w:sz w:val="24"/>
          <w:szCs w:val="24"/>
        </w:rPr>
      </w:pPr>
    </w:p>
    <w:p w14:paraId="6804C5ED" w14:textId="77777777" w:rsidR="00912F72" w:rsidRPr="004D1947" w:rsidRDefault="00912F72" w:rsidP="001123EA">
      <w:pPr>
        <w:pStyle w:val="ListParagraph"/>
        <w:numPr>
          <w:ilvl w:val="0"/>
          <w:numId w:val="13"/>
        </w:numPr>
        <w:tabs>
          <w:tab w:val="left" w:pos="4068"/>
        </w:tabs>
        <w:jc w:val="both"/>
        <w:rPr>
          <w:rFonts w:ascii="Arial" w:hAnsi="Arial" w:cs="Arial"/>
          <w:b/>
          <w:bCs/>
          <w:sz w:val="28"/>
          <w:szCs w:val="28"/>
        </w:rPr>
      </w:pPr>
      <w:r w:rsidRPr="004D1947">
        <w:rPr>
          <w:rFonts w:ascii="Arial" w:hAnsi="Arial" w:cs="Arial"/>
          <w:b/>
          <w:bCs/>
          <w:sz w:val="28"/>
          <w:szCs w:val="28"/>
        </w:rPr>
        <w:t>Dove (Unilever) — strategic moves &amp; evaluation</w:t>
      </w:r>
    </w:p>
    <w:p w14:paraId="1A2A124E" w14:textId="77777777" w:rsidR="00912F72" w:rsidRPr="004D1947" w:rsidRDefault="00912F72" w:rsidP="00912F72">
      <w:pPr>
        <w:tabs>
          <w:tab w:val="left" w:pos="4068"/>
        </w:tabs>
        <w:jc w:val="both"/>
        <w:rPr>
          <w:rFonts w:ascii="Arial" w:hAnsi="Arial" w:cs="Arial"/>
          <w:sz w:val="28"/>
          <w:szCs w:val="28"/>
        </w:rPr>
      </w:pPr>
    </w:p>
    <w:p w14:paraId="5B0D01D1" w14:textId="40BB19CA" w:rsidR="00912F72" w:rsidRPr="00DA5839" w:rsidRDefault="00912F72" w:rsidP="00575C3E">
      <w:pPr>
        <w:pStyle w:val="ListParagraph"/>
        <w:numPr>
          <w:ilvl w:val="0"/>
          <w:numId w:val="6"/>
        </w:numPr>
        <w:tabs>
          <w:tab w:val="left" w:pos="4068"/>
        </w:tabs>
        <w:jc w:val="both"/>
        <w:rPr>
          <w:rFonts w:ascii="Arial" w:hAnsi="Arial" w:cs="Arial"/>
          <w:sz w:val="24"/>
          <w:szCs w:val="24"/>
        </w:rPr>
      </w:pPr>
      <w:r w:rsidRPr="004D1947">
        <w:rPr>
          <w:rFonts w:ascii="Arial" w:hAnsi="Arial" w:cs="Arial"/>
          <w:b/>
          <w:bCs/>
          <w:sz w:val="28"/>
          <w:szCs w:val="28"/>
        </w:rPr>
        <w:t xml:space="preserve">Selective tech adoption and partnerships: </w:t>
      </w:r>
      <w:r w:rsidRPr="00DA5839">
        <w:rPr>
          <w:rFonts w:ascii="Arial" w:hAnsi="Arial" w:cs="Arial"/>
          <w:sz w:val="24"/>
          <w:szCs w:val="24"/>
        </w:rPr>
        <w:t xml:space="preserve">Dove (Unilever) tends to be a fast but selective adopter: deploying digital campaigns, e-commerce distribution and retailer partnerships, while avoiding heavy R&amp;D in beauty-tech hardware. Instead, it channels resources into consumer insight platforms, digital storytelling, and scalable e-commerce distribution. Unilever’s approach is more follower-oriented: adopt proven tech that amplifies brand reach and purpose messaging. </w:t>
      </w:r>
    </w:p>
    <w:p w14:paraId="602E45FE" w14:textId="1F5AEA1E" w:rsidR="00912F72" w:rsidRPr="00DA5839" w:rsidRDefault="001123EA" w:rsidP="00912F72">
      <w:pPr>
        <w:tabs>
          <w:tab w:val="left" w:pos="4068"/>
        </w:tabs>
        <w:jc w:val="both"/>
        <w:rPr>
          <w:rFonts w:ascii="Arial" w:hAnsi="Arial" w:cs="Arial"/>
          <w:sz w:val="24"/>
          <w:szCs w:val="24"/>
        </w:rPr>
      </w:pPr>
      <w:r w:rsidRPr="00DA5839">
        <w:rPr>
          <w:rFonts w:ascii="Arial" w:hAnsi="Arial" w:cs="Arial"/>
          <w:sz w:val="24"/>
          <w:szCs w:val="24"/>
        </w:rPr>
        <w:t xml:space="preserve">            </w:t>
      </w:r>
      <w:r w:rsidR="00912F72" w:rsidRPr="00DA5839">
        <w:rPr>
          <w:rFonts w:ascii="Arial" w:hAnsi="Arial" w:cs="Arial"/>
          <w:sz w:val="24"/>
          <w:szCs w:val="24"/>
        </w:rPr>
        <w:t>Example: Unilever</w:t>
      </w:r>
    </w:p>
    <w:p w14:paraId="3551C508" w14:textId="2895C1F8" w:rsidR="00912F72" w:rsidRPr="00DA5839" w:rsidRDefault="00912F72"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DA5839">
        <w:rPr>
          <w:rFonts w:ascii="Arial" w:hAnsi="Arial" w:cs="Arial"/>
          <w:sz w:val="24"/>
          <w:szCs w:val="24"/>
        </w:rPr>
        <w:t xml:space="preserve"> This lowers risk and capex. Dove’s core brand strength is emotional storytelling (Real Beauty) rather than product-technology leadership; focusing on tech that amplifies the brand plays to this strength.</w:t>
      </w:r>
    </w:p>
    <w:p w14:paraId="50BC39F0" w14:textId="1B4B4060" w:rsidR="00912F72" w:rsidRPr="00DA5839" w:rsidRDefault="00912F72" w:rsidP="00575C3E">
      <w:pPr>
        <w:pStyle w:val="ListParagraph"/>
        <w:numPr>
          <w:ilvl w:val="0"/>
          <w:numId w:val="6"/>
        </w:numPr>
        <w:tabs>
          <w:tab w:val="left" w:pos="4068"/>
        </w:tabs>
        <w:jc w:val="both"/>
        <w:rPr>
          <w:rFonts w:ascii="Arial" w:hAnsi="Arial" w:cs="Arial"/>
          <w:sz w:val="24"/>
          <w:szCs w:val="24"/>
        </w:rPr>
      </w:pPr>
      <w:r w:rsidRPr="004D1947">
        <w:rPr>
          <w:rFonts w:ascii="Arial" w:hAnsi="Arial" w:cs="Arial"/>
          <w:b/>
          <w:bCs/>
          <w:sz w:val="28"/>
          <w:szCs w:val="28"/>
        </w:rPr>
        <w:t>Responsible use of AI in ads</w:t>
      </w:r>
      <w:r w:rsidR="00346771" w:rsidRPr="004D1947">
        <w:rPr>
          <w:rFonts w:ascii="Arial" w:hAnsi="Arial" w:cs="Arial"/>
          <w:b/>
          <w:bCs/>
          <w:sz w:val="28"/>
          <w:szCs w:val="28"/>
        </w:rPr>
        <w:t>:</w:t>
      </w:r>
      <w:r w:rsidR="00346771" w:rsidRPr="00DA5839">
        <w:rPr>
          <w:rFonts w:ascii="Arial" w:hAnsi="Arial" w:cs="Arial"/>
          <w:b/>
          <w:bCs/>
          <w:sz w:val="24"/>
          <w:szCs w:val="24"/>
        </w:rPr>
        <w:t xml:space="preserve"> </w:t>
      </w:r>
      <w:r w:rsidRPr="00DA5839">
        <w:rPr>
          <w:rFonts w:ascii="Arial" w:hAnsi="Arial" w:cs="Arial"/>
          <w:sz w:val="24"/>
          <w:szCs w:val="24"/>
        </w:rPr>
        <w:t xml:space="preserve">Dove has publicly committed to not using AI to represent real women in advertising, a stance linked to their authenticity positioning. This is a strategic communications decision leveraging technology-policy to reinforce brand trust. </w:t>
      </w:r>
    </w:p>
    <w:p w14:paraId="796ED23B" w14:textId="75E6D455" w:rsidR="00912F72" w:rsidRPr="00DA5839" w:rsidRDefault="00912F72"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DA5839">
        <w:rPr>
          <w:rFonts w:ascii="Arial" w:hAnsi="Arial" w:cs="Arial"/>
          <w:b/>
          <w:bCs/>
          <w:sz w:val="24"/>
          <w:szCs w:val="24"/>
        </w:rPr>
        <w:t xml:space="preserve"> </w:t>
      </w:r>
      <w:r w:rsidRPr="00DA5839">
        <w:rPr>
          <w:rFonts w:ascii="Arial" w:hAnsi="Arial" w:cs="Arial"/>
          <w:sz w:val="24"/>
          <w:szCs w:val="24"/>
        </w:rPr>
        <w:t>The pledge differentiates Dove from competitors who may use AI-generated imagery; it both protects brand authenticity and aligns with consumer concerns about representation.</w:t>
      </w:r>
    </w:p>
    <w:p w14:paraId="336CAE33" w14:textId="6B63B4F7" w:rsidR="00575C3E" w:rsidRPr="00DA5839" w:rsidRDefault="00575C3E" w:rsidP="00912F72">
      <w:pPr>
        <w:tabs>
          <w:tab w:val="left" w:pos="4068"/>
        </w:tabs>
        <w:jc w:val="both"/>
        <w:rPr>
          <w:rFonts w:ascii="Arial" w:hAnsi="Arial" w:cs="Arial"/>
          <w:sz w:val="24"/>
          <w:szCs w:val="24"/>
        </w:rPr>
      </w:pPr>
    </w:p>
    <w:p w14:paraId="6B224AC9" w14:textId="1D9BDFF5" w:rsidR="00575C3E" w:rsidRPr="00DA5839" w:rsidRDefault="00575C3E" w:rsidP="00912F72">
      <w:pPr>
        <w:tabs>
          <w:tab w:val="left" w:pos="4068"/>
        </w:tabs>
        <w:jc w:val="both"/>
        <w:rPr>
          <w:rFonts w:ascii="Arial" w:hAnsi="Arial" w:cs="Arial"/>
          <w:sz w:val="24"/>
          <w:szCs w:val="24"/>
        </w:rPr>
      </w:pPr>
    </w:p>
    <w:p w14:paraId="7FEB72DF" w14:textId="06A2D00C" w:rsidR="00575C3E" w:rsidRPr="00DA5839" w:rsidRDefault="00575C3E" w:rsidP="00912F72">
      <w:pPr>
        <w:tabs>
          <w:tab w:val="left" w:pos="4068"/>
        </w:tabs>
        <w:jc w:val="both"/>
        <w:rPr>
          <w:rFonts w:ascii="Arial" w:hAnsi="Arial" w:cs="Arial"/>
          <w:sz w:val="24"/>
          <w:szCs w:val="24"/>
        </w:rPr>
      </w:pPr>
    </w:p>
    <w:p w14:paraId="2F1419BA" w14:textId="312BC558" w:rsidR="00575C3E" w:rsidRPr="00DA5839" w:rsidRDefault="00575C3E" w:rsidP="00912F72">
      <w:pPr>
        <w:tabs>
          <w:tab w:val="left" w:pos="4068"/>
        </w:tabs>
        <w:jc w:val="both"/>
        <w:rPr>
          <w:rFonts w:ascii="Arial" w:hAnsi="Arial" w:cs="Arial"/>
          <w:sz w:val="24"/>
          <w:szCs w:val="24"/>
        </w:rPr>
      </w:pPr>
    </w:p>
    <w:p w14:paraId="773E9376" w14:textId="36AC158C" w:rsidR="00575C3E" w:rsidRPr="00DA5839" w:rsidRDefault="00575C3E" w:rsidP="00912F72">
      <w:pPr>
        <w:tabs>
          <w:tab w:val="left" w:pos="4068"/>
        </w:tabs>
        <w:jc w:val="both"/>
        <w:rPr>
          <w:rFonts w:ascii="Arial" w:hAnsi="Arial" w:cs="Arial"/>
          <w:sz w:val="24"/>
          <w:szCs w:val="24"/>
        </w:rPr>
      </w:pPr>
    </w:p>
    <w:p w14:paraId="02C3631F" w14:textId="1CBE45C6" w:rsidR="00575C3E" w:rsidRPr="00DA5839" w:rsidRDefault="00575C3E" w:rsidP="00912F72">
      <w:pPr>
        <w:tabs>
          <w:tab w:val="left" w:pos="4068"/>
        </w:tabs>
        <w:jc w:val="both"/>
        <w:rPr>
          <w:rFonts w:ascii="Arial" w:hAnsi="Arial" w:cs="Arial"/>
          <w:sz w:val="24"/>
          <w:szCs w:val="24"/>
        </w:rPr>
      </w:pPr>
    </w:p>
    <w:p w14:paraId="4A878889" w14:textId="4C8DC4D0" w:rsidR="00575C3E" w:rsidRPr="00DA5839" w:rsidRDefault="00575C3E" w:rsidP="00912F72">
      <w:pPr>
        <w:tabs>
          <w:tab w:val="left" w:pos="4068"/>
        </w:tabs>
        <w:jc w:val="both"/>
        <w:rPr>
          <w:rFonts w:ascii="Arial" w:hAnsi="Arial" w:cs="Arial"/>
          <w:sz w:val="24"/>
          <w:szCs w:val="24"/>
        </w:rPr>
      </w:pPr>
    </w:p>
    <w:p w14:paraId="75C43F9E" w14:textId="04C98B5C" w:rsidR="00575C3E" w:rsidRPr="00DA5839" w:rsidRDefault="00575C3E" w:rsidP="00912F72">
      <w:pPr>
        <w:tabs>
          <w:tab w:val="left" w:pos="4068"/>
        </w:tabs>
        <w:jc w:val="both"/>
        <w:rPr>
          <w:rFonts w:ascii="Arial" w:hAnsi="Arial" w:cs="Arial"/>
          <w:sz w:val="24"/>
          <w:szCs w:val="24"/>
        </w:rPr>
      </w:pPr>
    </w:p>
    <w:p w14:paraId="42F3FEBF" w14:textId="2580B350" w:rsidR="00575C3E" w:rsidRPr="00DA5839" w:rsidRDefault="00575C3E" w:rsidP="00912F72">
      <w:pPr>
        <w:tabs>
          <w:tab w:val="left" w:pos="4068"/>
        </w:tabs>
        <w:jc w:val="both"/>
        <w:rPr>
          <w:rFonts w:ascii="Arial" w:hAnsi="Arial" w:cs="Arial"/>
          <w:sz w:val="24"/>
          <w:szCs w:val="24"/>
        </w:rPr>
      </w:pPr>
    </w:p>
    <w:p w14:paraId="37002468" w14:textId="7B55722E" w:rsidR="00575C3E" w:rsidRDefault="00575C3E" w:rsidP="00912F72">
      <w:pPr>
        <w:tabs>
          <w:tab w:val="left" w:pos="4068"/>
        </w:tabs>
        <w:jc w:val="both"/>
        <w:rPr>
          <w:rFonts w:ascii="Arial" w:hAnsi="Arial" w:cs="Arial"/>
          <w:sz w:val="24"/>
          <w:szCs w:val="24"/>
        </w:rPr>
      </w:pPr>
    </w:p>
    <w:p w14:paraId="180A4FD1" w14:textId="77777777" w:rsidR="00DA5839" w:rsidRPr="00DA5839" w:rsidRDefault="00DA5839" w:rsidP="00912F72">
      <w:pPr>
        <w:tabs>
          <w:tab w:val="left" w:pos="4068"/>
        </w:tabs>
        <w:jc w:val="both"/>
        <w:rPr>
          <w:rFonts w:ascii="Arial" w:hAnsi="Arial" w:cs="Arial"/>
          <w:sz w:val="24"/>
          <w:szCs w:val="24"/>
        </w:rPr>
      </w:pPr>
    </w:p>
    <w:p w14:paraId="37C4FB69" w14:textId="77777777" w:rsidR="00773A9F" w:rsidRPr="00DA5839" w:rsidRDefault="00773A9F" w:rsidP="00912F72">
      <w:pPr>
        <w:tabs>
          <w:tab w:val="left" w:pos="4068"/>
        </w:tabs>
        <w:jc w:val="both"/>
        <w:rPr>
          <w:rFonts w:ascii="Arial" w:hAnsi="Arial" w:cs="Arial"/>
          <w:sz w:val="24"/>
          <w:szCs w:val="24"/>
        </w:rPr>
      </w:pPr>
    </w:p>
    <w:p w14:paraId="4FC96AF5" w14:textId="7D1925F2" w:rsidR="00575C3E" w:rsidRPr="00DA5839" w:rsidRDefault="00575C3E" w:rsidP="00912F72">
      <w:pPr>
        <w:tabs>
          <w:tab w:val="left" w:pos="4068"/>
        </w:tabs>
        <w:jc w:val="both"/>
        <w:rPr>
          <w:rFonts w:ascii="Arial" w:hAnsi="Arial" w:cs="Arial"/>
          <w:sz w:val="24"/>
          <w:szCs w:val="24"/>
        </w:rPr>
      </w:pPr>
    </w:p>
    <w:p w14:paraId="188973C3" w14:textId="77777777" w:rsidR="00937743" w:rsidRPr="004D1947" w:rsidRDefault="00937743" w:rsidP="00937743">
      <w:pPr>
        <w:tabs>
          <w:tab w:val="left" w:pos="4068"/>
        </w:tabs>
        <w:jc w:val="both"/>
        <w:rPr>
          <w:rFonts w:ascii="Arial" w:hAnsi="Arial" w:cs="Arial"/>
          <w:b/>
          <w:bCs/>
          <w:sz w:val="28"/>
          <w:szCs w:val="28"/>
        </w:rPr>
      </w:pPr>
      <w:r w:rsidRPr="004D1947">
        <w:rPr>
          <w:rFonts w:ascii="Arial" w:hAnsi="Arial" w:cs="Arial"/>
          <w:b/>
          <w:bCs/>
          <w:sz w:val="28"/>
          <w:szCs w:val="28"/>
        </w:rPr>
        <w:t>B. Responses to Sociocultural &amp; Environmental Change</w:t>
      </w:r>
    </w:p>
    <w:p w14:paraId="3E367033" w14:textId="5572148C" w:rsidR="00937743" w:rsidRPr="004D1947" w:rsidRDefault="00937743" w:rsidP="00B81E0E">
      <w:pPr>
        <w:pStyle w:val="ListParagraph"/>
        <w:numPr>
          <w:ilvl w:val="0"/>
          <w:numId w:val="3"/>
        </w:numPr>
        <w:tabs>
          <w:tab w:val="left" w:pos="4068"/>
        </w:tabs>
        <w:jc w:val="both"/>
        <w:rPr>
          <w:rFonts w:ascii="Arial" w:hAnsi="Arial" w:cs="Arial"/>
          <w:b/>
          <w:bCs/>
          <w:sz w:val="28"/>
          <w:szCs w:val="28"/>
        </w:rPr>
      </w:pPr>
      <w:r w:rsidRPr="004D1947">
        <w:rPr>
          <w:rFonts w:ascii="Arial" w:hAnsi="Arial" w:cs="Arial"/>
          <w:b/>
          <w:bCs/>
          <w:sz w:val="28"/>
          <w:szCs w:val="28"/>
        </w:rPr>
        <w:t>L’Oréal — strategic moves &amp; evaluation</w:t>
      </w:r>
    </w:p>
    <w:p w14:paraId="148B34CD" w14:textId="77777777" w:rsidR="001123EA" w:rsidRPr="00DA5839" w:rsidRDefault="001123EA" w:rsidP="001123EA">
      <w:pPr>
        <w:pStyle w:val="ListParagraph"/>
        <w:tabs>
          <w:tab w:val="left" w:pos="4068"/>
        </w:tabs>
        <w:jc w:val="both"/>
        <w:rPr>
          <w:rFonts w:ascii="Arial" w:hAnsi="Arial" w:cs="Arial"/>
          <w:b/>
          <w:bCs/>
          <w:sz w:val="24"/>
          <w:szCs w:val="24"/>
        </w:rPr>
      </w:pPr>
    </w:p>
    <w:p w14:paraId="59FA1ECA" w14:textId="26E8942C" w:rsidR="00937743" w:rsidRPr="00DA5839" w:rsidRDefault="00937743" w:rsidP="006F6F49">
      <w:pPr>
        <w:pStyle w:val="ListParagraph"/>
        <w:numPr>
          <w:ilvl w:val="0"/>
          <w:numId w:val="12"/>
        </w:numPr>
        <w:tabs>
          <w:tab w:val="left" w:pos="4068"/>
        </w:tabs>
        <w:jc w:val="both"/>
        <w:rPr>
          <w:rFonts w:ascii="Arial" w:hAnsi="Arial" w:cs="Arial"/>
          <w:sz w:val="24"/>
          <w:szCs w:val="24"/>
        </w:rPr>
      </w:pPr>
      <w:r w:rsidRPr="004D1947">
        <w:rPr>
          <w:rFonts w:ascii="Arial" w:hAnsi="Arial" w:cs="Arial"/>
          <w:b/>
          <w:bCs/>
          <w:sz w:val="28"/>
          <w:szCs w:val="28"/>
        </w:rPr>
        <w:t>Ambitious sustainability targets and R&amp;D for circularity:</w:t>
      </w:r>
      <w:r w:rsidRPr="004D1947">
        <w:rPr>
          <w:rFonts w:ascii="Arial" w:hAnsi="Arial" w:cs="Arial"/>
          <w:sz w:val="28"/>
          <w:szCs w:val="28"/>
        </w:rPr>
        <w:t xml:space="preserve"> </w:t>
      </w:r>
      <w:r w:rsidRPr="00DA5839">
        <w:rPr>
          <w:rFonts w:ascii="Arial" w:hAnsi="Arial" w:cs="Arial"/>
          <w:sz w:val="24"/>
          <w:szCs w:val="24"/>
        </w:rPr>
        <w:t xml:space="preserve">L’Oréal’s “L’Oréal for the Future” program sets targets (renewable energy, recycled bio-based plastics, reduced per-product GHG). The company invests in formulation and packaging innovation to meet those targets and publishes progress reports and a 2030 roadmap. </w:t>
      </w:r>
    </w:p>
    <w:p w14:paraId="12B58CCB" w14:textId="43892B55" w:rsidR="00937743" w:rsidRPr="00DA5839" w:rsidRDefault="00937743"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4D1947">
        <w:rPr>
          <w:rFonts w:ascii="Arial" w:hAnsi="Arial" w:cs="Arial"/>
          <w:sz w:val="28"/>
          <w:szCs w:val="28"/>
        </w:rPr>
        <w:t xml:space="preserve"> </w:t>
      </w:r>
      <w:r w:rsidRPr="00DA5839">
        <w:rPr>
          <w:rFonts w:ascii="Arial" w:hAnsi="Arial" w:cs="Arial"/>
          <w:sz w:val="24"/>
          <w:szCs w:val="24"/>
        </w:rPr>
        <w:t>This is a pioneer-level commitment: setting high public targets to signal leadership, de-risk future regulation, and appeal to sustainability-conscious consumers. However, the visibility of these commitments increases scrutiny; the firm must deliver transparent, verifiable progress to avoid accusations of greenwashing.</w:t>
      </w:r>
    </w:p>
    <w:p w14:paraId="452F5600" w14:textId="0050436F" w:rsidR="00937743" w:rsidRPr="00DA5839" w:rsidRDefault="00937743" w:rsidP="001123EA">
      <w:pPr>
        <w:pStyle w:val="ListParagraph"/>
        <w:numPr>
          <w:ilvl w:val="0"/>
          <w:numId w:val="12"/>
        </w:numPr>
        <w:tabs>
          <w:tab w:val="left" w:pos="4068"/>
        </w:tabs>
        <w:jc w:val="both"/>
        <w:rPr>
          <w:rFonts w:ascii="Arial" w:hAnsi="Arial" w:cs="Arial"/>
          <w:sz w:val="24"/>
          <w:szCs w:val="24"/>
        </w:rPr>
      </w:pPr>
      <w:r w:rsidRPr="004D1947">
        <w:rPr>
          <w:rFonts w:ascii="Arial" w:hAnsi="Arial" w:cs="Arial"/>
          <w:b/>
          <w:bCs/>
          <w:sz w:val="28"/>
          <w:szCs w:val="28"/>
        </w:rPr>
        <w:t>Product and packaging innovation at scale:</w:t>
      </w:r>
      <w:r w:rsidRPr="00DA5839">
        <w:rPr>
          <w:rFonts w:ascii="Arial" w:hAnsi="Arial" w:cs="Arial"/>
          <w:sz w:val="24"/>
          <w:szCs w:val="24"/>
        </w:rPr>
        <w:t xml:space="preserve"> L’Oréal targets large-scale changes in factories (renewable energy) and materials (recycled or bio-based plastics) that reduce lifecycle impacts, aligning upstream operations with marketing claims. </w:t>
      </w:r>
    </w:p>
    <w:p w14:paraId="48D1B92A" w14:textId="2237ADDA" w:rsidR="00575C3E" w:rsidRPr="00DA5839" w:rsidRDefault="00937743" w:rsidP="001123EA">
      <w:pPr>
        <w:pStyle w:val="ListParagraph"/>
        <w:numPr>
          <w:ilvl w:val="0"/>
          <w:numId w:val="2"/>
        </w:numPr>
        <w:tabs>
          <w:tab w:val="left" w:pos="4068"/>
        </w:tabs>
        <w:jc w:val="both"/>
        <w:rPr>
          <w:rFonts w:ascii="Arial" w:hAnsi="Arial" w:cs="Arial"/>
          <w:sz w:val="24"/>
          <w:szCs w:val="24"/>
        </w:rPr>
      </w:pPr>
      <w:r w:rsidRPr="004D1947">
        <w:rPr>
          <w:rFonts w:ascii="Arial" w:hAnsi="Arial" w:cs="Arial"/>
          <w:b/>
          <w:bCs/>
          <w:sz w:val="28"/>
          <w:szCs w:val="28"/>
        </w:rPr>
        <w:t>Evaluation:</w:t>
      </w:r>
      <w:r w:rsidRPr="00DA5839">
        <w:rPr>
          <w:rFonts w:ascii="Arial" w:hAnsi="Arial" w:cs="Arial"/>
          <w:sz w:val="24"/>
          <w:szCs w:val="24"/>
        </w:rPr>
        <w:t xml:space="preserve"> This system-level approach is costly but creates durable operational advantages and fulfils stakeholder expectations (retailers, investors).</w:t>
      </w:r>
    </w:p>
    <w:p w14:paraId="4D154456" w14:textId="77777777" w:rsidR="00B81E0E" w:rsidRPr="00DA5839" w:rsidRDefault="00B81E0E" w:rsidP="00937743">
      <w:pPr>
        <w:tabs>
          <w:tab w:val="left" w:pos="4068"/>
        </w:tabs>
        <w:jc w:val="both"/>
        <w:rPr>
          <w:rFonts w:ascii="Arial" w:hAnsi="Arial" w:cs="Arial"/>
          <w:sz w:val="24"/>
          <w:szCs w:val="24"/>
        </w:rPr>
      </w:pPr>
    </w:p>
    <w:p w14:paraId="2C5017B3" w14:textId="3B754C34" w:rsidR="00937743" w:rsidRPr="004D1947" w:rsidRDefault="00937743" w:rsidP="00B81E0E">
      <w:pPr>
        <w:pStyle w:val="ListParagraph"/>
        <w:numPr>
          <w:ilvl w:val="0"/>
          <w:numId w:val="3"/>
        </w:numPr>
        <w:tabs>
          <w:tab w:val="left" w:pos="4068"/>
        </w:tabs>
        <w:jc w:val="both"/>
        <w:rPr>
          <w:rFonts w:ascii="Arial" w:hAnsi="Arial" w:cs="Arial"/>
          <w:b/>
          <w:bCs/>
          <w:sz w:val="28"/>
          <w:szCs w:val="28"/>
        </w:rPr>
      </w:pPr>
      <w:r w:rsidRPr="004D1947">
        <w:rPr>
          <w:rFonts w:ascii="Arial" w:hAnsi="Arial" w:cs="Arial"/>
          <w:b/>
          <w:bCs/>
          <w:sz w:val="28"/>
          <w:szCs w:val="28"/>
        </w:rPr>
        <w:t>Dove (Unilever) — strategic moves &amp; evaluation</w:t>
      </w:r>
    </w:p>
    <w:p w14:paraId="1DF9356B" w14:textId="77777777" w:rsidR="001123EA" w:rsidRPr="004D1947" w:rsidRDefault="001123EA" w:rsidP="001123EA">
      <w:pPr>
        <w:pStyle w:val="ListParagraph"/>
        <w:tabs>
          <w:tab w:val="left" w:pos="4068"/>
        </w:tabs>
        <w:jc w:val="both"/>
        <w:rPr>
          <w:rFonts w:ascii="Arial" w:hAnsi="Arial" w:cs="Arial"/>
          <w:b/>
          <w:bCs/>
          <w:sz w:val="28"/>
          <w:szCs w:val="28"/>
        </w:rPr>
      </w:pPr>
    </w:p>
    <w:p w14:paraId="366216FE" w14:textId="400A0F3C" w:rsidR="00937743" w:rsidRPr="00DA5839" w:rsidRDefault="00937743" w:rsidP="001123EA">
      <w:pPr>
        <w:pStyle w:val="ListParagraph"/>
        <w:numPr>
          <w:ilvl w:val="0"/>
          <w:numId w:val="12"/>
        </w:numPr>
        <w:tabs>
          <w:tab w:val="left" w:pos="4068"/>
        </w:tabs>
        <w:jc w:val="both"/>
        <w:rPr>
          <w:rFonts w:ascii="Arial" w:hAnsi="Arial" w:cs="Arial"/>
          <w:sz w:val="24"/>
          <w:szCs w:val="24"/>
        </w:rPr>
      </w:pPr>
      <w:r w:rsidRPr="004D1947">
        <w:rPr>
          <w:rFonts w:ascii="Arial" w:hAnsi="Arial" w:cs="Arial"/>
          <w:b/>
          <w:bCs/>
          <w:sz w:val="28"/>
          <w:szCs w:val="28"/>
        </w:rPr>
        <w:t>Refill programs and practical circular pilots</w:t>
      </w:r>
      <w:r w:rsidR="00B81E0E" w:rsidRPr="004D1947">
        <w:rPr>
          <w:rFonts w:ascii="Arial" w:hAnsi="Arial" w:cs="Arial"/>
          <w:b/>
          <w:bCs/>
          <w:sz w:val="28"/>
          <w:szCs w:val="28"/>
        </w:rPr>
        <w:t>:</w:t>
      </w:r>
      <w:r w:rsidR="00B81E0E" w:rsidRPr="004D1947">
        <w:rPr>
          <w:rFonts w:ascii="Arial" w:hAnsi="Arial" w:cs="Arial"/>
          <w:sz w:val="28"/>
          <w:szCs w:val="28"/>
        </w:rPr>
        <w:t xml:space="preserve"> </w:t>
      </w:r>
      <w:r w:rsidRPr="004D1947">
        <w:rPr>
          <w:rFonts w:ascii="Arial" w:hAnsi="Arial" w:cs="Arial"/>
          <w:sz w:val="28"/>
          <w:szCs w:val="28"/>
        </w:rPr>
        <w:t xml:space="preserve"> </w:t>
      </w:r>
      <w:r w:rsidRPr="00DA5839">
        <w:rPr>
          <w:rFonts w:ascii="Arial" w:hAnsi="Arial" w:cs="Arial"/>
          <w:sz w:val="24"/>
          <w:szCs w:val="24"/>
        </w:rPr>
        <w:t xml:space="preserve">Dove has trialed reusable bottles and concentrate refills, targeting substantial plastic reduction (e.g., reusable bottles reduce plastic use by up to 50% per certain claims). Unilever’s strategy emphasizes scalable, practical solutions (refill stations, concentrate refills in emerging markets), focusing on behavior change and distribution innovation rather than only product reformulation. </w:t>
      </w:r>
    </w:p>
    <w:p w14:paraId="1279531E" w14:textId="5CF74A69" w:rsidR="00937743" w:rsidRPr="00DA5839" w:rsidRDefault="00937743" w:rsidP="001123EA">
      <w:pPr>
        <w:pStyle w:val="ListParagraph"/>
        <w:numPr>
          <w:ilvl w:val="0"/>
          <w:numId w:val="2"/>
        </w:numPr>
        <w:tabs>
          <w:tab w:val="left" w:pos="4068"/>
        </w:tabs>
        <w:jc w:val="both"/>
        <w:rPr>
          <w:rFonts w:ascii="Arial" w:hAnsi="Arial" w:cs="Arial"/>
          <w:sz w:val="24"/>
          <w:szCs w:val="24"/>
        </w:rPr>
      </w:pPr>
      <w:r w:rsidRPr="00A06620">
        <w:rPr>
          <w:rFonts w:ascii="Arial" w:hAnsi="Arial" w:cs="Arial"/>
          <w:b/>
          <w:bCs/>
          <w:sz w:val="28"/>
          <w:szCs w:val="28"/>
        </w:rPr>
        <w:t>Evaluation:</w:t>
      </w:r>
      <w:r w:rsidRPr="00A06620">
        <w:rPr>
          <w:rFonts w:ascii="Arial" w:hAnsi="Arial" w:cs="Arial"/>
          <w:sz w:val="28"/>
          <w:szCs w:val="28"/>
        </w:rPr>
        <w:t xml:space="preserve"> </w:t>
      </w:r>
      <w:r w:rsidRPr="00DA5839">
        <w:rPr>
          <w:rFonts w:ascii="Arial" w:hAnsi="Arial" w:cs="Arial"/>
          <w:sz w:val="24"/>
          <w:szCs w:val="24"/>
        </w:rPr>
        <w:t>These pilots fit a follower’s playbook — adopting and scaling initiatives that show proven consumer acceptance and operational feasibility. They address both environmental benefit and cost reduction at scale (less virgin plastic usage).</w:t>
      </w:r>
    </w:p>
    <w:p w14:paraId="700DFFAE" w14:textId="5D9298CF" w:rsidR="00937743" w:rsidRPr="00DA5839" w:rsidRDefault="00937743" w:rsidP="001123EA">
      <w:pPr>
        <w:pStyle w:val="ListParagraph"/>
        <w:numPr>
          <w:ilvl w:val="0"/>
          <w:numId w:val="12"/>
        </w:numPr>
        <w:tabs>
          <w:tab w:val="left" w:pos="4068"/>
        </w:tabs>
        <w:jc w:val="both"/>
        <w:rPr>
          <w:rFonts w:ascii="Arial" w:hAnsi="Arial" w:cs="Arial"/>
          <w:sz w:val="24"/>
          <w:szCs w:val="24"/>
        </w:rPr>
      </w:pPr>
      <w:r w:rsidRPr="00A06620">
        <w:rPr>
          <w:rFonts w:ascii="Arial" w:hAnsi="Arial" w:cs="Arial"/>
          <w:b/>
          <w:bCs/>
          <w:sz w:val="28"/>
          <w:szCs w:val="28"/>
        </w:rPr>
        <w:t>Purpose-led communications with high credibility</w:t>
      </w:r>
      <w:r w:rsidR="00B81E0E" w:rsidRPr="00A06620">
        <w:rPr>
          <w:rFonts w:ascii="Arial" w:hAnsi="Arial" w:cs="Arial"/>
          <w:b/>
          <w:bCs/>
          <w:sz w:val="28"/>
          <w:szCs w:val="28"/>
        </w:rPr>
        <w:t>:</w:t>
      </w:r>
      <w:r w:rsidRPr="00A06620">
        <w:rPr>
          <w:rFonts w:ascii="Arial" w:hAnsi="Arial" w:cs="Arial"/>
          <w:sz w:val="28"/>
          <w:szCs w:val="28"/>
        </w:rPr>
        <w:t xml:space="preserve"> </w:t>
      </w:r>
      <w:r w:rsidRPr="00DA5839">
        <w:rPr>
          <w:rFonts w:ascii="Arial" w:hAnsi="Arial" w:cs="Arial"/>
          <w:sz w:val="24"/>
          <w:szCs w:val="24"/>
        </w:rPr>
        <w:t xml:space="preserve">Dove’s long heritage campaign (Campaign for Real Beauty) and recent stance on AI in advertising reinforce authenticity and inclusivity — critical sociocultural axes for </w:t>
      </w:r>
      <w:r w:rsidRPr="00DA5839">
        <w:rPr>
          <w:rFonts w:ascii="Arial" w:hAnsi="Arial" w:cs="Arial"/>
          <w:sz w:val="24"/>
          <w:szCs w:val="24"/>
        </w:rPr>
        <w:lastRenderedPageBreak/>
        <w:t xml:space="preserve">modern consumers. The brand leverages earned media and long-term narrative rather than short product claims. </w:t>
      </w:r>
    </w:p>
    <w:p w14:paraId="2B7F149A" w14:textId="582D6BB1" w:rsidR="001123EA" w:rsidRPr="00DA5839" w:rsidRDefault="00937743" w:rsidP="00937743">
      <w:pPr>
        <w:pStyle w:val="ListParagraph"/>
        <w:numPr>
          <w:ilvl w:val="0"/>
          <w:numId w:val="2"/>
        </w:numPr>
        <w:tabs>
          <w:tab w:val="left" w:pos="4068"/>
        </w:tabs>
        <w:jc w:val="both"/>
        <w:rPr>
          <w:rFonts w:ascii="Arial" w:hAnsi="Arial" w:cs="Arial"/>
          <w:sz w:val="24"/>
          <w:szCs w:val="24"/>
        </w:rPr>
      </w:pPr>
      <w:r w:rsidRPr="00A06620">
        <w:rPr>
          <w:rFonts w:ascii="Arial" w:hAnsi="Arial" w:cs="Arial"/>
          <w:b/>
          <w:bCs/>
          <w:sz w:val="28"/>
          <w:szCs w:val="28"/>
        </w:rPr>
        <w:t>Evaluation:</w:t>
      </w:r>
      <w:r w:rsidRPr="00DA5839">
        <w:rPr>
          <w:rFonts w:ascii="Arial" w:hAnsi="Arial" w:cs="Arial"/>
          <w:sz w:val="24"/>
          <w:szCs w:val="24"/>
        </w:rPr>
        <w:t xml:space="preserve"> The credibility accumulated over decades gives Dove an advantage when it communicates small, practical sustainability steps; consumers are more likely to accept Dove’s iterations as genuine.</w:t>
      </w:r>
    </w:p>
    <w:p w14:paraId="0D13B0BB" w14:textId="476FBBD7" w:rsidR="00B81E0E" w:rsidRPr="00DA5839" w:rsidRDefault="00B81E0E" w:rsidP="00937743">
      <w:pPr>
        <w:tabs>
          <w:tab w:val="left" w:pos="4068"/>
        </w:tabs>
        <w:jc w:val="both"/>
        <w:rPr>
          <w:rFonts w:ascii="Arial" w:hAnsi="Arial" w:cs="Arial"/>
          <w:sz w:val="24"/>
          <w:szCs w:val="24"/>
        </w:rPr>
      </w:pPr>
    </w:p>
    <w:p w14:paraId="7FF3EE40" w14:textId="77777777" w:rsidR="00D866F8" w:rsidRPr="00A06620" w:rsidRDefault="00D866F8" w:rsidP="00D866F8">
      <w:pPr>
        <w:pStyle w:val="ListParagraph"/>
        <w:numPr>
          <w:ilvl w:val="0"/>
          <w:numId w:val="5"/>
        </w:numPr>
        <w:tabs>
          <w:tab w:val="left" w:pos="4068"/>
        </w:tabs>
        <w:jc w:val="both"/>
        <w:rPr>
          <w:rFonts w:ascii="Arial" w:hAnsi="Arial" w:cs="Arial"/>
          <w:b/>
          <w:bCs/>
          <w:sz w:val="28"/>
          <w:szCs w:val="28"/>
        </w:rPr>
      </w:pPr>
      <w:r w:rsidRPr="00A06620">
        <w:rPr>
          <w:rFonts w:ascii="Arial" w:hAnsi="Arial" w:cs="Arial"/>
          <w:b/>
          <w:bCs/>
          <w:sz w:val="28"/>
          <w:szCs w:val="28"/>
        </w:rPr>
        <w:t>Comparative critical evaluation</w:t>
      </w:r>
    </w:p>
    <w:p w14:paraId="4C080E20" w14:textId="77777777" w:rsidR="00D866F8" w:rsidRPr="00A06620" w:rsidRDefault="00D866F8" w:rsidP="00D866F8">
      <w:pPr>
        <w:tabs>
          <w:tab w:val="left" w:pos="4068"/>
        </w:tabs>
        <w:jc w:val="both"/>
        <w:rPr>
          <w:rFonts w:ascii="Arial" w:hAnsi="Arial" w:cs="Arial"/>
          <w:sz w:val="28"/>
          <w:szCs w:val="28"/>
        </w:rPr>
      </w:pPr>
    </w:p>
    <w:p w14:paraId="6C12CBA5" w14:textId="77777777" w:rsidR="00D866F8" w:rsidRPr="00DA5839" w:rsidRDefault="00D866F8" w:rsidP="00D866F8">
      <w:pPr>
        <w:pStyle w:val="ListParagraph"/>
        <w:numPr>
          <w:ilvl w:val="0"/>
          <w:numId w:val="7"/>
        </w:numPr>
        <w:tabs>
          <w:tab w:val="left" w:pos="4068"/>
        </w:tabs>
        <w:jc w:val="both"/>
        <w:rPr>
          <w:rFonts w:ascii="Arial" w:hAnsi="Arial" w:cs="Arial"/>
          <w:sz w:val="24"/>
          <w:szCs w:val="24"/>
        </w:rPr>
      </w:pPr>
      <w:r w:rsidRPr="00A06620">
        <w:rPr>
          <w:rFonts w:ascii="Arial" w:hAnsi="Arial" w:cs="Arial"/>
          <w:b/>
          <w:bCs/>
          <w:sz w:val="28"/>
          <w:szCs w:val="28"/>
        </w:rPr>
        <w:t>Strategic posture:</w:t>
      </w:r>
      <w:r w:rsidRPr="00A06620">
        <w:rPr>
          <w:rFonts w:ascii="Arial" w:hAnsi="Arial" w:cs="Arial"/>
          <w:sz w:val="28"/>
          <w:szCs w:val="28"/>
        </w:rPr>
        <w:t xml:space="preserve"> </w:t>
      </w:r>
      <w:r w:rsidRPr="00DA5839">
        <w:rPr>
          <w:rFonts w:ascii="Arial" w:hAnsi="Arial" w:cs="Arial"/>
          <w:sz w:val="24"/>
          <w:szCs w:val="24"/>
        </w:rPr>
        <w:t>L’Oréal behaves as a pioneer: high investment in proprietary tech and system-level sustainability commitments. When successful, that posture yields platform effects, premium product families and defensible differentiation. Dove/Unilever behaves as a strategic follower: amplifying proven tech where it supports brand equity and scaling practical sustainability solutions that fit global distribution economics.</w:t>
      </w:r>
    </w:p>
    <w:p w14:paraId="281B79F8" w14:textId="77777777" w:rsidR="00D866F8" w:rsidRPr="00DA5839" w:rsidRDefault="00D866F8" w:rsidP="00D866F8">
      <w:pPr>
        <w:tabs>
          <w:tab w:val="left" w:pos="4068"/>
        </w:tabs>
        <w:jc w:val="both"/>
        <w:rPr>
          <w:rFonts w:ascii="Arial" w:hAnsi="Arial" w:cs="Arial"/>
          <w:sz w:val="24"/>
          <w:szCs w:val="24"/>
        </w:rPr>
      </w:pPr>
    </w:p>
    <w:p w14:paraId="4122F0D7" w14:textId="77777777" w:rsidR="00D866F8" w:rsidRPr="00DA5839" w:rsidRDefault="00D866F8" w:rsidP="00D866F8">
      <w:pPr>
        <w:pStyle w:val="ListParagraph"/>
        <w:numPr>
          <w:ilvl w:val="0"/>
          <w:numId w:val="7"/>
        </w:numPr>
        <w:tabs>
          <w:tab w:val="left" w:pos="4068"/>
        </w:tabs>
        <w:jc w:val="both"/>
        <w:rPr>
          <w:rFonts w:ascii="Arial" w:hAnsi="Arial" w:cs="Arial"/>
          <w:sz w:val="24"/>
          <w:szCs w:val="24"/>
        </w:rPr>
      </w:pPr>
      <w:r w:rsidRPr="00A06620">
        <w:rPr>
          <w:rFonts w:ascii="Arial" w:hAnsi="Arial" w:cs="Arial"/>
          <w:b/>
          <w:bCs/>
          <w:sz w:val="28"/>
          <w:szCs w:val="28"/>
        </w:rPr>
        <w:t>Marketing mix implications:</w:t>
      </w:r>
      <w:r w:rsidRPr="00A06620">
        <w:rPr>
          <w:rFonts w:ascii="Arial" w:hAnsi="Arial" w:cs="Arial"/>
          <w:sz w:val="28"/>
          <w:szCs w:val="28"/>
        </w:rPr>
        <w:t xml:space="preserve"> </w:t>
      </w:r>
      <w:r w:rsidRPr="00DA5839">
        <w:rPr>
          <w:rFonts w:ascii="Arial" w:hAnsi="Arial" w:cs="Arial"/>
          <w:sz w:val="24"/>
          <w:szCs w:val="24"/>
        </w:rPr>
        <w:t>L’Oréal’s product strategy emphasizes tech-enabled, higher-margin SKUs, with promotion focusing on innovation and digital experiences (AR try-ons, personalization). Price strategy supports premiumization. Distribution is omni-channel with DTC emphasis. Dove emphasizes broad-reach product value (moisturization, inclusive beauty messaging), affordable pricing, and distribution through mass retail; promotions hinge on brand purpose and earned media.</w:t>
      </w:r>
    </w:p>
    <w:p w14:paraId="747E4876" w14:textId="77777777" w:rsidR="00D866F8" w:rsidRPr="00DA5839" w:rsidRDefault="00D866F8" w:rsidP="00D866F8">
      <w:pPr>
        <w:tabs>
          <w:tab w:val="left" w:pos="4068"/>
        </w:tabs>
        <w:jc w:val="both"/>
        <w:rPr>
          <w:rFonts w:ascii="Arial" w:hAnsi="Arial" w:cs="Arial"/>
          <w:sz w:val="24"/>
          <w:szCs w:val="24"/>
        </w:rPr>
      </w:pPr>
    </w:p>
    <w:p w14:paraId="2BAEC756" w14:textId="77777777" w:rsidR="00D866F8" w:rsidRPr="00DA5839" w:rsidRDefault="00D866F8" w:rsidP="00D866F8">
      <w:pPr>
        <w:pStyle w:val="ListParagraph"/>
        <w:numPr>
          <w:ilvl w:val="0"/>
          <w:numId w:val="7"/>
        </w:numPr>
        <w:tabs>
          <w:tab w:val="left" w:pos="4068"/>
        </w:tabs>
        <w:jc w:val="both"/>
        <w:rPr>
          <w:rFonts w:ascii="Arial" w:hAnsi="Arial" w:cs="Arial"/>
          <w:sz w:val="24"/>
          <w:szCs w:val="24"/>
        </w:rPr>
      </w:pPr>
      <w:r w:rsidRPr="00A06620">
        <w:rPr>
          <w:rFonts w:ascii="Arial" w:hAnsi="Arial" w:cs="Arial"/>
          <w:b/>
          <w:bCs/>
          <w:sz w:val="28"/>
          <w:szCs w:val="28"/>
        </w:rPr>
        <w:t>Risks:</w:t>
      </w:r>
      <w:r w:rsidRPr="00DA5839">
        <w:rPr>
          <w:rFonts w:ascii="Arial" w:hAnsi="Arial" w:cs="Arial"/>
          <w:sz w:val="24"/>
          <w:szCs w:val="24"/>
        </w:rPr>
        <w:t xml:space="preserve"> L’Oréal faces execution and reputational risk if tech or sustainability claims falter; Dove faces the risk of being perceived as incremental if consumers demand faster transformational change. Both must manage stakeholder scrutiny (investors, regulators, NGOs).</w:t>
      </w:r>
    </w:p>
    <w:p w14:paraId="6B21FA71" w14:textId="77777777" w:rsidR="00D866F8" w:rsidRPr="00DA5839" w:rsidRDefault="00D866F8" w:rsidP="00D866F8">
      <w:pPr>
        <w:tabs>
          <w:tab w:val="left" w:pos="4068"/>
        </w:tabs>
        <w:jc w:val="both"/>
        <w:rPr>
          <w:rFonts w:ascii="Arial" w:hAnsi="Arial" w:cs="Arial"/>
          <w:sz w:val="24"/>
          <w:szCs w:val="24"/>
        </w:rPr>
      </w:pPr>
    </w:p>
    <w:p w14:paraId="1E201E44" w14:textId="67D6A13C" w:rsidR="00D866F8" w:rsidRPr="00DA5839" w:rsidRDefault="00D866F8" w:rsidP="00D866F8">
      <w:pPr>
        <w:pStyle w:val="ListParagraph"/>
        <w:numPr>
          <w:ilvl w:val="0"/>
          <w:numId w:val="7"/>
        </w:numPr>
        <w:tabs>
          <w:tab w:val="left" w:pos="4068"/>
        </w:tabs>
        <w:jc w:val="both"/>
        <w:rPr>
          <w:rFonts w:ascii="Arial" w:hAnsi="Arial" w:cs="Arial"/>
          <w:sz w:val="24"/>
          <w:szCs w:val="24"/>
        </w:rPr>
      </w:pPr>
      <w:r w:rsidRPr="00A06620">
        <w:rPr>
          <w:rFonts w:ascii="Arial" w:hAnsi="Arial" w:cs="Arial"/>
          <w:b/>
          <w:bCs/>
          <w:sz w:val="28"/>
          <w:szCs w:val="28"/>
        </w:rPr>
        <w:t>Product comparison:</w:t>
      </w:r>
      <w:r w:rsidRPr="00A06620">
        <w:rPr>
          <w:rFonts w:ascii="Arial" w:hAnsi="Arial" w:cs="Arial"/>
          <w:sz w:val="28"/>
          <w:szCs w:val="28"/>
        </w:rPr>
        <w:t xml:space="preserve"> </w:t>
      </w:r>
      <w:r w:rsidRPr="00DA5839">
        <w:rPr>
          <w:rFonts w:ascii="Arial" w:hAnsi="Arial" w:cs="Arial"/>
          <w:sz w:val="24"/>
          <w:szCs w:val="24"/>
        </w:rPr>
        <w:t xml:space="preserve">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vs Dove Nutritive Solutions (haircare) an applied illustration</w:t>
      </w:r>
    </w:p>
    <w:p w14:paraId="2E988604" w14:textId="77777777" w:rsidR="00A06620" w:rsidRDefault="00A06620" w:rsidP="00D866F8">
      <w:pPr>
        <w:tabs>
          <w:tab w:val="left" w:pos="4068"/>
        </w:tabs>
        <w:jc w:val="both"/>
        <w:rPr>
          <w:rFonts w:ascii="Arial" w:hAnsi="Arial" w:cs="Arial"/>
          <w:sz w:val="24"/>
          <w:szCs w:val="24"/>
        </w:rPr>
      </w:pPr>
    </w:p>
    <w:p w14:paraId="2386008C" w14:textId="71A9ED7E" w:rsidR="00D866F8" w:rsidRPr="00DA5839" w:rsidRDefault="00D866F8" w:rsidP="00D866F8">
      <w:pPr>
        <w:tabs>
          <w:tab w:val="left" w:pos="4068"/>
        </w:tabs>
        <w:jc w:val="both"/>
        <w:rPr>
          <w:rFonts w:ascii="Arial" w:hAnsi="Arial" w:cs="Arial"/>
          <w:sz w:val="24"/>
          <w:szCs w:val="24"/>
        </w:rPr>
      </w:pPr>
      <w:r w:rsidRPr="00DA5839">
        <w:rPr>
          <w:rFonts w:ascii="Arial" w:hAnsi="Arial" w:cs="Arial"/>
          <w:sz w:val="24"/>
          <w:szCs w:val="24"/>
        </w:rPr>
        <w:t xml:space="preserve">To ground the macro analysis, consider two comparable mass-market haircare lines: 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 </w:t>
      </w:r>
      <w:proofErr w:type="spellStart"/>
      <w:r w:rsidRPr="00DA5839">
        <w:rPr>
          <w:rFonts w:ascii="Arial" w:hAnsi="Arial" w:cs="Arial"/>
          <w:sz w:val="24"/>
          <w:szCs w:val="24"/>
        </w:rPr>
        <w:t>Elseve</w:t>
      </w:r>
      <w:proofErr w:type="spellEnd"/>
      <w:r w:rsidRPr="00DA5839">
        <w:rPr>
          <w:rFonts w:ascii="Arial" w:hAnsi="Arial" w:cs="Arial"/>
          <w:sz w:val="24"/>
          <w:szCs w:val="24"/>
        </w:rPr>
        <w:t xml:space="preserve"> family) and Dove Nutritive Solutions (also called Dove Nourishing/Intense Repair variants). These brands operate in the same category (mass-</w:t>
      </w:r>
      <w:r w:rsidRPr="00DA5839">
        <w:rPr>
          <w:rFonts w:ascii="Arial" w:hAnsi="Arial" w:cs="Arial"/>
          <w:sz w:val="24"/>
          <w:szCs w:val="24"/>
        </w:rPr>
        <w:lastRenderedPageBreak/>
        <w:t>market shampoo/conditioner) and target broad consumer segments, but their strategic behaviors reflect their parent-company archetypes</w:t>
      </w:r>
      <w:r w:rsidR="00A06620">
        <w:rPr>
          <w:rFonts w:ascii="Arial" w:hAnsi="Arial" w:cs="Arial"/>
          <w:sz w:val="24"/>
          <w:szCs w:val="24"/>
        </w:rPr>
        <w:t>.</w:t>
      </w:r>
    </w:p>
    <w:p w14:paraId="4D988EC7" w14:textId="70AA438E" w:rsidR="00D866F8" w:rsidRPr="00DA5839" w:rsidRDefault="00D866F8" w:rsidP="00D866F8">
      <w:pPr>
        <w:tabs>
          <w:tab w:val="left" w:pos="4068"/>
        </w:tabs>
        <w:jc w:val="both"/>
        <w:rPr>
          <w:rFonts w:ascii="Arial" w:hAnsi="Arial" w:cs="Arial"/>
          <w:sz w:val="24"/>
          <w:szCs w:val="24"/>
        </w:rPr>
      </w:pPr>
    </w:p>
    <w:p w14:paraId="4EEE8191" w14:textId="2EED6F91" w:rsidR="00D866F8" w:rsidRPr="00DA5839" w:rsidRDefault="00D866F8" w:rsidP="00D866F8">
      <w:pPr>
        <w:tabs>
          <w:tab w:val="left" w:pos="4068"/>
        </w:tabs>
        <w:jc w:val="both"/>
        <w:rPr>
          <w:rFonts w:ascii="Arial" w:hAnsi="Arial" w:cs="Arial"/>
          <w:sz w:val="24"/>
          <w:szCs w:val="24"/>
        </w:rPr>
      </w:pPr>
    </w:p>
    <w:p w14:paraId="7EF7368F" w14:textId="68FD6871" w:rsidR="003C5592" w:rsidRPr="00A06620" w:rsidRDefault="003C5592" w:rsidP="003C5592">
      <w:pPr>
        <w:pStyle w:val="ListParagraph"/>
        <w:numPr>
          <w:ilvl w:val="0"/>
          <w:numId w:val="8"/>
        </w:numPr>
        <w:tabs>
          <w:tab w:val="left" w:pos="4068"/>
        </w:tabs>
        <w:jc w:val="both"/>
        <w:rPr>
          <w:rFonts w:ascii="Arial" w:hAnsi="Arial" w:cs="Arial"/>
          <w:b/>
          <w:bCs/>
          <w:sz w:val="28"/>
          <w:szCs w:val="28"/>
        </w:rPr>
      </w:pPr>
      <w:r w:rsidRPr="00A06620">
        <w:rPr>
          <w:rFonts w:ascii="Arial" w:hAnsi="Arial" w:cs="Arial"/>
          <w:b/>
          <w:bCs/>
          <w:sz w:val="28"/>
          <w:szCs w:val="28"/>
        </w:rPr>
        <w:t>Product &amp; formulation:</w:t>
      </w:r>
    </w:p>
    <w:p w14:paraId="6CF516DD" w14:textId="77777777"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positions several sub-lines (e.g., Color </w:t>
      </w:r>
      <w:proofErr w:type="spellStart"/>
      <w:r w:rsidRPr="00DA5839">
        <w:rPr>
          <w:rFonts w:ascii="Arial" w:hAnsi="Arial" w:cs="Arial"/>
          <w:sz w:val="24"/>
          <w:szCs w:val="24"/>
        </w:rPr>
        <w:t>Vive</w:t>
      </w:r>
      <w:proofErr w:type="spellEnd"/>
      <w:r w:rsidRPr="00DA5839">
        <w:rPr>
          <w:rFonts w:ascii="Arial" w:hAnsi="Arial" w:cs="Arial"/>
          <w:sz w:val="24"/>
          <w:szCs w:val="24"/>
        </w:rPr>
        <w:t>, Extraordinary Oil) that often incorporate named actives (keratin, ceramides, oils) and marketing claims rooted in advanced ingredient science or tech (e.g., “</w:t>
      </w:r>
      <w:proofErr w:type="spellStart"/>
      <w:r w:rsidRPr="00DA5839">
        <w:rPr>
          <w:rFonts w:ascii="Arial" w:hAnsi="Arial" w:cs="Arial"/>
          <w:sz w:val="24"/>
          <w:szCs w:val="24"/>
        </w:rPr>
        <w:t>elastine</w:t>
      </w:r>
      <w:proofErr w:type="spellEnd"/>
      <w:r w:rsidRPr="00DA5839">
        <w:rPr>
          <w:rFonts w:ascii="Arial" w:hAnsi="Arial" w:cs="Arial"/>
          <w:sz w:val="24"/>
          <w:szCs w:val="24"/>
        </w:rPr>
        <w:t xml:space="preserve">”, serum-like formulas). Product descriptions and third-party comparisons highlight targeted actives and a perception of ‘cosmetic science’. </w:t>
      </w:r>
    </w:p>
    <w:p w14:paraId="74CA7102" w14:textId="509B020A"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Example: </w:t>
      </w:r>
      <w:proofErr w:type="spellStart"/>
      <w:r w:rsidRPr="00DA5839">
        <w:rPr>
          <w:rFonts w:ascii="Arial" w:hAnsi="Arial" w:cs="Arial"/>
          <w:sz w:val="24"/>
          <w:szCs w:val="24"/>
        </w:rPr>
        <w:t>SkinSort</w:t>
      </w:r>
      <w:proofErr w:type="spellEnd"/>
    </w:p>
    <w:p w14:paraId="155E439A" w14:textId="77777777"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Dove Nutritive Solutions emphasizes moisturization, gentleness and consumer benefit (e.g., “nourishes hair to be stronger/smoother”), often with ingredients like oils and conditioners but marketed primarily on everyday care, dermatological reassurance and inclusivity.</w:t>
      </w:r>
    </w:p>
    <w:p w14:paraId="5C5437BF" w14:textId="77777777" w:rsidR="003C5592" w:rsidRPr="00DA5839" w:rsidRDefault="003C5592" w:rsidP="003C5592">
      <w:pPr>
        <w:tabs>
          <w:tab w:val="left" w:pos="4068"/>
        </w:tabs>
        <w:jc w:val="both"/>
        <w:rPr>
          <w:rFonts w:ascii="Arial" w:hAnsi="Arial" w:cs="Arial"/>
          <w:sz w:val="24"/>
          <w:szCs w:val="24"/>
        </w:rPr>
      </w:pPr>
    </w:p>
    <w:p w14:paraId="55E1FAB7" w14:textId="1F08F98E" w:rsidR="003C5592" w:rsidRPr="00A06620" w:rsidRDefault="003C5592" w:rsidP="003C5592">
      <w:pPr>
        <w:pStyle w:val="ListParagraph"/>
        <w:numPr>
          <w:ilvl w:val="0"/>
          <w:numId w:val="8"/>
        </w:numPr>
        <w:tabs>
          <w:tab w:val="left" w:pos="4068"/>
        </w:tabs>
        <w:jc w:val="both"/>
        <w:rPr>
          <w:rFonts w:ascii="Arial" w:hAnsi="Arial" w:cs="Arial"/>
          <w:b/>
          <w:bCs/>
          <w:sz w:val="28"/>
          <w:szCs w:val="28"/>
        </w:rPr>
      </w:pPr>
      <w:r w:rsidRPr="00A06620">
        <w:rPr>
          <w:rFonts w:ascii="Arial" w:hAnsi="Arial" w:cs="Arial"/>
          <w:b/>
          <w:bCs/>
          <w:sz w:val="28"/>
          <w:szCs w:val="28"/>
        </w:rPr>
        <w:t>Packaging &amp; sustainability</w:t>
      </w:r>
      <w:r w:rsidR="00A06620">
        <w:rPr>
          <w:rFonts w:ascii="Arial" w:hAnsi="Arial" w:cs="Arial"/>
          <w:b/>
          <w:bCs/>
          <w:sz w:val="28"/>
          <w:szCs w:val="28"/>
        </w:rPr>
        <w:t>:</w:t>
      </w:r>
    </w:p>
    <w:p w14:paraId="684374FF" w14:textId="4A4FC3AC"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L’Oréal has broader commitments to recycled plastics and refillable packaging targets as part of corporate 2030 goals, with ongoing initiatives to transition packaging and manufacturing to renewable energy. </w:t>
      </w:r>
    </w:p>
    <w:p w14:paraId="7EEC5045" w14:textId="2F0C69F9"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Dove has piloted reusable bottle + concentrate refills and promotes packaging reduction claims in specific markets — practical pilots that can be scaled across mass channels. This addresses plastic waste in high-volume categories like body wash and shampoo. </w:t>
      </w:r>
    </w:p>
    <w:p w14:paraId="0A4A4316" w14:textId="77777777" w:rsidR="003C5592" w:rsidRPr="00DA5839" w:rsidRDefault="003C5592" w:rsidP="003C5592">
      <w:pPr>
        <w:tabs>
          <w:tab w:val="left" w:pos="4068"/>
        </w:tabs>
        <w:jc w:val="both"/>
        <w:rPr>
          <w:rFonts w:ascii="Arial" w:hAnsi="Arial" w:cs="Arial"/>
          <w:sz w:val="24"/>
          <w:szCs w:val="24"/>
        </w:rPr>
      </w:pPr>
    </w:p>
    <w:p w14:paraId="7A6B7297" w14:textId="365A7CF3" w:rsidR="003C5592" w:rsidRPr="00A06620" w:rsidRDefault="003C5592" w:rsidP="003C5592">
      <w:pPr>
        <w:pStyle w:val="ListParagraph"/>
        <w:numPr>
          <w:ilvl w:val="0"/>
          <w:numId w:val="8"/>
        </w:numPr>
        <w:tabs>
          <w:tab w:val="left" w:pos="4068"/>
        </w:tabs>
        <w:jc w:val="both"/>
        <w:rPr>
          <w:rFonts w:ascii="Arial" w:hAnsi="Arial" w:cs="Arial"/>
          <w:b/>
          <w:bCs/>
          <w:sz w:val="28"/>
          <w:szCs w:val="28"/>
        </w:rPr>
      </w:pPr>
      <w:r w:rsidRPr="00A06620">
        <w:rPr>
          <w:rFonts w:ascii="Arial" w:hAnsi="Arial" w:cs="Arial"/>
          <w:b/>
          <w:bCs/>
          <w:sz w:val="28"/>
          <w:szCs w:val="28"/>
        </w:rPr>
        <w:t>Price &amp; distribution</w:t>
      </w:r>
      <w:r w:rsidR="00A06620">
        <w:rPr>
          <w:rFonts w:ascii="Arial" w:hAnsi="Arial" w:cs="Arial"/>
          <w:b/>
          <w:bCs/>
          <w:sz w:val="28"/>
          <w:szCs w:val="28"/>
        </w:rPr>
        <w:t>:</w:t>
      </w:r>
    </w:p>
    <w:p w14:paraId="277E4C86" w14:textId="44DEFA8A"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promotions often emphasize efficacy and science-backed claims, sometimes leveraging digital personalization tools (e.g., targeted ads, product quizzes). L’Oréal’s beauty-tech capabilities can be used to test formulations or present molecular storytelling even for mass SKUs. </w:t>
      </w:r>
    </w:p>
    <w:p w14:paraId="334A7025" w14:textId="393E66DC" w:rsidR="003C5592" w:rsidRPr="00DA5839" w:rsidRDefault="003C5592" w:rsidP="003C5592">
      <w:pPr>
        <w:tabs>
          <w:tab w:val="left" w:pos="4068"/>
        </w:tabs>
        <w:jc w:val="both"/>
        <w:rPr>
          <w:rFonts w:ascii="Arial" w:hAnsi="Arial" w:cs="Arial"/>
          <w:sz w:val="24"/>
          <w:szCs w:val="24"/>
        </w:rPr>
      </w:pPr>
      <w:r w:rsidRPr="00DA5839">
        <w:rPr>
          <w:rFonts w:ascii="Arial" w:hAnsi="Arial" w:cs="Arial"/>
          <w:sz w:val="24"/>
          <w:szCs w:val="24"/>
        </w:rPr>
        <w:t xml:space="preserve">Dove Nutritive campaigns emphasize brand heritage (dermatological care), empathy and inclusivity; marketing tends to be high-reach, emotive and built on trust (Real Beauty roots), which is persuasive in mass categories where emotional trust drives repeat purchase. </w:t>
      </w:r>
    </w:p>
    <w:p w14:paraId="4AD17EA1" w14:textId="77777777" w:rsidR="00A06620" w:rsidRPr="00DA5839" w:rsidRDefault="00A06620" w:rsidP="003C5592">
      <w:pPr>
        <w:tabs>
          <w:tab w:val="left" w:pos="4068"/>
        </w:tabs>
        <w:jc w:val="both"/>
        <w:rPr>
          <w:rFonts w:ascii="Arial" w:hAnsi="Arial" w:cs="Arial"/>
          <w:sz w:val="24"/>
          <w:szCs w:val="24"/>
        </w:rPr>
      </w:pPr>
    </w:p>
    <w:p w14:paraId="79B29116" w14:textId="77777777" w:rsidR="00E9672D" w:rsidRPr="00DA5839" w:rsidRDefault="00E9672D" w:rsidP="003C5592">
      <w:pPr>
        <w:tabs>
          <w:tab w:val="left" w:pos="4068"/>
        </w:tabs>
        <w:jc w:val="both"/>
        <w:rPr>
          <w:rFonts w:ascii="Arial" w:hAnsi="Arial" w:cs="Arial"/>
          <w:sz w:val="24"/>
          <w:szCs w:val="24"/>
        </w:rPr>
      </w:pPr>
    </w:p>
    <w:p w14:paraId="7AABF75B" w14:textId="77777777" w:rsidR="003C5592" w:rsidRPr="00A06620" w:rsidRDefault="003C5592" w:rsidP="00197B6D">
      <w:pPr>
        <w:pStyle w:val="ListParagraph"/>
        <w:numPr>
          <w:ilvl w:val="0"/>
          <w:numId w:val="10"/>
        </w:numPr>
        <w:tabs>
          <w:tab w:val="left" w:pos="4068"/>
        </w:tabs>
        <w:jc w:val="both"/>
        <w:rPr>
          <w:rFonts w:ascii="Arial" w:hAnsi="Arial" w:cs="Arial"/>
          <w:b/>
          <w:bCs/>
          <w:sz w:val="28"/>
          <w:szCs w:val="28"/>
        </w:rPr>
      </w:pPr>
      <w:r w:rsidRPr="00A06620">
        <w:rPr>
          <w:rFonts w:ascii="Arial" w:hAnsi="Arial" w:cs="Arial"/>
          <w:b/>
          <w:bCs/>
          <w:sz w:val="28"/>
          <w:szCs w:val="28"/>
        </w:rPr>
        <w:t>Consumer implications (opportunity/threat mapping)</w:t>
      </w:r>
    </w:p>
    <w:p w14:paraId="323D4FA7" w14:textId="77777777" w:rsidR="003C5592" w:rsidRPr="00A06620" w:rsidRDefault="003C5592" w:rsidP="003C5592">
      <w:pPr>
        <w:tabs>
          <w:tab w:val="left" w:pos="4068"/>
        </w:tabs>
        <w:jc w:val="both"/>
        <w:rPr>
          <w:rFonts w:ascii="Arial" w:hAnsi="Arial" w:cs="Arial"/>
          <w:sz w:val="28"/>
          <w:szCs w:val="28"/>
        </w:rPr>
      </w:pPr>
    </w:p>
    <w:p w14:paraId="75257B3A" w14:textId="2C941C55" w:rsidR="003C5592" w:rsidRPr="00DA5839" w:rsidRDefault="003C5592" w:rsidP="00D6621E">
      <w:pPr>
        <w:pStyle w:val="ListParagraph"/>
        <w:numPr>
          <w:ilvl w:val="0"/>
          <w:numId w:val="2"/>
        </w:numPr>
        <w:tabs>
          <w:tab w:val="left" w:pos="4068"/>
        </w:tabs>
        <w:jc w:val="both"/>
        <w:rPr>
          <w:rFonts w:ascii="Arial" w:hAnsi="Arial" w:cs="Arial"/>
          <w:sz w:val="24"/>
          <w:szCs w:val="24"/>
        </w:rPr>
      </w:pPr>
      <w:r w:rsidRPr="00A06620">
        <w:rPr>
          <w:rFonts w:ascii="Arial" w:hAnsi="Arial" w:cs="Arial"/>
          <w:b/>
          <w:bCs/>
          <w:sz w:val="28"/>
          <w:szCs w:val="28"/>
        </w:rPr>
        <w:t>For L’Oréal (pioneer):</w:t>
      </w:r>
      <w:r w:rsidRPr="00A06620">
        <w:rPr>
          <w:rFonts w:ascii="Arial" w:hAnsi="Arial" w:cs="Arial"/>
          <w:sz w:val="28"/>
          <w:szCs w:val="28"/>
        </w:rPr>
        <w:t xml:space="preserve"> </w:t>
      </w:r>
      <w:r w:rsidR="00197B6D" w:rsidRPr="00DA5839">
        <w:rPr>
          <w:rFonts w:ascii="Arial" w:hAnsi="Arial" w:cs="Arial"/>
          <w:sz w:val="24"/>
          <w:szCs w:val="24"/>
        </w:rPr>
        <w:t>A</w:t>
      </w:r>
      <w:r w:rsidRPr="00DA5839">
        <w:rPr>
          <w:rFonts w:ascii="Arial" w:hAnsi="Arial" w:cs="Arial"/>
          <w:sz w:val="24"/>
          <w:szCs w:val="24"/>
        </w:rPr>
        <w:t xml:space="preserve">bility to adapt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with novel actives or higher-perceived efficacy (and to tell that story via digital channels) supports SKU differentiation and potential premiumization. However, higher production or sustainable-transition costs could pressure margins. </w:t>
      </w:r>
    </w:p>
    <w:p w14:paraId="151C5386" w14:textId="77777777" w:rsidR="003C5592" w:rsidRPr="00DA5839" w:rsidRDefault="003C5592" w:rsidP="003C5592">
      <w:pPr>
        <w:tabs>
          <w:tab w:val="left" w:pos="4068"/>
        </w:tabs>
        <w:jc w:val="both"/>
        <w:rPr>
          <w:rFonts w:ascii="Arial" w:hAnsi="Arial" w:cs="Arial"/>
          <w:sz w:val="24"/>
          <w:szCs w:val="24"/>
        </w:rPr>
      </w:pPr>
    </w:p>
    <w:p w14:paraId="7ABCEB2E" w14:textId="7A01A8F3" w:rsidR="003C5592" w:rsidRPr="00DA5839" w:rsidRDefault="003C5592" w:rsidP="00D6621E">
      <w:pPr>
        <w:pStyle w:val="ListParagraph"/>
        <w:numPr>
          <w:ilvl w:val="0"/>
          <w:numId w:val="2"/>
        </w:numPr>
        <w:tabs>
          <w:tab w:val="left" w:pos="4068"/>
        </w:tabs>
        <w:jc w:val="both"/>
        <w:rPr>
          <w:rFonts w:ascii="Arial" w:hAnsi="Arial" w:cs="Arial"/>
          <w:sz w:val="24"/>
          <w:szCs w:val="24"/>
        </w:rPr>
      </w:pPr>
      <w:r w:rsidRPr="00A06620">
        <w:rPr>
          <w:rFonts w:ascii="Arial" w:hAnsi="Arial" w:cs="Arial"/>
          <w:b/>
          <w:bCs/>
          <w:sz w:val="28"/>
          <w:szCs w:val="28"/>
        </w:rPr>
        <w:t>For Dove (follower):</w:t>
      </w:r>
      <w:r w:rsidRPr="00A06620">
        <w:rPr>
          <w:rFonts w:ascii="Arial" w:hAnsi="Arial" w:cs="Arial"/>
          <w:sz w:val="28"/>
          <w:szCs w:val="28"/>
        </w:rPr>
        <w:t xml:space="preserve"> </w:t>
      </w:r>
      <w:r w:rsidR="00197B6D" w:rsidRPr="00DA5839">
        <w:rPr>
          <w:rFonts w:ascii="Arial" w:hAnsi="Arial" w:cs="Arial"/>
          <w:sz w:val="24"/>
          <w:szCs w:val="24"/>
        </w:rPr>
        <w:t xml:space="preserve">A </w:t>
      </w:r>
      <w:r w:rsidRPr="00DA5839">
        <w:rPr>
          <w:rFonts w:ascii="Arial" w:hAnsi="Arial" w:cs="Arial"/>
          <w:sz w:val="24"/>
          <w:szCs w:val="24"/>
        </w:rPr>
        <w:t xml:space="preserve">refill or concentrate version of Nutritive Solutions can be quickly scaled across supermarkets and emerging-market refill stations, appealing to cost-sensitive but sustainability-aware consumers. The risk is that if sustainability becomes a primary purchasing criterion, Dove must ensure scale and transparency to maintain credibility. </w:t>
      </w:r>
    </w:p>
    <w:p w14:paraId="25E36C82" w14:textId="77777777" w:rsidR="003C5592" w:rsidRPr="00DA5839" w:rsidRDefault="003C5592" w:rsidP="003C5592">
      <w:pPr>
        <w:tabs>
          <w:tab w:val="left" w:pos="4068"/>
        </w:tabs>
        <w:jc w:val="both"/>
        <w:rPr>
          <w:rFonts w:ascii="Arial" w:hAnsi="Arial" w:cs="Arial"/>
          <w:sz w:val="24"/>
          <w:szCs w:val="24"/>
        </w:rPr>
      </w:pPr>
    </w:p>
    <w:p w14:paraId="20C679B1" w14:textId="529723BC" w:rsidR="003C5592" w:rsidRPr="00DA5839" w:rsidRDefault="003C5592" w:rsidP="00D6621E">
      <w:pPr>
        <w:pStyle w:val="ListParagraph"/>
        <w:numPr>
          <w:ilvl w:val="0"/>
          <w:numId w:val="2"/>
        </w:numPr>
        <w:tabs>
          <w:tab w:val="left" w:pos="4068"/>
        </w:tabs>
        <w:jc w:val="both"/>
        <w:rPr>
          <w:rFonts w:ascii="Arial" w:hAnsi="Arial" w:cs="Arial"/>
          <w:sz w:val="24"/>
          <w:szCs w:val="24"/>
        </w:rPr>
      </w:pPr>
      <w:r w:rsidRPr="00A06620">
        <w:rPr>
          <w:rFonts w:ascii="Arial" w:hAnsi="Arial" w:cs="Arial"/>
          <w:b/>
          <w:bCs/>
          <w:sz w:val="28"/>
          <w:szCs w:val="28"/>
        </w:rPr>
        <w:t xml:space="preserve">Practical example: </w:t>
      </w:r>
      <w:r w:rsidRPr="00DA5839">
        <w:rPr>
          <w:rFonts w:ascii="Arial" w:hAnsi="Arial" w:cs="Arial"/>
          <w:sz w:val="24"/>
          <w:szCs w:val="24"/>
        </w:rPr>
        <w:t xml:space="preserve">Unilever’s reported refill pilots </w:t>
      </w:r>
      <w:r w:rsidR="00197B6D" w:rsidRPr="00DA5839">
        <w:rPr>
          <w:rFonts w:ascii="Arial" w:hAnsi="Arial" w:cs="Arial"/>
          <w:sz w:val="24"/>
          <w:szCs w:val="24"/>
        </w:rPr>
        <w:t>s</w:t>
      </w:r>
      <w:r w:rsidRPr="00DA5839">
        <w:rPr>
          <w:rFonts w:ascii="Arial" w:hAnsi="Arial" w:cs="Arial"/>
          <w:sz w:val="24"/>
          <w:szCs w:val="24"/>
        </w:rPr>
        <w:t xml:space="preserve">elling Dove as concentrates for refill machines demonstrate how a follower can enact circularity in a high-volume category more rapidly and with lower R&amp;D cost than a pioneer trying to redesign packaging across thousands of SKUs. L’Oréal meanwhile focuses its innovation budget on technological and material shifts across brands, which is broader but slower to scale in commoditized categories. </w:t>
      </w:r>
    </w:p>
    <w:p w14:paraId="62FEDB31" w14:textId="77777777" w:rsidR="00435A5C" w:rsidRDefault="00435A5C" w:rsidP="00435A5C">
      <w:pPr>
        <w:tabs>
          <w:tab w:val="left" w:pos="4068"/>
        </w:tabs>
        <w:jc w:val="both"/>
        <w:rPr>
          <w:rFonts w:ascii="Arial" w:hAnsi="Arial" w:cs="Arial"/>
          <w:b/>
          <w:bCs/>
          <w:sz w:val="28"/>
          <w:szCs w:val="28"/>
        </w:rPr>
      </w:pPr>
    </w:p>
    <w:p w14:paraId="4877429E" w14:textId="0B8E0913" w:rsidR="00D6621E" w:rsidRPr="00435A5C" w:rsidRDefault="00D6621E" w:rsidP="00435A5C">
      <w:pPr>
        <w:pStyle w:val="ListParagraph"/>
        <w:numPr>
          <w:ilvl w:val="0"/>
          <w:numId w:val="10"/>
        </w:numPr>
        <w:tabs>
          <w:tab w:val="left" w:pos="4068"/>
        </w:tabs>
        <w:jc w:val="both"/>
        <w:rPr>
          <w:rFonts w:ascii="Arial" w:hAnsi="Arial" w:cs="Arial"/>
          <w:b/>
          <w:bCs/>
          <w:sz w:val="28"/>
          <w:szCs w:val="28"/>
        </w:rPr>
      </w:pPr>
      <w:r w:rsidRPr="00435A5C">
        <w:rPr>
          <w:rFonts w:ascii="Arial" w:hAnsi="Arial" w:cs="Arial"/>
          <w:b/>
          <w:bCs/>
          <w:sz w:val="28"/>
          <w:szCs w:val="28"/>
        </w:rPr>
        <w:t>Strategic recommendations (brief, actionable)</w:t>
      </w:r>
    </w:p>
    <w:p w14:paraId="22437E78" w14:textId="77777777" w:rsidR="00D6621E" w:rsidRPr="00A06620" w:rsidRDefault="00D6621E" w:rsidP="00D6621E">
      <w:pPr>
        <w:tabs>
          <w:tab w:val="left" w:pos="4068"/>
        </w:tabs>
        <w:jc w:val="both"/>
        <w:rPr>
          <w:rFonts w:ascii="Arial" w:hAnsi="Arial" w:cs="Arial"/>
          <w:sz w:val="28"/>
          <w:szCs w:val="28"/>
        </w:rPr>
      </w:pPr>
    </w:p>
    <w:p w14:paraId="1257779F" w14:textId="7A824B58" w:rsidR="00D6621E" w:rsidRPr="00DA5839" w:rsidRDefault="00D6621E" w:rsidP="005B13AD">
      <w:pPr>
        <w:pStyle w:val="ListParagraph"/>
        <w:numPr>
          <w:ilvl w:val="0"/>
          <w:numId w:val="11"/>
        </w:numPr>
        <w:tabs>
          <w:tab w:val="left" w:pos="4068"/>
        </w:tabs>
        <w:jc w:val="both"/>
        <w:rPr>
          <w:rFonts w:ascii="Arial" w:hAnsi="Arial" w:cs="Arial"/>
          <w:sz w:val="24"/>
          <w:szCs w:val="24"/>
        </w:rPr>
      </w:pPr>
      <w:r w:rsidRPr="00A06620">
        <w:rPr>
          <w:rFonts w:ascii="Arial" w:hAnsi="Arial" w:cs="Arial"/>
          <w:b/>
          <w:bCs/>
          <w:sz w:val="28"/>
          <w:szCs w:val="28"/>
        </w:rPr>
        <w:t>For pioneers (e.g., L’Oréal):</w:t>
      </w:r>
      <w:r w:rsidRPr="00A06620">
        <w:rPr>
          <w:rFonts w:ascii="Arial" w:hAnsi="Arial" w:cs="Arial"/>
          <w:sz w:val="28"/>
          <w:szCs w:val="28"/>
        </w:rPr>
        <w:t xml:space="preserve"> </w:t>
      </w:r>
      <w:r w:rsidR="00044EB8" w:rsidRPr="00DA5839">
        <w:rPr>
          <w:rFonts w:ascii="Arial" w:hAnsi="Arial" w:cs="Arial"/>
          <w:sz w:val="24"/>
          <w:szCs w:val="24"/>
        </w:rPr>
        <w:t>C</w:t>
      </w:r>
      <w:r w:rsidRPr="00DA5839">
        <w:rPr>
          <w:rFonts w:ascii="Arial" w:hAnsi="Arial" w:cs="Arial"/>
          <w:sz w:val="24"/>
          <w:szCs w:val="24"/>
        </w:rPr>
        <w:t>ontinue investing in proprietary tech that builds platform effects (AR, AI personalization), but pair headline sustainability targets with clear, auditable milestones and third-party validation to reduce greenwashing risk. Use tiered product strategies: premium, tech-enabled SKUs where margin can cover R&amp;D; and scaled “eco” SKUs where process innovation reduces cost per unit while delivering environmental claims.</w:t>
      </w:r>
    </w:p>
    <w:p w14:paraId="4094C0D0" w14:textId="77777777" w:rsidR="00D6621E" w:rsidRPr="00DA5839" w:rsidRDefault="00D6621E" w:rsidP="00D6621E">
      <w:pPr>
        <w:tabs>
          <w:tab w:val="left" w:pos="4068"/>
        </w:tabs>
        <w:jc w:val="both"/>
        <w:rPr>
          <w:rFonts w:ascii="Arial" w:hAnsi="Arial" w:cs="Arial"/>
          <w:sz w:val="24"/>
          <w:szCs w:val="24"/>
        </w:rPr>
      </w:pPr>
    </w:p>
    <w:p w14:paraId="25B5D24B" w14:textId="76F2F293" w:rsidR="00D6621E" w:rsidRPr="00DA5839" w:rsidRDefault="00D6621E" w:rsidP="005B13AD">
      <w:pPr>
        <w:pStyle w:val="ListParagraph"/>
        <w:numPr>
          <w:ilvl w:val="0"/>
          <w:numId w:val="11"/>
        </w:numPr>
        <w:tabs>
          <w:tab w:val="left" w:pos="4068"/>
        </w:tabs>
        <w:jc w:val="both"/>
        <w:rPr>
          <w:rFonts w:ascii="Arial" w:hAnsi="Arial" w:cs="Arial"/>
          <w:sz w:val="24"/>
          <w:szCs w:val="24"/>
        </w:rPr>
      </w:pPr>
      <w:r w:rsidRPr="00A06620">
        <w:rPr>
          <w:rFonts w:ascii="Arial" w:hAnsi="Arial" w:cs="Arial"/>
          <w:b/>
          <w:bCs/>
          <w:sz w:val="28"/>
          <w:szCs w:val="28"/>
        </w:rPr>
        <w:t>For followers (e.g., Dove/Unilever):</w:t>
      </w:r>
      <w:r w:rsidRPr="00A06620">
        <w:rPr>
          <w:rFonts w:ascii="Arial" w:hAnsi="Arial" w:cs="Arial"/>
          <w:sz w:val="28"/>
          <w:szCs w:val="28"/>
        </w:rPr>
        <w:t xml:space="preserve"> </w:t>
      </w:r>
      <w:r w:rsidR="00044EB8" w:rsidRPr="00DA5839">
        <w:rPr>
          <w:rFonts w:ascii="Arial" w:hAnsi="Arial" w:cs="Arial"/>
          <w:sz w:val="24"/>
          <w:szCs w:val="24"/>
        </w:rPr>
        <w:t>E</w:t>
      </w:r>
      <w:r w:rsidRPr="00DA5839">
        <w:rPr>
          <w:rFonts w:ascii="Arial" w:hAnsi="Arial" w:cs="Arial"/>
          <w:sz w:val="24"/>
          <w:szCs w:val="24"/>
        </w:rPr>
        <w:t xml:space="preserve">xploit scale and distribution to roll out practical sustainability initiatives (refills, concentrated formats) and double-down on authentic storytelling that leverages long-term brand trust. Adopt </w:t>
      </w:r>
      <w:r w:rsidRPr="00DA5839">
        <w:rPr>
          <w:rFonts w:ascii="Arial" w:hAnsi="Arial" w:cs="Arial"/>
          <w:sz w:val="24"/>
          <w:szCs w:val="24"/>
        </w:rPr>
        <w:lastRenderedPageBreak/>
        <w:t>composable tech (API-based personalization) that improves e-commerce performance without heavy proprietary investment.</w:t>
      </w:r>
    </w:p>
    <w:p w14:paraId="4B513BD8" w14:textId="77777777" w:rsidR="00D6621E" w:rsidRPr="00DA5839" w:rsidRDefault="00D6621E" w:rsidP="00D6621E">
      <w:pPr>
        <w:tabs>
          <w:tab w:val="left" w:pos="4068"/>
        </w:tabs>
        <w:jc w:val="both"/>
        <w:rPr>
          <w:rFonts w:ascii="Arial" w:hAnsi="Arial" w:cs="Arial"/>
          <w:sz w:val="24"/>
          <w:szCs w:val="24"/>
        </w:rPr>
      </w:pPr>
    </w:p>
    <w:p w14:paraId="1A4DF782" w14:textId="2C23AB03" w:rsidR="00D6621E" w:rsidRPr="00DA5839" w:rsidRDefault="00D6621E" w:rsidP="005B13AD">
      <w:pPr>
        <w:pStyle w:val="ListParagraph"/>
        <w:numPr>
          <w:ilvl w:val="0"/>
          <w:numId w:val="11"/>
        </w:numPr>
        <w:tabs>
          <w:tab w:val="left" w:pos="4068"/>
        </w:tabs>
        <w:jc w:val="both"/>
        <w:rPr>
          <w:rFonts w:ascii="Arial" w:hAnsi="Arial" w:cs="Arial"/>
          <w:sz w:val="24"/>
          <w:szCs w:val="24"/>
        </w:rPr>
      </w:pPr>
      <w:r w:rsidRPr="00A06620">
        <w:rPr>
          <w:rFonts w:ascii="Arial" w:hAnsi="Arial" w:cs="Arial"/>
          <w:b/>
          <w:bCs/>
          <w:sz w:val="28"/>
          <w:szCs w:val="28"/>
        </w:rPr>
        <w:t>Cross-cutting (all firms):</w:t>
      </w:r>
      <w:r w:rsidRPr="00A06620">
        <w:rPr>
          <w:rFonts w:ascii="Arial" w:hAnsi="Arial" w:cs="Arial"/>
          <w:sz w:val="28"/>
          <w:szCs w:val="28"/>
        </w:rPr>
        <w:t xml:space="preserve"> </w:t>
      </w:r>
      <w:r w:rsidR="00044EB8" w:rsidRPr="00DA5839">
        <w:rPr>
          <w:rFonts w:ascii="Arial" w:hAnsi="Arial" w:cs="Arial"/>
          <w:sz w:val="24"/>
          <w:szCs w:val="24"/>
        </w:rPr>
        <w:t>I</w:t>
      </w:r>
      <w:r w:rsidRPr="00DA5839">
        <w:rPr>
          <w:rFonts w:ascii="Arial" w:hAnsi="Arial" w:cs="Arial"/>
          <w:sz w:val="24"/>
          <w:szCs w:val="24"/>
        </w:rPr>
        <w:t>nvest in transparent data governance and consumer communication: personalization must be accompanied by clear privacy opt-ins; sustainability claims should be backed by lifecycle metrics.</w:t>
      </w:r>
    </w:p>
    <w:p w14:paraId="3BDA4490" w14:textId="2DA7ABD3" w:rsidR="002F6C78" w:rsidRDefault="002F6C78" w:rsidP="002F6C78">
      <w:pPr>
        <w:pStyle w:val="ListParagraph"/>
        <w:rPr>
          <w:rFonts w:ascii="Arial" w:hAnsi="Arial" w:cs="Arial"/>
          <w:sz w:val="24"/>
          <w:szCs w:val="24"/>
        </w:rPr>
      </w:pPr>
    </w:p>
    <w:p w14:paraId="14777F38" w14:textId="47583859" w:rsidR="00435A5C" w:rsidRDefault="00435A5C" w:rsidP="002F6C78">
      <w:pPr>
        <w:pStyle w:val="ListParagraph"/>
        <w:rPr>
          <w:rFonts w:ascii="Arial" w:hAnsi="Arial" w:cs="Arial"/>
          <w:sz w:val="24"/>
          <w:szCs w:val="24"/>
        </w:rPr>
      </w:pPr>
    </w:p>
    <w:p w14:paraId="1E76803B" w14:textId="77777777" w:rsidR="00435A5C" w:rsidRPr="00DA5839" w:rsidRDefault="00435A5C" w:rsidP="002F6C78">
      <w:pPr>
        <w:pStyle w:val="ListParagraph"/>
        <w:rPr>
          <w:rFonts w:ascii="Arial" w:hAnsi="Arial" w:cs="Arial"/>
          <w:sz w:val="24"/>
          <w:szCs w:val="24"/>
        </w:rPr>
      </w:pPr>
    </w:p>
    <w:p w14:paraId="5A2E4357" w14:textId="6E7CBA23" w:rsidR="002F6C78" w:rsidRPr="00435A5C" w:rsidRDefault="00435A5C" w:rsidP="00435A5C">
      <w:pPr>
        <w:pStyle w:val="ListParagraph"/>
        <w:numPr>
          <w:ilvl w:val="0"/>
          <w:numId w:val="19"/>
        </w:numPr>
        <w:tabs>
          <w:tab w:val="left" w:pos="4068"/>
        </w:tabs>
        <w:jc w:val="center"/>
        <w:rPr>
          <w:rFonts w:ascii="Arial" w:hAnsi="Arial" w:cs="Arial"/>
          <w:b/>
          <w:bCs/>
          <w:sz w:val="28"/>
          <w:szCs w:val="28"/>
        </w:rPr>
      </w:pPr>
      <w:r w:rsidRPr="00435A5C">
        <w:rPr>
          <w:rFonts w:ascii="Arial" w:hAnsi="Arial" w:cs="Arial"/>
          <w:b/>
          <w:bCs/>
          <w:sz w:val="28"/>
          <w:szCs w:val="28"/>
        </w:rPr>
        <w:t>Market Position:</w:t>
      </w:r>
    </w:p>
    <w:p w14:paraId="5F47C479" w14:textId="5F494C44" w:rsidR="002F6C78" w:rsidRPr="00DA5839" w:rsidRDefault="002F6C78" w:rsidP="002F6C78">
      <w:pPr>
        <w:tabs>
          <w:tab w:val="left" w:pos="4068"/>
        </w:tabs>
        <w:jc w:val="both"/>
        <w:rPr>
          <w:rFonts w:ascii="Arial" w:hAnsi="Arial" w:cs="Arial"/>
          <w:sz w:val="24"/>
          <w:szCs w:val="24"/>
        </w:rPr>
      </w:pPr>
    </w:p>
    <w:p w14:paraId="19FFC5A4" w14:textId="7F3D9225" w:rsidR="002F6C78" w:rsidRDefault="00435A5C" w:rsidP="00867E37">
      <w:pPr>
        <w:pStyle w:val="ListParagraph"/>
        <w:numPr>
          <w:ilvl w:val="0"/>
          <w:numId w:val="20"/>
        </w:numPr>
        <w:tabs>
          <w:tab w:val="left" w:pos="4068"/>
        </w:tabs>
        <w:jc w:val="both"/>
        <w:rPr>
          <w:rFonts w:ascii="Arial" w:hAnsi="Arial" w:cs="Arial"/>
          <w:sz w:val="24"/>
          <w:szCs w:val="24"/>
        </w:rPr>
      </w:pPr>
      <w:r w:rsidRPr="00867E37">
        <w:rPr>
          <w:rStyle w:val="Strong"/>
          <w:rFonts w:ascii="Arial" w:hAnsi="Arial" w:cs="Arial"/>
          <w:sz w:val="24"/>
          <w:szCs w:val="24"/>
        </w:rPr>
        <w:t>L’Oréal Group</w:t>
      </w:r>
      <w:r w:rsidRPr="00867E37">
        <w:rPr>
          <w:rFonts w:ascii="Arial" w:hAnsi="Arial" w:cs="Arial"/>
          <w:sz w:val="24"/>
          <w:szCs w:val="24"/>
        </w:rPr>
        <w:t xml:space="preserve"> is the world’s largest cosmetics company, with more than 30 brands across categories such as skincare, makeup, haircare, and fragrance. According to 2024 financial reports, it commands roughly </w:t>
      </w:r>
      <w:r w:rsidRPr="00867E37">
        <w:rPr>
          <w:rStyle w:val="Strong"/>
          <w:rFonts w:ascii="Arial" w:hAnsi="Arial" w:cs="Arial"/>
          <w:b w:val="0"/>
          <w:bCs w:val="0"/>
          <w:sz w:val="24"/>
          <w:szCs w:val="24"/>
        </w:rPr>
        <w:t>12–13% global market share</w:t>
      </w:r>
      <w:r w:rsidRPr="00867E37">
        <w:rPr>
          <w:rFonts w:ascii="Arial" w:hAnsi="Arial" w:cs="Arial"/>
          <w:sz w:val="24"/>
          <w:szCs w:val="24"/>
        </w:rPr>
        <w:t xml:space="preserve"> in the beauty and personal-care industry, with revenues exceeding </w:t>
      </w:r>
      <w:r w:rsidRPr="00867E37">
        <w:rPr>
          <w:rStyle w:val="Strong"/>
          <w:rFonts w:ascii="Arial" w:hAnsi="Arial" w:cs="Arial"/>
          <w:b w:val="0"/>
          <w:bCs w:val="0"/>
          <w:sz w:val="24"/>
          <w:szCs w:val="24"/>
        </w:rPr>
        <w:t>€40 billion</w:t>
      </w:r>
      <w:r w:rsidRPr="00867E37">
        <w:rPr>
          <w:rFonts w:ascii="Arial" w:hAnsi="Arial" w:cs="Arial"/>
          <w:b/>
          <w:bCs/>
          <w:sz w:val="24"/>
          <w:szCs w:val="24"/>
        </w:rPr>
        <w:t>.</w:t>
      </w:r>
      <w:r w:rsidRPr="00867E37">
        <w:rPr>
          <w:rFonts w:ascii="Arial" w:hAnsi="Arial" w:cs="Arial"/>
          <w:sz w:val="24"/>
          <w:szCs w:val="24"/>
        </w:rPr>
        <w:t xml:space="preserve"> The firm strategically positions itself as a </w:t>
      </w:r>
      <w:r w:rsidRPr="00867E37">
        <w:rPr>
          <w:rStyle w:val="Strong"/>
          <w:rFonts w:ascii="Arial" w:hAnsi="Arial" w:cs="Arial"/>
          <w:b w:val="0"/>
          <w:bCs w:val="0"/>
          <w:sz w:val="24"/>
          <w:szCs w:val="24"/>
        </w:rPr>
        <w:t>“beauty-tech” leader</w:t>
      </w:r>
      <w:r w:rsidRPr="00867E37">
        <w:rPr>
          <w:rFonts w:ascii="Arial" w:hAnsi="Arial" w:cs="Arial"/>
          <w:sz w:val="24"/>
          <w:szCs w:val="24"/>
        </w:rPr>
        <w:t>, integrating digital innovation, personalization, and sustainability into its brand promise of “beauty for all.”</w:t>
      </w:r>
    </w:p>
    <w:p w14:paraId="781C9963" w14:textId="77777777" w:rsidR="00867E37" w:rsidRPr="00867E37" w:rsidRDefault="00867E37" w:rsidP="00867E37">
      <w:pPr>
        <w:pStyle w:val="ListParagraph"/>
        <w:tabs>
          <w:tab w:val="left" w:pos="4068"/>
        </w:tabs>
        <w:jc w:val="both"/>
        <w:rPr>
          <w:rFonts w:ascii="Arial" w:hAnsi="Arial" w:cs="Arial"/>
          <w:sz w:val="24"/>
          <w:szCs w:val="24"/>
        </w:rPr>
      </w:pPr>
    </w:p>
    <w:p w14:paraId="279F6AE8" w14:textId="58546216" w:rsidR="00867E37" w:rsidRDefault="00435A5C" w:rsidP="00867E37">
      <w:pPr>
        <w:pStyle w:val="ListParagraph"/>
        <w:numPr>
          <w:ilvl w:val="0"/>
          <w:numId w:val="20"/>
        </w:numPr>
        <w:tabs>
          <w:tab w:val="left" w:pos="4068"/>
        </w:tabs>
        <w:jc w:val="both"/>
        <w:rPr>
          <w:rFonts w:ascii="Arial" w:hAnsi="Arial" w:cs="Arial"/>
          <w:b/>
          <w:bCs/>
          <w:sz w:val="24"/>
          <w:szCs w:val="24"/>
        </w:rPr>
      </w:pPr>
      <w:r w:rsidRPr="00867E37">
        <w:rPr>
          <w:rStyle w:val="Strong"/>
          <w:rFonts w:ascii="Arial" w:hAnsi="Arial" w:cs="Arial"/>
          <w:sz w:val="24"/>
          <w:szCs w:val="24"/>
        </w:rPr>
        <w:t>Dove</w:t>
      </w:r>
      <w:r w:rsidRPr="00867E37">
        <w:rPr>
          <w:rFonts w:ascii="Arial" w:hAnsi="Arial" w:cs="Arial"/>
          <w:sz w:val="24"/>
          <w:szCs w:val="24"/>
        </w:rPr>
        <w:t xml:space="preserve">, owned by </w:t>
      </w:r>
      <w:r w:rsidRPr="00867E37">
        <w:rPr>
          <w:rStyle w:val="Strong"/>
          <w:rFonts w:ascii="Arial" w:hAnsi="Arial" w:cs="Arial"/>
          <w:b w:val="0"/>
          <w:bCs w:val="0"/>
          <w:sz w:val="24"/>
          <w:szCs w:val="24"/>
        </w:rPr>
        <w:t>Unilever</w:t>
      </w:r>
      <w:r w:rsidRPr="00867E37">
        <w:rPr>
          <w:rFonts w:ascii="Arial" w:hAnsi="Arial" w:cs="Arial"/>
          <w:sz w:val="24"/>
          <w:szCs w:val="24"/>
        </w:rPr>
        <w:t xml:space="preserve">, is a top-five global beauty and personal-care brand within a portfolio of over 400 Unilever products. Dove’s market share in skincare and bath categories varies regionally but remains a global leader in </w:t>
      </w:r>
      <w:r w:rsidRPr="00867E37">
        <w:rPr>
          <w:rStyle w:val="Strong"/>
          <w:rFonts w:ascii="Arial" w:hAnsi="Arial" w:cs="Arial"/>
          <w:b w:val="0"/>
          <w:bCs w:val="0"/>
          <w:sz w:val="24"/>
          <w:szCs w:val="24"/>
        </w:rPr>
        <w:t>moisturizing bar soap and body wash</w:t>
      </w:r>
      <w:r w:rsidRPr="00867E37">
        <w:rPr>
          <w:rFonts w:ascii="Arial" w:hAnsi="Arial" w:cs="Arial"/>
          <w:sz w:val="24"/>
          <w:szCs w:val="24"/>
        </w:rPr>
        <w:t xml:space="preserve">, contributing to Unilever’s annual beauty and wellbeing revenue of over </w:t>
      </w:r>
      <w:r w:rsidRPr="00867E37">
        <w:rPr>
          <w:rStyle w:val="Strong"/>
          <w:rFonts w:ascii="Arial" w:hAnsi="Arial" w:cs="Arial"/>
          <w:b w:val="0"/>
          <w:bCs w:val="0"/>
          <w:sz w:val="24"/>
          <w:szCs w:val="24"/>
        </w:rPr>
        <w:t>€12 billion (2024)</w:t>
      </w:r>
      <w:r w:rsidRPr="00867E37">
        <w:rPr>
          <w:rFonts w:ascii="Arial" w:hAnsi="Arial" w:cs="Arial"/>
          <w:sz w:val="24"/>
          <w:szCs w:val="24"/>
        </w:rPr>
        <w:t xml:space="preserve">. Dove’s positioning is distinct: a </w:t>
      </w:r>
      <w:r w:rsidRPr="00867E37">
        <w:rPr>
          <w:rStyle w:val="Strong"/>
          <w:rFonts w:ascii="Arial" w:hAnsi="Arial" w:cs="Arial"/>
          <w:b w:val="0"/>
          <w:bCs w:val="0"/>
          <w:sz w:val="24"/>
          <w:szCs w:val="24"/>
        </w:rPr>
        <w:t>purpose-driven brand</w:t>
      </w:r>
      <w:r w:rsidRPr="00867E37">
        <w:rPr>
          <w:rFonts w:ascii="Arial" w:hAnsi="Arial" w:cs="Arial"/>
          <w:sz w:val="24"/>
          <w:szCs w:val="24"/>
        </w:rPr>
        <w:t xml:space="preserve"> rooted in </w:t>
      </w:r>
      <w:r w:rsidRPr="00867E37">
        <w:rPr>
          <w:rStyle w:val="Emphasis"/>
          <w:rFonts w:ascii="Arial" w:hAnsi="Arial" w:cs="Arial"/>
          <w:sz w:val="24"/>
          <w:szCs w:val="24"/>
        </w:rPr>
        <w:t>authenticity, inclusivity, and body positivity</w:t>
      </w:r>
      <w:r w:rsidRPr="00867E37">
        <w:rPr>
          <w:rFonts w:ascii="Arial" w:hAnsi="Arial" w:cs="Arial"/>
          <w:sz w:val="24"/>
          <w:szCs w:val="24"/>
        </w:rPr>
        <w:t xml:space="preserve">, articulated through its “Real Beauty” campaign and its advocacy initiatives such as the </w:t>
      </w:r>
      <w:r w:rsidRPr="00867E37">
        <w:rPr>
          <w:rStyle w:val="Strong"/>
          <w:rFonts w:ascii="Arial" w:hAnsi="Arial" w:cs="Arial"/>
          <w:b w:val="0"/>
          <w:bCs w:val="0"/>
          <w:sz w:val="24"/>
          <w:szCs w:val="24"/>
        </w:rPr>
        <w:t>Dove Self-Esteem Project</w:t>
      </w:r>
      <w:r w:rsidRPr="00867E37">
        <w:rPr>
          <w:rFonts w:ascii="Arial" w:hAnsi="Arial" w:cs="Arial"/>
          <w:b/>
          <w:bCs/>
          <w:sz w:val="24"/>
          <w:szCs w:val="24"/>
        </w:rPr>
        <w:t>.</w:t>
      </w:r>
    </w:p>
    <w:p w14:paraId="3843C108" w14:textId="77777777" w:rsidR="00867E37" w:rsidRPr="00867E37" w:rsidRDefault="00867E37" w:rsidP="00867E37">
      <w:pPr>
        <w:tabs>
          <w:tab w:val="left" w:pos="4068"/>
        </w:tabs>
        <w:jc w:val="both"/>
        <w:rPr>
          <w:rFonts w:ascii="Arial" w:hAnsi="Arial" w:cs="Arial"/>
          <w:b/>
          <w:bCs/>
          <w:sz w:val="24"/>
          <w:szCs w:val="24"/>
        </w:rPr>
      </w:pPr>
    </w:p>
    <w:p w14:paraId="6262F8C3" w14:textId="77777777" w:rsidR="00435A5C" w:rsidRPr="00867E37" w:rsidRDefault="00435A5C" w:rsidP="00867E37">
      <w:pPr>
        <w:pStyle w:val="ListParagraph"/>
        <w:numPr>
          <w:ilvl w:val="0"/>
          <w:numId w:val="20"/>
        </w:numPr>
        <w:spacing w:before="100" w:beforeAutospacing="1" w:after="100" w:afterAutospacing="1" w:line="240" w:lineRule="auto"/>
        <w:jc w:val="both"/>
        <w:rPr>
          <w:rFonts w:ascii="Arial" w:eastAsia="Times New Roman" w:hAnsi="Arial" w:cs="Arial"/>
          <w:sz w:val="24"/>
          <w:szCs w:val="24"/>
        </w:rPr>
      </w:pPr>
      <w:r w:rsidRPr="00867E37">
        <w:rPr>
          <w:rFonts w:ascii="Arial" w:eastAsia="Times New Roman" w:hAnsi="Arial" w:cs="Arial"/>
          <w:sz w:val="24"/>
          <w:szCs w:val="24"/>
        </w:rPr>
        <w:t>While both brands share markets and consumer segments, L’Oréal competes on innovation and technology, and Dove competes on emotional connection and ethics — complementary but contrasting strategies shaped by their macro-environmental interpretations.</w:t>
      </w:r>
    </w:p>
    <w:p w14:paraId="0A048694" w14:textId="77777777" w:rsidR="00435A5C" w:rsidRPr="00DA5839" w:rsidRDefault="00435A5C" w:rsidP="002F6C78">
      <w:pPr>
        <w:tabs>
          <w:tab w:val="left" w:pos="4068"/>
        </w:tabs>
        <w:jc w:val="both"/>
        <w:rPr>
          <w:rFonts w:ascii="Arial" w:hAnsi="Arial" w:cs="Arial"/>
          <w:sz w:val="24"/>
          <w:szCs w:val="24"/>
        </w:rPr>
      </w:pPr>
    </w:p>
    <w:p w14:paraId="3A5D97A3" w14:textId="338F1877" w:rsidR="002F6C78" w:rsidRPr="00DA5839" w:rsidRDefault="002F6C78" w:rsidP="002F6C78">
      <w:pPr>
        <w:tabs>
          <w:tab w:val="left" w:pos="4068"/>
        </w:tabs>
        <w:jc w:val="both"/>
        <w:rPr>
          <w:rFonts w:ascii="Arial" w:hAnsi="Arial" w:cs="Arial"/>
          <w:sz w:val="24"/>
          <w:szCs w:val="24"/>
        </w:rPr>
      </w:pPr>
    </w:p>
    <w:p w14:paraId="4CEA68BB" w14:textId="77777777" w:rsidR="00DB5A29" w:rsidRPr="00DA5839" w:rsidRDefault="00DB5A29" w:rsidP="002F6C78">
      <w:pPr>
        <w:tabs>
          <w:tab w:val="left" w:pos="4068"/>
        </w:tabs>
        <w:jc w:val="both"/>
        <w:rPr>
          <w:rFonts w:ascii="Arial" w:hAnsi="Arial" w:cs="Arial"/>
          <w:sz w:val="24"/>
          <w:szCs w:val="24"/>
        </w:rPr>
      </w:pPr>
    </w:p>
    <w:p w14:paraId="7D59D465" w14:textId="7A36191B" w:rsidR="002F6C78" w:rsidRPr="00DA5839" w:rsidRDefault="002F6C78" w:rsidP="002F6C78">
      <w:pPr>
        <w:tabs>
          <w:tab w:val="left" w:pos="4068"/>
        </w:tabs>
        <w:jc w:val="both"/>
        <w:rPr>
          <w:rFonts w:ascii="Arial" w:hAnsi="Arial" w:cs="Arial"/>
          <w:sz w:val="24"/>
          <w:szCs w:val="24"/>
        </w:rPr>
      </w:pPr>
    </w:p>
    <w:p w14:paraId="086E08BD" w14:textId="0051EBBE" w:rsidR="002F6C78" w:rsidRPr="00DA5839" w:rsidRDefault="002F6C78" w:rsidP="002F6C78">
      <w:pPr>
        <w:tabs>
          <w:tab w:val="left" w:pos="4068"/>
        </w:tabs>
        <w:jc w:val="both"/>
        <w:rPr>
          <w:rFonts w:ascii="Arial" w:hAnsi="Arial" w:cs="Arial"/>
          <w:sz w:val="24"/>
          <w:szCs w:val="24"/>
        </w:rPr>
      </w:pPr>
    </w:p>
    <w:p w14:paraId="61CD8A86" w14:textId="17B901F6" w:rsidR="002F6C78" w:rsidRPr="00A06620" w:rsidRDefault="002F6C78" w:rsidP="002F6C78">
      <w:pPr>
        <w:tabs>
          <w:tab w:val="left" w:pos="4068"/>
        </w:tabs>
        <w:jc w:val="center"/>
        <w:rPr>
          <w:rFonts w:ascii="Arial" w:hAnsi="Arial" w:cs="Arial"/>
          <w:b/>
          <w:bCs/>
          <w:sz w:val="28"/>
          <w:szCs w:val="28"/>
        </w:rPr>
      </w:pPr>
      <w:r w:rsidRPr="00A06620">
        <w:rPr>
          <w:rFonts w:ascii="Arial" w:hAnsi="Arial" w:cs="Arial"/>
          <w:b/>
          <w:bCs/>
          <w:sz w:val="28"/>
          <w:szCs w:val="28"/>
        </w:rPr>
        <w:t>Conclusion:</w:t>
      </w:r>
    </w:p>
    <w:p w14:paraId="2F8D0359" w14:textId="4BCD054D" w:rsidR="002F6C78" w:rsidRPr="00DA5839" w:rsidRDefault="0055518E" w:rsidP="0055518E">
      <w:pPr>
        <w:tabs>
          <w:tab w:val="left" w:pos="4068"/>
        </w:tabs>
        <w:jc w:val="both"/>
        <w:rPr>
          <w:rFonts w:ascii="Arial" w:hAnsi="Arial" w:cs="Arial"/>
          <w:sz w:val="24"/>
          <w:szCs w:val="24"/>
        </w:rPr>
      </w:pPr>
      <w:r w:rsidRPr="00DA5839">
        <w:rPr>
          <w:rFonts w:ascii="Arial" w:hAnsi="Arial" w:cs="Arial"/>
          <w:sz w:val="24"/>
          <w:szCs w:val="24"/>
        </w:rPr>
        <w:t xml:space="preserve">Technological and sociocultural/environmental macro forces are transforming beauty marketing. Pioneers like L’Oréal gain the potential for platform advantages — personalization, differentiated product ecosystems and sustainability leadership — but face high investment, execution and reputational risks. Followers like Dove can use scale, trusted brand equity and pragmatic sustainability pilots to capture value while avoiding the heaviest upfront R&amp;D costs. The best long-term strategies combine authentic purpose, data-enabled consumer experiences, and operational credibility: pioneers should ensure that innovation translates to measurable environmental and consumer outcomes, while followers should use their scale to implement concrete, verifiable solutions and maintain authentic storytelling. The L’Oréal </w:t>
      </w:r>
      <w:proofErr w:type="spellStart"/>
      <w:r w:rsidRPr="00DA5839">
        <w:rPr>
          <w:rFonts w:ascii="Arial" w:hAnsi="Arial" w:cs="Arial"/>
          <w:sz w:val="24"/>
          <w:szCs w:val="24"/>
        </w:rPr>
        <w:t>Elvive</w:t>
      </w:r>
      <w:proofErr w:type="spellEnd"/>
      <w:r w:rsidRPr="00DA5839">
        <w:rPr>
          <w:rFonts w:ascii="Arial" w:hAnsi="Arial" w:cs="Arial"/>
          <w:sz w:val="24"/>
          <w:szCs w:val="24"/>
        </w:rPr>
        <w:t xml:space="preserve"> vs Dove Nutritive Solutions comparison highlights how these differences appear at the SKU level: science-led differentiation vs everyday trusted care and scalable refill approaches — different strategic paths, each with distinct opportunities and threats in a rapidly changing macro environment.</w:t>
      </w:r>
    </w:p>
    <w:p w14:paraId="042C7A18" w14:textId="39548B03" w:rsidR="002F6C78" w:rsidRPr="00DA5839" w:rsidRDefault="002F6C78" w:rsidP="002F6C78">
      <w:pPr>
        <w:tabs>
          <w:tab w:val="left" w:pos="4068"/>
        </w:tabs>
        <w:jc w:val="center"/>
        <w:rPr>
          <w:rFonts w:ascii="Arial" w:hAnsi="Arial" w:cs="Arial"/>
          <w:b/>
          <w:bCs/>
          <w:sz w:val="24"/>
          <w:szCs w:val="24"/>
        </w:rPr>
      </w:pPr>
    </w:p>
    <w:p w14:paraId="7B65D6F1" w14:textId="0CF3C820" w:rsidR="002F6C78" w:rsidRPr="00DA5839" w:rsidRDefault="002F6C78" w:rsidP="002F6C78">
      <w:pPr>
        <w:tabs>
          <w:tab w:val="left" w:pos="4068"/>
        </w:tabs>
        <w:jc w:val="center"/>
        <w:rPr>
          <w:rFonts w:ascii="Arial" w:hAnsi="Arial" w:cs="Arial"/>
          <w:b/>
          <w:bCs/>
          <w:sz w:val="24"/>
          <w:szCs w:val="24"/>
        </w:rPr>
      </w:pPr>
    </w:p>
    <w:p w14:paraId="7F512EBD" w14:textId="687B14EC" w:rsidR="002F6C78" w:rsidRPr="00DA5839" w:rsidRDefault="002F6C78" w:rsidP="002F6C78">
      <w:pPr>
        <w:tabs>
          <w:tab w:val="left" w:pos="4068"/>
        </w:tabs>
        <w:jc w:val="center"/>
        <w:rPr>
          <w:rFonts w:ascii="Arial" w:hAnsi="Arial" w:cs="Arial"/>
          <w:b/>
          <w:bCs/>
          <w:sz w:val="24"/>
          <w:szCs w:val="24"/>
        </w:rPr>
      </w:pPr>
    </w:p>
    <w:p w14:paraId="54DEA322" w14:textId="7C2543C9" w:rsidR="002F6C78" w:rsidRPr="00DA5839" w:rsidRDefault="002F6C78" w:rsidP="002F6C78">
      <w:pPr>
        <w:tabs>
          <w:tab w:val="left" w:pos="4068"/>
        </w:tabs>
        <w:jc w:val="center"/>
        <w:rPr>
          <w:rFonts w:ascii="Arial" w:hAnsi="Arial" w:cs="Arial"/>
          <w:b/>
          <w:bCs/>
          <w:sz w:val="24"/>
          <w:szCs w:val="24"/>
        </w:rPr>
      </w:pPr>
    </w:p>
    <w:p w14:paraId="3CA68090" w14:textId="5A9EE89B" w:rsidR="002F6C78" w:rsidRPr="00DA5839" w:rsidRDefault="002F6C78" w:rsidP="002F6C78">
      <w:pPr>
        <w:tabs>
          <w:tab w:val="left" w:pos="4068"/>
        </w:tabs>
        <w:jc w:val="center"/>
        <w:rPr>
          <w:rFonts w:ascii="Arial" w:hAnsi="Arial" w:cs="Arial"/>
          <w:b/>
          <w:bCs/>
          <w:sz w:val="24"/>
          <w:szCs w:val="24"/>
        </w:rPr>
      </w:pPr>
    </w:p>
    <w:p w14:paraId="1D4E696A" w14:textId="642EB895" w:rsidR="002F6C78" w:rsidRPr="00DA5839" w:rsidRDefault="002F6C78" w:rsidP="002F6C78">
      <w:pPr>
        <w:tabs>
          <w:tab w:val="left" w:pos="4068"/>
        </w:tabs>
        <w:jc w:val="center"/>
        <w:rPr>
          <w:rFonts w:ascii="Arial" w:hAnsi="Arial" w:cs="Arial"/>
          <w:b/>
          <w:bCs/>
          <w:sz w:val="24"/>
          <w:szCs w:val="24"/>
        </w:rPr>
      </w:pPr>
    </w:p>
    <w:p w14:paraId="6F6C2B5B" w14:textId="23C82C3C" w:rsidR="002F6C78" w:rsidRPr="00DA5839" w:rsidRDefault="002F6C78" w:rsidP="002F6C78">
      <w:pPr>
        <w:tabs>
          <w:tab w:val="left" w:pos="4068"/>
        </w:tabs>
        <w:jc w:val="center"/>
        <w:rPr>
          <w:rFonts w:ascii="Arial" w:hAnsi="Arial" w:cs="Arial"/>
          <w:b/>
          <w:bCs/>
          <w:sz w:val="24"/>
          <w:szCs w:val="24"/>
        </w:rPr>
      </w:pPr>
    </w:p>
    <w:p w14:paraId="5155BC1C" w14:textId="611E4E7E" w:rsidR="002F6C78" w:rsidRPr="00DA5839" w:rsidRDefault="002F6C78" w:rsidP="002F6C78">
      <w:pPr>
        <w:tabs>
          <w:tab w:val="left" w:pos="4068"/>
        </w:tabs>
        <w:jc w:val="center"/>
        <w:rPr>
          <w:rFonts w:ascii="Arial" w:hAnsi="Arial" w:cs="Arial"/>
          <w:b/>
          <w:bCs/>
          <w:sz w:val="24"/>
          <w:szCs w:val="24"/>
        </w:rPr>
      </w:pPr>
    </w:p>
    <w:p w14:paraId="62B62D2F" w14:textId="01F0561F" w:rsidR="002F6C78" w:rsidRPr="00DA5839" w:rsidRDefault="002F6C78" w:rsidP="002F6C78">
      <w:pPr>
        <w:tabs>
          <w:tab w:val="left" w:pos="4068"/>
        </w:tabs>
        <w:jc w:val="center"/>
        <w:rPr>
          <w:rFonts w:ascii="Arial" w:hAnsi="Arial" w:cs="Arial"/>
          <w:b/>
          <w:bCs/>
          <w:sz w:val="24"/>
          <w:szCs w:val="24"/>
        </w:rPr>
      </w:pPr>
    </w:p>
    <w:p w14:paraId="7C2481E7" w14:textId="1F98864A" w:rsidR="002F6C78" w:rsidRPr="00DA5839" w:rsidRDefault="002F6C78" w:rsidP="002F6C78">
      <w:pPr>
        <w:tabs>
          <w:tab w:val="left" w:pos="4068"/>
        </w:tabs>
        <w:jc w:val="center"/>
        <w:rPr>
          <w:rFonts w:ascii="Arial" w:hAnsi="Arial" w:cs="Arial"/>
          <w:b/>
          <w:bCs/>
          <w:sz w:val="24"/>
          <w:szCs w:val="24"/>
        </w:rPr>
      </w:pPr>
    </w:p>
    <w:p w14:paraId="396489BE" w14:textId="61051517" w:rsidR="002F6C78" w:rsidRPr="00DA5839" w:rsidRDefault="002F6C78" w:rsidP="002F6C78">
      <w:pPr>
        <w:tabs>
          <w:tab w:val="left" w:pos="4068"/>
        </w:tabs>
        <w:jc w:val="center"/>
        <w:rPr>
          <w:rFonts w:ascii="Arial" w:hAnsi="Arial" w:cs="Arial"/>
          <w:b/>
          <w:bCs/>
          <w:sz w:val="24"/>
          <w:szCs w:val="24"/>
        </w:rPr>
      </w:pPr>
    </w:p>
    <w:p w14:paraId="1B06EFBF" w14:textId="74282470" w:rsidR="002F6C78" w:rsidRPr="00DA5839" w:rsidRDefault="002F6C78" w:rsidP="002F6C78">
      <w:pPr>
        <w:tabs>
          <w:tab w:val="left" w:pos="4068"/>
        </w:tabs>
        <w:jc w:val="center"/>
        <w:rPr>
          <w:rFonts w:ascii="Arial" w:hAnsi="Arial" w:cs="Arial"/>
          <w:b/>
          <w:bCs/>
          <w:sz w:val="24"/>
          <w:szCs w:val="24"/>
        </w:rPr>
      </w:pPr>
    </w:p>
    <w:p w14:paraId="430AC36A" w14:textId="0EF7948D" w:rsidR="002F6C78" w:rsidRPr="00DA5839" w:rsidRDefault="002F6C78" w:rsidP="002F6C78">
      <w:pPr>
        <w:tabs>
          <w:tab w:val="left" w:pos="4068"/>
        </w:tabs>
        <w:jc w:val="center"/>
        <w:rPr>
          <w:rFonts w:ascii="Arial" w:hAnsi="Arial" w:cs="Arial"/>
          <w:b/>
          <w:bCs/>
          <w:sz w:val="24"/>
          <w:szCs w:val="24"/>
        </w:rPr>
      </w:pPr>
    </w:p>
    <w:p w14:paraId="3775DCD9" w14:textId="2F399EC9" w:rsidR="002F6C78" w:rsidRPr="00DA5839" w:rsidRDefault="002F6C78" w:rsidP="002F6C78">
      <w:pPr>
        <w:tabs>
          <w:tab w:val="left" w:pos="4068"/>
        </w:tabs>
        <w:jc w:val="center"/>
        <w:rPr>
          <w:rFonts w:ascii="Arial" w:hAnsi="Arial" w:cs="Arial"/>
          <w:b/>
          <w:bCs/>
          <w:sz w:val="24"/>
          <w:szCs w:val="24"/>
        </w:rPr>
      </w:pPr>
    </w:p>
    <w:p w14:paraId="65E8CE27" w14:textId="77777777" w:rsidR="00E9672D" w:rsidRPr="00DA5839" w:rsidRDefault="00E9672D" w:rsidP="002F6C78">
      <w:pPr>
        <w:tabs>
          <w:tab w:val="left" w:pos="4068"/>
        </w:tabs>
        <w:jc w:val="center"/>
        <w:rPr>
          <w:rFonts w:ascii="Arial" w:hAnsi="Arial" w:cs="Arial"/>
          <w:b/>
          <w:bCs/>
          <w:sz w:val="24"/>
          <w:szCs w:val="24"/>
        </w:rPr>
      </w:pPr>
    </w:p>
    <w:p w14:paraId="69FE74FB" w14:textId="61DAB58C" w:rsidR="002F6C78" w:rsidRPr="00DA5839" w:rsidRDefault="002F6C78" w:rsidP="002F6C78">
      <w:pPr>
        <w:tabs>
          <w:tab w:val="left" w:pos="4068"/>
        </w:tabs>
        <w:jc w:val="center"/>
        <w:rPr>
          <w:rFonts w:ascii="Arial" w:hAnsi="Arial" w:cs="Arial"/>
          <w:b/>
          <w:bCs/>
          <w:sz w:val="24"/>
          <w:szCs w:val="24"/>
        </w:rPr>
      </w:pPr>
    </w:p>
    <w:p w14:paraId="1E739913" w14:textId="53C41FE1" w:rsidR="002F6C78" w:rsidRPr="00DA5839" w:rsidRDefault="002F6C78" w:rsidP="002F6C78">
      <w:pPr>
        <w:tabs>
          <w:tab w:val="left" w:pos="4068"/>
        </w:tabs>
        <w:jc w:val="center"/>
        <w:rPr>
          <w:rFonts w:ascii="Arial" w:hAnsi="Arial" w:cs="Arial"/>
          <w:b/>
          <w:bCs/>
          <w:sz w:val="24"/>
          <w:szCs w:val="24"/>
        </w:rPr>
      </w:pPr>
    </w:p>
    <w:p w14:paraId="38C5B70B" w14:textId="77777777" w:rsidR="00867E37" w:rsidRDefault="00867E37" w:rsidP="002F6C78">
      <w:pPr>
        <w:tabs>
          <w:tab w:val="left" w:pos="4068"/>
        </w:tabs>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References: </w:t>
      </w:r>
    </w:p>
    <w:p w14:paraId="1C8BBB04"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Lee, D. and Kim, Y. (2022). First-mover advantages and intentional knowledge spillover effects on cybersecurity start-ups’ financial and innovation performance: incentive for revealing innovations in high-tech emerging industry. </w:t>
      </w:r>
      <w:r w:rsidRPr="00DA5839">
        <w:rPr>
          <w:rFonts w:ascii="Arial" w:hAnsi="Arial" w:cs="Arial"/>
          <w:i/>
          <w:iCs/>
          <w:color w:val="000000"/>
        </w:rPr>
        <w:t>Asian Journal of Technology Innovation</w:t>
      </w:r>
      <w:r w:rsidRPr="00DA5839">
        <w:rPr>
          <w:rFonts w:ascii="Arial" w:hAnsi="Arial" w:cs="Arial"/>
          <w:color w:val="000000"/>
        </w:rPr>
        <w:t xml:space="preserve">, pp.1–19.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://doi.org/10.1080/19761597.2022.2148705</w:t>
      </w:r>
      <w:proofErr w:type="gramEnd"/>
      <w:r w:rsidRPr="00DA5839">
        <w:rPr>
          <w:rFonts w:ascii="Arial" w:hAnsi="Arial" w:cs="Arial"/>
          <w:color w:val="000000"/>
        </w:rPr>
        <w:t>.</w:t>
      </w:r>
    </w:p>
    <w:p w14:paraId="3792400D" w14:textId="77777777" w:rsidR="00867E37" w:rsidRPr="00DA5839" w:rsidRDefault="00867E37" w:rsidP="00867E37">
      <w:pPr>
        <w:pStyle w:val="NormalWeb"/>
        <w:spacing w:before="0" w:beforeAutospacing="0" w:after="0" w:afterAutospacing="0" w:line="360" w:lineRule="atLeast"/>
        <w:rPr>
          <w:rFonts w:ascii="Arial" w:hAnsi="Arial" w:cs="Arial"/>
          <w:color w:val="000000"/>
        </w:rPr>
      </w:pPr>
    </w:p>
    <w:p w14:paraId="00B00406"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Tong, Y. (2025). Enhancing user experience in human-robot interaction in manufacturing -ORCA. </w:t>
      </w:r>
      <w:r w:rsidRPr="00DA5839">
        <w:rPr>
          <w:rFonts w:ascii="Arial" w:hAnsi="Arial" w:cs="Arial"/>
          <w:i/>
          <w:iCs/>
          <w:color w:val="000000"/>
        </w:rPr>
        <w:t>Cardiff.ac.uk</w:t>
      </w:r>
      <w:r w:rsidRPr="00DA5839">
        <w:rPr>
          <w:rFonts w:ascii="Arial" w:hAnsi="Arial" w:cs="Arial"/>
          <w:color w:val="000000"/>
        </w:rPr>
        <w:t xml:space="preserve">. [online] </w:t>
      </w:r>
      <w:proofErr w:type="gramStart"/>
      <w:r w:rsidRPr="00DA5839">
        <w:rPr>
          <w:rFonts w:ascii="Arial" w:hAnsi="Arial" w:cs="Arial"/>
          <w:color w:val="000000"/>
        </w:rPr>
        <w:t>doi:https://orca.cardiff.ac.uk/id/eprint/180543/3/thesis_final%20%281%29.pdf</w:t>
      </w:r>
      <w:proofErr w:type="gramEnd"/>
      <w:r w:rsidRPr="00DA5839">
        <w:rPr>
          <w:rFonts w:ascii="Arial" w:hAnsi="Arial" w:cs="Arial"/>
          <w:color w:val="000000"/>
        </w:rPr>
        <w:t>.</w:t>
      </w:r>
    </w:p>
    <w:p w14:paraId="7B9710B9" w14:textId="77777777" w:rsidR="00867E37" w:rsidRPr="00DA5839" w:rsidRDefault="00867E37" w:rsidP="00867E37">
      <w:pPr>
        <w:pStyle w:val="ListParagraph"/>
        <w:rPr>
          <w:rFonts w:ascii="Arial" w:hAnsi="Arial" w:cs="Arial"/>
          <w:color w:val="000000"/>
          <w:sz w:val="24"/>
          <w:szCs w:val="24"/>
        </w:rPr>
      </w:pPr>
    </w:p>
    <w:p w14:paraId="6D699266"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 xml:space="preserve">Emerging Biotechnologies in Europe: Foresight for Policy. (n.d.).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://doi.org/10.2760/4814109</w:t>
      </w:r>
      <w:proofErr w:type="gramEnd"/>
      <w:r w:rsidRPr="00DA5839">
        <w:rPr>
          <w:rFonts w:ascii="Arial" w:hAnsi="Arial" w:cs="Arial"/>
          <w:color w:val="000000"/>
        </w:rPr>
        <w:t>.</w:t>
      </w:r>
    </w:p>
    <w:p w14:paraId="06224EEA" w14:textId="77777777" w:rsidR="00867E37" w:rsidRPr="00DA5839" w:rsidRDefault="00867E37" w:rsidP="00867E37">
      <w:pPr>
        <w:pStyle w:val="ListParagraph"/>
        <w:rPr>
          <w:rFonts w:ascii="Arial" w:hAnsi="Arial" w:cs="Arial"/>
          <w:color w:val="000000"/>
          <w:sz w:val="24"/>
          <w:szCs w:val="24"/>
        </w:rPr>
      </w:pPr>
    </w:p>
    <w:p w14:paraId="6D3A2439"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proofErr w:type="spellStart"/>
      <w:r w:rsidRPr="00DA5839">
        <w:rPr>
          <w:rFonts w:ascii="Arial" w:hAnsi="Arial" w:cs="Arial"/>
          <w:color w:val="000000"/>
        </w:rPr>
        <w:t>Shee</w:t>
      </w:r>
      <w:proofErr w:type="spellEnd"/>
      <w:r w:rsidRPr="00DA5839">
        <w:rPr>
          <w:rFonts w:ascii="Arial" w:hAnsi="Arial" w:cs="Arial"/>
          <w:color w:val="000000"/>
        </w:rPr>
        <w:t xml:space="preserve"> Weng, L. (2025). Circular Economy in Action: Case Studies of Transformative Supply Chain Practices. </w:t>
      </w:r>
      <w:r w:rsidRPr="00DA5839">
        <w:rPr>
          <w:rFonts w:ascii="Arial" w:hAnsi="Arial" w:cs="Arial"/>
          <w:i/>
          <w:iCs/>
          <w:color w:val="000000"/>
        </w:rPr>
        <w:t>Circular Economy in Action: Case Studies of Transformative Supply Chain Practices</w:t>
      </w:r>
      <w:r w:rsidRPr="00DA5839">
        <w:rPr>
          <w:rFonts w:ascii="Arial" w:hAnsi="Arial" w:cs="Arial"/>
          <w:color w:val="000000"/>
        </w:rPr>
        <w:t xml:space="preserve">. [online]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://doi.org/10.2139/ssrn.5152884</w:t>
      </w:r>
      <w:proofErr w:type="gramEnd"/>
      <w:r w:rsidRPr="00DA5839">
        <w:rPr>
          <w:rFonts w:ascii="Arial" w:hAnsi="Arial" w:cs="Arial"/>
          <w:color w:val="000000"/>
        </w:rPr>
        <w:t>.</w:t>
      </w:r>
    </w:p>
    <w:p w14:paraId="6A8C87E7" w14:textId="77777777" w:rsidR="00867E37" w:rsidRPr="00DA5839" w:rsidRDefault="00867E37" w:rsidP="00867E37">
      <w:pPr>
        <w:pStyle w:val="ListParagraph"/>
        <w:rPr>
          <w:rFonts w:ascii="Arial" w:hAnsi="Arial" w:cs="Arial"/>
          <w:color w:val="000000"/>
          <w:sz w:val="24"/>
          <w:szCs w:val="24"/>
        </w:rPr>
      </w:pPr>
    </w:p>
    <w:p w14:paraId="2C46AA05"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proofErr w:type="spellStart"/>
      <w:r w:rsidRPr="00DA5839">
        <w:rPr>
          <w:rFonts w:ascii="Arial" w:hAnsi="Arial" w:cs="Arial"/>
          <w:color w:val="000000"/>
        </w:rPr>
        <w:t>Tserenbat</w:t>
      </w:r>
      <w:proofErr w:type="spellEnd"/>
      <w:r w:rsidRPr="00DA5839">
        <w:rPr>
          <w:rFonts w:ascii="Arial" w:hAnsi="Arial" w:cs="Arial"/>
          <w:color w:val="000000"/>
        </w:rPr>
        <w:t>, U., Alm, L. and Kusche, F. (2024). </w:t>
      </w:r>
      <w:r w:rsidRPr="00DA5839">
        <w:rPr>
          <w:rFonts w:ascii="Arial" w:hAnsi="Arial" w:cs="Arial"/>
          <w:i/>
          <w:iCs/>
          <w:color w:val="000000"/>
        </w:rPr>
        <w:t>Why Longevity Wins - The Dove Blueprint for Long-Term Marketing Success</w:t>
      </w:r>
      <w:r w:rsidRPr="00DA5839">
        <w:rPr>
          <w:rFonts w:ascii="Arial" w:hAnsi="Arial" w:cs="Arial"/>
          <w:color w:val="000000"/>
        </w:rPr>
        <w:t>. [online] Lub.lu.se. Available at: http://lup.lub.lu.se/student-papers/record/9177705.</w:t>
      </w:r>
    </w:p>
    <w:p w14:paraId="2DF55A62" w14:textId="77777777" w:rsidR="00867E37" w:rsidRPr="00DA5839" w:rsidRDefault="00867E37" w:rsidP="00867E37">
      <w:pPr>
        <w:pStyle w:val="NormalWeb"/>
        <w:spacing w:before="0" w:beforeAutospacing="0" w:after="0" w:afterAutospacing="0" w:line="360" w:lineRule="atLeast"/>
        <w:ind w:left="720"/>
        <w:rPr>
          <w:rFonts w:ascii="Arial" w:hAnsi="Arial" w:cs="Arial"/>
          <w:color w:val="000000"/>
        </w:rPr>
      </w:pPr>
    </w:p>
    <w:p w14:paraId="38992FE7"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 xml:space="preserve">Baker, J.J., </w:t>
      </w:r>
      <w:proofErr w:type="spellStart"/>
      <w:r w:rsidRPr="00DA5839">
        <w:rPr>
          <w:rFonts w:ascii="Arial" w:hAnsi="Arial" w:cs="Arial"/>
          <w:color w:val="000000"/>
        </w:rPr>
        <w:t>Storbacka</w:t>
      </w:r>
      <w:proofErr w:type="spellEnd"/>
      <w:r w:rsidRPr="00DA5839">
        <w:rPr>
          <w:rFonts w:ascii="Arial" w:hAnsi="Arial" w:cs="Arial"/>
          <w:color w:val="000000"/>
        </w:rPr>
        <w:t>, K. and Brodie, R.J. (2018). Markets changing, changing markets: Institutional work as market shaping. </w:t>
      </w:r>
      <w:r w:rsidRPr="00DA5839">
        <w:rPr>
          <w:rFonts w:ascii="Arial" w:hAnsi="Arial" w:cs="Arial"/>
          <w:i/>
          <w:iCs/>
          <w:color w:val="000000"/>
        </w:rPr>
        <w:t>Marketing Theory</w:t>
      </w:r>
      <w:r w:rsidRPr="00DA5839">
        <w:rPr>
          <w:rFonts w:ascii="Arial" w:hAnsi="Arial" w:cs="Arial"/>
          <w:color w:val="000000"/>
        </w:rPr>
        <w:t xml:space="preserve">, 19(3), pp.301–328.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://doi.org/10.1177/1470593118809799</w:t>
      </w:r>
      <w:proofErr w:type="gramEnd"/>
      <w:r w:rsidRPr="00DA5839">
        <w:rPr>
          <w:rFonts w:ascii="Arial" w:hAnsi="Arial" w:cs="Arial"/>
          <w:color w:val="000000"/>
        </w:rPr>
        <w:t>.</w:t>
      </w:r>
    </w:p>
    <w:p w14:paraId="67CF83A3" w14:textId="77777777" w:rsidR="00867E37" w:rsidRPr="00DA5839" w:rsidRDefault="00867E37" w:rsidP="00867E37">
      <w:pPr>
        <w:pStyle w:val="NormalWeb"/>
        <w:spacing w:before="0" w:beforeAutospacing="0" w:after="0" w:afterAutospacing="0" w:line="360" w:lineRule="atLeast"/>
        <w:ind w:left="720"/>
        <w:rPr>
          <w:rFonts w:ascii="Arial" w:hAnsi="Arial" w:cs="Arial"/>
          <w:color w:val="000000"/>
        </w:rPr>
      </w:pPr>
    </w:p>
    <w:p w14:paraId="1EF9F270"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How to ensure that investment in new climate solutions is sufficient to avert catastrophic climate change. (2022). </w:t>
      </w:r>
      <w:r w:rsidRPr="00DA5839">
        <w:rPr>
          <w:rFonts w:ascii="Arial" w:hAnsi="Arial" w:cs="Arial"/>
          <w:i/>
          <w:iCs/>
          <w:color w:val="000000"/>
        </w:rPr>
        <w:t>Enhanced Direct Access: the first decade</w:t>
      </w:r>
      <w:r w:rsidRPr="00DA5839">
        <w:rPr>
          <w:rFonts w:ascii="Arial" w:hAnsi="Arial" w:cs="Arial"/>
          <w:color w:val="000000"/>
        </w:rPr>
        <w:t xml:space="preserve">, pp.445–474.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://doi.org/10.4337/9781784715656.00028</w:t>
      </w:r>
      <w:proofErr w:type="gramEnd"/>
      <w:r w:rsidRPr="00DA5839">
        <w:rPr>
          <w:rFonts w:ascii="Arial" w:hAnsi="Arial" w:cs="Arial"/>
          <w:color w:val="000000"/>
        </w:rPr>
        <w:t>.</w:t>
      </w:r>
    </w:p>
    <w:p w14:paraId="75D66D94" w14:textId="77777777" w:rsidR="00867E37" w:rsidRPr="00DA5839" w:rsidRDefault="00867E37" w:rsidP="00867E37">
      <w:pPr>
        <w:pStyle w:val="ListParagraph"/>
        <w:rPr>
          <w:rFonts w:ascii="Arial" w:hAnsi="Arial" w:cs="Arial"/>
          <w:color w:val="000000"/>
          <w:sz w:val="24"/>
          <w:szCs w:val="24"/>
        </w:rPr>
      </w:pPr>
    </w:p>
    <w:p w14:paraId="3E36BE20"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 xml:space="preserve">Jain, P., Chou, M.C., Fan, F. and Santoso, M.P. (2021). Embedding Sustainability in the Consumer Goods Innovation Cycle and Enabling Tools to </w:t>
      </w:r>
      <w:r w:rsidRPr="00DA5839">
        <w:rPr>
          <w:rFonts w:ascii="Arial" w:hAnsi="Arial" w:cs="Arial"/>
          <w:color w:val="000000"/>
        </w:rPr>
        <w:lastRenderedPageBreak/>
        <w:t>Measure Progress and Capabilities. </w:t>
      </w:r>
      <w:r w:rsidRPr="00DA5839">
        <w:rPr>
          <w:rFonts w:ascii="Arial" w:hAnsi="Arial" w:cs="Arial"/>
          <w:i/>
          <w:iCs/>
          <w:color w:val="000000"/>
        </w:rPr>
        <w:t>Sustainability</w:t>
      </w:r>
      <w:r w:rsidRPr="00DA5839">
        <w:rPr>
          <w:rFonts w:ascii="Arial" w:hAnsi="Arial" w:cs="Arial"/>
          <w:color w:val="000000"/>
        </w:rPr>
        <w:t xml:space="preserve">, [online] 13(12), p.6662.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://doi.org/10.3390/su13126662</w:t>
      </w:r>
      <w:proofErr w:type="gramEnd"/>
      <w:r w:rsidRPr="00DA5839">
        <w:rPr>
          <w:rFonts w:ascii="Arial" w:hAnsi="Arial" w:cs="Arial"/>
          <w:color w:val="000000"/>
        </w:rPr>
        <w:t>.</w:t>
      </w:r>
    </w:p>
    <w:p w14:paraId="5528B91A" w14:textId="77777777" w:rsidR="00867E37" w:rsidRPr="00DA5839" w:rsidRDefault="00867E37" w:rsidP="00867E37">
      <w:pPr>
        <w:pStyle w:val="ListParagraph"/>
        <w:rPr>
          <w:rFonts w:ascii="Arial" w:hAnsi="Arial" w:cs="Arial"/>
          <w:color w:val="000000"/>
          <w:sz w:val="24"/>
          <w:szCs w:val="24"/>
        </w:rPr>
      </w:pPr>
    </w:p>
    <w:p w14:paraId="1651EE5E"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Dube, M. and Dube, S. (2023). Towards Sustainable Color Cosmetics Packaging. </w:t>
      </w:r>
      <w:r w:rsidRPr="00DA5839">
        <w:rPr>
          <w:rFonts w:ascii="Arial" w:hAnsi="Arial" w:cs="Arial"/>
          <w:i/>
          <w:iCs/>
          <w:color w:val="000000"/>
        </w:rPr>
        <w:t>Cosmetics</w:t>
      </w:r>
      <w:r w:rsidRPr="00DA5839">
        <w:rPr>
          <w:rFonts w:ascii="Arial" w:hAnsi="Arial" w:cs="Arial"/>
          <w:color w:val="000000"/>
        </w:rPr>
        <w:t xml:space="preserve">, [online] 10(5), p.139. Available at: </w:t>
      </w:r>
      <w:hyperlink r:id="rId8" w:history="1">
        <w:r w:rsidRPr="00DA5839">
          <w:rPr>
            <w:rStyle w:val="Hyperlink"/>
            <w:rFonts w:ascii="Arial" w:hAnsi="Arial" w:cs="Arial"/>
          </w:rPr>
          <w:t>https://www.mdpi.com/2079-9284/10/5/139</w:t>
        </w:r>
      </w:hyperlink>
      <w:r w:rsidRPr="00DA5839">
        <w:rPr>
          <w:rFonts w:ascii="Arial" w:hAnsi="Arial" w:cs="Arial"/>
          <w:color w:val="000000"/>
        </w:rPr>
        <w:t>.</w:t>
      </w:r>
    </w:p>
    <w:p w14:paraId="60325068" w14:textId="77777777" w:rsidR="00867E37" w:rsidRPr="00DA5839" w:rsidRDefault="00867E37" w:rsidP="00867E37">
      <w:pPr>
        <w:pStyle w:val="ListParagraph"/>
        <w:rPr>
          <w:rFonts w:ascii="Arial" w:hAnsi="Arial" w:cs="Arial"/>
          <w:color w:val="000000"/>
          <w:sz w:val="24"/>
          <w:szCs w:val="24"/>
        </w:rPr>
      </w:pPr>
    </w:p>
    <w:p w14:paraId="054391D5" w14:textId="77777777" w:rsidR="00867E37" w:rsidRPr="00DA5839" w:rsidRDefault="00867E37" w:rsidP="00867E37">
      <w:pPr>
        <w:pStyle w:val="NormalWeb"/>
        <w:numPr>
          <w:ilvl w:val="0"/>
          <w:numId w:val="17"/>
        </w:numPr>
        <w:spacing w:before="0" w:beforeAutospacing="0" w:after="0" w:afterAutospacing="0" w:line="360" w:lineRule="atLeast"/>
        <w:rPr>
          <w:rFonts w:ascii="Arial" w:hAnsi="Arial" w:cs="Arial"/>
          <w:color w:val="000000"/>
        </w:rPr>
      </w:pPr>
      <w:r w:rsidRPr="00DA5839">
        <w:rPr>
          <w:rFonts w:ascii="Arial" w:hAnsi="Arial" w:cs="Arial"/>
          <w:color w:val="000000"/>
        </w:rPr>
        <w:t>Dubey, S. (2025). Exploring the Interplay of Corporate Social Responsibility and Sustainability in Green Marketing Strategies for Cosmetic Products. </w:t>
      </w:r>
      <w:r w:rsidRPr="00DA5839">
        <w:rPr>
          <w:rFonts w:ascii="Arial" w:hAnsi="Arial" w:cs="Arial"/>
          <w:i/>
          <w:iCs/>
          <w:color w:val="000000"/>
        </w:rPr>
        <w:t>Green Marketing Perspectives</w:t>
      </w:r>
      <w:r w:rsidRPr="00DA5839">
        <w:rPr>
          <w:rFonts w:ascii="Arial" w:hAnsi="Arial" w:cs="Arial"/>
          <w:color w:val="000000"/>
        </w:rPr>
        <w:t xml:space="preserve">, pp.83–101. </w:t>
      </w:r>
      <w:proofErr w:type="spellStart"/>
      <w:proofErr w:type="gramStart"/>
      <w:r w:rsidRPr="00DA5839">
        <w:rPr>
          <w:rFonts w:ascii="Arial" w:hAnsi="Arial" w:cs="Arial"/>
          <w:color w:val="000000"/>
        </w:rPr>
        <w:t>doi:https</w:t>
      </w:r>
      <w:proofErr w:type="spellEnd"/>
      <w:r w:rsidRPr="00DA5839">
        <w:rPr>
          <w:rFonts w:ascii="Arial" w:hAnsi="Arial" w:cs="Arial"/>
          <w:color w:val="000000"/>
        </w:rPr>
        <w:t>://doi.org/10.1108/978-1-83608-772-420251006</w:t>
      </w:r>
      <w:proofErr w:type="gramEnd"/>
      <w:r w:rsidRPr="00DA5839">
        <w:rPr>
          <w:rFonts w:ascii="Arial" w:hAnsi="Arial" w:cs="Arial"/>
          <w:color w:val="000000"/>
        </w:rPr>
        <w:t>.</w:t>
      </w:r>
    </w:p>
    <w:p w14:paraId="0C3E4903" w14:textId="77777777" w:rsidR="00867E37" w:rsidRPr="00DA5839" w:rsidRDefault="00867E37" w:rsidP="00867E37">
      <w:pPr>
        <w:pStyle w:val="NormalWeb"/>
        <w:ind w:left="720"/>
        <w:rPr>
          <w:rFonts w:ascii="Arial" w:hAnsi="Arial" w:cs="Arial"/>
          <w:color w:val="000000"/>
        </w:rPr>
      </w:pPr>
    </w:p>
    <w:p w14:paraId="4C83A725" w14:textId="77777777" w:rsidR="00867E37" w:rsidRPr="00DA5839" w:rsidRDefault="00867E37" w:rsidP="00867E37">
      <w:pPr>
        <w:pStyle w:val="NormalWeb"/>
        <w:rPr>
          <w:rFonts w:ascii="Arial" w:hAnsi="Arial" w:cs="Arial"/>
          <w:color w:val="000000"/>
        </w:rPr>
      </w:pPr>
      <w:r w:rsidRPr="00DA5839">
        <w:rPr>
          <w:rFonts w:ascii="Arial" w:hAnsi="Arial" w:cs="Arial"/>
          <w:color w:val="000000"/>
        </w:rPr>
        <w:t>‌</w:t>
      </w:r>
    </w:p>
    <w:p w14:paraId="71B012FA" w14:textId="77777777" w:rsidR="00867E37" w:rsidRPr="00DA5839" w:rsidRDefault="00867E37" w:rsidP="00867E37">
      <w:pPr>
        <w:pStyle w:val="NormalWeb"/>
        <w:rPr>
          <w:rFonts w:ascii="Arial" w:hAnsi="Arial" w:cs="Arial"/>
          <w:color w:val="000000"/>
        </w:rPr>
      </w:pPr>
    </w:p>
    <w:p w14:paraId="2607DA80" w14:textId="64D41F68" w:rsidR="002F6C78" w:rsidRPr="002F6C78" w:rsidRDefault="00757B94" w:rsidP="002F6C78">
      <w:pPr>
        <w:tabs>
          <w:tab w:val="left" w:pos="4068"/>
        </w:tabs>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sectPr w:rsidR="002F6C78" w:rsidRPr="002F6C78" w:rsidSect="00A8412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15351" w14:textId="77777777" w:rsidR="00F27EA4" w:rsidRDefault="00F27EA4" w:rsidP="00B50DB0">
      <w:pPr>
        <w:spacing w:after="0" w:line="240" w:lineRule="auto"/>
      </w:pPr>
      <w:r>
        <w:separator/>
      </w:r>
    </w:p>
  </w:endnote>
  <w:endnote w:type="continuationSeparator" w:id="0">
    <w:p w14:paraId="1585B6F8" w14:textId="77777777" w:rsidR="00F27EA4" w:rsidRDefault="00F27EA4" w:rsidP="00B50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717195"/>
      <w:docPartObj>
        <w:docPartGallery w:val="Page Numbers (Bottom of Page)"/>
        <w:docPartUnique/>
      </w:docPartObj>
    </w:sdtPr>
    <w:sdtEndPr>
      <w:rPr>
        <w:noProof/>
      </w:rPr>
    </w:sdtEndPr>
    <w:sdtContent>
      <w:p w14:paraId="7E4B32FC" w14:textId="7F8F3B5B" w:rsidR="00A8412B" w:rsidRDefault="00A841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52C9C9" w14:textId="77777777" w:rsidR="00A8412B" w:rsidRDefault="00A84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BF11E" w14:textId="77777777" w:rsidR="00F27EA4" w:rsidRDefault="00F27EA4" w:rsidP="00B50DB0">
      <w:pPr>
        <w:spacing w:after="0" w:line="240" w:lineRule="auto"/>
      </w:pPr>
      <w:r>
        <w:separator/>
      </w:r>
    </w:p>
  </w:footnote>
  <w:footnote w:type="continuationSeparator" w:id="0">
    <w:p w14:paraId="2D2B5D9C" w14:textId="77777777" w:rsidR="00F27EA4" w:rsidRDefault="00F27EA4" w:rsidP="00B50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2E79"/>
    <w:multiLevelType w:val="hybridMultilevel"/>
    <w:tmpl w:val="1C22B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15EBC"/>
    <w:multiLevelType w:val="hybridMultilevel"/>
    <w:tmpl w:val="42C60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C52618"/>
    <w:multiLevelType w:val="hybridMultilevel"/>
    <w:tmpl w:val="43C0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F065A"/>
    <w:multiLevelType w:val="hybridMultilevel"/>
    <w:tmpl w:val="97BA4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87298"/>
    <w:multiLevelType w:val="hybridMultilevel"/>
    <w:tmpl w:val="1FCC4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C32849"/>
    <w:multiLevelType w:val="hybridMultilevel"/>
    <w:tmpl w:val="94425178"/>
    <w:lvl w:ilvl="0" w:tplc="DDBC0AD2">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6F47F1"/>
    <w:multiLevelType w:val="hybridMultilevel"/>
    <w:tmpl w:val="CE16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E257DF"/>
    <w:multiLevelType w:val="hybridMultilevel"/>
    <w:tmpl w:val="5B4E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FE0488"/>
    <w:multiLevelType w:val="hybridMultilevel"/>
    <w:tmpl w:val="2028FDE2"/>
    <w:lvl w:ilvl="0" w:tplc="4992CD3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0F0790"/>
    <w:multiLevelType w:val="hybridMultilevel"/>
    <w:tmpl w:val="18F26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6B1556"/>
    <w:multiLevelType w:val="hybridMultilevel"/>
    <w:tmpl w:val="EAB4B65E"/>
    <w:lvl w:ilvl="0" w:tplc="A57CF9B0">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353B70"/>
    <w:multiLevelType w:val="hybridMultilevel"/>
    <w:tmpl w:val="D7E85C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5C581D"/>
    <w:multiLevelType w:val="hybridMultilevel"/>
    <w:tmpl w:val="5F5E16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947200"/>
    <w:multiLevelType w:val="hybridMultilevel"/>
    <w:tmpl w:val="617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F334285"/>
    <w:multiLevelType w:val="hybridMultilevel"/>
    <w:tmpl w:val="E2406E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052ACE"/>
    <w:multiLevelType w:val="hybridMultilevel"/>
    <w:tmpl w:val="F74CA1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30C5B82"/>
    <w:multiLevelType w:val="hybridMultilevel"/>
    <w:tmpl w:val="6F663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808F3"/>
    <w:multiLevelType w:val="hybridMultilevel"/>
    <w:tmpl w:val="5E80E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636E8F"/>
    <w:multiLevelType w:val="hybridMultilevel"/>
    <w:tmpl w:val="5D2A68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9C17AE"/>
    <w:multiLevelType w:val="hybridMultilevel"/>
    <w:tmpl w:val="211470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4"/>
  </w:num>
  <w:num w:numId="4">
    <w:abstractNumId w:val="3"/>
  </w:num>
  <w:num w:numId="5">
    <w:abstractNumId w:val="17"/>
  </w:num>
  <w:num w:numId="6">
    <w:abstractNumId w:val="10"/>
  </w:num>
  <w:num w:numId="7">
    <w:abstractNumId w:val="8"/>
  </w:num>
  <w:num w:numId="8">
    <w:abstractNumId w:val="12"/>
  </w:num>
  <w:num w:numId="9">
    <w:abstractNumId w:val="1"/>
  </w:num>
  <w:num w:numId="10">
    <w:abstractNumId w:val="15"/>
  </w:num>
  <w:num w:numId="11">
    <w:abstractNumId w:val="7"/>
  </w:num>
  <w:num w:numId="12">
    <w:abstractNumId w:val="5"/>
  </w:num>
  <w:num w:numId="13">
    <w:abstractNumId w:val="11"/>
  </w:num>
  <w:num w:numId="14">
    <w:abstractNumId w:val="2"/>
  </w:num>
  <w:num w:numId="15">
    <w:abstractNumId w:val="14"/>
  </w:num>
  <w:num w:numId="16">
    <w:abstractNumId w:val="9"/>
  </w:num>
  <w:num w:numId="17">
    <w:abstractNumId w:val="16"/>
  </w:num>
  <w:num w:numId="18">
    <w:abstractNumId w:val="13"/>
  </w:num>
  <w:num w:numId="19">
    <w:abstractNumId w:val="1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B95"/>
    <w:rsid w:val="00044EB8"/>
    <w:rsid w:val="00047236"/>
    <w:rsid w:val="00075A83"/>
    <w:rsid w:val="000A6042"/>
    <w:rsid w:val="001123EA"/>
    <w:rsid w:val="00126159"/>
    <w:rsid w:val="00197B6D"/>
    <w:rsid w:val="001A4BC7"/>
    <w:rsid w:val="001B04B3"/>
    <w:rsid w:val="00276931"/>
    <w:rsid w:val="002B60B6"/>
    <w:rsid w:val="002E2878"/>
    <w:rsid w:val="002F6C78"/>
    <w:rsid w:val="003371B9"/>
    <w:rsid w:val="00346771"/>
    <w:rsid w:val="00366B35"/>
    <w:rsid w:val="003A6145"/>
    <w:rsid w:val="003C5592"/>
    <w:rsid w:val="00435A5C"/>
    <w:rsid w:val="004D1947"/>
    <w:rsid w:val="0055518E"/>
    <w:rsid w:val="00557412"/>
    <w:rsid w:val="00575C3E"/>
    <w:rsid w:val="005838C3"/>
    <w:rsid w:val="005B13AD"/>
    <w:rsid w:val="00673381"/>
    <w:rsid w:val="006F329C"/>
    <w:rsid w:val="006F6F49"/>
    <w:rsid w:val="00757B94"/>
    <w:rsid w:val="00773A9F"/>
    <w:rsid w:val="007B2894"/>
    <w:rsid w:val="007C3CA1"/>
    <w:rsid w:val="00867E37"/>
    <w:rsid w:val="008E239C"/>
    <w:rsid w:val="00912F72"/>
    <w:rsid w:val="00937743"/>
    <w:rsid w:val="00951937"/>
    <w:rsid w:val="00A06620"/>
    <w:rsid w:val="00A6453D"/>
    <w:rsid w:val="00A8412B"/>
    <w:rsid w:val="00AA6FF5"/>
    <w:rsid w:val="00B46AB6"/>
    <w:rsid w:val="00B50DB0"/>
    <w:rsid w:val="00B74170"/>
    <w:rsid w:val="00B81E0E"/>
    <w:rsid w:val="00BC2090"/>
    <w:rsid w:val="00BE3CCC"/>
    <w:rsid w:val="00C4695E"/>
    <w:rsid w:val="00CB0546"/>
    <w:rsid w:val="00CD544C"/>
    <w:rsid w:val="00CD78DC"/>
    <w:rsid w:val="00D0623C"/>
    <w:rsid w:val="00D6621E"/>
    <w:rsid w:val="00D866F8"/>
    <w:rsid w:val="00DA5839"/>
    <w:rsid w:val="00DB5A29"/>
    <w:rsid w:val="00DD1460"/>
    <w:rsid w:val="00DF4B95"/>
    <w:rsid w:val="00E55F7A"/>
    <w:rsid w:val="00E9672D"/>
    <w:rsid w:val="00F27EA4"/>
    <w:rsid w:val="00FF4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707"/>
  <w15:chartTrackingRefBased/>
  <w15:docId w15:val="{30EFBDFE-FC92-4B58-80C0-D3D34C35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BC2090"/>
  </w:style>
  <w:style w:type="paragraph" w:styleId="ListParagraph">
    <w:name w:val="List Paragraph"/>
    <w:basedOn w:val="Normal"/>
    <w:uiPriority w:val="34"/>
    <w:qFormat/>
    <w:rsid w:val="00CD544C"/>
    <w:pPr>
      <w:ind w:left="720"/>
      <w:contextualSpacing/>
    </w:pPr>
  </w:style>
  <w:style w:type="paragraph" w:styleId="Header">
    <w:name w:val="header"/>
    <w:basedOn w:val="Normal"/>
    <w:link w:val="HeaderChar"/>
    <w:uiPriority w:val="99"/>
    <w:unhideWhenUsed/>
    <w:rsid w:val="00B50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DB0"/>
  </w:style>
  <w:style w:type="paragraph" w:styleId="Footer">
    <w:name w:val="footer"/>
    <w:basedOn w:val="Normal"/>
    <w:link w:val="FooterChar"/>
    <w:uiPriority w:val="99"/>
    <w:unhideWhenUsed/>
    <w:rsid w:val="00B50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DB0"/>
  </w:style>
  <w:style w:type="table" w:styleId="TableGrid">
    <w:name w:val="Table Grid"/>
    <w:basedOn w:val="TableNormal"/>
    <w:uiPriority w:val="39"/>
    <w:rsid w:val="0075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7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29C"/>
    <w:rPr>
      <w:color w:val="0563C1" w:themeColor="hyperlink"/>
      <w:u w:val="single"/>
    </w:rPr>
  </w:style>
  <w:style w:type="character" w:styleId="UnresolvedMention">
    <w:name w:val="Unresolved Mention"/>
    <w:basedOn w:val="DefaultParagraphFont"/>
    <w:uiPriority w:val="99"/>
    <w:semiHidden/>
    <w:unhideWhenUsed/>
    <w:rsid w:val="006F329C"/>
    <w:rPr>
      <w:color w:val="605E5C"/>
      <w:shd w:val="clear" w:color="auto" w:fill="E1DFDD"/>
    </w:rPr>
  </w:style>
  <w:style w:type="character" w:styleId="Strong">
    <w:name w:val="Strong"/>
    <w:basedOn w:val="DefaultParagraphFont"/>
    <w:uiPriority w:val="22"/>
    <w:qFormat/>
    <w:rsid w:val="00435A5C"/>
    <w:rPr>
      <w:b/>
      <w:bCs/>
    </w:rPr>
  </w:style>
  <w:style w:type="character" w:styleId="Emphasis">
    <w:name w:val="Emphasis"/>
    <w:basedOn w:val="DefaultParagraphFont"/>
    <w:uiPriority w:val="20"/>
    <w:qFormat/>
    <w:rsid w:val="00435A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4365">
      <w:bodyDiv w:val="1"/>
      <w:marLeft w:val="0"/>
      <w:marRight w:val="0"/>
      <w:marTop w:val="0"/>
      <w:marBottom w:val="0"/>
      <w:divBdr>
        <w:top w:val="none" w:sz="0" w:space="0" w:color="auto"/>
        <w:left w:val="none" w:sz="0" w:space="0" w:color="auto"/>
        <w:bottom w:val="none" w:sz="0" w:space="0" w:color="auto"/>
        <w:right w:val="none" w:sz="0" w:space="0" w:color="auto"/>
      </w:divBdr>
    </w:div>
    <w:div w:id="161892342">
      <w:bodyDiv w:val="1"/>
      <w:marLeft w:val="0"/>
      <w:marRight w:val="0"/>
      <w:marTop w:val="0"/>
      <w:marBottom w:val="0"/>
      <w:divBdr>
        <w:top w:val="none" w:sz="0" w:space="0" w:color="auto"/>
        <w:left w:val="none" w:sz="0" w:space="0" w:color="auto"/>
        <w:bottom w:val="none" w:sz="0" w:space="0" w:color="auto"/>
        <w:right w:val="none" w:sz="0" w:space="0" w:color="auto"/>
      </w:divBdr>
    </w:div>
    <w:div w:id="254168049">
      <w:bodyDiv w:val="1"/>
      <w:marLeft w:val="0"/>
      <w:marRight w:val="0"/>
      <w:marTop w:val="0"/>
      <w:marBottom w:val="0"/>
      <w:divBdr>
        <w:top w:val="none" w:sz="0" w:space="0" w:color="auto"/>
        <w:left w:val="none" w:sz="0" w:space="0" w:color="auto"/>
        <w:bottom w:val="none" w:sz="0" w:space="0" w:color="auto"/>
        <w:right w:val="none" w:sz="0" w:space="0" w:color="auto"/>
      </w:divBdr>
    </w:div>
    <w:div w:id="280841660">
      <w:bodyDiv w:val="1"/>
      <w:marLeft w:val="0"/>
      <w:marRight w:val="0"/>
      <w:marTop w:val="0"/>
      <w:marBottom w:val="0"/>
      <w:divBdr>
        <w:top w:val="none" w:sz="0" w:space="0" w:color="auto"/>
        <w:left w:val="none" w:sz="0" w:space="0" w:color="auto"/>
        <w:bottom w:val="none" w:sz="0" w:space="0" w:color="auto"/>
        <w:right w:val="none" w:sz="0" w:space="0" w:color="auto"/>
      </w:divBdr>
    </w:div>
    <w:div w:id="348071918">
      <w:bodyDiv w:val="1"/>
      <w:marLeft w:val="0"/>
      <w:marRight w:val="0"/>
      <w:marTop w:val="0"/>
      <w:marBottom w:val="0"/>
      <w:divBdr>
        <w:top w:val="none" w:sz="0" w:space="0" w:color="auto"/>
        <w:left w:val="none" w:sz="0" w:space="0" w:color="auto"/>
        <w:bottom w:val="none" w:sz="0" w:space="0" w:color="auto"/>
        <w:right w:val="none" w:sz="0" w:space="0" w:color="auto"/>
      </w:divBdr>
    </w:div>
    <w:div w:id="456264473">
      <w:bodyDiv w:val="1"/>
      <w:marLeft w:val="0"/>
      <w:marRight w:val="0"/>
      <w:marTop w:val="0"/>
      <w:marBottom w:val="0"/>
      <w:divBdr>
        <w:top w:val="none" w:sz="0" w:space="0" w:color="auto"/>
        <w:left w:val="none" w:sz="0" w:space="0" w:color="auto"/>
        <w:bottom w:val="none" w:sz="0" w:space="0" w:color="auto"/>
        <w:right w:val="none" w:sz="0" w:space="0" w:color="auto"/>
      </w:divBdr>
    </w:div>
    <w:div w:id="1048608594">
      <w:bodyDiv w:val="1"/>
      <w:marLeft w:val="0"/>
      <w:marRight w:val="0"/>
      <w:marTop w:val="0"/>
      <w:marBottom w:val="0"/>
      <w:divBdr>
        <w:top w:val="none" w:sz="0" w:space="0" w:color="auto"/>
        <w:left w:val="none" w:sz="0" w:space="0" w:color="auto"/>
        <w:bottom w:val="none" w:sz="0" w:space="0" w:color="auto"/>
        <w:right w:val="none" w:sz="0" w:space="0" w:color="auto"/>
      </w:divBdr>
    </w:div>
    <w:div w:id="1482817588">
      <w:bodyDiv w:val="1"/>
      <w:marLeft w:val="0"/>
      <w:marRight w:val="0"/>
      <w:marTop w:val="0"/>
      <w:marBottom w:val="0"/>
      <w:divBdr>
        <w:top w:val="none" w:sz="0" w:space="0" w:color="auto"/>
        <w:left w:val="none" w:sz="0" w:space="0" w:color="auto"/>
        <w:bottom w:val="none" w:sz="0" w:space="0" w:color="auto"/>
        <w:right w:val="none" w:sz="0" w:space="0" w:color="auto"/>
      </w:divBdr>
    </w:div>
    <w:div w:id="2001814211">
      <w:bodyDiv w:val="1"/>
      <w:marLeft w:val="0"/>
      <w:marRight w:val="0"/>
      <w:marTop w:val="0"/>
      <w:marBottom w:val="0"/>
      <w:divBdr>
        <w:top w:val="none" w:sz="0" w:space="0" w:color="auto"/>
        <w:left w:val="none" w:sz="0" w:space="0" w:color="auto"/>
        <w:bottom w:val="none" w:sz="0" w:space="0" w:color="auto"/>
        <w:right w:val="none" w:sz="0" w:space="0" w:color="auto"/>
      </w:divBdr>
    </w:div>
    <w:div w:id="2093233496">
      <w:bodyDiv w:val="1"/>
      <w:marLeft w:val="0"/>
      <w:marRight w:val="0"/>
      <w:marTop w:val="0"/>
      <w:marBottom w:val="0"/>
      <w:divBdr>
        <w:top w:val="none" w:sz="0" w:space="0" w:color="auto"/>
        <w:left w:val="none" w:sz="0" w:space="0" w:color="auto"/>
        <w:bottom w:val="none" w:sz="0" w:space="0" w:color="auto"/>
        <w:right w:val="none" w:sz="0" w:space="0" w:color="auto"/>
      </w:divBdr>
    </w:div>
    <w:div w:id="20964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9-9284/10/5/139"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17</Pages>
  <Words>3476</Words>
  <Characters>19815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dcterms:created xsi:type="dcterms:W3CDTF">2025-10-20T11:49:00Z</dcterms:created>
  <dcterms:modified xsi:type="dcterms:W3CDTF">2025-10-22T09:03:00Z</dcterms:modified>
</cp:coreProperties>
</file>