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052585" w:rsidRDefault="007E7745" w:rsidP="00D55A7C">
      <w:pPr>
        <w:spacing w:line="360" w:lineRule="auto"/>
        <w:jc w:val="both"/>
        <w:rPr>
          <w:rFonts w:ascii="Arial" w:hAnsi="Arial" w:cs="Arial"/>
          <w:szCs w:val="24"/>
        </w:rPr>
      </w:pPr>
    </w:p>
    <w:p w14:paraId="365DE405" w14:textId="77777777" w:rsidR="00EB12BC" w:rsidRPr="00052585" w:rsidRDefault="00EB12BC" w:rsidP="00D55A7C">
      <w:pPr>
        <w:spacing w:line="360" w:lineRule="auto"/>
        <w:jc w:val="both"/>
        <w:rPr>
          <w:rFonts w:ascii="Arial" w:hAnsi="Arial" w:cs="Arial"/>
          <w:szCs w:val="24"/>
        </w:rPr>
      </w:pPr>
      <w:r w:rsidRPr="00052585">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052585" w:rsidRDefault="00EB12BC" w:rsidP="00D55A7C">
      <w:pPr>
        <w:spacing w:line="360" w:lineRule="auto"/>
        <w:jc w:val="both"/>
        <w:rPr>
          <w:rFonts w:ascii="Arial" w:hAnsi="Arial" w:cs="Arial"/>
          <w:szCs w:val="24"/>
        </w:rPr>
      </w:pPr>
    </w:p>
    <w:p w14:paraId="0E6E9383" w14:textId="77777777" w:rsidR="00EB12BC" w:rsidRPr="00052585" w:rsidRDefault="00EB12BC" w:rsidP="00D55A7C">
      <w:pPr>
        <w:spacing w:line="360" w:lineRule="auto"/>
        <w:jc w:val="both"/>
        <w:rPr>
          <w:rFonts w:ascii="Arial" w:hAnsi="Arial" w:cs="Arial"/>
          <w:szCs w:val="24"/>
        </w:rPr>
      </w:pPr>
    </w:p>
    <w:p w14:paraId="431DBF4A" w14:textId="77777777" w:rsidR="00EB12BC" w:rsidRPr="00052585" w:rsidRDefault="00EB12BC" w:rsidP="00D55A7C">
      <w:pPr>
        <w:spacing w:line="360" w:lineRule="auto"/>
        <w:jc w:val="both"/>
        <w:rPr>
          <w:rFonts w:ascii="Arial" w:hAnsi="Arial" w:cs="Arial"/>
          <w:szCs w:val="24"/>
        </w:rPr>
      </w:pPr>
    </w:p>
    <w:p w14:paraId="67404449" w14:textId="77777777" w:rsidR="00EB12BC" w:rsidRPr="00052585" w:rsidRDefault="00EB12BC" w:rsidP="00D55A7C">
      <w:pPr>
        <w:tabs>
          <w:tab w:val="left" w:pos="6540"/>
        </w:tabs>
        <w:spacing w:line="360" w:lineRule="auto"/>
        <w:jc w:val="both"/>
        <w:rPr>
          <w:rFonts w:ascii="Arial" w:hAnsi="Arial" w:cs="Arial"/>
          <w:szCs w:val="24"/>
        </w:rPr>
      </w:pPr>
    </w:p>
    <w:p w14:paraId="27888C86" w14:textId="5B0B5D09" w:rsidR="00EB12BC" w:rsidRPr="00052585" w:rsidRDefault="00EB12BC" w:rsidP="00D55A7C">
      <w:pPr>
        <w:tabs>
          <w:tab w:val="left" w:pos="6540"/>
        </w:tabs>
        <w:spacing w:line="360" w:lineRule="auto"/>
        <w:jc w:val="both"/>
        <w:rPr>
          <w:rFonts w:ascii="Arial" w:hAnsi="Arial" w:cs="Arial"/>
          <w:szCs w:val="24"/>
          <w:lang w:val="nl-NL"/>
        </w:rPr>
      </w:pPr>
      <w:r w:rsidRPr="00052585">
        <w:rPr>
          <w:rFonts w:ascii="Arial" w:hAnsi="Arial" w:cs="Arial"/>
          <w:b/>
          <w:bCs/>
          <w:sz w:val="28"/>
          <w:szCs w:val="28"/>
          <w:lang w:val="nl-NL"/>
        </w:rPr>
        <w:t>Student name</w:t>
      </w:r>
      <w:r w:rsidRPr="00052585">
        <w:rPr>
          <w:rFonts w:ascii="Arial" w:hAnsi="Arial" w:cs="Arial"/>
          <w:szCs w:val="24"/>
          <w:lang w:val="nl-NL"/>
        </w:rPr>
        <w:t>:</w:t>
      </w:r>
      <w:r w:rsidR="002771A7" w:rsidRPr="00052585">
        <w:rPr>
          <w:rFonts w:ascii="Arial" w:hAnsi="Arial" w:cs="Arial"/>
          <w:szCs w:val="24"/>
          <w:lang w:val="nl-NL"/>
        </w:rPr>
        <w:t xml:space="preserve"> ELISHA HAKIZUMWAMI</w:t>
      </w:r>
    </w:p>
    <w:p w14:paraId="21E9DC72" w14:textId="6B8024F7" w:rsidR="00EB12BC" w:rsidRPr="00052585" w:rsidRDefault="00EB12BC" w:rsidP="00D55A7C">
      <w:pPr>
        <w:tabs>
          <w:tab w:val="left" w:pos="6540"/>
        </w:tabs>
        <w:spacing w:line="360" w:lineRule="auto"/>
        <w:jc w:val="both"/>
        <w:rPr>
          <w:rFonts w:ascii="Arial" w:hAnsi="Arial" w:cs="Arial"/>
          <w:szCs w:val="24"/>
          <w:lang w:val="nl-NL"/>
        </w:rPr>
      </w:pPr>
      <w:r w:rsidRPr="00052585">
        <w:rPr>
          <w:rFonts w:ascii="Arial" w:hAnsi="Arial" w:cs="Arial"/>
          <w:b/>
          <w:bCs/>
          <w:sz w:val="28"/>
          <w:szCs w:val="28"/>
          <w:lang w:val="nl-NL"/>
        </w:rPr>
        <w:t>Student ID</w:t>
      </w:r>
      <w:r w:rsidRPr="00052585">
        <w:rPr>
          <w:rFonts w:ascii="Arial" w:hAnsi="Arial" w:cs="Arial"/>
          <w:sz w:val="28"/>
          <w:szCs w:val="28"/>
          <w:lang w:val="nl-NL"/>
        </w:rPr>
        <w:t>:</w:t>
      </w:r>
      <w:r w:rsidR="002771A7" w:rsidRPr="00052585">
        <w:rPr>
          <w:rFonts w:ascii="Arial" w:hAnsi="Arial" w:cs="Arial"/>
          <w:szCs w:val="24"/>
          <w:lang w:val="nl-NL"/>
        </w:rPr>
        <w:t xml:space="preserve"> 2438662</w:t>
      </w:r>
    </w:p>
    <w:p w14:paraId="23BAC9B9" w14:textId="07CD569B" w:rsidR="00EB12BC" w:rsidRPr="00052585" w:rsidRDefault="00EB12BC" w:rsidP="00D55A7C">
      <w:pPr>
        <w:tabs>
          <w:tab w:val="left" w:pos="6540"/>
        </w:tabs>
        <w:spacing w:line="360" w:lineRule="auto"/>
        <w:jc w:val="both"/>
        <w:rPr>
          <w:rFonts w:ascii="Arial" w:hAnsi="Arial" w:cs="Arial"/>
          <w:szCs w:val="24"/>
          <w:lang w:val="nl-NL"/>
        </w:rPr>
      </w:pPr>
      <w:r w:rsidRPr="00052585">
        <w:rPr>
          <w:rFonts w:ascii="Arial" w:hAnsi="Arial" w:cs="Arial"/>
          <w:b/>
          <w:bCs/>
          <w:sz w:val="28"/>
          <w:szCs w:val="28"/>
          <w:lang w:val="nl-NL"/>
        </w:rPr>
        <w:t>Module name</w:t>
      </w:r>
      <w:r w:rsidRPr="00052585">
        <w:rPr>
          <w:rFonts w:ascii="Arial" w:hAnsi="Arial" w:cs="Arial"/>
          <w:sz w:val="28"/>
          <w:szCs w:val="28"/>
          <w:lang w:val="nl-NL"/>
        </w:rPr>
        <w:t>:</w:t>
      </w:r>
      <w:r w:rsidRPr="00052585">
        <w:rPr>
          <w:rFonts w:ascii="Arial" w:hAnsi="Arial" w:cs="Arial"/>
          <w:szCs w:val="24"/>
          <w:lang w:val="nl-NL"/>
        </w:rPr>
        <w:t xml:space="preserve"> </w:t>
      </w:r>
      <w:r w:rsidR="002771A7" w:rsidRPr="00052585">
        <w:rPr>
          <w:rFonts w:ascii="Arial" w:hAnsi="Arial" w:cs="Arial"/>
          <w:szCs w:val="24"/>
          <w:lang w:val="nl-NL"/>
        </w:rPr>
        <w:t>Introduction to Physiology</w:t>
      </w:r>
    </w:p>
    <w:p w14:paraId="4FD97C8C" w14:textId="79D18EF3" w:rsidR="00EB12BC" w:rsidRPr="00052585" w:rsidRDefault="00EB12BC" w:rsidP="00D55A7C">
      <w:pPr>
        <w:tabs>
          <w:tab w:val="left" w:pos="6540"/>
        </w:tabs>
        <w:spacing w:line="360" w:lineRule="auto"/>
        <w:jc w:val="both"/>
        <w:rPr>
          <w:rFonts w:ascii="Arial" w:hAnsi="Arial" w:cs="Arial"/>
          <w:szCs w:val="24"/>
        </w:rPr>
      </w:pPr>
      <w:r w:rsidRPr="00052585">
        <w:rPr>
          <w:rFonts w:ascii="Arial" w:hAnsi="Arial" w:cs="Arial"/>
          <w:b/>
          <w:bCs/>
          <w:sz w:val="28"/>
          <w:szCs w:val="28"/>
        </w:rPr>
        <w:t>Module code</w:t>
      </w:r>
      <w:r w:rsidRPr="00052585">
        <w:rPr>
          <w:rFonts w:ascii="Arial" w:hAnsi="Arial" w:cs="Arial"/>
          <w:sz w:val="28"/>
          <w:szCs w:val="28"/>
        </w:rPr>
        <w:t>:</w:t>
      </w:r>
      <w:r w:rsidR="002771A7" w:rsidRPr="00052585">
        <w:rPr>
          <w:szCs w:val="24"/>
        </w:rPr>
        <w:t xml:space="preserve"> </w:t>
      </w:r>
      <w:r w:rsidR="002771A7" w:rsidRPr="00052585">
        <w:rPr>
          <w:rFonts w:ascii="Arial" w:hAnsi="Arial" w:cs="Arial"/>
          <w:szCs w:val="24"/>
        </w:rPr>
        <w:t>BMHP5023</w:t>
      </w:r>
    </w:p>
    <w:p w14:paraId="5AFF31F9" w14:textId="35F6006A" w:rsidR="001B7A40" w:rsidRPr="00052585" w:rsidRDefault="00EB12BC" w:rsidP="00D55A7C">
      <w:pPr>
        <w:tabs>
          <w:tab w:val="left" w:pos="6540"/>
        </w:tabs>
        <w:spacing w:line="360" w:lineRule="auto"/>
        <w:jc w:val="both"/>
        <w:rPr>
          <w:rFonts w:ascii="Arial" w:hAnsi="Arial" w:cs="Arial"/>
          <w:sz w:val="28"/>
          <w:szCs w:val="28"/>
        </w:rPr>
      </w:pPr>
      <w:r w:rsidRPr="00052585">
        <w:rPr>
          <w:rFonts w:ascii="Arial" w:hAnsi="Arial" w:cs="Arial"/>
          <w:b/>
          <w:bCs/>
          <w:sz w:val="28"/>
          <w:szCs w:val="28"/>
        </w:rPr>
        <w:t>Lecturer name</w:t>
      </w:r>
      <w:r w:rsidRPr="00052585">
        <w:rPr>
          <w:rFonts w:ascii="Arial" w:hAnsi="Arial" w:cs="Arial"/>
          <w:sz w:val="28"/>
          <w:szCs w:val="28"/>
        </w:rPr>
        <w:t>:</w:t>
      </w:r>
      <w:r w:rsidR="002771A7" w:rsidRPr="00052585">
        <w:rPr>
          <w:rFonts w:ascii="Arial" w:hAnsi="Arial" w:cs="Arial"/>
          <w:sz w:val="28"/>
          <w:szCs w:val="28"/>
        </w:rPr>
        <w:t xml:space="preserve"> Dr SHAILA HUSSAIN</w:t>
      </w:r>
    </w:p>
    <w:p w14:paraId="53B923F4" w14:textId="6B479DEC" w:rsidR="001B7A40" w:rsidRPr="00052585" w:rsidRDefault="001B7A40" w:rsidP="002771A7">
      <w:pPr>
        <w:tabs>
          <w:tab w:val="left" w:pos="6540"/>
        </w:tabs>
        <w:spacing w:line="360" w:lineRule="auto"/>
        <w:jc w:val="both"/>
        <w:rPr>
          <w:rFonts w:ascii="Arial" w:hAnsi="Arial" w:cs="Arial"/>
          <w:szCs w:val="24"/>
        </w:rPr>
      </w:pPr>
      <w:r w:rsidRPr="00052585">
        <w:rPr>
          <w:rFonts w:ascii="Arial" w:hAnsi="Arial" w:cs="Arial"/>
          <w:b/>
          <w:bCs/>
          <w:sz w:val="28"/>
          <w:szCs w:val="28"/>
        </w:rPr>
        <w:t>Assessment</w:t>
      </w:r>
      <w:r w:rsidRPr="00052585">
        <w:rPr>
          <w:rFonts w:ascii="Arial" w:hAnsi="Arial" w:cs="Arial"/>
          <w:sz w:val="28"/>
          <w:szCs w:val="28"/>
        </w:rPr>
        <w:t>:</w:t>
      </w:r>
      <w:r w:rsidRPr="00052585">
        <w:rPr>
          <w:rFonts w:ascii="Arial" w:hAnsi="Arial" w:cs="Arial"/>
          <w:szCs w:val="24"/>
        </w:rPr>
        <w:t xml:space="preserve"> </w:t>
      </w:r>
      <w:r w:rsidR="002771A7" w:rsidRPr="00052585">
        <w:rPr>
          <w:rFonts w:ascii="Arial" w:hAnsi="Arial" w:cs="Arial"/>
          <w:szCs w:val="24"/>
        </w:rPr>
        <w:t>Component 1 Written Assignment (Case Study Report)</w:t>
      </w:r>
    </w:p>
    <w:p w14:paraId="6E3CFDE1" w14:textId="77777777" w:rsidR="00340D37" w:rsidRPr="00052585" w:rsidRDefault="00340D37">
      <w:pPr>
        <w:rPr>
          <w:rFonts w:ascii="Arial" w:hAnsi="Arial" w:cs="Arial"/>
          <w:color w:val="EE0000"/>
          <w:szCs w:val="24"/>
        </w:rPr>
      </w:pPr>
      <w:r w:rsidRPr="00052585">
        <w:rPr>
          <w:rFonts w:ascii="Arial" w:hAnsi="Arial" w:cs="Arial"/>
          <w:color w:val="EE0000"/>
          <w:szCs w:val="24"/>
        </w:rPr>
        <w:br w:type="page"/>
      </w:r>
    </w:p>
    <w:p w14:paraId="442A8432" w14:textId="39F45A67" w:rsidR="000C4EDA" w:rsidRPr="00052585" w:rsidRDefault="000C4EDA" w:rsidP="00AB3427">
      <w:pPr>
        <w:spacing w:line="360" w:lineRule="auto"/>
        <w:jc w:val="both"/>
        <w:rPr>
          <w:rFonts w:ascii="Arial" w:hAnsi="Arial" w:cs="Arial"/>
          <w:sz w:val="28"/>
          <w:szCs w:val="28"/>
        </w:rPr>
      </w:pPr>
      <w:r w:rsidRPr="00052585">
        <w:rPr>
          <w:rFonts w:ascii="Arial" w:eastAsiaTheme="majorEastAsia" w:hAnsi="Arial" w:cs="Arial"/>
          <w:b/>
          <w:sz w:val="28"/>
          <w:szCs w:val="28"/>
        </w:rPr>
        <w:lastRenderedPageBreak/>
        <w:t>1. Introduction</w:t>
      </w:r>
      <w:r w:rsidRPr="00052585">
        <w:rPr>
          <w:rFonts w:cs="Arial"/>
          <w:sz w:val="28"/>
          <w:szCs w:val="28"/>
        </w:rPr>
        <w:t xml:space="preserve"> </w:t>
      </w:r>
    </w:p>
    <w:p w14:paraId="38B04A66" w14:textId="579DD208" w:rsidR="00F71532" w:rsidRPr="00052585" w:rsidRDefault="00750C84" w:rsidP="00AB3427">
      <w:pPr>
        <w:spacing w:line="360" w:lineRule="auto"/>
        <w:jc w:val="both"/>
        <w:rPr>
          <w:rFonts w:ascii="Arial" w:hAnsi="Arial" w:cs="Arial"/>
          <w:color w:val="000000" w:themeColor="text1"/>
          <w:szCs w:val="24"/>
        </w:rPr>
      </w:pPr>
      <w:bookmarkStart w:id="0" w:name="_Hlk234225604"/>
      <w:r w:rsidRPr="00052585">
        <w:rPr>
          <w:rFonts w:ascii="Arial" w:hAnsi="Arial" w:cs="Arial"/>
          <w:color w:val="000000" w:themeColor="text1"/>
          <w:szCs w:val="24"/>
        </w:rPr>
        <w:t xml:space="preserve">As a practice nurse working in a local GP surgery, the prevalence of patients who have diabetes has been on the increase and it is evident from consultations that there is a desire among patients to learn more about their health problems </w:t>
      </w:r>
      <w:proofErr w:type="gramStart"/>
      <w:r w:rsidRPr="00052585">
        <w:rPr>
          <w:rFonts w:ascii="Arial" w:hAnsi="Arial" w:cs="Arial"/>
          <w:color w:val="000000" w:themeColor="text1"/>
          <w:szCs w:val="24"/>
        </w:rPr>
        <w:t>in order to</w:t>
      </w:r>
      <w:proofErr w:type="gramEnd"/>
      <w:r w:rsidRPr="00052585">
        <w:rPr>
          <w:rFonts w:ascii="Arial" w:hAnsi="Arial" w:cs="Arial"/>
          <w:color w:val="000000" w:themeColor="text1"/>
          <w:szCs w:val="24"/>
        </w:rPr>
        <w:t xml:space="preserve"> participate actively in their treatment. This paper has been prepared with this concern in mind and provides information regarding the physiology of diabetes, translating it into information that can support patients to manage their blood sugar levels more safely and confidently. To achieve this, the following sections will systematically move from the fundamental physiological mechanisms of blood glucose regulation and cellular metabolism through to the critical importance of consistent monitoring and evidence-based lifestyle recommendations.</w:t>
      </w:r>
    </w:p>
    <w:p w14:paraId="5080C4D0" w14:textId="678F5F61" w:rsidR="00D55A7C" w:rsidRPr="00052585" w:rsidRDefault="00940407" w:rsidP="00AB3427">
      <w:pPr>
        <w:pStyle w:val="Heading3"/>
        <w:spacing w:line="360" w:lineRule="auto"/>
        <w:jc w:val="both"/>
        <w:rPr>
          <w:szCs w:val="24"/>
        </w:rPr>
      </w:pPr>
      <w:bookmarkStart w:id="1" w:name="_Hlk233889388"/>
      <w:bookmarkEnd w:id="0"/>
      <w:r w:rsidRPr="00052585">
        <w:rPr>
          <w:szCs w:val="24"/>
        </w:rPr>
        <w:t>1a. What is diabetes? Please describe it briefly and distinguish between Type 1 and Type 2.</w:t>
      </w:r>
    </w:p>
    <w:p w14:paraId="140F19DF" w14:textId="39F5A156" w:rsidR="00D55A7C" w:rsidRPr="00052585" w:rsidRDefault="00750C84" w:rsidP="00AB3427">
      <w:pPr>
        <w:spacing w:before="80" w:after="80" w:line="360" w:lineRule="auto"/>
        <w:jc w:val="both"/>
        <w:rPr>
          <w:rFonts w:ascii="Arial" w:eastAsia="Arial" w:hAnsi="Arial" w:cs="Arial"/>
          <w:szCs w:val="24"/>
        </w:rPr>
      </w:pPr>
      <w:bookmarkStart w:id="2" w:name="_Hlk234225991"/>
      <w:r w:rsidRPr="00052585">
        <w:rPr>
          <w:rFonts w:ascii="Arial" w:eastAsia="Arial" w:hAnsi="Arial" w:cs="Arial"/>
          <w:szCs w:val="24"/>
        </w:rPr>
        <w:t xml:space="preserve">Diabetes mellitus is a complicated metabolic disorder described by long-term </w:t>
      </w:r>
      <w:proofErr w:type="spellStart"/>
      <w:r w:rsidRPr="00052585">
        <w:rPr>
          <w:rFonts w:ascii="Arial" w:eastAsia="Arial" w:hAnsi="Arial" w:cs="Arial"/>
          <w:szCs w:val="24"/>
        </w:rPr>
        <w:t>hyperglycemia</w:t>
      </w:r>
      <w:proofErr w:type="spellEnd"/>
      <w:r w:rsidRPr="00052585">
        <w:rPr>
          <w:rFonts w:ascii="Arial" w:eastAsia="Arial" w:hAnsi="Arial" w:cs="Arial"/>
          <w:szCs w:val="24"/>
        </w:rPr>
        <w:t xml:space="preserve"> in either insulin production, function, or </w:t>
      </w:r>
      <w:proofErr w:type="gramStart"/>
      <w:r w:rsidRPr="00052585">
        <w:rPr>
          <w:rFonts w:ascii="Arial" w:eastAsia="Arial" w:hAnsi="Arial" w:cs="Arial"/>
          <w:szCs w:val="24"/>
        </w:rPr>
        <w:t>both of them</w:t>
      </w:r>
      <w:proofErr w:type="gramEnd"/>
      <w:r w:rsidRPr="00052585">
        <w:rPr>
          <w:rFonts w:ascii="Arial" w:eastAsia="Arial" w:hAnsi="Arial" w:cs="Arial"/>
          <w:szCs w:val="24"/>
        </w:rPr>
        <w:t xml:space="preserve"> (Powers et al., 2022). The major difference between the two forms of diabetes is the causation (Figure 1): Type 1 Diabetes Mellitus occurs due to an autoimmune response against one’s body where the immune cells attack the pancreas' beta-cells, thus causing absolute lack of insulin (Mauvais and van Endert, 2025). On the contrary, T2DM results from increased peripheral resistance to insulin along with a relative lack of insulin production (Galicia-Garcia et al., 2020). T2DM is the focus of this case study, as its strong association with modifiable lifestyle factors allows for targeted primary care interventions, rendering it the most pertinent condition for the patient's ongoing education and management.</w:t>
      </w:r>
    </w:p>
    <w:bookmarkEnd w:id="2"/>
    <w:p w14:paraId="78819722" w14:textId="033C00D1" w:rsidR="00D55A7C" w:rsidRPr="00052585" w:rsidRDefault="00940407" w:rsidP="00AB3427">
      <w:pPr>
        <w:pStyle w:val="Heading3"/>
        <w:spacing w:line="360" w:lineRule="auto"/>
        <w:jc w:val="both"/>
        <w:rPr>
          <w:szCs w:val="24"/>
        </w:rPr>
      </w:pPr>
      <w:r w:rsidRPr="00052585">
        <w:rPr>
          <w:szCs w:val="24"/>
        </w:rPr>
        <w:t>1b. What are the main risk factors for Type 2 diabetes?</w:t>
      </w:r>
    </w:p>
    <w:p w14:paraId="5464CEB0" w14:textId="1B7C0061" w:rsidR="00F71532" w:rsidRPr="00052585" w:rsidRDefault="00750C84" w:rsidP="00AB3427">
      <w:pPr>
        <w:spacing w:before="80" w:after="80" w:line="360" w:lineRule="auto"/>
        <w:jc w:val="both"/>
        <w:rPr>
          <w:rFonts w:ascii="Arial" w:eastAsia="Arial" w:hAnsi="Arial" w:cs="Arial"/>
          <w:szCs w:val="24"/>
        </w:rPr>
      </w:pPr>
      <w:bookmarkStart w:id="3" w:name="_Hlk234226064"/>
      <w:r w:rsidRPr="00052585">
        <w:rPr>
          <w:rFonts w:ascii="Arial" w:eastAsia="Arial" w:hAnsi="Arial" w:cs="Arial"/>
          <w:szCs w:val="24"/>
        </w:rPr>
        <w:t xml:space="preserve">There are multiple causes for Type 2 diabetes such as old age, genetics, ethnicities, and most importantly visceral obesity (Diabetes UK, 2023b). This surplus tissue acts metabolically by secreting adipokines and free fatty acids causing an impairment in insulin activity peripherally (Galicia-Garcia et al., 2020). In the context of the case study patient, whose profile mirrors these metabolic risk factors, this physiological </w:t>
      </w:r>
      <w:r w:rsidRPr="00052585">
        <w:rPr>
          <w:rFonts w:ascii="Arial" w:eastAsia="Arial" w:hAnsi="Arial" w:cs="Arial"/>
          <w:szCs w:val="24"/>
        </w:rPr>
        <w:lastRenderedPageBreak/>
        <w:t xml:space="preserve">mechanism is highly relevant. Understanding this process is therefore essential for me as a practice nurse to provide effective, evidence-based </w:t>
      </w:r>
      <w:proofErr w:type="spellStart"/>
      <w:r w:rsidRPr="00052585">
        <w:rPr>
          <w:rFonts w:ascii="Arial" w:eastAsia="Arial" w:hAnsi="Arial" w:cs="Arial"/>
          <w:szCs w:val="24"/>
        </w:rPr>
        <w:t>counseling</w:t>
      </w:r>
      <w:proofErr w:type="spellEnd"/>
      <w:r w:rsidRPr="00052585">
        <w:rPr>
          <w:rFonts w:ascii="Arial" w:eastAsia="Arial" w:hAnsi="Arial" w:cs="Arial"/>
          <w:szCs w:val="24"/>
        </w:rPr>
        <w:t xml:space="preserve"> on weight reduction and tailored behavioural change that directly addresses the patient's specific metabolic challenges.</w:t>
      </w:r>
    </w:p>
    <w:bookmarkEnd w:id="3"/>
    <w:p w14:paraId="19D46BEF" w14:textId="77777777" w:rsidR="009A3C1C" w:rsidRPr="00052585" w:rsidRDefault="00940407" w:rsidP="00AB3427">
      <w:pPr>
        <w:pStyle w:val="Heading3"/>
        <w:spacing w:line="360" w:lineRule="auto"/>
        <w:jc w:val="both"/>
        <w:rPr>
          <w:szCs w:val="24"/>
        </w:rPr>
      </w:pPr>
      <w:r w:rsidRPr="00052585">
        <w:rPr>
          <w:szCs w:val="24"/>
        </w:rPr>
        <w:t xml:space="preserve">1c. In a GP surgery, why is patient education important (as detailed in the case study)? </w:t>
      </w:r>
    </w:p>
    <w:p w14:paraId="07536381" w14:textId="77777777" w:rsidR="009A3C1C" w:rsidRPr="00052585" w:rsidRDefault="009A3C1C" w:rsidP="00AB3427">
      <w:pPr>
        <w:spacing w:before="80" w:after="80" w:line="360" w:lineRule="auto"/>
        <w:jc w:val="both"/>
        <w:rPr>
          <w:rFonts w:ascii="Arial" w:eastAsia="Arial" w:hAnsi="Arial" w:cs="Arial"/>
          <w:szCs w:val="24"/>
        </w:rPr>
      </w:pPr>
      <w:r w:rsidRPr="00052585">
        <w:rPr>
          <w:rFonts w:ascii="Arial" w:eastAsia="Arial" w:hAnsi="Arial" w:cs="Arial"/>
          <w:szCs w:val="24"/>
        </w:rPr>
        <w:t>Patient education is one of the most impactful interventions in a GP setting and long-term glycemic control relies on patients' independent decisions outside the clinic (Chen et al., 2026), making it important to understand these risks. Effective education helps to remove health literacy barriers, ensuring patients understand their basic metabolic processes and that their personal care plans can be followed safely; that they can interpret the information from their routine monitoring; and that they are able to make informed decisions about behaviour changes that help to prevent long-term macrovascular or microvascular complications (NICE, 2022).</w:t>
      </w:r>
    </w:p>
    <w:bookmarkEnd w:id="1"/>
    <w:p w14:paraId="6DE2A83A" w14:textId="77777777" w:rsidR="003E601A" w:rsidRPr="00052585" w:rsidRDefault="003E601A" w:rsidP="00AB3427">
      <w:pPr>
        <w:spacing w:before="80" w:after="80" w:line="360" w:lineRule="auto"/>
        <w:jc w:val="both"/>
        <w:rPr>
          <w:rFonts w:ascii="Arial" w:eastAsia="Arial" w:hAnsi="Arial" w:cs="Arial"/>
          <w:szCs w:val="24"/>
        </w:rPr>
      </w:pPr>
    </w:p>
    <w:p w14:paraId="21C41D72" w14:textId="1D6AD921" w:rsidR="003E601A" w:rsidRPr="00052585" w:rsidRDefault="003E601A" w:rsidP="00AB3427">
      <w:pPr>
        <w:spacing w:before="80" w:after="80" w:line="360" w:lineRule="auto"/>
        <w:jc w:val="both"/>
        <w:rPr>
          <w:rFonts w:ascii="Arial" w:eastAsia="Arial" w:hAnsi="Arial" w:cs="Arial"/>
          <w:szCs w:val="24"/>
        </w:rPr>
      </w:pPr>
      <w:r w:rsidRPr="00052585">
        <w:rPr>
          <w:rFonts w:ascii="Arial" w:eastAsia="Arial" w:hAnsi="Arial" w:cs="Arial"/>
          <w:noProof/>
          <w:szCs w:val="24"/>
        </w:rPr>
        <w:drawing>
          <wp:inline distT="0" distB="0" distL="0" distR="0" wp14:anchorId="55B98ECA" wp14:editId="3967F3C7">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7711FBEA" w14:textId="109FC0AD" w:rsidR="003E601A" w:rsidRPr="00052585" w:rsidRDefault="003E601A" w:rsidP="00052585">
      <w:pPr>
        <w:spacing w:before="80" w:after="240" w:line="360" w:lineRule="auto"/>
        <w:jc w:val="both"/>
        <w:rPr>
          <w:szCs w:val="24"/>
        </w:rPr>
      </w:pPr>
      <w:r w:rsidRPr="00052585">
        <w:rPr>
          <w:rFonts w:ascii="Arial" w:eastAsia="Arial" w:hAnsi="Arial" w:cs="Arial"/>
          <w:i/>
          <w:iCs/>
          <w:color w:val="444444"/>
          <w:szCs w:val="24"/>
        </w:rPr>
        <w:t>Figure 1. Pathophysiology and Classification of Diabetes Mellitus: Comparison of Type 1 and Type 2 Diabetes Mellitus</w:t>
      </w:r>
    </w:p>
    <w:p w14:paraId="20C4766B" w14:textId="65D84EA0" w:rsidR="00986F78" w:rsidRPr="00052585" w:rsidRDefault="00C03A91" w:rsidP="00D7516E">
      <w:pPr>
        <w:pStyle w:val="Heading1"/>
      </w:pPr>
      <w:r w:rsidRPr="00052585">
        <w:lastRenderedPageBreak/>
        <w:t>2. Blood Sugar Regulation</w:t>
      </w:r>
    </w:p>
    <w:p w14:paraId="400D1EC9" w14:textId="7000BDCB" w:rsidR="003E601A" w:rsidRPr="00052585" w:rsidRDefault="0063739B" w:rsidP="00AB3427">
      <w:pPr>
        <w:pStyle w:val="Heading3"/>
        <w:spacing w:line="360" w:lineRule="auto"/>
        <w:jc w:val="both"/>
        <w:rPr>
          <w:szCs w:val="24"/>
        </w:rPr>
      </w:pPr>
      <w:bookmarkStart w:id="4" w:name="_Hlk233890518"/>
      <w:r w:rsidRPr="00052585">
        <w:rPr>
          <w:szCs w:val="24"/>
        </w:rPr>
        <w:t>2a. Explain homeostasis and discuss the need for the regulation of blood glucose level in the body.</w:t>
      </w:r>
    </w:p>
    <w:p w14:paraId="7BB76CE2" w14:textId="77777777" w:rsidR="00024144" w:rsidRPr="00052585" w:rsidRDefault="00024144" w:rsidP="00AB3427">
      <w:pPr>
        <w:spacing w:before="80" w:after="80" w:line="360" w:lineRule="auto"/>
        <w:jc w:val="both"/>
        <w:rPr>
          <w:rFonts w:ascii="Arial" w:eastAsia="Arial" w:hAnsi="Arial" w:cs="Arial"/>
          <w:szCs w:val="24"/>
        </w:rPr>
      </w:pPr>
      <w:bookmarkStart w:id="5" w:name="_Hlk234226245"/>
      <w:r w:rsidRPr="00052585">
        <w:rPr>
          <w:rFonts w:ascii="Arial" w:eastAsia="Arial" w:hAnsi="Arial" w:cs="Arial"/>
          <w:szCs w:val="24"/>
        </w:rPr>
        <w:t>Homeostasis refers to the physiological process whereby the body ensures that the internal environment remains stable amidst constant changes in the external environment (Billman, 2020). To maintain cellular health throughout the body, fasting plasma glucose needs to be maintained within a small window of about 4.0–6.0 mmol/L. When blood glucose is too low (</w:t>
      </w:r>
      <w:proofErr w:type="spellStart"/>
      <w:r w:rsidRPr="00052585">
        <w:rPr>
          <w:rFonts w:ascii="Arial" w:eastAsia="Arial" w:hAnsi="Arial" w:cs="Arial"/>
          <w:szCs w:val="24"/>
        </w:rPr>
        <w:t>hypoglycemia</w:t>
      </w:r>
      <w:proofErr w:type="spellEnd"/>
      <w:r w:rsidRPr="00052585">
        <w:rPr>
          <w:rFonts w:ascii="Arial" w:eastAsia="Arial" w:hAnsi="Arial" w:cs="Arial"/>
          <w:szCs w:val="24"/>
        </w:rPr>
        <w:t>), the brain is unable to receive its basic metabolic fuel and becomes dizzy, confused or in a neuroglycopenic coma, which is a state of unconsciousness caused by severe cerebral glucose starvation (Paluchamy, 2019). However, when levels are too high (</w:t>
      </w:r>
      <w:proofErr w:type="spellStart"/>
      <w:r w:rsidRPr="00052585">
        <w:rPr>
          <w:rFonts w:ascii="Arial" w:eastAsia="Arial" w:hAnsi="Arial" w:cs="Arial"/>
          <w:szCs w:val="24"/>
        </w:rPr>
        <w:t>hyperglycemia</w:t>
      </w:r>
      <w:proofErr w:type="spellEnd"/>
      <w:r w:rsidRPr="00052585">
        <w:rPr>
          <w:rFonts w:ascii="Arial" w:eastAsia="Arial" w:hAnsi="Arial" w:cs="Arial"/>
          <w:szCs w:val="24"/>
        </w:rPr>
        <w:t xml:space="preserve">), the ensuing osmotic shifts and non-enzymatic glycation lead to cellular dehydration, extensive oxidative stress and progressive microvascular and macrovascular damage (Babel and Dandekar, 2021). </w:t>
      </w:r>
    </w:p>
    <w:bookmarkEnd w:id="5"/>
    <w:p w14:paraId="785EE3E8" w14:textId="3B822198" w:rsidR="003E601A" w:rsidRPr="00052585" w:rsidRDefault="00986F78" w:rsidP="00AB3427">
      <w:pPr>
        <w:pStyle w:val="Heading3"/>
        <w:spacing w:line="360" w:lineRule="auto"/>
        <w:jc w:val="both"/>
        <w:rPr>
          <w:szCs w:val="24"/>
        </w:rPr>
      </w:pPr>
      <w:r w:rsidRPr="00052585">
        <w:rPr>
          <w:szCs w:val="24"/>
        </w:rPr>
        <w:t>2b. How does the body react when there is high blood glucose level – e.g., after meal consumption?</w:t>
      </w:r>
    </w:p>
    <w:p w14:paraId="57DCE019" w14:textId="0C7F724C" w:rsidR="00940407" w:rsidRPr="00052585" w:rsidRDefault="0063739B" w:rsidP="00AB3427">
      <w:pPr>
        <w:spacing w:before="80" w:after="80" w:line="360" w:lineRule="auto"/>
        <w:jc w:val="both"/>
        <w:rPr>
          <w:rFonts w:ascii="Arial" w:eastAsia="Arial" w:hAnsi="Arial" w:cs="Arial"/>
          <w:szCs w:val="24"/>
        </w:rPr>
      </w:pPr>
      <w:bookmarkStart w:id="6" w:name="_Hlk234226356"/>
      <w:r w:rsidRPr="00052585">
        <w:rPr>
          <w:rFonts w:ascii="Arial" w:eastAsia="Arial" w:hAnsi="Arial" w:cs="Arial"/>
          <w:szCs w:val="24"/>
        </w:rPr>
        <w:t>Upon consumption of food, dietary carbohydrates are converted into glucose, thus leading to increased blood glucose level. Such a rise is instantly sensed by beta cells present in islets of Langerhans, which release the anabolic hormone insulin into the bloodstream (</w:t>
      </w:r>
      <w:r w:rsidR="00024144" w:rsidRPr="00052585">
        <w:rPr>
          <w:rFonts w:ascii="Arial" w:eastAsia="Arial" w:hAnsi="Arial" w:cs="Arial"/>
          <w:szCs w:val="24"/>
        </w:rPr>
        <w:t>Tortora and Derrickson, 2018</w:t>
      </w:r>
      <w:r w:rsidRPr="00052585">
        <w:rPr>
          <w:rFonts w:ascii="Arial" w:eastAsia="Arial" w:hAnsi="Arial" w:cs="Arial"/>
          <w:szCs w:val="24"/>
        </w:rPr>
        <w:t xml:space="preserve">). The released insulin acts in a systemic manner, interacting with tyrosine kinase receptors of target skeletal muscles and adipose tissues. This binding process initiates an intracellular cascade of events resulting in the movement of GLUT4 storage vesicle to the cell surface (Tokarz, MacDonald and Klip, 2018). The glucose is facilitated to quickly </w:t>
      </w:r>
      <w:proofErr w:type="gramStart"/>
      <w:r w:rsidRPr="00052585">
        <w:rPr>
          <w:rFonts w:ascii="Arial" w:eastAsia="Arial" w:hAnsi="Arial" w:cs="Arial"/>
          <w:szCs w:val="24"/>
        </w:rPr>
        <w:t>enter into</w:t>
      </w:r>
      <w:proofErr w:type="gramEnd"/>
      <w:r w:rsidRPr="00052585">
        <w:rPr>
          <w:rFonts w:ascii="Arial" w:eastAsia="Arial" w:hAnsi="Arial" w:cs="Arial"/>
          <w:szCs w:val="24"/>
        </w:rPr>
        <w:t xml:space="preserve"> the cells. This, on the other hand, causes insulin to give instructions to the liver to convert excess glucose into glycogen through glycogenesis, thereby bringing back the blood glucose to its normal level (Hall and Hall, 2021).</w:t>
      </w:r>
    </w:p>
    <w:bookmarkEnd w:id="6"/>
    <w:p w14:paraId="4C9699C0" w14:textId="10FEFD33" w:rsidR="003E601A" w:rsidRPr="00052585" w:rsidRDefault="00986F78" w:rsidP="00AB3427">
      <w:pPr>
        <w:pStyle w:val="Heading3"/>
        <w:spacing w:line="360" w:lineRule="auto"/>
        <w:jc w:val="both"/>
        <w:rPr>
          <w:szCs w:val="24"/>
        </w:rPr>
      </w:pPr>
      <w:r w:rsidRPr="00052585">
        <w:rPr>
          <w:szCs w:val="24"/>
        </w:rPr>
        <w:t xml:space="preserve">2c. What does the body do when there is an insufficient level of blood glucose— for example, during fasting or exercise? </w:t>
      </w:r>
    </w:p>
    <w:p w14:paraId="6DAA784B" w14:textId="20911330" w:rsidR="00986F78" w:rsidRPr="00052585" w:rsidRDefault="0063739B" w:rsidP="00AB3427">
      <w:pPr>
        <w:spacing w:before="80" w:after="80" w:line="360" w:lineRule="auto"/>
        <w:jc w:val="both"/>
        <w:rPr>
          <w:rFonts w:ascii="Arial" w:eastAsia="Arial" w:hAnsi="Arial" w:cs="Arial"/>
          <w:szCs w:val="24"/>
        </w:rPr>
      </w:pPr>
      <w:r w:rsidRPr="00052585">
        <w:rPr>
          <w:rFonts w:ascii="Arial" w:eastAsia="Arial" w:hAnsi="Arial" w:cs="Arial"/>
          <w:szCs w:val="24"/>
        </w:rPr>
        <w:lastRenderedPageBreak/>
        <w:t>If there is a considerable reduction of glucose in the blood during long-term fasting or intensive physical exercise, the body undergoes a counterregulation. It occurs when the body detects the drop of circulating blood glucose through the pancreatic alpha cells of islets of Langerhans that release glucagon (Hall and Hall, 2021). Glucagon reaches the liver by portal system where it binds to its G-protein coupled receptor (Müller et al., 2017). This process sets off glycogenolysis and gluconeogenesis, producing glucose out of non-carbohydrate compounds. The glucose is released into the bloodstream by the liver and brings the level of blood glucose back to a healthy and normal homeostatic level (Hall and Hall, 2021).</w:t>
      </w:r>
    </w:p>
    <w:p w14:paraId="3247E382" w14:textId="77777777" w:rsidR="0063739B" w:rsidRPr="00052585" w:rsidRDefault="00986F78" w:rsidP="00AB3427">
      <w:pPr>
        <w:pStyle w:val="Heading3"/>
        <w:spacing w:line="360" w:lineRule="auto"/>
        <w:jc w:val="both"/>
        <w:rPr>
          <w:szCs w:val="24"/>
        </w:rPr>
      </w:pPr>
      <w:r w:rsidRPr="00052585">
        <w:rPr>
          <w:szCs w:val="24"/>
        </w:rPr>
        <w:t>2d. In what ways is this system dysfunctional in someone with Type 2 diabetes?</w:t>
      </w:r>
    </w:p>
    <w:p w14:paraId="5DAFD747" w14:textId="77777777" w:rsidR="0063739B" w:rsidRPr="00052585" w:rsidRDefault="0063739B" w:rsidP="00AB3427">
      <w:pPr>
        <w:spacing w:before="80" w:after="80" w:line="360" w:lineRule="auto"/>
        <w:jc w:val="both"/>
        <w:rPr>
          <w:rFonts w:ascii="Arial" w:eastAsia="Arial" w:hAnsi="Arial" w:cs="Arial"/>
          <w:szCs w:val="24"/>
        </w:rPr>
      </w:pPr>
      <w:r w:rsidRPr="00052585">
        <w:rPr>
          <w:rFonts w:ascii="Arial" w:eastAsia="Arial" w:hAnsi="Arial" w:cs="Arial"/>
          <w:szCs w:val="24"/>
        </w:rPr>
        <w:t xml:space="preserve">In the case of Type 2 Diabetes Mellitus, the dysfunction of the endocrine feedback due to peripheral insulin resistance means that there will be malfunction of target cells in skeletal muscles, adipose tissue, and liver due to ineffective signal transduction for the translocation of GLUT4 to the plasma membrane (Galicia-Garcia et al., 2020). As a result, blood glucose levels will rise and lead to permanent hyperglycemia even when the cells are </w:t>
      </w:r>
      <w:proofErr w:type="gramStart"/>
      <w:r w:rsidRPr="00052585">
        <w:rPr>
          <w:rFonts w:ascii="Arial" w:eastAsia="Arial" w:hAnsi="Arial" w:cs="Arial"/>
          <w:szCs w:val="24"/>
        </w:rPr>
        <w:t>energy-starved</w:t>
      </w:r>
      <w:proofErr w:type="gramEnd"/>
      <w:r w:rsidRPr="00052585">
        <w:rPr>
          <w:rFonts w:ascii="Arial" w:eastAsia="Arial" w:hAnsi="Arial" w:cs="Arial"/>
          <w:szCs w:val="24"/>
        </w:rPr>
        <w:t>. In response to this, there is an increased production of insulin by the beta cells of the pancreas until exhaustion results from the strain on metabolism (Kahn et al., 2014). For patients in this case study, the physiological disintegration highlights the clinical importance of external monitoring and behavioral observation of glucose for the maintenance of glycemic balance within the body.</w:t>
      </w:r>
    </w:p>
    <w:bookmarkEnd w:id="4"/>
    <w:p w14:paraId="5B31BDC0" w14:textId="77777777" w:rsidR="003E601A" w:rsidRPr="00052585" w:rsidRDefault="003E601A" w:rsidP="00AB3427">
      <w:pPr>
        <w:spacing w:before="160" w:after="80" w:line="360" w:lineRule="auto"/>
        <w:jc w:val="both"/>
        <w:rPr>
          <w:szCs w:val="24"/>
        </w:rPr>
      </w:pPr>
      <w:r w:rsidRPr="00052585">
        <w:rPr>
          <w:noProof/>
          <w:szCs w:val="24"/>
        </w:rPr>
        <w:lastRenderedPageBreak/>
        <w:drawing>
          <wp:inline distT="0" distB="0" distL="0" distR="0" wp14:anchorId="0115C51F" wp14:editId="3B37DB47">
            <wp:extent cx="5486400" cy="3764000"/>
            <wp:effectExtent l="0" t="0" r="0" b="0"/>
            <wp:docPr id="9001" name="Figure 1 Glucose Homeosta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1" name="Figure 1 Glucose Homeostasis"/>
                    <pic:cNvPicPr/>
                  </pic:nvPicPr>
                  <pic:blipFill>
                    <a:blip r:embed="rId10"/>
                    <a:stretch>
                      <a:fillRect/>
                    </a:stretch>
                  </pic:blipFill>
                  <pic:spPr>
                    <a:xfrm>
                      <a:off x="0" y="0"/>
                      <a:ext cx="5486400" cy="3764000"/>
                    </a:xfrm>
                    <a:prstGeom prst="rect">
                      <a:avLst/>
                    </a:prstGeom>
                  </pic:spPr>
                </pic:pic>
              </a:graphicData>
            </a:graphic>
          </wp:inline>
        </w:drawing>
      </w:r>
    </w:p>
    <w:p w14:paraId="1E496789" w14:textId="4929FF4D" w:rsidR="003E601A" w:rsidRPr="00052585" w:rsidRDefault="003E601A" w:rsidP="00F71532">
      <w:pPr>
        <w:spacing w:before="80" w:after="240" w:line="360" w:lineRule="auto"/>
        <w:jc w:val="center"/>
        <w:rPr>
          <w:szCs w:val="24"/>
        </w:rPr>
      </w:pPr>
      <w:bookmarkStart w:id="7" w:name="_Hlk233888427"/>
      <w:r w:rsidRPr="00052585">
        <w:rPr>
          <w:rFonts w:ascii="Arial" w:eastAsia="Arial" w:hAnsi="Arial" w:cs="Arial"/>
          <w:i/>
          <w:iCs/>
          <w:color w:val="444444"/>
          <w:szCs w:val="24"/>
        </w:rPr>
        <w:t>Figure 2. Negative feedback control of blood glucose by insulin and glucagon (author's own diagram, based on the homeostatic mechanisms described in Tortora and Derrickson, 2018).</w:t>
      </w:r>
    </w:p>
    <w:bookmarkEnd w:id="7"/>
    <w:p w14:paraId="4A5C8A48" w14:textId="77777777" w:rsidR="003E601A" w:rsidRPr="00052585" w:rsidRDefault="003E601A" w:rsidP="00AB3427">
      <w:pPr>
        <w:spacing w:before="80" w:after="80" w:line="360" w:lineRule="auto"/>
        <w:jc w:val="both"/>
        <w:rPr>
          <w:szCs w:val="24"/>
        </w:rPr>
      </w:pPr>
    </w:p>
    <w:p w14:paraId="4549F326" w14:textId="77777777" w:rsidR="00D7516E" w:rsidRDefault="00D7516E" w:rsidP="00D7516E">
      <w:pPr>
        <w:pStyle w:val="Heading1"/>
      </w:pPr>
    </w:p>
    <w:p w14:paraId="00BB15EF" w14:textId="77777777" w:rsidR="00D7516E" w:rsidRDefault="00D7516E" w:rsidP="00D7516E">
      <w:pPr>
        <w:pStyle w:val="Heading1"/>
      </w:pPr>
    </w:p>
    <w:p w14:paraId="09CF0281" w14:textId="77777777" w:rsidR="00D7516E" w:rsidRDefault="00D7516E" w:rsidP="00D7516E">
      <w:pPr>
        <w:pStyle w:val="Heading1"/>
      </w:pPr>
    </w:p>
    <w:p w14:paraId="3F7A67FC" w14:textId="77777777" w:rsidR="00D7516E" w:rsidRDefault="00D7516E" w:rsidP="00D7516E">
      <w:pPr>
        <w:pStyle w:val="Heading1"/>
      </w:pPr>
    </w:p>
    <w:p w14:paraId="433D1DF5" w14:textId="77777777" w:rsidR="00D7516E" w:rsidRDefault="00D7516E" w:rsidP="00D7516E">
      <w:pPr>
        <w:pStyle w:val="Heading1"/>
      </w:pPr>
    </w:p>
    <w:p w14:paraId="0201214D" w14:textId="77777777" w:rsidR="00D7516E" w:rsidRDefault="00D7516E" w:rsidP="00D7516E"/>
    <w:p w14:paraId="65159814" w14:textId="77777777" w:rsidR="00D7516E" w:rsidRDefault="00D7516E" w:rsidP="00D7516E">
      <w:pPr>
        <w:pStyle w:val="Heading1"/>
      </w:pPr>
    </w:p>
    <w:p w14:paraId="61D6A662" w14:textId="77777777" w:rsidR="00D7516E" w:rsidRPr="00D7516E" w:rsidRDefault="00D7516E" w:rsidP="00D7516E"/>
    <w:p w14:paraId="3AF126AF" w14:textId="1AB3216A" w:rsidR="00CD73C3" w:rsidRPr="00D7516E" w:rsidRDefault="00076AC0" w:rsidP="00D7516E">
      <w:pPr>
        <w:pStyle w:val="Heading1"/>
      </w:pPr>
      <w:r w:rsidRPr="00D7516E">
        <w:lastRenderedPageBreak/>
        <w:t xml:space="preserve">3. Oxygen and Glucose in Cellular Metabolism </w:t>
      </w:r>
    </w:p>
    <w:p w14:paraId="5C5BF4AE" w14:textId="3262BB3B" w:rsidR="003E601A" w:rsidRPr="00052585" w:rsidRDefault="00012E0F" w:rsidP="00AB3427">
      <w:pPr>
        <w:pStyle w:val="Heading3"/>
        <w:spacing w:line="360" w:lineRule="auto"/>
        <w:jc w:val="both"/>
        <w:rPr>
          <w:szCs w:val="24"/>
        </w:rPr>
      </w:pPr>
      <w:bookmarkStart w:id="8" w:name="_Hlk233892356"/>
      <w:r w:rsidRPr="00052585">
        <w:rPr>
          <w:szCs w:val="24"/>
        </w:rPr>
        <w:t>3a. Cellular Respiration and Its Importance for the Human Body</w:t>
      </w:r>
    </w:p>
    <w:p w14:paraId="7281901E" w14:textId="52EAE079" w:rsidR="00012E0F" w:rsidRPr="00052585" w:rsidRDefault="00A44C33" w:rsidP="00AB3427">
      <w:pPr>
        <w:spacing w:before="80" w:after="80" w:line="360" w:lineRule="auto"/>
        <w:jc w:val="both"/>
        <w:rPr>
          <w:rFonts w:ascii="Arial" w:eastAsia="Arial" w:hAnsi="Arial" w:cs="Arial"/>
          <w:szCs w:val="24"/>
        </w:rPr>
      </w:pPr>
      <w:r w:rsidRPr="00052585">
        <w:rPr>
          <w:rFonts w:ascii="Arial" w:eastAsia="Arial" w:hAnsi="Arial" w:cs="Arial"/>
          <w:szCs w:val="24"/>
        </w:rPr>
        <w:t>As soon as glucose gets into target cells, aerobic cellular respiration will transform it into an energy form that can be used by cells and referred to as ATP (adenosine triphosphate). This crucial process involves glucose and oxygen and will produce ATP necessary for various life-giving cell processes such as muscle contractions and nerve impulses (Tortora and Derrickson, 2018). The chemical equation for the reaction process involves using glucose and oxygen to produce carbon dioxide, water, and metabolic energy (Figure 3), thereby supplying the constant fuel needed to maintain complex life in human systems.</w:t>
      </w:r>
    </w:p>
    <w:p w14:paraId="5A018DD6" w14:textId="77777777" w:rsidR="00A44C33" w:rsidRPr="00052585" w:rsidRDefault="00012E0F" w:rsidP="00AB3427">
      <w:pPr>
        <w:pStyle w:val="Heading3"/>
        <w:spacing w:line="360" w:lineRule="auto"/>
        <w:jc w:val="both"/>
        <w:rPr>
          <w:szCs w:val="24"/>
        </w:rPr>
      </w:pPr>
      <w:r w:rsidRPr="00052585">
        <w:rPr>
          <w:szCs w:val="24"/>
        </w:rPr>
        <w:t>3b. Outline the steps in the process of aerobic respiration namely glycolysis, Krebs cycle, and oxidative phosphorylation.</w:t>
      </w:r>
    </w:p>
    <w:p w14:paraId="558D5583" w14:textId="2890AAB1" w:rsidR="00012E0F" w:rsidRPr="00052585" w:rsidRDefault="00A44C33" w:rsidP="00AB3427">
      <w:pPr>
        <w:spacing w:before="80" w:after="80" w:line="360" w:lineRule="auto"/>
        <w:jc w:val="both"/>
        <w:rPr>
          <w:rFonts w:ascii="Arial" w:eastAsia="Arial" w:hAnsi="Arial" w:cs="Arial"/>
          <w:szCs w:val="24"/>
        </w:rPr>
      </w:pPr>
      <w:r w:rsidRPr="00052585">
        <w:rPr>
          <w:rFonts w:ascii="Arial" w:eastAsia="Arial" w:hAnsi="Arial" w:cs="Arial"/>
          <w:szCs w:val="24"/>
        </w:rPr>
        <w:t xml:space="preserve">Aerobic respiration consists of three major stages. First, glycolysis, occurs in the cytoplasm of the cells and each glucose molecule is cleaved into two pyruvate molecules and generates only a small amount of ATP directly. As such pyruvate then flows into the mitochondria of the cell to undergo Krebs-cycle if oxygen is present. This is further broken down, releasing carbon dioxide as a waste product and creating electron carrier molecules (Saltveit, 2019). These carriers are then carried into the third stage, oxidative phosphorylation that happens at the inner mitochondrial membrane. Oxygen is essential because, at this point, it is the ultimate electron acceptor that allows almost </w:t>
      </w:r>
      <w:proofErr w:type="gramStart"/>
      <w:r w:rsidRPr="00052585">
        <w:rPr>
          <w:rFonts w:ascii="Arial" w:eastAsia="Arial" w:hAnsi="Arial" w:cs="Arial"/>
          <w:szCs w:val="24"/>
        </w:rPr>
        <w:t>all of</w:t>
      </w:r>
      <w:proofErr w:type="gramEnd"/>
      <w:r w:rsidRPr="00052585">
        <w:rPr>
          <w:rFonts w:ascii="Arial" w:eastAsia="Arial" w:hAnsi="Arial" w:cs="Arial"/>
          <w:szCs w:val="24"/>
        </w:rPr>
        <w:t xml:space="preserve"> the cell's ATP to be produced, bringing the theoretical yield up to 30 to 32 ATP (Hall and Hall 2021).</w:t>
      </w:r>
    </w:p>
    <w:p w14:paraId="60D12965" w14:textId="77777777" w:rsidR="00A44C33" w:rsidRPr="00052585" w:rsidRDefault="00012E0F" w:rsidP="00AB3427">
      <w:pPr>
        <w:pStyle w:val="Heading3"/>
        <w:spacing w:line="360" w:lineRule="auto"/>
        <w:jc w:val="both"/>
        <w:rPr>
          <w:szCs w:val="24"/>
        </w:rPr>
      </w:pPr>
      <w:r w:rsidRPr="00052585">
        <w:rPr>
          <w:szCs w:val="24"/>
        </w:rPr>
        <w:t>3c. What takes place in the presence of no oxygen (anaerobic respiration) and why is it significant to diabetic patients?</w:t>
      </w:r>
    </w:p>
    <w:p w14:paraId="1A1D470E" w14:textId="77777777" w:rsidR="00024144" w:rsidRPr="00052585" w:rsidRDefault="00024144" w:rsidP="00AB3427">
      <w:pPr>
        <w:spacing w:before="80" w:after="80" w:line="360" w:lineRule="auto"/>
        <w:jc w:val="both"/>
        <w:rPr>
          <w:rFonts w:ascii="Arial" w:eastAsia="Arial" w:hAnsi="Arial" w:cs="Arial"/>
          <w:szCs w:val="24"/>
        </w:rPr>
      </w:pPr>
      <w:bookmarkStart w:id="9" w:name="_Hlk234226651"/>
      <w:r w:rsidRPr="00052585">
        <w:rPr>
          <w:rFonts w:ascii="Arial" w:eastAsia="Arial" w:hAnsi="Arial" w:cs="Arial"/>
          <w:szCs w:val="24"/>
        </w:rPr>
        <w:t xml:space="preserve">Without adequate amounts of oxygen, cells undergo anaerobic metabolism by breaking down pyruvate into lactate </w:t>
      </w:r>
      <w:proofErr w:type="gramStart"/>
      <w:r w:rsidRPr="00052585">
        <w:rPr>
          <w:rFonts w:ascii="Arial" w:eastAsia="Arial" w:hAnsi="Arial" w:cs="Arial"/>
          <w:szCs w:val="24"/>
        </w:rPr>
        <w:t>in order to</w:t>
      </w:r>
      <w:proofErr w:type="gramEnd"/>
      <w:r w:rsidRPr="00052585">
        <w:rPr>
          <w:rFonts w:ascii="Arial" w:eastAsia="Arial" w:hAnsi="Arial" w:cs="Arial"/>
          <w:szCs w:val="24"/>
        </w:rPr>
        <w:t xml:space="preserve"> obtain ATP in small amounts. This has clinical importance in cases of diabetes mellitus, especially in the state of diabetic ketoacidosis (DKA). Severe lack of insulin causes glucose to be unable to enter the cell, despite high blood sugar levels; this causes the body to break down fat into </w:t>
      </w:r>
      <w:r w:rsidRPr="00052585">
        <w:rPr>
          <w:rFonts w:ascii="Arial" w:eastAsia="Arial" w:hAnsi="Arial" w:cs="Arial"/>
          <w:szCs w:val="24"/>
        </w:rPr>
        <w:lastRenderedPageBreak/>
        <w:t xml:space="preserve">ketones, while decreased tissue perfusion causes cells to resort to anaerobic metabolism and lactic acidosis seen in DKA (Bhat et al., 2021). The concept of framing chronic </w:t>
      </w:r>
      <w:proofErr w:type="spellStart"/>
      <w:r w:rsidRPr="00052585">
        <w:rPr>
          <w:rFonts w:ascii="Arial" w:eastAsia="Arial" w:hAnsi="Arial" w:cs="Arial"/>
          <w:szCs w:val="24"/>
        </w:rPr>
        <w:t>hyperglycemia</w:t>
      </w:r>
      <w:proofErr w:type="spellEnd"/>
      <w:r w:rsidRPr="00052585">
        <w:rPr>
          <w:rFonts w:ascii="Arial" w:eastAsia="Arial" w:hAnsi="Arial" w:cs="Arial"/>
          <w:szCs w:val="24"/>
        </w:rPr>
        <w:t xml:space="preserve"> as a systemic fuel crisis demonstrates that cells have been actively starved of their baseline energy. Critically, does early recognition of this cellular "fuel crisis" by primary care nurses allow for altered intervention timing, thereby potentially preventing the progression toward such severe metabolic complications?</w:t>
      </w:r>
    </w:p>
    <w:p w14:paraId="57586C9B" w14:textId="77777777" w:rsidR="00A44C33" w:rsidRPr="00052585" w:rsidRDefault="00A44C33" w:rsidP="00AB3427">
      <w:pPr>
        <w:spacing w:before="80" w:after="80" w:line="360" w:lineRule="auto"/>
        <w:jc w:val="both"/>
        <w:rPr>
          <w:rFonts w:ascii="Arial" w:eastAsia="Arial" w:hAnsi="Arial" w:cs="Arial"/>
          <w:szCs w:val="24"/>
        </w:rPr>
      </w:pPr>
    </w:p>
    <w:bookmarkEnd w:id="8"/>
    <w:bookmarkEnd w:id="9"/>
    <w:p w14:paraId="43A604CD" w14:textId="0D12517C" w:rsidR="00012E0F" w:rsidRPr="00052585" w:rsidRDefault="003E601A" w:rsidP="00AB3427">
      <w:pPr>
        <w:spacing w:before="60" w:after="60" w:line="360" w:lineRule="auto"/>
        <w:jc w:val="both"/>
        <w:rPr>
          <w:rFonts w:ascii="Arial" w:eastAsia="Arial" w:hAnsi="Arial" w:cs="Arial"/>
          <w:color w:val="444444"/>
          <w:szCs w:val="24"/>
        </w:rPr>
      </w:pPr>
      <w:r w:rsidRPr="00052585">
        <w:rPr>
          <w:rFonts w:ascii="Arial" w:eastAsia="Arial" w:hAnsi="Arial" w:cs="Arial"/>
          <w:noProof/>
          <w:color w:val="444444"/>
          <w:szCs w:val="24"/>
        </w:rPr>
        <w:drawing>
          <wp:inline distT="0" distB="0" distL="0" distR="0" wp14:anchorId="572FCF59" wp14:editId="11F49606">
            <wp:extent cx="5731510" cy="38207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2CCCBDB" w14:textId="33039BCB" w:rsidR="003E601A" w:rsidRPr="00052585" w:rsidRDefault="003E601A" w:rsidP="00AB3427">
      <w:pPr>
        <w:spacing w:before="60" w:after="60" w:line="360" w:lineRule="auto"/>
        <w:jc w:val="both"/>
        <w:rPr>
          <w:rFonts w:ascii="Arial" w:eastAsia="Arial" w:hAnsi="Arial" w:cs="Arial"/>
          <w:color w:val="444444"/>
          <w:szCs w:val="24"/>
        </w:rPr>
      </w:pPr>
      <w:r w:rsidRPr="00052585">
        <w:rPr>
          <w:rFonts w:ascii="Arial" w:eastAsia="Arial" w:hAnsi="Arial" w:cs="Arial"/>
          <w:color w:val="444444"/>
          <w:szCs w:val="24"/>
        </w:rPr>
        <w:t>Figure 3: Aerobic Respiration: Complete Oxidation of Glucose and ATP Production</w:t>
      </w:r>
    </w:p>
    <w:p w14:paraId="6790F341" w14:textId="77777777" w:rsidR="00D7516E" w:rsidRDefault="00D7516E" w:rsidP="00D7516E">
      <w:pPr>
        <w:pStyle w:val="Heading1"/>
      </w:pPr>
    </w:p>
    <w:p w14:paraId="72652699" w14:textId="77777777" w:rsidR="00D7516E" w:rsidRDefault="00D7516E" w:rsidP="00D7516E">
      <w:pPr>
        <w:pStyle w:val="Heading1"/>
      </w:pPr>
    </w:p>
    <w:p w14:paraId="7B64FF3C" w14:textId="77777777" w:rsidR="00D7516E" w:rsidRDefault="00D7516E" w:rsidP="00D7516E">
      <w:pPr>
        <w:pStyle w:val="Heading1"/>
      </w:pPr>
    </w:p>
    <w:p w14:paraId="66988DFD" w14:textId="77777777" w:rsidR="00D7516E" w:rsidRDefault="00D7516E" w:rsidP="00D7516E"/>
    <w:p w14:paraId="67D09362" w14:textId="77777777" w:rsidR="00D7516E" w:rsidRPr="00D7516E" w:rsidRDefault="00D7516E" w:rsidP="00D7516E"/>
    <w:p w14:paraId="173E7AC6" w14:textId="1BAA9D65" w:rsidR="00012E0F" w:rsidRPr="00D7516E" w:rsidRDefault="00012E0F" w:rsidP="00D7516E">
      <w:pPr>
        <w:pStyle w:val="Heading1"/>
      </w:pPr>
      <w:r w:rsidRPr="00D7516E">
        <w:lastRenderedPageBreak/>
        <w:t xml:space="preserve">4. Recording and Tracking Blood Sugar Levels  </w:t>
      </w:r>
    </w:p>
    <w:p w14:paraId="635661C3" w14:textId="10317E27" w:rsidR="003E601A" w:rsidRPr="00052585" w:rsidRDefault="00012E0F" w:rsidP="00F71532">
      <w:pPr>
        <w:pStyle w:val="Heading3"/>
        <w:spacing w:line="360" w:lineRule="auto"/>
        <w:jc w:val="both"/>
        <w:rPr>
          <w:szCs w:val="24"/>
        </w:rPr>
      </w:pPr>
      <w:bookmarkStart w:id="10" w:name="_Hlk233894095"/>
      <w:r w:rsidRPr="00052585">
        <w:rPr>
          <w:szCs w:val="24"/>
        </w:rPr>
        <w:t>4a. How is blood glucose monitoring achieved (e.g. self-monitoring, HbA1c, continuous glucose monitors)?</w:t>
      </w:r>
    </w:p>
    <w:p w14:paraId="4403F6C5" w14:textId="71B33AF4" w:rsidR="00F71532" w:rsidRPr="00052585" w:rsidRDefault="00FD045D" w:rsidP="00F71532">
      <w:pPr>
        <w:spacing w:before="80" w:after="80" w:line="360" w:lineRule="auto"/>
        <w:jc w:val="both"/>
        <w:rPr>
          <w:rFonts w:ascii="Arial" w:eastAsia="Arial" w:hAnsi="Arial" w:cs="Arial"/>
          <w:szCs w:val="24"/>
        </w:rPr>
      </w:pPr>
      <w:bookmarkStart w:id="11" w:name="_Hlk233897855"/>
      <w:bookmarkStart w:id="12" w:name="_Hlk234226829"/>
      <w:r w:rsidRPr="00052585">
        <w:rPr>
          <w:rFonts w:ascii="Arial" w:eastAsia="Arial" w:hAnsi="Arial" w:cs="Arial"/>
          <w:szCs w:val="24"/>
        </w:rPr>
        <w:t xml:space="preserve">The two major types of monitors used in clinical practice are the Glycated </w:t>
      </w:r>
      <w:proofErr w:type="spellStart"/>
      <w:r w:rsidRPr="00052585">
        <w:rPr>
          <w:rFonts w:ascii="Arial" w:eastAsia="Arial" w:hAnsi="Arial" w:cs="Arial"/>
          <w:szCs w:val="24"/>
        </w:rPr>
        <w:t>Hemoglobin</w:t>
      </w:r>
      <w:proofErr w:type="spellEnd"/>
      <w:r w:rsidRPr="00052585">
        <w:rPr>
          <w:rFonts w:ascii="Arial" w:eastAsia="Arial" w:hAnsi="Arial" w:cs="Arial"/>
          <w:szCs w:val="24"/>
        </w:rPr>
        <w:t xml:space="preserve"> (HbA1c) test and Continuous Glucose Monitoring (CGM) (</w:t>
      </w:r>
      <w:proofErr w:type="spellStart"/>
      <w:r w:rsidRPr="00052585">
        <w:rPr>
          <w:rFonts w:ascii="Arial" w:eastAsia="Arial" w:hAnsi="Arial" w:cs="Arial"/>
          <w:szCs w:val="24"/>
        </w:rPr>
        <w:t>Ajjan</w:t>
      </w:r>
      <w:proofErr w:type="spellEnd"/>
      <w:r w:rsidRPr="00052585">
        <w:rPr>
          <w:rFonts w:ascii="Arial" w:eastAsia="Arial" w:hAnsi="Arial" w:cs="Arial"/>
          <w:szCs w:val="24"/>
        </w:rPr>
        <w:t xml:space="preserve"> et al., 2019). Even though HbA1c is a good tool that shows an accurate </w:t>
      </w:r>
      <w:proofErr w:type="spellStart"/>
      <w:r w:rsidRPr="00052585">
        <w:rPr>
          <w:rFonts w:ascii="Arial" w:eastAsia="Arial" w:hAnsi="Arial" w:cs="Arial"/>
          <w:szCs w:val="24"/>
        </w:rPr>
        <w:t>glycemic</w:t>
      </w:r>
      <w:proofErr w:type="spellEnd"/>
      <w:r w:rsidRPr="00052585">
        <w:rPr>
          <w:rFonts w:ascii="Arial" w:eastAsia="Arial" w:hAnsi="Arial" w:cs="Arial"/>
          <w:szCs w:val="24"/>
        </w:rPr>
        <w:t xml:space="preserve"> condition for an 8 to 12-week period, it is not sensitive enough to indicate acute </w:t>
      </w:r>
      <w:proofErr w:type="spellStart"/>
      <w:r w:rsidRPr="00052585">
        <w:rPr>
          <w:rFonts w:ascii="Arial" w:eastAsia="Arial" w:hAnsi="Arial" w:cs="Arial"/>
          <w:szCs w:val="24"/>
        </w:rPr>
        <w:t>glycemic</w:t>
      </w:r>
      <w:proofErr w:type="spellEnd"/>
      <w:r w:rsidRPr="00052585">
        <w:rPr>
          <w:rFonts w:ascii="Arial" w:eastAsia="Arial" w:hAnsi="Arial" w:cs="Arial"/>
          <w:szCs w:val="24"/>
        </w:rPr>
        <w:t xml:space="preserve"> instabilities. On the other hand, CGM monitors the glucose level in interstitial fluid using a subcutaneous sensor, providing real-time glucose level transparency and acute hyper- or </w:t>
      </w:r>
      <w:proofErr w:type="spellStart"/>
      <w:r w:rsidRPr="00052585">
        <w:rPr>
          <w:rFonts w:ascii="Arial" w:eastAsia="Arial" w:hAnsi="Arial" w:cs="Arial"/>
          <w:szCs w:val="24"/>
        </w:rPr>
        <w:t>hypoglycemic</w:t>
      </w:r>
      <w:proofErr w:type="spellEnd"/>
      <w:r w:rsidRPr="00052585">
        <w:rPr>
          <w:rFonts w:ascii="Arial" w:eastAsia="Arial" w:hAnsi="Arial" w:cs="Arial"/>
          <w:szCs w:val="24"/>
        </w:rPr>
        <w:t xml:space="preserve"> events. (Mihai et al., 2022) However, while HbA1c is important to measure the effectiveness of therapy over time, CGM offers actionable data that is real-time and indicates how the patient is doing </w:t>
      </w:r>
      <w:proofErr w:type="gramStart"/>
      <w:r w:rsidRPr="00052585">
        <w:rPr>
          <w:rFonts w:ascii="Arial" w:eastAsia="Arial" w:hAnsi="Arial" w:cs="Arial"/>
          <w:szCs w:val="24"/>
        </w:rPr>
        <w:t>on a daily basis</w:t>
      </w:r>
      <w:proofErr w:type="gramEnd"/>
      <w:r w:rsidRPr="00052585">
        <w:rPr>
          <w:rFonts w:ascii="Arial" w:eastAsia="Arial" w:hAnsi="Arial" w:cs="Arial"/>
          <w:szCs w:val="24"/>
        </w:rPr>
        <w:t>. The choice of these methods is however often restricted by practical considerations such as funding, availability of equipment, and patient's ability to manage their technology, which ultimately determine access to these technologies in primary care.</w:t>
      </w:r>
      <w:bookmarkEnd w:id="11"/>
    </w:p>
    <w:bookmarkEnd w:id="12"/>
    <w:p w14:paraId="6CC1D847" w14:textId="618F583F" w:rsidR="003E601A" w:rsidRPr="00052585" w:rsidRDefault="0057616D" w:rsidP="00AB3427">
      <w:pPr>
        <w:pStyle w:val="Heading3"/>
        <w:spacing w:line="360" w:lineRule="auto"/>
        <w:jc w:val="both"/>
        <w:rPr>
          <w:szCs w:val="24"/>
        </w:rPr>
      </w:pPr>
      <w:r w:rsidRPr="00052585">
        <w:rPr>
          <w:szCs w:val="24"/>
        </w:rPr>
        <w:t>4b. Why is consistent tracking critical to patient safety and care planning?</w:t>
      </w:r>
    </w:p>
    <w:p w14:paraId="36FE9ADA" w14:textId="19B6E005" w:rsidR="00DE477A" w:rsidRDefault="004566B9" w:rsidP="00AB3427">
      <w:pPr>
        <w:spacing w:before="80" w:after="80" w:line="360" w:lineRule="auto"/>
        <w:jc w:val="both"/>
        <w:rPr>
          <w:rFonts w:ascii="Arial" w:eastAsia="Arial" w:hAnsi="Arial" w:cs="Arial"/>
          <w:szCs w:val="24"/>
        </w:rPr>
      </w:pPr>
      <w:r w:rsidRPr="00052585">
        <w:rPr>
          <w:rFonts w:ascii="Arial" w:eastAsia="Arial" w:hAnsi="Arial" w:cs="Arial"/>
          <w:szCs w:val="24"/>
        </w:rPr>
        <w:t>Consistent tracking of data plays a key role in ensuring patient safety and efficient care plans in the GP surgery setting. For the increasing number of diabetes patients being treated by the practice nurse, routine monitoring of the changes in their glucose levels will help trace precisely how their behavior, such as diet and exercise routines, affect their blood composition (American Diabetes Association, 2021). With this fine-grained clinical data, the nurse can be very precise in his/her pharmacologic modifications without significantly increasing the risk of treatment-induced hypoglycemia. In conclusion, using this information gives the patients an opportunity to become more involved in their own management because it helps to reveal the metabolic physiology behind it.</w:t>
      </w:r>
      <w:bookmarkEnd w:id="10"/>
    </w:p>
    <w:p w14:paraId="430AEF1E" w14:textId="77777777" w:rsidR="00D7516E" w:rsidRPr="00052585" w:rsidRDefault="00D7516E" w:rsidP="00AB3427">
      <w:pPr>
        <w:spacing w:before="80" w:after="80" w:line="360" w:lineRule="auto"/>
        <w:jc w:val="both"/>
        <w:rPr>
          <w:rFonts w:ascii="Arial" w:eastAsia="Arial" w:hAnsi="Arial" w:cs="Arial"/>
          <w:szCs w:val="24"/>
        </w:rPr>
      </w:pPr>
    </w:p>
    <w:p w14:paraId="5EC89A6B" w14:textId="312DCA3F" w:rsidR="00DE477A" w:rsidRPr="00D7516E" w:rsidRDefault="00DE477A" w:rsidP="00D7516E">
      <w:pPr>
        <w:pStyle w:val="Heading1"/>
      </w:pPr>
      <w:r w:rsidRPr="00D7516E">
        <w:lastRenderedPageBreak/>
        <w:t xml:space="preserve">5. Evidence-Based Lifestyle Recommendations  </w:t>
      </w:r>
    </w:p>
    <w:p w14:paraId="5713DFAA" w14:textId="5ADE07CA" w:rsidR="00293ADB" w:rsidRPr="00052585" w:rsidRDefault="00DE477A" w:rsidP="00AB3427">
      <w:pPr>
        <w:pStyle w:val="Heading3"/>
        <w:spacing w:line="360" w:lineRule="auto"/>
        <w:jc w:val="both"/>
        <w:rPr>
          <w:szCs w:val="24"/>
        </w:rPr>
      </w:pPr>
      <w:bookmarkStart w:id="13" w:name="_Hlk233894671"/>
      <w:r w:rsidRPr="00052585">
        <w:rPr>
          <w:szCs w:val="24"/>
        </w:rPr>
        <w:t xml:space="preserve">5a. Is there evidence regarding the effect of diet on blood glucose regulation in Type 2 diabetes?  </w:t>
      </w:r>
    </w:p>
    <w:p w14:paraId="3DC28989" w14:textId="101DBBC6" w:rsidR="004C1BD1" w:rsidRPr="00052585" w:rsidRDefault="004C1BD1" w:rsidP="00AB3427">
      <w:pPr>
        <w:spacing w:before="80" w:after="80" w:line="360" w:lineRule="auto"/>
        <w:jc w:val="both"/>
        <w:rPr>
          <w:rFonts w:ascii="Arial" w:eastAsia="Arial" w:hAnsi="Arial" w:cs="Arial"/>
          <w:szCs w:val="24"/>
        </w:rPr>
      </w:pPr>
      <w:bookmarkStart w:id="14" w:name="_Hlk234227102"/>
      <w:r w:rsidRPr="00052585">
        <w:rPr>
          <w:rFonts w:ascii="Arial" w:eastAsia="Arial" w:hAnsi="Arial" w:cs="Arial"/>
          <w:szCs w:val="24"/>
        </w:rPr>
        <w:t>There is ample clinical evidence</w:t>
      </w:r>
      <w:r w:rsidR="00FD045D" w:rsidRPr="00052585">
        <w:rPr>
          <w:szCs w:val="24"/>
        </w:rPr>
        <w:t xml:space="preserve">, </w:t>
      </w:r>
      <w:r w:rsidR="00FD045D" w:rsidRPr="00052585">
        <w:rPr>
          <w:rFonts w:ascii="Arial" w:eastAsia="Arial" w:hAnsi="Arial" w:cs="Arial"/>
          <w:szCs w:val="24"/>
        </w:rPr>
        <w:t>such as those from the National Institute for Health and Care Excellence (NICE, 2022)</w:t>
      </w:r>
      <w:r w:rsidRPr="00052585">
        <w:rPr>
          <w:rFonts w:ascii="Arial" w:eastAsia="Arial" w:hAnsi="Arial" w:cs="Arial"/>
          <w:szCs w:val="24"/>
        </w:rPr>
        <w:t xml:space="preserve"> that </w:t>
      </w:r>
      <w:r w:rsidR="00FD045D" w:rsidRPr="00052585">
        <w:rPr>
          <w:rFonts w:ascii="Arial" w:eastAsia="Arial" w:hAnsi="Arial" w:cs="Arial"/>
          <w:szCs w:val="24"/>
        </w:rPr>
        <w:t xml:space="preserve">illustrates how </w:t>
      </w:r>
      <w:r w:rsidRPr="00052585">
        <w:rPr>
          <w:rFonts w:ascii="Arial" w:eastAsia="Arial" w:hAnsi="Arial" w:cs="Arial"/>
          <w:szCs w:val="24"/>
        </w:rPr>
        <w:t xml:space="preserve">nutrition intervention plays an essential role in the management of T2DM. According to Papakonstantinou et al., (2022), restriction of refined carbohydrate and sugar consumption helps to prevent rapid spikes in blood glucose after meals. A focus on low-Glycemic Index (GI) foods, which have a slow enzymatic digestion rate, aids in controlling the systemic flow of glucose into the body (Kaur et al., 2022). Moreover, there are substantial trial findings favoring adoption of a Mediterranean diet, characterised by monounsaturated fats, whole grains, and protein-rich foods </w:t>
      </w:r>
      <w:proofErr w:type="gramStart"/>
      <w:r w:rsidRPr="00052585">
        <w:rPr>
          <w:rFonts w:ascii="Arial" w:eastAsia="Arial" w:hAnsi="Arial" w:cs="Arial"/>
          <w:szCs w:val="24"/>
        </w:rPr>
        <w:t>in order to</w:t>
      </w:r>
      <w:proofErr w:type="gramEnd"/>
      <w:r w:rsidRPr="00052585">
        <w:rPr>
          <w:rFonts w:ascii="Arial" w:eastAsia="Arial" w:hAnsi="Arial" w:cs="Arial"/>
          <w:szCs w:val="24"/>
        </w:rPr>
        <w:t xml:space="preserve"> lower HbA1c levels and improve cardiometabolic lipid profile (Pavlidou et al., 2023; Minari et al., 2023). These dietary changes, along with portion control, will create energy deficits for lowering visceral fat and improving insulin resistance.</w:t>
      </w:r>
    </w:p>
    <w:bookmarkEnd w:id="14"/>
    <w:p w14:paraId="5F5C40AD" w14:textId="5C7BD743" w:rsidR="00293ADB" w:rsidRPr="00052585" w:rsidRDefault="00DE477A" w:rsidP="00AB3427">
      <w:pPr>
        <w:pStyle w:val="Heading3"/>
        <w:spacing w:line="360" w:lineRule="auto"/>
        <w:jc w:val="both"/>
        <w:rPr>
          <w:szCs w:val="24"/>
        </w:rPr>
      </w:pPr>
      <w:r w:rsidRPr="00052585">
        <w:rPr>
          <w:szCs w:val="24"/>
        </w:rPr>
        <w:t>5b. What does current literature say about the role of physical exercise?</w:t>
      </w:r>
    </w:p>
    <w:p w14:paraId="3D70D33B" w14:textId="77777777" w:rsidR="001A0EF3" w:rsidRPr="00052585" w:rsidRDefault="001A0EF3" w:rsidP="00AB3427">
      <w:pPr>
        <w:spacing w:before="80" w:after="80" w:line="360" w:lineRule="auto"/>
        <w:jc w:val="both"/>
        <w:rPr>
          <w:rFonts w:ascii="Arial" w:eastAsia="Arial" w:hAnsi="Arial" w:cs="Arial"/>
          <w:szCs w:val="24"/>
        </w:rPr>
      </w:pPr>
      <w:r w:rsidRPr="00052585">
        <w:rPr>
          <w:rFonts w:ascii="Arial" w:eastAsia="Arial" w:hAnsi="Arial" w:cs="Arial"/>
          <w:szCs w:val="24"/>
        </w:rPr>
        <w:t>Physical activity is a strong non-pharmacological intervention for Type 2 diabetes, as it transitorily improves the intrinsic cellular insulin sensitivity (Coomans de Brachene et al., 2023). This natural manner of skeletal muscle contractions induces insulin-independent signaling, translocating GLUT4 proteins towards a whole cell membrane to swiftly clear elevated blood glucose (Colberg et al., 2016). Guidelines for clinical practice maintain moderate aerobic physical activity for 150 minutes a week to preserve these metabolic adaptations (Wasfy and Baggish, 2016). In addition, aerobic and resistance activity have synergistic effects; gaining skeletal muscle mass increases the size of the metabolic "sink" in the body, that greatly improve longer-term blood glucose and energy metabolism (Piercy et al.,2018).</w:t>
      </w:r>
    </w:p>
    <w:p w14:paraId="76812331" w14:textId="77777777" w:rsidR="00AB3427" w:rsidRPr="00052585" w:rsidRDefault="00DE477A" w:rsidP="00AB3427">
      <w:pPr>
        <w:pStyle w:val="Heading3"/>
        <w:spacing w:line="360" w:lineRule="auto"/>
        <w:jc w:val="both"/>
        <w:rPr>
          <w:szCs w:val="24"/>
        </w:rPr>
      </w:pPr>
      <w:r w:rsidRPr="00052585">
        <w:rPr>
          <w:szCs w:val="24"/>
        </w:rPr>
        <w:t>5c. How does smoking affect diabetes and blood glucose control?</w:t>
      </w:r>
    </w:p>
    <w:p w14:paraId="1E428199" w14:textId="77777777" w:rsidR="00AB3427" w:rsidRPr="00052585" w:rsidRDefault="00AB3427" w:rsidP="00AB3427">
      <w:pPr>
        <w:spacing w:line="360" w:lineRule="auto"/>
        <w:jc w:val="both"/>
        <w:rPr>
          <w:rFonts w:ascii="Arial" w:eastAsia="Arial" w:hAnsi="Arial" w:cs="Arial"/>
          <w:szCs w:val="24"/>
        </w:rPr>
      </w:pPr>
      <w:r w:rsidRPr="00052585">
        <w:rPr>
          <w:rFonts w:ascii="Arial" w:eastAsia="Arial" w:hAnsi="Arial" w:cs="Arial"/>
          <w:szCs w:val="24"/>
        </w:rPr>
        <w:t xml:space="preserve">Smoking greatly exacerbates pre-existing microvascular and macrovascular disorders associated with T2DM as well as its progression. Nicotine inhalation also </w:t>
      </w:r>
      <w:r w:rsidRPr="00052585">
        <w:rPr>
          <w:rFonts w:ascii="Arial" w:eastAsia="Arial" w:hAnsi="Arial" w:cs="Arial"/>
          <w:szCs w:val="24"/>
        </w:rPr>
        <w:lastRenderedPageBreak/>
        <w:t xml:space="preserve">stimulates/activates the sympathetic nervous system and systemic inflammation, which dismally disrupts inside signal transduction pathways of insulin receptor and therefore aggravates peripheral insulin resistance (Mukharjee et al., 2020). Moreover, the combination of tobacco abuse and hyperglycemia leads to much more rapidly damage of endothelium, thus significantly and exponentially increasing people's susceptibility to myocardial infarction, stroke or peripheral arterial disease (Münzel et al., 2025). As an assigned practice nurse, I would deliver </w:t>
      </w:r>
      <w:proofErr w:type="gramStart"/>
      <w:r w:rsidRPr="00052585">
        <w:rPr>
          <w:rFonts w:ascii="Arial" w:eastAsia="Arial" w:hAnsi="Arial" w:cs="Arial"/>
          <w:szCs w:val="24"/>
        </w:rPr>
        <w:t>evidence-based</w:t>
      </w:r>
      <w:proofErr w:type="gramEnd"/>
      <w:r w:rsidRPr="00052585">
        <w:rPr>
          <w:rFonts w:ascii="Arial" w:eastAsia="Arial" w:hAnsi="Arial" w:cs="Arial"/>
          <w:szCs w:val="24"/>
        </w:rPr>
        <w:t xml:space="preserve"> Very Brief Advice (VBA) to assess readiness to quit followed by an immediate referral to NHS stop smoking services for delivery of behaviour change support with Nicotine replacement therapy (NRT).</w:t>
      </w:r>
    </w:p>
    <w:bookmarkEnd w:id="13"/>
    <w:p w14:paraId="062E52B0" w14:textId="44C5CC35" w:rsidR="00DE477A" w:rsidRPr="00D7516E" w:rsidRDefault="00D7516E" w:rsidP="00AB3427">
      <w:pPr>
        <w:spacing w:before="60" w:after="60" w:line="360" w:lineRule="auto"/>
        <w:jc w:val="both"/>
        <w:rPr>
          <w:rFonts w:ascii="Arial" w:eastAsiaTheme="majorEastAsia" w:hAnsi="Arial" w:cs="Arial"/>
          <w:b/>
          <w:sz w:val="28"/>
          <w:szCs w:val="28"/>
        </w:rPr>
      </w:pPr>
      <w:r w:rsidRPr="00D7516E">
        <w:rPr>
          <w:rFonts w:ascii="Arial" w:eastAsiaTheme="majorEastAsia" w:hAnsi="Arial" w:cs="Arial"/>
          <w:b/>
          <w:sz w:val="28"/>
          <w:szCs w:val="28"/>
        </w:rPr>
        <w:t>6</w:t>
      </w:r>
      <w:r w:rsidR="00DE477A" w:rsidRPr="00D7516E">
        <w:rPr>
          <w:rFonts w:ascii="Arial" w:eastAsiaTheme="majorEastAsia" w:hAnsi="Arial" w:cs="Arial"/>
          <w:b/>
          <w:sz w:val="28"/>
          <w:szCs w:val="28"/>
        </w:rPr>
        <w:t>. Evidence-Based Lifestyle</w:t>
      </w:r>
    </w:p>
    <w:p w14:paraId="0ECC0868" w14:textId="73872BBA" w:rsidR="0008122C" w:rsidRPr="00052585" w:rsidRDefault="00DE477A" w:rsidP="00AB3427">
      <w:pPr>
        <w:pStyle w:val="Heading3"/>
        <w:spacing w:line="360" w:lineRule="auto"/>
        <w:jc w:val="both"/>
        <w:rPr>
          <w:szCs w:val="24"/>
        </w:rPr>
      </w:pPr>
      <w:bookmarkStart w:id="15" w:name="_Hlk233895790"/>
      <w:r w:rsidRPr="00052585">
        <w:rPr>
          <w:szCs w:val="24"/>
        </w:rPr>
        <w:t>6a. What were some of the important physiological aspects discussed (regulation of blood glucose levels, metabolism)?</w:t>
      </w:r>
    </w:p>
    <w:p w14:paraId="1DF30F06" w14:textId="77777777" w:rsidR="00AB3427" w:rsidRPr="00052585" w:rsidRDefault="00AB3427" w:rsidP="00AB3427">
      <w:pPr>
        <w:spacing w:before="80" w:after="80" w:line="360" w:lineRule="auto"/>
        <w:jc w:val="both"/>
        <w:rPr>
          <w:rFonts w:ascii="Arial" w:eastAsia="Arial" w:hAnsi="Arial" w:cs="Arial"/>
          <w:szCs w:val="24"/>
        </w:rPr>
      </w:pPr>
      <w:r w:rsidRPr="00052585">
        <w:rPr>
          <w:rFonts w:ascii="Arial" w:eastAsia="Arial" w:hAnsi="Arial" w:cs="Arial"/>
          <w:szCs w:val="24"/>
        </w:rPr>
        <w:t xml:space="preserve">From the above report, </w:t>
      </w:r>
      <w:proofErr w:type="gramStart"/>
      <w:r w:rsidRPr="00052585">
        <w:rPr>
          <w:rFonts w:ascii="Arial" w:eastAsia="Arial" w:hAnsi="Arial" w:cs="Arial"/>
          <w:szCs w:val="24"/>
        </w:rPr>
        <w:t>it is clear that overall</w:t>
      </w:r>
      <w:proofErr w:type="gramEnd"/>
      <w:r w:rsidRPr="00052585">
        <w:rPr>
          <w:rFonts w:ascii="Arial" w:eastAsia="Arial" w:hAnsi="Arial" w:cs="Arial"/>
          <w:szCs w:val="24"/>
        </w:rPr>
        <w:t xml:space="preserve"> physiological function depends on homeostasis of a negative feedback loop that employs insulin and glucagon hormones </w:t>
      </w:r>
      <w:proofErr w:type="gramStart"/>
      <w:r w:rsidRPr="00052585">
        <w:rPr>
          <w:rFonts w:ascii="Arial" w:eastAsia="Arial" w:hAnsi="Arial" w:cs="Arial"/>
          <w:szCs w:val="24"/>
        </w:rPr>
        <w:t>in order to</w:t>
      </w:r>
      <w:proofErr w:type="gramEnd"/>
      <w:r w:rsidRPr="00052585">
        <w:rPr>
          <w:rFonts w:ascii="Arial" w:eastAsia="Arial" w:hAnsi="Arial" w:cs="Arial"/>
          <w:szCs w:val="24"/>
        </w:rPr>
        <w:t xml:space="preserve"> keep blood glucose levels at fasting state in the narrow range of 4.0-6.0 mmol/L. In case of type 2 diabetes, insulin resistance leads to interference of this balance, resulting in inability of glucose to enter cells and aerobic respiration, thereby depriving the body of vital ATP energy.</w:t>
      </w:r>
    </w:p>
    <w:p w14:paraId="43FCE5BF" w14:textId="77777777" w:rsidR="00AB3427" w:rsidRPr="00052585" w:rsidRDefault="00DE477A" w:rsidP="00AB3427">
      <w:pPr>
        <w:pStyle w:val="Heading3"/>
        <w:spacing w:line="360" w:lineRule="auto"/>
        <w:jc w:val="both"/>
        <w:rPr>
          <w:szCs w:val="24"/>
        </w:rPr>
      </w:pPr>
      <w:r w:rsidRPr="00052585">
        <w:rPr>
          <w:szCs w:val="24"/>
        </w:rPr>
        <w:t xml:space="preserve">6b. Explain the relationship between monitoring and behavioral change in the case study scenario. </w:t>
      </w:r>
    </w:p>
    <w:p w14:paraId="5EA3073B" w14:textId="77777777" w:rsidR="00AB3427" w:rsidRPr="00052585" w:rsidRDefault="00AB3427" w:rsidP="00AB3427">
      <w:pPr>
        <w:spacing w:before="80" w:after="80" w:line="360" w:lineRule="auto"/>
        <w:jc w:val="both"/>
        <w:rPr>
          <w:rFonts w:ascii="Arial" w:eastAsia="Arial" w:hAnsi="Arial" w:cs="Arial"/>
          <w:szCs w:val="24"/>
        </w:rPr>
      </w:pPr>
      <w:r w:rsidRPr="00052585">
        <w:rPr>
          <w:rFonts w:ascii="Arial" w:eastAsia="Arial" w:hAnsi="Arial" w:cs="Arial"/>
          <w:szCs w:val="24"/>
        </w:rPr>
        <w:t>In the general practice setting, the monitoring of regular glycemic information using HbA1c and CGMs offers the exact level of visibility needed to modify medication without creating any glycemic peaks and valleys. The linking of such information to evidence-based behavioral changes, i.e. following a low-GI diet, engaging in 150 minutes of exercise per week, and cessation of smoking pathways, enables people to effectively increase their insulin sensitivity and stop further macrovascular damage.</w:t>
      </w:r>
    </w:p>
    <w:p w14:paraId="3D25856E" w14:textId="77777777" w:rsidR="00AB3427" w:rsidRPr="00052585" w:rsidRDefault="00DE477A" w:rsidP="00AB3427">
      <w:pPr>
        <w:pStyle w:val="Heading3"/>
        <w:spacing w:line="360" w:lineRule="auto"/>
        <w:jc w:val="both"/>
        <w:rPr>
          <w:szCs w:val="24"/>
        </w:rPr>
      </w:pPr>
      <w:bookmarkStart w:id="16" w:name="_Hlk234227473"/>
      <w:r w:rsidRPr="00052585">
        <w:rPr>
          <w:szCs w:val="24"/>
        </w:rPr>
        <w:t xml:space="preserve">6c. What is your main point regarding effective management of Type 2 Diabetes to the patient/reader? </w:t>
      </w:r>
    </w:p>
    <w:p w14:paraId="736CB149" w14:textId="50BD8627" w:rsidR="0078782A" w:rsidRPr="00000BCB" w:rsidRDefault="00FD045D" w:rsidP="00AB3427">
      <w:pPr>
        <w:spacing w:line="360" w:lineRule="auto"/>
        <w:jc w:val="both"/>
        <w:rPr>
          <w:rFonts w:ascii="Arial" w:eastAsia="Arial" w:hAnsi="Arial" w:cs="Arial"/>
          <w:szCs w:val="24"/>
        </w:rPr>
      </w:pPr>
      <w:r w:rsidRPr="00000BCB">
        <w:rPr>
          <w:rFonts w:ascii="Arial" w:eastAsia="Arial" w:hAnsi="Arial" w:cs="Arial"/>
          <w:szCs w:val="24"/>
        </w:rPr>
        <w:lastRenderedPageBreak/>
        <w:t>The dominant theme throughout is that Type 2 diabetes is a treatable disorder and not a</w:t>
      </w:r>
      <w:r w:rsidR="00000BCB">
        <w:rPr>
          <w:rFonts w:ascii="Arial" w:eastAsia="Arial" w:hAnsi="Arial" w:cs="Arial"/>
          <w:szCs w:val="24"/>
        </w:rPr>
        <w:t xml:space="preserve"> </w:t>
      </w:r>
      <w:r w:rsidRPr="00000BCB">
        <w:rPr>
          <w:rFonts w:ascii="Arial" w:eastAsia="Arial" w:hAnsi="Arial" w:cs="Arial"/>
          <w:szCs w:val="24"/>
        </w:rPr>
        <w:t>natural progression. Though this document highlights the effectiveness of educational programs for managing the disease, individual variances among patients still have an impact on treatment results. As a result, long-term management strategies should aim at personal</w:t>
      </w:r>
      <w:r w:rsidR="00946CE3" w:rsidRPr="00000BCB">
        <w:rPr>
          <w:rFonts w:ascii="Arial" w:eastAsia="Arial" w:hAnsi="Arial" w:cs="Arial"/>
          <w:szCs w:val="24"/>
        </w:rPr>
        <w:t>ise</w:t>
      </w:r>
      <w:r w:rsidRPr="00000BCB">
        <w:rPr>
          <w:rFonts w:ascii="Arial" w:eastAsia="Arial" w:hAnsi="Arial" w:cs="Arial"/>
          <w:szCs w:val="24"/>
        </w:rPr>
        <w:t xml:space="preserve">d care models that </w:t>
      </w:r>
      <w:proofErr w:type="gramStart"/>
      <w:r w:rsidRPr="00000BCB">
        <w:rPr>
          <w:rFonts w:ascii="Arial" w:eastAsia="Arial" w:hAnsi="Arial" w:cs="Arial"/>
          <w:szCs w:val="24"/>
        </w:rPr>
        <w:t>take into account</w:t>
      </w:r>
      <w:proofErr w:type="gramEnd"/>
      <w:r w:rsidRPr="00000BCB">
        <w:rPr>
          <w:rFonts w:ascii="Arial" w:eastAsia="Arial" w:hAnsi="Arial" w:cs="Arial"/>
          <w:szCs w:val="24"/>
        </w:rPr>
        <w:t xml:space="preserve"> these individual limitations for optimal health care outcomes.</w:t>
      </w:r>
    </w:p>
    <w:bookmarkEnd w:id="16"/>
    <w:p w14:paraId="69803717" w14:textId="43FAE3BD" w:rsidR="00AB3427" w:rsidRPr="00000BCB" w:rsidRDefault="0078782A" w:rsidP="00000BCB">
      <w:pPr>
        <w:rPr>
          <w:rFonts w:ascii="Arial" w:eastAsia="Arial" w:hAnsi="Arial" w:cs="Arial"/>
          <w:szCs w:val="24"/>
        </w:rPr>
      </w:pPr>
      <w:r w:rsidRPr="00052585">
        <w:rPr>
          <w:rFonts w:ascii="Arial" w:eastAsia="Arial" w:hAnsi="Arial" w:cs="Arial"/>
          <w:szCs w:val="24"/>
        </w:rPr>
        <w:br w:type="page"/>
      </w:r>
    </w:p>
    <w:bookmarkEnd w:id="15"/>
    <w:p w14:paraId="4B173646" w14:textId="38F31101" w:rsidR="00DE477A" w:rsidRPr="00000BCB" w:rsidRDefault="00DE477A" w:rsidP="00D55A7C">
      <w:pPr>
        <w:spacing w:before="60" w:after="60"/>
        <w:jc w:val="both"/>
        <w:rPr>
          <w:rFonts w:ascii="Arial" w:eastAsiaTheme="majorEastAsia" w:hAnsi="Arial" w:cs="Arial"/>
          <w:b/>
          <w:sz w:val="28"/>
          <w:szCs w:val="28"/>
        </w:rPr>
      </w:pPr>
      <w:r w:rsidRPr="00000BCB">
        <w:rPr>
          <w:rFonts w:ascii="Arial" w:eastAsiaTheme="majorEastAsia" w:hAnsi="Arial" w:cs="Arial"/>
          <w:b/>
          <w:sz w:val="28"/>
          <w:szCs w:val="28"/>
        </w:rPr>
        <w:lastRenderedPageBreak/>
        <w:t>6. Reference List</w:t>
      </w:r>
    </w:p>
    <w:p w14:paraId="31D22ABC" w14:textId="77777777" w:rsidR="00AB3427" w:rsidRPr="00052585" w:rsidRDefault="00AB3427" w:rsidP="00AB3427">
      <w:pPr>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Ajjan, R., Slattery, D. and Wright, E., (2019). Continuous glucose monitoring: a brief review for primary care practitioners. </w:t>
      </w:r>
      <w:r w:rsidRPr="00052585">
        <w:rPr>
          <w:rFonts w:ascii="Arial" w:hAnsi="Arial" w:cs="Arial"/>
          <w:i/>
          <w:iCs/>
          <w:color w:val="222222"/>
          <w:szCs w:val="24"/>
          <w:shd w:val="clear" w:color="auto" w:fill="FFFFFF"/>
        </w:rPr>
        <w:t>Advances in therapy</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36</w:t>
      </w:r>
      <w:r w:rsidRPr="00052585">
        <w:rPr>
          <w:rFonts w:ascii="Arial" w:hAnsi="Arial" w:cs="Arial"/>
          <w:color w:val="222222"/>
          <w:szCs w:val="24"/>
          <w:shd w:val="clear" w:color="auto" w:fill="FFFFFF"/>
        </w:rPr>
        <w:t>(3), pp.579-596.</w:t>
      </w:r>
    </w:p>
    <w:p w14:paraId="66BE49B5" w14:textId="77777777" w:rsidR="00AB3427" w:rsidRPr="00052585" w:rsidRDefault="00AB3427" w:rsidP="00AB3427">
      <w:pPr>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American Diabetes Association, (2021). 5. Facilitating behavior change and well-being to improve health outcomes: standards of medical care in diabetes</w:t>
      </w:r>
      <w:proofErr w:type="gramStart"/>
      <w:r w:rsidRPr="00052585">
        <w:rPr>
          <w:rFonts w:ascii="Arial" w:hAnsi="Arial" w:cs="Arial"/>
          <w:color w:val="222222"/>
          <w:szCs w:val="24"/>
          <w:shd w:val="clear" w:color="auto" w:fill="FFFFFF"/>
        </w:rPr>
        <w:t>—(</w:t>
      </w:r>
      <w:proofErr w:type="gramEnd"/>
      <w:r w:rsidRPr="00052585">
        <w:rPr>
          <w:rFonts w:ascii="Arial" w:hAnsi="Arial" w:cs="Arial"/>
          <w:color w:val="222222"/>
          <w:szCs w:val="24"/>
          <w:shd w:val="clear" w:color="auto" w:fill="FFFFFF"/>
        </w:rPr>
        <w:t>2021). </w:t>
      </w:r>
      <w:r w:rsidRPr="00052585">
        <w:rPr>
          <w:rFonts w:ascii="Arial" w:hAnsi="Arial" w:cs="Arial"/>
          <w:i/>
          <w:iCs/>
          <w:color w:val="222222"/>
          <w:szCs w:val="24"/>
          <w:shd w:val="clear" w:color="auto" w:fill="FFFFFF"/>
        </w:rPr>
        <w:t>Diabetes care</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44</w:t>
      </w:r>
      <w:r w:rsidRPr="00052585">
        <w:rPr>
          <w:rFonts w:ascii="Arial" w:hAnsi="Arial" w:cs="Arial"/>
          <w:color w:val="222222"/>
          <w:szCs w:val="24"/>
          <w:shd w:val="clear" w:color="auto" w:fill="FFFFFF"/>
        </w:rPr>
        <w:t xml:space="preserve">(Supplement_1), </w:t>
      </w:r>
      <w:proofErr w:type="gramStart"/>
      <w:r w:rsidRPr="00052585">
        <w:rPr>
          <w:rFonts w:ascii="Arial" w:hAnsi="Arial" w:cs="Arial"/>
          <w:color w:val="222222"/>
          <w:szCs w:val="24"/>
          <w:shd w:val="clear" w:color="auto" w:fill="FFFFFF"/>
        </w:rPr>
        <w:t>pp.S</w:t>
      </w:r>
      <w:proofErr w:type="gramEnd"/>
      <w:r w:rsidRPr="00052585">
        <w:rPr>
          <w:rFonts w:ascii="Arial" w:hAnsi="Arial" w:cs="Arial"/>
          <w:color w:val="222222"/>
          <w:szCs w:val="24"/>
          <w:shd w:val="clear" w:color="auto" w:fill="FFFFFF"/>
        </w:rPr>
        <w:t>53-S72.</w:t>
      </w:r>
    </w:p>
    <w:p w14:paraId="2D1E95AC" w14:textId="77777777" w:rsidR="00AB3427" w:rsidRPr="00052585" w:rsidRDefault="00AB3427" w:rsidP="00AB3427">
      <w:pPr>
        <w:spacing w:line="276" w:lineRule="auto"/>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Babel, R.A. and Dandekar, M.P., (2021). A review on cellular and molecular mechanisms linked to the development of diabetes complications. </w:t>
      </w:r>
      <w:r w:rsidRPr="00052585">
        <w:rPr>
          <w:rFonts w:ascii="Arial" w:hAnsi="Arial" w:cs="Arial"/>
          <w:i/>
          <w:iCs/>
          <w:color w:val="222222"/>
          <w:szCs w:val="24"/>
          <w:shd w:val="clear" w:color="auto" w:fill="FFFFFF"/>
        </w:rPr>
        <w:t>Current Diabetes Reviews</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17</w:t>
      </w:r>
      <w:r w:rsidRPr="00052585">
        <w:rPr>
          <w:rFonts w:ascii="Arial" w:hAnsi="Arial" w:cs="Arial"/>
          <w:color w:val="222222"/>
          <w:szCs w:val="24"/>
          <w:shd w:val="clear" w:color="auto" w:fill="FFFFFF"/>
        </w:rPr>
        <w:t>(4), pp.457-473.</w:t>
      </w:r>
    </w:p>
    <w:p w14:paraId="0960B710" w14:textId="77777777" w:rsidR="00AB3427" w:rsidRPr="00052585" w:rsidRDefault="00AB3427" w:rsidP="00AB3427">
      <w:pPr>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Bhat, J.A., Masoodi, S.R., Bhat, M.H., Bhat, H., Ahmad, P.O. and Sood, M., (2021). Lactic acidosis in diabetic ketoacidosis: a marker of severity or alternate substrate for metabolism. </w:t>
      </w:r>
      <w:r w:rsidRPr="00052585">
        <w:rPr>
          <w:rFonts w:ascii="Arial" w:hAnsi="Arial" w:cs="Arial"/>
          <w:i/>
          <w:iCs/>
          <w:color w:val="222222"/>
          <w:szCs w:val="24"/>
          <w:shd w:val="clear" w:color="auto" w:fill="FFFFFF"/>
        </w:rPr>
        <w:t>Indian Journal of Endocrinology and Metabolism</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25</w:t>
      </w:r>
      <w:r w:rsidRPr="00052585">
        <w:rPr>
          <w:rFonts w:ascii="Arial" w:hAnsi="Arial" w:cs="Arial"/>
          <w:color w:val="222222"/>
          <w:szCs w:val="24"/>
          <w:shd w:val="clear" w:color="auto" w:fill="FFFFFF"/>
        </w:rPr>
        <w:t>(1), pp.59-66.</w:t>
      </w:r>
    </w:p>
    <w:p w14:paraId="5E5B908A" w14:textId="42BF7B55" w:rsidR="00AB3427" w:rsidRPr="00052585" w:rsidRDefault="00AB3427" w:rsidP="00AB3427">
      <w:pPr>
        <w:spacing w:line="276" w:lineRule="auto"/>
        <w:ind w:left="720" w:hanging="720"/>
        <w:jc w:val="both"/>
        <w:rPr>
          <w:rFonts w:ascii="Arial" w:hAnsi="Arial" w:cs="Arial"/>
          <w:color w:val="222222"/>
          <w:szCs w:val="24"/>
          <w:shd w:val="clear" w:color="auto" w:fill="FFFFFF"/>
        </w:rPr>
      </w:pPr>
      <w:bookmarkStart w:id="17" w:name="_Hlk233890594"/>
      <w:r w:rsidRPr="00052585">
        <w:rPr>
          <w:rFonts w:ascii="Arial" w:hAnsi="Arial" w:cs="Arial"/>
          <w:color w:val="222222"/>
          <w:szCs w:val="24"/>
          <w:shd w:val="clear" w:color="auto" w:fill="FFFFFF"/>
        </w:rPr>
        <w:t xml:space="preserve">Billman, </w:t>
      </w:r>
      <w:bookmarkEnd w:id="17"/>
      <w:r w:rsidRPr="00052585">
        <w:rPr>
          <w:rFonts w:ascii="Arial" w:hAnsi="Arial" w:cs="Arial"/>
          <w:color w:val="222222"/>
          <w:szCs w:val="24"/>
          <w:shd w:val="clear" w:color="auto" w:fill="FFFFFF"/>
        </w:rPr>
        <w:t>G.E., (2020). Homeostasis: the underappreciated and far too often ignored central organ</w:t>
      </w:r>
      <w:r w:rsidR="00946CE3" w:rsidRPr="00052585">
        <w:rPr>
          <w:rFonts w:ascii="Arial" w:hAnsi="Arial" w:cs="Arial"/>
          <w:color w:val="222222"/>
          <w:szCs w:val="24"/>
          <w:shd w:val="clear" w:color="auto" w:fill="FFFFFF"/>
        </w:rPr>
        <w:t>isi</w:t>
      </w:r>
      <w:r w:rsidRPr="00052585">
        <w:rPr>
          <w:rFonts w:ascii="Arial" w:hAnsi="Arial" w:cs="Arial"/>
          <w:color w:val="222222"/>
          <w:szCs w:val="24"/>
          <w:shd w:val="clear" w:color="auto" w:fill="FFFFFF"/>
        </w:rPr>
        <w:t>ng principle of physiology. </w:t>
      </w:r>
      <w:r w:rsidRPr="00052585">
        <w:rPr>
          <w:rFonts w:ascii="Arial" w:hAnsi="Arial" w:cs="Arial"/>
          <w:i/>
          <w:iCs/>
          <w:color w:val="222222"/>
          <w:szCs w:val="24"/>
          <w:shd w:val="clear" w:color="auto" w:fill="FFFFFF"/>
        </w:rPr>
        <w:t>Frontiers in physiology</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11</w:t>
      </w:r>
      <w:r w:rsidRPr="00052585">
        <w:rPr>
          <w:rFonts w:ascii="Arial" w:hAnsi="Arial" w:cs="Arial"/>
          <w:color w:val="222222"/>
          <w:szCs w:val="24"/>
          <w:shd w:val="clear" w:color="auto" w:fill="FFFFFF"/>
        </w:rPr>
        <w:t>, p.200.</w:t>
      </w:r>
    </w:p>
    <w:p w14:paraId="79C4F305" w14:textId="77777777" w:rsidR="00AB3427" w:rsidRPr="00052585" w:rsidRDefault="00AB3427" w:rsidP="00AB3427">
      <w:pPr>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Chen, H., Fang, C., Gao, W., Xu, L., Lu, H., Zhuo, H., Chen, X. and Wang, Y., (2026). Beyond prescriptions: an analysis of patient journey, self-management adherence, and unmet needs in type 2 diabetes. </w:t>
      </w:r>
      <w:r w:rsidRPr="00052585">
        <w:rPr>
          <w:rFonts w:ascii="Arial" w:hAnsi="Arial" w:cs="Arial"/>
          <w:i/>
          <w:iCs/>
          <w:color w:val="222222"/>
          <w:szCs w:val="24"/>
          <w:shd w:val="clear" w:color="auto" w:fill="FFFFFF"/>
        </w:rPr>
        <w:t>BMC Health Services Research</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26</w:t>
      </w:r>
      <w:r w:rsidRPr="00052585">
        <w:rPr>
          <w:rFonts w:ascii="Arial" w:hAnsi="Arial" w:cs="Arial"/>
          <w:color w:val="222222"/>
          <w:szCs w:val="24"/>
          <w:shd w:val="clear" w:color="auto" w:fill="FFFFFF"/>
        </w:rPr>
        <w:t>(1), p.649.</w:t>
      </w:r>
    </w:p>
    <w:p w14:paraId="13ABEE72" w14:textId="77777777" w:rsidR="00AB3427" w:rsidRPr="00052585" w:rsidRDefault="00AB3427" w:rsidP="00AB3427">
      <w:pPr>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Colberg, S.R., Sigal, R.J., Yardley, J.E., Riddell, M.C., Dunstan, D.W., Dempsey, P.C., Horton, E.S., Castorino, K. and Tate, D.F., (2016). Physical activity/exercise and diabetes: a position statement of the American Diabetes Association. </w:t>
      </w:r>
      <w:r w:rsidRPr="00052585">
        <w:rPr>
          <w:rFonts w:ascii="Arial" w:hAnsi="Arial" w:cs="Arial"/>
          <w:i/>
          <w:iCs/>
          <w:color w:val="222222"/>
          <w:szCs w:val="24"/>
          <w:shd w:val="clear" w:color="auto" w:fill="FFFFFF"/>
        </w:rPr>
        <w:t>Diabetes care</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39</w:t>
      </w:r>
      <w:r w:rsidRPr="00052585">
        <w:rPr>
          <w:rFonts w:ascii="Arial" w:hAnsi="Arial" w:cs="Arial"/>
          <w:color w:val="222222"/>
          <w:szCs w:val="24"/>
          <w:shd w:val="clear" w:color="auto" w:fill="FFFFFF"/>
        </w:rPr>
        <w:t>(11), p.2065.</w:t>
      </w:r>
    </w:p>
    <w:p w14:paraId="45E746FB" w14:textId="77777777" w:rsidR="00AB3427" w:rsidRPr="00052585" w:rsidRDefault="00AB3427" w:rsidP="00AB3427">
      <w:pPr>
        <w:ind w:left="720" w:hanging="720"/>
        <w:jc w:val="both"/>
        <w:rPr>
          <w:rFonts w:ascii="Arial" w:hAnsi="Arial" w:cs="Arial"/>
          <w:color w:val="222222"/>
          <w:szCs w:val="24"/>
          <w:shd w:val="clear" w:color="auto" w:fill="FFFFFF"/>
        </w:rPr>
      </w:pPr>
      <w:bookmarkStart w:id="18" w:name="_Hlk233894994"/>
      <w:r w:rsidRPr="00052585">
        <w:rPr>
          <w:rFonts w:ascii="Arial" w:hAnsi="Arial" w:cs="Arial"/>
          <w:color w:val="222222"/>
          <w:szCs w:val="24"/>
          <w:shd w:val="clear" w:color="auto" w:fill="FFFFFF"/>
        </w:rPr>
        <w:t>Coomans de Brachene</w:t>
      </w:r>
      <w:bookmarkEnd w:id="18"/>
      <w:r w:rsidRPr="00052585">
        <w:rPr>
          <w:rFonts w:ascii="Arial" w:hAnsi="Arial" w:cs="Arial"/>
          <w:color w:val="222222"/>
          <w:szCs w:val="24"/>
          <w:shd w:val="clear" w:color="auto" w:fill="FFFFFF"/>
        </w:rPr>
        <w:t>, A., Scoubeau, C., Musuaya, A.E., Costa-Junior, J.M., Castela, A., Carpentier, J., Faoro, V., Klass, M., Cnop, M. and Eizirik, D.L., (2023). Exercise as a non-pharmacological intervention to protect pancreatic beta cells in individuals with type 1 and type 2 diabetes. </w:t>
      </w:r>
      <w:r w:rsidRPr="00052585">
        <w:rPr>
          <w:rFonts w:ascii="Arial" w:hAnsi="Arial" w:cs="Arial"/>
          <w:i/>
          <w:iCs/>
          <w:color w:val="222222"/>
          <w:szCs w:val="24"/>
          <w:shd w:val="clear" w:color="auto" w:fill="FFFFFF"/>
        </w:rPr>
        <w:t>Diabetologia</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66</w:t>
      </w:r>
      <w:r w:rsidRPr="00052585">
        <w:rPr>
          <w:rFonts w:ascii="Arial" w:hAnsi="Arial" w:cs="Arial"/>
          <w:color w:val="222222"/>
          <w:szCs w:val="24"/>
          <w:shd w:val="clear" w:color="auto" w:fill="FFFFFF"/>
        </w:rPr>
        <w:t>(3), pp.450-460.</w:t>
      </w:r>
    </w:p>
    <w:p w14:paraId="549AF488" w14:textId="5A73B57C" w:rsidR="00AB3427" w:rsidRPr="00052585" w:rsidRDefault="00AB3427" w:rsidP="00AB3427">
      <w:pPr>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 xml:space="preserve">Diabetes UK (2023b) What causes type 2 diabetes? Available at: </w:t>
      </w:r>
      <w:hyperlink r:id="rId12" w:history="1">
        <w:r w:rsidRPr="00052585">
          <w:rPr>
            <w:rStyle w:val="Hyperlink"/>
            <w:rFonts w:ascii="Arial" w:hAnsi="Arial" w:cs="Arial"/>
            <w:szCs w:val="24"/>
            <w:shd w:val="clear" w:color="auto" w:fill="FFFFFF"/>
          </w:rPr>
          <w:t>https://www.diabetes.org.uk/about-diabetes/type-2-diabetes/causes</w:t>
        </w:r>
      </w:hyperlink>
      <w:r w:rsidRPr="00052585">
        <w:rPr>
          <w:rFonts w:ascii="Arial" w:hAnsi="Arial" w:cs="Arial"/>
          <w:color w:val="222222"/>
          <w:szCs w:val="24"/>
          <w:shd w:val="clear" w:color="auto" w:fill="FFFFFF"/>
        </w:rPr>
        <w:t xml:space="preserve"> </w:t>
      </w:r>
      <w:r w:rsidR="00FD045D" w:rsidRPr="00052585">
        <w:rPr>
          <w:rFonts w:ascii="Arial" w:hAnsi="Arial" w:cs="Arial"/>
          <w:color w:val="222222"/>
          <w:szCs w:val="24"/>
          <w:shd w:val="clear" w:color="auto" w:fill="FFFFFF"/>
        </w:rPr>
        <w:t xml:space="preserve"> Accessed at: 1 July 2026.</w:t>
      </w:r>
    </w:p>
    <w:p w14:paraId="57A3EE14" w14:textId="77777777" w:rsidR="00AB3427" w:rsidRPr="00052585" w:rsidRDefault="00AB3427" w:rsidP="00AB3427">
      <w:pPr>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Galicia-Garcia, U., Benito-Vicente, A., Jebari, S., Larrea-Sebal, A., Siddiqi, H., Uribe, K.B., Ostolaza, H. and Martín, C., (2020). Pathophysiology of type 2 diabetes mellitus. </w:t>
      </w:r>
      <w:r w:rsidRPr="00052585">
        <w:rPr>
          <w:rFonts w:ascii="Arial" w:hAnsi="Arial" w:cs="Arial"/>
          <w:i/>
          <w:iCs/>
          <w:color w:val="222222"/>
          <w:szCs w:val="24"/>
          <w:shd w:val="clear" w:color="auto" w:fill="FFFFFF"/>
        </w:rPr>
        <w:t>International journal of molecular sciences</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21</w:t>
      </w:r>
      <w:r w:rsidRPr="00052585">
        <w:rPr>
          <w:rFonts w:ascii="Arial" w:hAnsi="Arial" w:cs="Arial"/>
          <w:color w:val="222222"/>
          <w:szCs w:val="24"/>
          <w:shd w:val="clear" w:color="auto" w:fill="FFFFFF"/>
        </w:rPr>
        <w:t>(17), p.6275.</w:t>
      </w:r>
    </w:p>
    <w:p w14:paraId="36C73EB1" w14:textId="77777777" w:rsidR="00AB3427" w:rsidRPr="00052585" w:rsidRDefault="00AB3427" w:rsidP="00AB3427">
      <w:pPr>
        <w:spacing w:line="276" w:lineRule="auto"/>
        <w:ind w:left="720" w:hanging="720"/>
        <w:jc w:val="both"/>
        <w:rPr>
          <w:rFonts w:ascii="Arial" w:hAnsi="Arial" w:cs="Arial"/>
          <w:color w:val="222222"/>
          <w:szCs w:val="24"/>
          <w:shd w:val="clear" w:color="auto" w:fill="FFFFFF"/>
        </w:rPr>
      </w:pPr>
      <w:bookmarkStart w:id="19" w:name="_Hlk234226394"/>
      <w:r w:rsidRPr="00052585">
        <w:rPr>
          <w:rFonts w:ascii="Arial" w:hAnsi="Arial" w:cs="Arial"/>
          <w:color w:val="222222"/>
          <w:szCs w:val="24"/>
          <w:shd w:val="clear" w:color="auto" w:fill="FFFFFF"/>
        </w:rPr>
        <w:t>Hall, J.E. and Hall, M.E., (2021). Glomerular filtration, renal blood flow, and their control. </w:t>
      </w:r>
      <w:r w:rsidRPr="00052585">
        <w:rPr>
          <w:rFonts w:ascii="Arial" w:hAnsi="Arial" w:cs="Arial"/>
          <w:i/>
          <w:iCs/>
          <w:color w:val="222222"/>
          <w:szCs w:val="24"/>
          <w:shd w:val="clear" w:color="auto" w:fill="FFFFFF"/>
        </w:rPr>
        <w:t xml:space="preserve">Guyton and Hall textbook of medical physiology. 14th </w:t>
      </w:r>
      <w:proofErr w:type="gramStart"/>
      <w:r w:rsidRPr="00052585">
        <w:rPr>
          <w:rFonts w:ascii="Arial" w:hAnsi="Arial" w:cs="Arial"/>
          <w:i/>
          <w:iCs/>
          <w:color w:val="222222"/>
          <w:szCs w:val="24"/>
          <w:shd w:val="clear" w:color="auto" w:fill="FFFFFF"/>
        </w:rPr>
        <w:t>ed.(</w:t>
      </w:r>
      <w:proofErr w:type="gramEnd"/>
      <w:r w:rsidRPr="00052585">
        <w:rPr>
          <w:rFonts w:ascii="Arial" w:hAnsi="Arial" w:cs="Arial"/>
          <w:i/>
          <w:iCs/>
          <w:color w:val="222222"/>
          <w:szCs w:val="24"/>
          <w:shd w:val="clear" w:color="auto" w:fill="FFFFFF"/>
        </w:rPr>
        <w:t>Philadelphia, PA: Elsevier</w:t>
      </w:r>
      <w:r w:rsidRPr="00052585">
        <w:rPr>
          <w:rFonts w:ascii="Arial" w:hAnsi="Arial" w:cs="Arial"/>
          <w:color w:val="222222"/>
          <w:szCs w:val="24"/>
          <w:shd w:val="clear" w:color="auto" w:fill="FFFFFF"/>
        </w:rPr>
        <w:t>, pp.333-335.</w:t>
      </w:r>
    </w:p>
    <w:bookmarkEnd w:id="19"/>
    <w:p w14:paraId="14BCD7FB" w14:textId="77777777" w:rsidR="00AB3427" w:rsidRPr="00052585" w:rsidRDefault="00AB3427" w:rsidP="00AB3427">
      <w:pPr>
        <w:spacing w:line="276" w:lineRule="auto"/>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Kahn, S.E., Cooper, M.E. and Del Prato, S., (2014). Pathophysiology and treatment of type 2 diabetes: perspectives on the past, present, and future. </w:t>
      </w:r>
      <w:r w:rsidRPr="00052585">
        <w:rPr>
          <w:rFonts w:ascii="Arial" w:hAnsi="Arial" w:cs="Arial"/>
          <w:i/>
          <w:iCs/>
          <w:color w:val="222222"/>
          <w:szCs w:val="24"/>
          <w:shd w:val="clear" w:color="auto" w:fill="FFFFFF"/>
        </w:rPr>
        <w:t>The Lancet</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383</w:t>
      </w:r>
      <w:r w:rsidRPr="00052585">
        <w:rPr>
          <w:rFonts w:ascii="Arial" w:hAnsi="Arial" w:cs="Arial"/>
          <w:color w:val="222222"/>
          <w:szCs w:val="24"/>
          <w:shd w:val="clear" w:color="auto" w:fill="FFFFFF"/>
        </w:rPr>
        <w:t>(9922), pp.1068-1083.</w:t>
      </w:r>
    </w:p>
    <w:p w14:paraId="2BB67D32" w14:textId="7D193E6D" w:rsidR="00AB3427" w:rsidRPr="00052585" w:rsidRDefault="00AB3427" w:rsidP="00AB3427">
      <w:pPr>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lastRenderedPageBreak/>
        <w:t>Kaur, J., Kaur, K., Singh, B., Singh, A. and Sharma, S., (2022). Insights into the latest advances in low glycemic foods, their mechanism of action and health benefits. </w:t>
      </w:r>
      <w:r w:rsidRPr="00052585">
        <w:rPr>
          <w:rFonts w:ascii="Arial" w:hAnsi="Arial" w:cs="Arial"/>
          <w:i/>
          <w:iCs/>
          <w:color w:val="222222"/>
          <w:szCs w:val="24"/>
          <w:shd w:val="clear" w:color="auto" w:fill="FFFFFF"/>
        </w:rPr>
        <w:t>Journal of Food Measurement and Character</w:t>
      </w:r>
      <w:r w:rsidR="00946CE3" w:rsidRPr="00052585">
        <w:rPr>
          <w:rFonts w:ascii="Arial" w:hAnsi="Arial" w:cs="Arial"/>
          <w:i/>
          <w:iCs/>
          <w:color w:val="222222"/>
          <w:szCs w:val="24"/>
          <w:shd w:val="clear" w:color="auto" w:fill="FFFFFF"/>
        </w:rPr>
        <w:t>isa</w:t>
      </w:r>
      <w:r w:rsidRPr="00052585">
        <w:rPr>
          <w:rFonts w:ascii="Arial" w:hAnsi="Arial" w:cs="Arial"/>
          <w:i/>
          <w:iCs/>
          <w:color w:val="222222"/>
          <w:szCs w:val="24"/>
          <w:shd w:val="clear" w:color="auto" w:fill="FFFFFF"/>
        </w:rPr>
        <w:t>tion</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16</w:t>
      </w:r>
      <w:r w:rsidRPr="00052585">
        <w:rPr>
          <w:rFonts w:ascii="Arial" w:hAnsi="Arial" w:cs="Arial"/>
          <w:color w:val="222222"/>
          <w:szCs w:val="24"/>
          <w:shd w:val="clear" w:color="auto" w:fill="FFFFFF"/>
        </w:rPr>
        <w:t>(1), pp.533-546.</w:t>
      </w:r>
    </w:p>
    <w:p w14:paraId="12EDA5CF" w14:textId="77777777" w:rsidR="00AB3427" w:rsidRPr="00052585" w:rsidRDefault="00AB3427" w:rsidP="00AB3427">
      <w:pPr>
        <w:ind w:left="720" w:hanging="720"/>
        <w:jc w:val="both"/>
        <w:rPr>
          <w:szCs w:val="24"/>
        </w:rPr>
      </w:pPr>
      <w:r w:rsidRPr="00052585">
        <w:rPr>
          <w:rFonts w:ascii="Arial" w:hAnsi="Arial" w:cs="Arial"/>
          <w:color w:val="222222"/>
          <w:szCs w:val="24"/>
          <w:shd w:val="clear" w:color="auto" w:fill="FFFFFF"/>
        </w:rPr>
        <w:t>Mauvais, F.X. and van Endert, P.M., (2025). Type 1 diabetes: A guide to autoimmune mechanisms for clinicians. </w:t>
      </w:r>
      <w:r w:rsidRPr="00052585">
        <w:rPr>
          <w:rFonts w:ascii="Arial" w:hAnsi="Arial" w:cs="Arial"/>
          <w:i/>
          <w:iCs/>
          <w:color w:val="222222"/>
          <w:szCs w:val="24"/>
          <w:shd w:val="clear" w:color="auto" w:fill="FFFFFF"/>
        </w:rPr>
        <w:t>Diabetes, Obesity and Metabolism</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27</w:t>
      </w:r>
      <w:r w:rsidRPr="00052585">
        <w:rPr>
          <w:rFonts w:ascii="Arial" w:hAnsi="Arial" w:cs="Arial"/>
          <w:color w:val="222222"/>
          <w:szCs w:val="24"/>
          <w:shd w:val="clear" w:color="auto" w:fill="FFFFFF"/>
        </w:rPr>
        <w:t>, pp.40-56.</w:t>
      </w:r>
      <w:r w:rsidRPr="00052585">
        <w:rPr>
          <w:szCs w:val="24"/>
        </w:rPr>
        <w:t xml:space="preserve"> </w:t>
      </w:r>
    </w:p>
    <w:p w14:paraId="41FEA3FB" w14:textId="77777777" w:rsidR="00AB3427" w:rsidRPr="00052585" w:rsidRDefault="00AB3427" w:rsidP="00AB3427">
      <w:pPr>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Mihai, D.A., Stefan, D.S., Stegaru, D., Bernea, G.E., Vacaroiu, I.A., Papacocea, T., Lupușoru, M.O.D., Nica, A.E., Stiru, O., Dragos, D. and Olaru, O.G., (2022). Continuous glucose monitoring devices: A brief presentation. </w:t>
      </w:r>
      <w:r w:rsidRPr="00052585">
        <w:rPr>
          <w:rFonts w:ascii="Arial" w:hAnsi="Arial" w:cs="Arial"/>
          <w:i/>
          <w:iCs/>
          <w:color w:val="222222"/>
          <w:szCs w:val="24"/>
          <w:shd w:val="clear" w:color="auto" w:fill="FFFFFF"/>
        </w:rPr>
        <w:t>Experimental and therapeutic medicine</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23</w:t>
      </w:r>
      <w:r w:rsidRPr="00052585">
        <w:rPr>
          <w:rFonts w:ascii="Arial" w:hAnsi="Arial" w:cs="Arial"/>
          <w:color w:val="222222"/>
          <w:szCs w:val="24"/>
          <w:shd w:val="clear" w:color="auto" w:fill="FFFFFF"/>
        </w:rPr>
        <w:t>(2), p.174.</w:t>
      </w:r>
    </w:p>
    <w:p w14:paraId="60E5AD59" w14:textId="77777777" w:rsidR="00AB3427" w:rsidRPr="00052585" w:rsidRDefault="00AB3427" w:rsidP="00AB3427">
      <w:pPr>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Minari, T.P., Tácito, L.H.B., Yugar, L.B.T., Ferreira-Melo, S.E., Manzano, C.F., Pires, A.C., Moreno, H., Vilela-Martin, J.F., Cosenso-Martin, L.N. and Yugar-Toledo, J.C., (2023). Nutritional strategies for the management of type 2 diabetes mellitus: a narrative review. </w:t>
      </w:r>
      <w:r w:rsidRPr="00052585">
        <w:rPr>
          <w:rFonts w:ascii="Arial" w:hAnsi="Arial" w:cs="Arial"/>
          <w:i/>
          <w:iCs/>
          <w:color w:val="222222"/>
          <w:szCs w:val="24"/>
          <w:shd w:val="clear" w:color="auto" w:fill="FFFFFF"/>
        </w:rPr>
        <w:t>Nutrients</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15</w:t>
      </w:r>
      <w:r w:rsidRPr="00052585">
        <w:rPr>
          <w:rFonts w:ascii="Arial" w:hAnsi="Arial" w:cs="Arial"/>
          <w:color w:val="222222"/>
          <w:szCs w:val="24"/>
          <w:shd w:val="clear" w:color="auto" w:fill="FFFFFF"/>
        </w:rPr>
        <w:t>(24), p.5096.</w:t>
      </w:r>
    </w:p>
    <w:p w14:paraId="66380F03" w14:textId="77777777" w:rsidR="00AB3427" w:rsidRPr="00052585" w:rsidRDefault="00AB3427" w:rsidP="00AB3427">
      <w:pPr>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Mukharjee, S., Bank, S. and Maiti, S., (2020). Chronic tobacco exposure by smoking develops insulin resistance. </w:t>
      </w:r>
      <w:r w:rsidRPr="00052585">
        <w:rPr>
          <w:rFonts w:ascii="Arial" w:hAnsi="Arial" w:cs="Arial"/>
          <w:i/>
          <w:iCs/>
          <w:color w:val="222222"/>
          <w:szCs w:val="24"/>
          <w:shd w:val="clear" w:color="auto" w:fill="FFFFFF"/>
        </w:rPr>
        <w:t>Endocrine, Metabolic &amp; Immune Disorders-Drug Targets (Formerly Current Drug Targets-Immune, Endocrine &amp; Metabolic Disorders)</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20</w:t>
      </w:r>
      <w:r w:rsidRPr="00052585">
        <w:rPr>
          <w:rFonts w:ascii="Arial" w:hAnsi="Arial" w:cs="Arial"/>
          <w:color w:val="222222"/>
          <w:szCs w:val="24"/>
          <w:shd w:val="clear" w:color="auto" w:fill="FFFFFF"/>
        </w:rPr>
        <w:t>(6), pp.869-877.</w:t>
      </w:r>
    </w:p>
    <w:p w14:paraId="0FA4E492" w14:textId="77777777" w:rsidR="00AB3427" w:rsidRPr="00052585" w:rsidRDefault="00AB3427" w:rsidP="00AB3427">
      <w:pPr>
        <w:spacing w:line="276" w:lineRule="auto"/>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Müller, T.D., Finan, B., Clemmensen, C., DiMarchi, R.D. and Tschöp, M.H., (2017). The new biology and pharmacology of glucagon. </w:t>
      </w:r>
      <w:r w:rsidRPr="00052585">
        <w:rPr>
          <w:rFonts w:ascii="Arial" w:hAnsi="Arial" w:cs="Arial"/>
          <w:i/>
          <w:iCs/>
          <w:color w:val="222222"/>
          <w:szCs w:val="24"/>
          <w:shd w:val="clear" w:color="auto" w:fill="FFFFFF"/>
        </w:rPr>
        <w:t>Physiological reviews</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97</w:t>
      </w:r>
      <w:r w:rsidRPr="00052585">
        <w:rPr>
          <w:rFonts w:ascii="Arial" w:hAnsi="Arial" w:cs="Arial"/>
          <w:color w:val="222222"/>
          <w:szCs w:val="24"/>
          <w:shd w:val="clear" w:color="auto" w:fill="FFFFFF"/>
        </w:rPr>
        <w:t>(2), pp.721-766.</w:t>
      </w:r>
    </w:p>
    <w:p w14:paraId="43E17FE4" w14:textId="77777777" w:rsidR="00AB3427" w:rsidRPr="00052585" w:rsidRDefault="00AB3427" w:rsidP="00AB3427">
      <w:pPr>
        <w:ind w:left="720" w:hanging="720"/>
        <w:jc w:val="both"/>
        <w:rPr>
          <w:szCs w:val="24"/>
        </w:rPr>
      </w:pPr>
      <w:bookmarkStart w:id="20" w:name="_Hlk233895228"/>
      <w:r w:rsidRPr="00052585">
        <w:rPr>
          <w:rFonts w:ascii="Arial" w:hAnsi="Arial" w:cs="Arial"/>
          <w:color w:val="222222"/>
          <w:szCs w:val="24"/>
          <w:shd w:val="clear" w:color="auto" w:fill="FFFFFF"/>
        </w:rPr>
        <w:t>Münzel,</w:t>
      </w:r>
      <w:bookmarkEnd w:id="20"/>
      <w:r w:rsidRPr="00052585">
        <w:rPr>
          <w:rFonts w:ascii="Arial" w:hAnsi="Arial" w:cs="Arial"/>
          <w:color w:val="222222"/>
          <w:szCs w:val="24"/>
          <w:shd w:val="clear" w:color="auto" w:fill="FFFFFF"/>
        </w:rPr>
        <w:t xml:space="preserve"> T., Crea, F., Rajagopalan, S. and Lüscher, T., (2025). Nicotine and the cardiovascular system: unmasking a global public health threat. </w:t>
      </w:r>
      <w:r w:rsidRPr="00052585">
        <w:rPr>
          <w:rFonts w:ascii="Arial" w:hAnsi="Arial" w:cs="Arial"/>
          <w:i/>
          <w:iCs/>
          <w:color w:val="222222"/>
          <w:szCs w:val="24"/>
          <w:shd w:val="clear" w:color="auto" w:fill="FFFFFF"/>
        </w:rPr>
        <w:t>European Heart Journal</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47</w:t>
      </w:r>
      <w:r w:rsidRPr="00052585">
        <w:rPr>
          <w:rFonts w:ascii="Arial" w:hAnsi="Arial" w:cs="Arial"/>
          <w:color w:val="222222"/>
          <w:szCs w:val="24"/>
          <w:shd w:val="clear" w:color="auto" w:fill="FFFFFF"/>
        </w:rPr>
        <w:t>(15), pp.1764-1781.</w:t>
      </w:r>
    </w:p>
    <w:p w14:paraId="3CF43947" w14:textId="458908B8" w:rsidR="00AB3427" w:rsidRPr="00052585" w:rsidRDefault="00AB3427" w:rsidP="00AB3427">
      <w:pPr>
        <w:spacing w:line="276" w:lineRule="auto"/>
        <w:ind w:left="720" w:hanging="720"/>
        <w:jc w:val="both"/>
        <w:rPr>
          <w:rFonts w:ascii="Arial" w:eastAsia="Arial" w:hAnsi="Arial" w:cs="Arial"/>
          <w:szCs w:val="24"/>
        </w:rPr>
      </w:pPr>
      <w:r w:rsidRPr="00052585">
        <w:rPr>
          <w:rFonts w:ascii="Arial" w:eastAsia="Arial" w:hAnsi="Arial" w:cs="Arial"/>
          <w:szCs w:val="24"/>
        </w:rPr>
        <w:t xml:space="preserve">National Institute for Health and Care Excellence NICE (2022) Type 2 diabetes in adults quality standard (QS209). Available at: </w:t>
      </w:r>
      <w:hyperlink r:id="rId13" w:history="1">
        <w:r w:rsidRPr="00052585">
          <w:rPr>
            <w:rStyle w:val="Hyperlink"/>
            <w:rFonts w:ascii="Arial" w:eastAsia="Arial" w:hAnsi="Arial" w:cs="Arial"/>
            <w:szCs w:val="24"/>
          </w:rPr>
          <w:t>https://www.nice.org.uk/guidance/qs209</w:t>
        </w:r>
      </w:hyperlink>
      <w:r w:rsidRPr="00052585">
        <w:rPr>
          <w:rFonts w:ascii="Arial" w:eastAsia="Arial" w:hAnsi="Arial" w:cs="Arial"/>
          <w:szCs w:val="24"/>
        </w:rPr>
        <w:t xml:space="preserve"> </w:t>
      </w:r>
      <w:r w:rsidR="00FD045D" w:rsidRPr="00052585">
        <w:rPr>
          <w:rFonts w:ascii="Arial" w:eastAsia="Arial" w:hAnsi="Arial" w:cs="Arial"/>
          <w:szCs w:val="24"/>
        </w:rPr>
        <w:t xml:space="preserve"> </w:t>
      </w:r>
      <w:r w:rsidR="00FD045D" w:rsidRPr="00052585">
        <w:rPr>
          <w:rFonts w:ascii="Arial" w:hAnsi="Arial" w:cs="Arial"/>
          <w:color w:val="222222"/>
          <w:szCs w:val="24"/>
          <w:shd w:val="clear" w:color="auto" w:fill="FFFFFF"/>
        </w:rPr>
        <w:t>Accessed at: 1 July 2026.</w:t>
      </w:r>
    </w:p>
    <w:p w14:paraId="00461E68" w14:textId="77777777" w:rsidR="00AB3427" w:rsidRPr="00052585" w:rsidRDefault="00AB3427" w:rsidP="00AB3427">
      <w:pPr>
        <w:spacing w:line="276" w:lineRule="auto"/>
        <w:ind w:left="720" w:hanging="720"/>
        <w:jc w:val="both"/>
        <w:rPr>
          <w:rFonts w:ascii="Arial" w:hAnsi="Arial" w:cs="Arial"/>
          <w:color w:val="222222"/>
          <w:szCs w:val="24"/>
          <w:shd w:val="clear" w:color="auto" w:fill="FFFFFF"/>
        </w:rPr>
      </w:pPr>
      <w:bookmarkStart w:id="21" w:name="_Hlk233890651"/>
      <w:r w:rsidRPr="00052585">
        <w:rPr>
          <w:rFonts w:ascii="Arial" w:hAnsi="Arial" w:cs="Arial"/>
          <w:color w:val="222222"/>
          <w:szCs w:val="24"/>
          <w:shd w:val="clear" w:color="auto" w:fill="FFFFFF"/>
        </w:rPr>
        <w:t>Paluchamy</w:t>
      </w:r>
      <w:bookmarkEnd w:id="21"/>
      <w:r w:rsidRPr="00052585">
        <w:rPr>
          <w:rFonts w:ascii="Arial" w:hAnsi="Arial" w:cs="Arial"/>
          <w:color w:val="222222"/>
          <w:szCs w:val="24"/>
          <w:shd w:val="clear" w:color="auto" w:fill="FFFFFF"/>
        </w:rPr>
        <w:t>, T., (2019). Hypoglycemia: essential clinical guidelines. In </w:t>
      </w:r>
      <w:r w:rsidRPr="00052585">
        <w:rPr>
          <w:rFonts w:ascii="Arial" w:hAnsi="Arial" w:cs="Arial"/>
          <w:i/>
          <w:iCs/>
          <w:color w:val="222222"/>
          <w:szCs w:val="24"/>
          <w:shd w:val="clear" w:color="auto" w:fill="FFFFFF"/>
        </w:rPr>
        <w:t>Blood glucose levels</w:t>
      </w:r>
      <w:r w:rsidRPr="00052585">
        <w:rPr>
          <w:rFonts w:ascii="Arial" w:hAnsi="Arial" w:cs="Arial"/>
          <w:color w:val="222222"/>
          <w:szCs w:val="24"/>
          <w:shd w:val="clear" w:color="auto" w:fill="FFFFFF"/>
        </w:rPr>
        <w:t>. IntechOpen.</w:t>
      </w:r>
    </w:p>
    <w:p w14:paraId="1D092572" w14:textId="77777777" w:rsidR="00AB3427" w:rsidRPr="00052585" w:rsidRDefault="00AB3427" w:rsidP="00AB3427">
      <w:pPr>
        <w:ind w:left="720" w:hanging="720"/>
        <w:jc w:val="both"/>
        <w:rPr>
          <w:rFonts w:ascii="Arial" w:hAnsi="Arial" w:cs="Arial"/>
          <w:color w:val="222222"/>
          <w:szCs w:val="24"/>
          <w:shd w:val="clear" w:color="auto" w:fill="FFFFFF"/>
          <w:lang w:val="fr-FR"/>
        </w:rPr>
      </w:pPr>
      <w:bookmarkStart w:id="22" w:name="_Hlk233894764"/>
      <w:r w:rsidRPr="00052585">
        <w:rPr>
          <w:rFonts w:ascii="Arial" w:hAnsi="Arial" w:cs="Arial"/>
          <w:color w:val="222222"/>
          <w:szCs w:val="24"/>
          <w:shd w:val="clear" w:color="auto" w:fill="FFFFFF"/>
        </w:rPr>
        <w:t>Papakonstantinou</w:t>
      </w:r>
      <w:bookmarkEnd w:id="22"/>
      <w:r w:rsidRPr="00052585">
        <w:rPr>
          <w:rFonts w:ascii="Arial" w:hAnsi="Arial" w:cs="Arial"/>
          <w:color w:val="222222"/>
          <w:szCs w:val="24"/>
          <w:shd w:val="clear" w:color="auto" w:fill="FFFFFF"/>
        </w:rPr>
        <w:t>, E., Oikonomou, C., Nychas, G. and Dimitriadis, G.D., (2022). Effects of diet, lifestyle, chrononutrition and alternative dietary interventions on postprandial glycemia and insulin resistance. </w:t>
      </w:r>
      <w:proofErr w:type="spellStart"/>
      <w:r w:rsidRPr="00052585">
        <w:rPr>
          <w:rFonts w:ascii="Arial" w:hAnsi="Arial" w:cs="Arial"/>
          <w:i/>
          <w:iCs/>
          <w:color w:val="222222"/>
          <w:szCs w:val="24"/>
          <w:shd w:val="clear" w:color="auto" w:fill="FFFFFF"/>
          <w:lang w:val="fr-FR"/>
        </w:rPr>
        <w:t>Nutrients</w:t>
      </w:r>
      <w:proofErr w:type="spellEnd"/>
      <w:r w:rsidRPr="00052585">
        <w:rPr>
          <w:rFonts w:ascii="Arial" w:hAnsi="Arial" w:cs="Arial"/>
          <w:color w:val="222222"/>
          <w:szCs w:val="24"/>
          <w:shd w:val="clear" w:color="auto" w:fill="FFFFFF"/>
          <w:lang w:val="fr-FR"/>
        </w:rPr>
        <w:t>, </w:t>
      </w:r>
      <w:r w:rsidRPr="00052585">
        <w:rPr>
          <w:rFonts w:ascii="Arial" w:hAnsi="Arial" w:cs="Arial"/>
          <w:i/>
          <w:iCs/>
          <w:color w:val="222222"/>
          <w:szCs w:val="24"/>
          <w:shd w:val="clear" w:color="auto" w:fill="FFFFFF"/>
          <w:lang w:val="fr-FR"/>
        </w:rPr>
        <w:t>14</w:t>
      </w:r>
      <w:r w:rsidRPr="00052585">
        <w:rPr>
          <w:rFonts w:ascii="Arial" w:hAnsi="Arial" w:cs="Arial"/>
          <w:color w:val="222222"/>
          <w:szCs w:val="24"/>
          <w:shd w:val="clear" w:color="auto" w:fill="FFFFFF"/>
          <w:lang w:val="fr-FR"/>
        </w:rPr>
        <w:t>(4), p.823.</w:t>
      </w:r>
    </w:p>
    <w:p w14:paraId="02EE3998" w14:textId="77777777" w:rsidR="00AB3427" w:rsidRPr="00052585" w:rsidRDefault="00AB3427" w:rsidP="00AB3427">
      <w:pPr>
        <w:ind w:left="720" w:hanging="720"/>
        <w:jc w:val="both"/>
        <w:rPr>
          <w:rFonts w:ascii="Arial" w:hAnsi="Arial" w:cs="Arial"/>
          <w:color w:val="222222"/>
          <w:szCs w:val="24"/>
          <w:shd w:val="clear" w:color="auto" w:fill="FFFFFF"/>
        </w:rPr>
      </w:pPr>
      <w:bookmarkStart w:id="23" w:name="_Hlk233894958"/>
      <w:r w:rsidRPr="00052585">
        <w:rPr>
          <w:rFonts w:ascii="Arial" w:hAnsi="Arial" w:cs="Arial"/>
          <w:color w:val="222222"/>
          <w:szCs w:val="24"/>
          <w:shd w:val="clear" w:color="auto" w:fill="FFFFFF"/>
          <w:lang w:val="fr-FR"/>
        </w:rPr>
        <w:t xml:space="preserve">Pavlidou, E., Papadopoulou, S.K., </w:t>
      </w:r>
      <w:proofErr w:type="spellStart"/>
      <w:r w:rsidRPr="00052585">
        <w:rPr>
          <w:rFonts w:ascii="Arial" w:hAnsi="Arial" w:cs="Arial"/>
          <w:color w:val="222222"/>
          <w:szCs w:val="24"/>
          <w:shd w:val="clear" w:color="auto" w:fill="FFFFFF"/>
          <w:lang w:val="fr-FR"/>
        </w:rPr>
        <w:t>Fasoulas</w:t>
      </w:r>
      <w:proofErr w:type="spellEnd"/>
      <w:r w:rsidRPr="00052585">
        <w:rPr>
          <w:rFonts w:ascii="Arial" w:hAnsi="Arial" w:cs="Arial"/>
          <w:color w:val="222222"/>
          <w:szCs w:val="24"/>
          <w:shd w:val="clear" w:color="auto" w:fill="FFFFFF"/>
          <w:lang w:val="fr-FR"/>
        </w:rPr>
        <w:t xml:space="preserve">, A., </w:t>
      </w:r>
      <w:proofErr w:type="spellStart"/>
      <w:r w:rsidRPr="00052585">
        <w:rPr>
          <w:rFonts w:ascii="Arial" w:hAnsi="Arial" w:cs="Arial"/>
          <w:color w:val="222222"/>
          <w:szCs w:val="24"/>
          <w:shd w:val="clear" w:color="auto" w:fill="FFFFFF"/>
          <w:lang w:val="fr-FR"/>
        </w:rPr>
        <w:t>Papaliagkas</w:t>
      </w:r>
      <w:proofErr w:type="spellEnd"/>
      <w:r w:rsidRPr="00052585">
        <w:rPr>
          <w:rFonts w:ascii="Arial" w:hAnsi="Arial" w:cs="Arial"/>
          <w:color w:val="222222"/>
          <w:szCs w:val="24"/>
          <w:shd w:val="clear" w:color="auto" w:fill="FFFFFF"/>
          <w:lang w:val="fr-FR"/>
        </w:rPr>
        <w:t xml:space="preserve">, V., </w:t>
      </w:r>
      <w:proofErr w:type="spellStart"/>
      <w:r w:rsidRPr="00052585">
        <w:rPr>
          <w:rFonts w:ascii="Arial" w:hAnsi="Arial" w:cs="Arial"/>
          <w:color w:val="222222"/>
          <w:szCs w:val="24"/>
          <w:shd w:val="clear" w:color="auto" w:fill="FFFFFF"/>
          <w:lang w:val="fr-FR"/>
        </w:rPr>
        <w:t>Alexatou</w:t>
      </w:r>
      <w:proofErr w:type="spellEnd"/>
      <w:r w:rsidRPr="00052585">
        <w:rPr>
          <w:rFonts w:ascii="Arial" w:hAnsi="Arial" w:cs="Arial"/>
          <w:color w:val="222222"/>
          <w:szCs w:val="24"/>
          <w:shd w:val="clear" w:color="auto" w:fill="FFFFFF"/>
          <w:lang w:val="fr-FR"/>
        </w:rPr>
        <w:t xml:space="preserve">, O., Chatzidimitriou, M., </w:t>
      </w:r>
      <w:proofErr w:type="spellStart"/>
      <w:r w:rsidRPr="00052585">
        <w:rPr>
          <w:rFonts w:ascii="Arial" w:hAnsi="Arial" w:cs="Arial"/>
          <w:color w:val="222222"/>
          <w:szCs w:val="24"/>
          <w:shd w:val="clear" w:color="auto" w:fill="FFFFFF"/>
          <w:lang w:val="fr-FR"/>
        </w:rPr>
        <w:t>Mentzelou</w:t>
      </w:r>
      <w:proofErr w:type="spellEnd"/>
      <w:r w:rsidRPr="00052585">
        <w:rPr>
          <w:rFonts w:ascii="Arial" w:hAnsi="Arial" w:cs="Arial"/>
          <w:color w:val="222222"/>
          <w:szCs w:val="24"/>
          <w:shd w:val="clear" w:color="auto" w:fill="FFFFFF"/>
          <w:lang w:val="fr-FR"/>
        </w:rPr>
        <w:t xml:space="preserve">, M. and </w:t>
      </w:r>
      <w:proofErr w:type="spellStart"/>
      <w:r w:rsidRPr="00052585">
        <w:rPr>
          <w:rFonts w:ascii="Arial" w:hAnsi="Arial" w:cs="Arial"/>
          <w:color w:val="222222"/>
          <w:szCs w:val="24"/>
          <w:shd w:val="clear" w:color="auto" w:fill="FFFFFF"/>
          <w:lang w:val="fr-FR"/>
        </w:rPr>
        <w:t>Giaginis</w:t>
      </w:r>
      <w:proofErr w:type="spellEnd"/>
      <w:r w:rsidRPr="00052585">
        <w:rPr>
          <w:rFonts w:ascii="Arial" w:hAnsi="Arial" w:cs="Arial"/>
          <w:color w:val="222222"/>
          <w:szCs w:val="24"/>
          <w:shd w:val="clear" w:color="auto" w:fill="FFFFFF"/>
          <w:lang w:val="fr-FR"/>
        </w:rPr>
        <w:t xml:space="preserve">, C., (2023). </w:t>
      </w:r>
      <w:r w:rsidRPr="00052585">
        <w:rPr>
          <w:rFonts w:ascii="Arial" w:hAnsi="Arial" w:cs="Arial"/>
          <w:color w:val="222222"/>
          <w:szCs w:val="24"/>
          <w:shd w:val="clear" w:color="auto" w:fill="FFFFFF"/>
        </w:rPr>
        <w:t>Diabesity and dietary interventions: evaluating the impact of mediterranean diet and other types of diets on obesity and type 2 diabetes management. </w:t>
      </w:r>
      <w:r w:rsidRPr="00052585">
        <w:rPr>
          <w:rFonts w:ascii="Arial" w:hAnsi="Arial" w:cs="Arial"/>
          <w:i/>
          <w:iCs/>
          <w:color w:val="222222"/>
          <w:szCs w:val="24"/>
          <w:shd w:val="clear" w:color="auto" w:fill="FFFFFF"/>
        </w:rPr>
        <w:t>Nutrients</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16</w:t>
      </w:r>
      <w:r w:rsidRPr="00052585">
        <w:rPr>
          <w:rFonts w:ascii="Arial" w:hAnsi="Arial" w:cs="Arial"/>
          <w:color w:val="222222"/>
          <w:szCs w:val="24"/>
          <w:shd w:val="clear" w:color="auto" w:fill="FFFFFF"/>
        </w:rPr>
        <w:t>(1), p.34.</w:t>
      </w:r>
    </w:p>
    <w:bookmarkEnd w:id="23"/>
    <w:p w14:paraId="08244068" w14:textId="6BCCDD12" w:rsidR="00AB3427" w:rsidRPr="00052585" w:rsidRDefault="00AB3427" w:rsidP="00AB3427">
      <w:pPr>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Piercy, K.L., Troiano, R.P., Ballard, R.M., Carlson, S.A., Fulton, J.E., Galuska, D.A., George, S.M. and Olson, R.D., (2018). The physical activity guidelines for Americans. </w:t>
      </w:r>
      <w:r w:rsidRPr="00052585">
        <w:rPr>
          <w:rFonts w:ascii="Arial" w:hAnsi="Arial" w:cs="Arial"/>
          <w:i/>
          <w:iCs/>
          <w:color w:val="222222"/>
          <w:szCs w:val="24"/>
          <w:shd w:val="clear" w:color="auto" w:fill="FFFFFF"/>
        </w:rPr>
        <w:t>Jama</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320</w:t>
      </w:r>
      <w:r w:rsidRPr="00052585">
        <w:rPr>
          <w:rFonts w:ascii="Arial" w:hAnsi="Arial" w:cs="Arial"/>
          <w:color w:val="222222"/>
          <w:szCs w:val="24"/>
          <w:shd w:val="clear" w:color="auto" w:fill="FFFFFF"/>
        </w:rPr>
        <w:t>(19), pp.2020 to--2028.</w:t>
      </w:r>
    </w:p>
    <w:p w14:paraId="71C7947F" w14:textId="77777777" w:rsidR="00AB3427" w:rsidRPr="00052585" w:rsidRDefault="00AB3427" w:rsidP="00AB3427">
      <w:pPr>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lastRenderedPageBreak/>
        <w:t>Powers, A.C., Niswender, K.D. and Evans-Molina, C., (2022). Diabetes mellitus: diagnosis, classification, and pathophysiology. </w:t>
      </w:r>
      <w:r w:rsidRPr="00052585">
        <w:rPr>
          <w:rFonts w:ascii="Arial" w:hAnsi="Arial" w:cs="Arial"/>
          <w:i/>
          <w:iCs/>
          <w:color w:val="222222"/>
          <w:szCs w:val="24"/>
          <w:shd w:val="clear" w:color="auto" w:fill="FFFFFF"/>
        </w:rPr>
        <w:t>Diabetes</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1000</w:t>
      </w:r>
      <w:r w:rsidRPr="00052585">
        <w:rPr>
          <w:rFonts w:ascii="Arial" w:hAnsi="Arial" w:cs="Arial"/>
          <w:color w:val="222222"/>
          <w:szCs w:val="24"/>
          <w:shd w:val="clear" w:color="auto" w:fill="FFFFFF"/>
        </w:rPr>
        <w:t>, p.415.</w:t>
      </w:r>
    </w:p>
    <w:p w14:paraId="1098BE3F" w14:textId="77777777" w:rsidR="00AB3427" w:rsidRPr="00052585" w:rsidRDefault="00AB3427" w:rsidP="00AB3427">
      <w:pPr>
        <w:spacing w:line="276" w:lineRule="auto"/>
        <w:ind w:left="720" w:hanging="720"/>
        <w:jc w:val="both"/>
        <w:rPr>
          <w:rFonts w:ascii="Arial" w:eastAsia="Arial" w:hAnsi="Arial" w:cs="Arial"/>
          <w:szCs w:val="24"/>
        </w:rPr>
      </w:pPr>
      <w:bookmarkStart w:id="24" w:name="_Hlk233892798"/>
      <w:r w:rsidRPr="00052585">
        <w:rPr>
          <w:rFonts w:ascii="Arial" w:hAnsi="Arial" w:cs="Arial"/>
          <w:color w:val="222222"/>
          <w:szCs w:val="24"/>
          <w:shd w:val="clear" w:color="auto" w:fill="FFFFFF"/>
        </w:rPr>
        <w:t>Saltveit</w:t>
      </w:r>
      <w:bookmarkEnd w:id="24"/>
      <w:r w:rsidRPr="00052585">
        <w:rPr>
          <w:rFonts w:ascii="Arial" w:hAnsi="Arial" w:cs="Arial"/>
          <w:color w:val="222222"/>
          <w:szCs w:val="24"/>
          <w:shd w:val="clear" w:color="auto" w:fill="FFFFFF"/>
        </w:rPr>
        <w:t>, M.E., (2019). Respiratory metabolism. In </w:t>
      </w:r>
      <w:r w:rsidRPr="00052585">
        <w:rPr>
          <w:rFonts w:ascii="Arial" w:hAnsi="Arial" w:cs="Arial"/>
          <w:i/>
          <w:iCs/>
          <w:color w:val="222222"/>
          <w:szCs w:val="24"/>
          <w:shd w:val="clear" w:color="auto" w:fill="FFFFFF"/>
        </w:rPr>
        <w:t>Postharvest physiology and biochemistry of fruits and vegetables</w:t>
      </w:r>
      <w:r w:rsidRPr="00052585">
        <w:rPr>
          <w:rFonts w:ascii="Arial" w:hAnsi="Arial" w:cs="Arial"/>
          <w:color w:val="222222"/>
          <w:szCs w:val="24"/>
          <w:shd w:val="clear" w:color="auto" w:fill="FFFFFF"/>
        </w:rPr>
        <w:t> (pp. 73-91). Woodhead Publishing.</w:t>
      </w:r>
    </w:p>
    <w:p w14:paraId="4EC733A7" w14:textId="77777777" w:rsidR="00AB3427" w:rsidRPr="00052585" w:rsidRDefault="00AB3427" w:rsidP="00AB3427">
      <w:pPr>
        <w:ind w:left="720" w:hanging="720"/>
        <w:jc w:val="both"/>
        <w:rPr>
          <w:rFonts w:ascii="Arial" w:hAnsi="Arial" w:cs="Arial"/>
          <w:color w:val="222222"/>
          <w:szCs w:val="24"/>
          <w:shd w:val="clear" w:color="auto" w:fill="FFFFFF"/>
        </w:rPr>
      </w:pPr>
      <w:bookmarkStart w:id="25" w:name="_Hlk233894344"/>
      <w:r w:rsidRPr="00052585">
        <w:rPr>
          <w:rFonts w:ascii="Arial" w:hAnsi="Arial" w:cs="Arial"/>
          <w:color w:val="222222"/>
          <w:szCs w:val="24"/>
          <w:shd w:val="clear" w:color="auto" w:fill="FFFFFF"/>
        </w:rPr>
        <w:t>Sherwani</w:t>
      </w:r>
      <w:bookmarkEnd w:id="25"/>
      <w:r w:rsidRPr="00052585">
        <w:rPr>
          <w:rFonts w:ascii="Arial" w:hAnsi="Arial" w:cs="Arial"/>
          <w:color w:val="222222"/>
          <w:szCs w:val="24"/>
          <w:shd w:val="clear" w:color="auto" w:fill="FFFFFF"/>
        </w:rPr>
        <w:t>, S.I., Khan, H.A., Ekhzaimy, A., Masood, A. and Sakharkar, M.K., (2016). Significance of HbA1c test in diagnosis and prognosis of diabetic patients. </w:t>
      </w:r>
      <w:r w:rsidRPr="00052585">
        <w:rPr>
          <w:rFonts w:ascii="Arial" w:hAnsi="Arial" w:cs="Arial"/>
          <w:i/>
          <w:iCs/>
          <w:color w:val="222222"/>
          <w:szCs w:val="24"/>
          <w:shd w:val="clear" w:color="auto" w:fill="FFFFFF"/>
        </w:rPr>
        <w:t>Biomarker insights</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11</w:t>
      </w:r>
      <w:r w:rsidRPr="00052585">
        <w:rPr>
          <w:rFonts w:ascii="Arial" w:hAnsi="Arial" w:cs="Arial"/>
          <w:color w:val="222222"/>
          <w:szCs w:val="24"/>
          <w:shd w:val="clear" w:color="auto" w:fill="FFFFFF"/>
        </w:rPr>
        <w:t>, pp.BMI-S38440.</w:t>
      </w:r>
    </w:p>
    <w:p w14:paraId="4B15736C" w14:textId="77777777" w:rsidR="00AB3427" w:rsidRPr="00052585" w:rsidRDefault="00AB3427" w:rsidP="00AB3427">
      <w:pPr>
        <w:spacing w:line="276" w:lineRule="auto"/>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Tokarz, V.L., MacDonald, P.E. and Klip, A., (2018). The cell biology of systemic insulin function. </w:t>
      </w:r>
      <w:r w:rsidRPr="00052585">
        <w:rPr>
          <w:rFonts w:ascii="Arial" w:hAnsi="Arial" w:cs="Arial"/>
          <w:i/>
          <w:iCs/>
          <w:color w:val="222222"/>
          <w:szCs w:val="24"/>
          <w:shd w:val="clear" w:color="auto" w:fill="FFFFFF"/>
        </w:rPr>
        <w:t>Journal of Cell Biology</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217</w:t>
      </w:r>
      <w:r w:rsidRPr="00052585">
        <w:rPr>
          <w:rFonts w:ascii="Arial" w:hAnsi="Arial" w:cs="Arial"/>
          <w:color w:val="222222"/>
          <w:szCs w:val="24"/>
          <w:shd w:val="clear" w:color="auto" w:fill="FFFFFF"/>
        </w:rPr>
        <w:t>(7), pp.2273-2289.</w:t>
      </w:r>
    </w:p>
    <w:p w14:paraId="10F9C357" w14:textId="77777777" w:rsidR="00AB3427" w:rsidRPr="00052585" w:rsidRDefault="00AB3427" w:rsidP="00AB3427">
      <w:pPr>
        <w:spacing w:line="276" w:lineRule="auto"/>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Tortora, G.J. and Derrickson, B.H., (2018). </w:t>
      </w:r>
      <w:r w:rsidRPr="00052585">
        <w:rPr>
          <w:rFonts w:ascii="Arial" w:hAnsi="Arial" w:cs="Arial"/>
          <w:i/>
          <w:iCs/>
          <w:color w:val="222222"/>
          <w:szCs w:val="24"/>
          <w:shd w:val="clear" w:color="auto" w:fill="FFFFFF"/>
        </w:rPr>
        <w:t>Principles of anatomy and physiology</w:t>
      </w:r>
      <w:r w:rsidRPr="00052585">
        <w:rPr>
          <w:rFonts w:ascii="Arial" w:hAnsi="Arial" w:cs="Arial"/>
          <w:color w:val="222222"/>
          <w:szCs w:val="24"/>
          <w:shd w:val="clear" w:color="auto" w:fill="FFFFFF"/>
        </w:rPr>
        <w:t>. John wiley &amp; sons.</w:t>
      </w:r>
    </w:p>
    <w:p w14:paraId="58C7908F" w14:textId="77777777" w:rsidR="00AB3427" w:rsidRPr="00052585" w:rsidRDefault="00AB3427" w:rsidP="00AB3427">
      <w:pPr>
        <w:ind w:left="720" w:hanging="720"/>
        <w:jc w:val="both"/>
        <w:rPr>
          <w:rFonts w:ascii="Arial" w:hAnsi="Arial" w:cs="Arial"/>
          <w:color w:val="222222"/>
          <w:szCs w:val="24"/>
          <w:shd w:val="clear" w:color="auto" w:fill="FFFFFF"/>
        </w:rPr>
      </w:pPr>
      <w:r w:rsidRPr="00052585">
        <w:rPr>
          <w:rFonts w:ascii="Arial" w:hAnsi="Arial" w:cs="Arial"/>
          <w:color w:val="222222"/>
          <w:szCs w:val="24"/>
          <w:shd w:val="clear" w:color="auto" w:fill="FFFFFF"/>
        </w:rPr>
        <w:t>Wasfy, M.M. and Baggish, A.L., (2016). Exercise dose in clinical practice. </w:t>
      </w:r>
      <w:r w:rsidRPr="00052585">
        <w:rPr>
          <w:rFonts w:ascii="Arial" w:hAnsi="Arial" w:cs="Arial"/>
          <w:i/>
          <w:iCs/>
          <w:color w:val="222222"/>
          <w:szCs w:val="24"/>
          <w:shd w:val="clear" w:color="auto" w:fill="FFFFFF"/>
        </w:rPr>
        <w:t>Circulation</w:t>
      </w:r>
      <w:r w:rsidRPr="00052585">
        <w:rPr>
          <w:rFonts w:ascii="Arial" w:hAnsi="Arial" w:cs="Arial"/>
          <w:color w:val="222222"/>
          <w:szCs w:val="24"/>
          <w:shd w:val="clear" w:color="auto" w:fill="FFFFFF"/>
        </w:rPr>
        <w:t>, </w:t>
      </w:r>
      <w:r w:rsidRPr="00052585">
        <w:rPr>
          <w:rFonts w:ascii="Arial" w:hAnsi="Arial" w:cs="Arial"/>
          <w:i/>
          <w:iCs/>
          <w:color w:val="222222"/>
          <w:szCs w:val="24"/>
          <w:shd w:val="clear" w:color="auto" w:fill="FFFFFF"/>
        </w:rPr>
        <w:t>133</w:t>
      </w:r>
      <w:r w:rsidRPr="00052585">
        <w:rPr>
          <w:rFonts w:ascii="Arial" w:hAnsi="Arial" w:cs="Arial"/>
          <w:color w:val="222222"/>
          <w:szCs w:val="24"/>
          <w:shd w:val="clear" w:color="auto" w:fill="FFFFFF"/>
        </w:rPr>
        <w:t>(23), pp.2297-2313.</w:t>
      </w:r>
    </w:p>
    <w:p w14:paraId="0048D3FF" w14:textId="77777777" w:rsidR="00DE477A" w:rsidRPr="00052585" w:rsidRDefault="00DE477A" w:rsidP="00D55A7C">
      <w:pPr>
        <w:spacing w:before="60" w:after="60"/>
        <w:jc w:val="both"/>
        <w:rPr>
          <w:szCs w:val="24"/>
        </w:rPr>
      </w:pPr>
    </w:p>
    <w:p w14:paraId="1E63C7B2" w14:textId="77777777" w:rsidR="00DE477A" w:rsidRPr="00052585" w:rsidRDefault="00DE477A" w:rsidP="00D55A7C">
      <w:pPr>
        <w:spacing w:before="60" w:after="60"/>
        <w:jc w:val="both"/>
        <w:rPr>
          <w:szCs w:val="24"/>
        </w:rPr>
      </w:pPr>
    </w:p>
    <w:p w14:paraId="1908E762" w14:textId="77777777" w:rsidR="00DE477A" w:rsidRPr="00052585" w:rsidRDefault="00DE477A" w:rsidP="00D55A7C">
      <w:pPr>
        <w:spacing w:before="60" w:after="60"/>
        <w:jc w:val="both"/>
        <w:rPr>
          <w:szCs w:val="24"/>
        </w:rPr>
      </w:pPr>
    </w:p>
    <w:p w14:paraId="7BA04CEA" w14:textId="77777777" w:rsidR="00DE477A" w:rsidRPr="00052585" w:rsidRDefault="00DE477A" w:rsidP="00D55A7C">
      <w:pPr>
        <w:spacing w:before="60" w:after="60"/>
        <w:jc w:val="both"/>
        <w:rPr>
          <w:szCs w:val="24"/>
        </w:rPr>
      </w:pPr>
    </w:p>
    <w:p w14:paraId="38E0DB32" w14:textId="159D7F64" w:rsidR="00DE477A" w:rsidRPr="00052585" w:rsidRDefault="00DE477A" w:rsidP="00D55A7C">
      <w:pPr>
        <w:spacing w:before="60" w:after="60"/>
        <w:jc w:val="both"/>
        <w:rPr>
          <w:szCs w:val="24"/>
        </w:rPr>
      </w:pPr>
    </w:p>
    <w:p w14:paraId="562CE2EA" w14:textId="369FA538" w:rsidR="0078782A" w:rsidRPr="00052585" w:rsidRDefault="0078782A" w:rsidP="00D55A7C">
      <w:pPr>
        <w:spacing w:before="60" w:after="60"/>
        <w:jc w:val="both"/>
        <w:rPr>
          <w:szCs w:val="24"/>
        </w:rPr>
      </w:pPr>
    </w:p>
    <w:p w14:paraId="25922B37" w14:textId="7390A210" w:rsidR="0078782A" w:rsidRPr="00052585" w:rsidRDefault="0078782A" w:rsidP="00D55A7C">
      <w:pPr>
        <w:spacing w:before="60" w:after="60"/>
        <w:jc w:val="both"/>
        <w:rPr>
          <w:szCs w:val="24"/>
        </w:rPr>
      </w:pPr>
    </w:p>
    <w:p w14:paraId="0EA62BCA" w14:textId="17EA8E1F" w:rsidR="0078782A" w:rsidRPr="00052585" w:rsidRDefault="0078782A" w:rsidP="00D55A7C">
      <w:pPr>
        <w:spacing w:before="60" w:after="60"/>
        <w:jc w:val="both"/>
        <w:rPr>
          <w:szCs w:val="24"/>
        </w:rPr>
      </w:pPr>
    </w:p>
    <w:p w14:paraId="1C5AF569" w14:textId="77777777" w:rsidR="0078782A" w:rsidRPr="00000BCB" w:rsidRDefault="0078782A" w:rsidP="00D55A7C">
      <w:pPr>
        <w:spacing w:before="60" w:after="60"/>
        <w:jc w:val="both"/>
        <w:rPr>
          <w:sz w:val="28"/>
          <w:szCs w:val="28"/>
        </w:rPr>
      </w:pPr>
    </w:p>
    <w:p w14:paraId="430F748B" w14:textId="33E6F9EC" w:rsidR="00DE477A" w:rsidRPr="00000BCB" w:rsidRDefault="00DE477A" w:rsidP="00D55A7C">
      <w:pPr>
        <w:spacing w:before="60" w:after="60"/>
        <w:jc w:val="both"/>
        <w:rPr>
          <w:rFonts w:ascii="Arial" w:eastAsiaTheme="majorEastAsia" w:hAnsi="Arial" w:cs="Arial"/>
          <w:b/>
          <w:sz w:val="28"/>
          <w:szCs w:val="28"/>
        </w:rPr>
      </w:pPr>
      <w:r w:rsidRPr="00000BCB">
        <w:rPr>
          <w:rFonts w:ascii="Arial" w:eastAsiaTheme="majorEastAsia" w:hAnsi="Arial" w:cs="Arial"/>
          <w:b/>
          <w:sz w:val="28"/>
          <w:szCs w:val="28"/>
        </w:rPr>
        <w:t xml:space="preserve">Check list: </w:t>
      </w:r>
    </w:p>
    <w:p w14:paraId="01E358C7" w14:textId="77777777" w:rsidR="00DE477A" w:rsidRPr="00052585" w:rsidRDefault="00DE477A" w:rsidP="00D55A7C">
      <w:pPr>
        <w:spacing w:before="60" w:after="60"/>
        <w:jc w:val="both"/>
        <w:rPr>
          <w:szCs w:val="24"/>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95"/>
        <w:gridCol w:w="7444"/>
        <w:gridCol w:w="987"/>
      </w:tblGrid>
      <w:tr w:rsidR="007739AD" w:rsidRPr="00052585" w14:paraId="226B9713" w14:textId="77777777" w:rsidTr="00D53642">
        <w:tc>
          <w:tcPr>
            <w:tcW w:w="600" w:type="dxa"/>
            <w:tcBorders>
              <w:top w:val="single" w:sz="1" w:space="0" w:color="CCCCCC"/>
              <w:left w:val="single" w:sz="1" w:space="0" w:color="CCCCCC"/>
              <w:bottom w:val="single" w:sz="1" w:space="0" w:color="CCCCCC"/>
              <w:right w:val="single" w:sz="1" w:space="0" w:color="CCCCCC"/>
            </w:tcBorders>
            <w:shd w:val="clear" w:color="auto" w:fill="2C5F8A"/>
            <w:tcMar>
              <w:top w:w="80" w:type="dxa"/>
              <w:left w:w="120" w:type="dxa"/>
              <w:bottom w:w="80" w:type="dxa"/>
              <w:right w:w="120" w:type="dxa"/>
            </w:tcMar>
          </w:tcPr>
          <w:p w14:paraId="57A899E5" w14:textId="77777777" w:rsidR="007739AD" w:rsidRPr="00052585" w:rsidRDefault="007739AD" w:rsidP="00D53642">
            <w:pPr>
              <w:rPr>
                <w:szCs w:val="24"/>
              </w:rPr>
            </w:pPr>
            <w:r w:rsidRPr="00052585">
              <w:rPr>
                <w:rFonts w:ascii="Arial" w:eastAsia="Arial" w:hAnsi="Arial" w:cs="Arial"/>
                <w:b/>
                <w:bCs/>
                <w:color w:val="FFFFFF"/>
                <w:szCs w:val="24"/>
              </w:rPr>
              <w:t>✓</w:t>
            </w:r>
          </w:p>
        </w:tc>
        <w:tc>
          <w:tcPr>
            <w:tcW w:w="7626" w:type="dxa"/>
            <w:tcBorders>
              <w:top w:val="single" w:sz="1" w:space="0" w:color="CCCCCC"/>
              <w:left w:val="single" w:sz="1" w:space="0" w:color="CCCCCC"/>
              <w:bottom w:val="single" w:sz="1" w:space="0" w:color="CCCCCC"/>
              <w:right w:val="single" w:sz="1" w:space="0" w:color="CCCCCC"/>
            </w:tcBorders>
            <w:shd w:val="clear" w:color="auto" w:fill="2C5F8A"/>
            <w:tcMar>
              <w:top w:w="80" w:type="dxa"/>
              <w:left w:w="120" w:type="dxa"/>
              <w:bottom w:w="80" w:type="dxa"/>
              <w:right w:w="120" w:type="dxa"/>
            </w:tcMar>
          </w:tcPr>
          <w:p w14:paraId="7A24DA2D" w14:textId="77777777" w:rsidR="007739AD" w:rsidRPr="00052585" w:rsidRDefault="007739AD" w:rsidP="00D53642">
            <w:pPr>
              <w:rPr>
                <w:szCs w:val="24"/>
              </w:rPr>
            </w:pPr>
            <w:r w:rsidRPr="00052585">
              <w:rPr>
                <w:rFonts w:ascii="Arial" w:eastAsia="Arial" w:hAnsi="Arial" w:cs="Arial"/>
                <w:b/>
                <w:bCs/>
                <w:color w:val="FFFFFF"/>
                <w:szCs w:val="24"/>
              </w:rPr>
              <w:t>Criterion</w:t>
            </w:r>
          </w:p>
        </w:tc>
        <w:tc>
          <w:tcPr>
            <w:tcW w:w="800" w:type="dxa"/>
            <w:tcBorders>
              <w:top w:val="single" w:sz="1" w:space="0" w:color="CCCCCC"/>
              <w:left w:val="single" w:sz="1" w:space="0" w:color="CCCCCC"/>
              <w:bottom w:val="single" w:sz="1" w:space="0" w:color="CCCCCC"/>
              <w:right w:val="single" w:sz="1" w:space="0" w:color="CCCCCC"/>
            </w:tcBorders>
            <w:shd w:val="clear" w:color="auto" w:fill="2C5F8A"/>
            <w:tcMar>
              <w:top w:w="80" w:type="dxa"/>
              <w:left w:w="120" w:type="dxa"/>
              <w:bottom w:w="80" w:type="dxa"/>
              <w:right w:w="120" w:type="dxa"/>
            </w:tcMar>
          </w:tcPr>
          <w:p w14:paraId="72D2F771" w14:textId="77777777" w:rsidR="007739AD" w:rsidRPr="00052585" w:rsidRDefault="007739AD" w:rsidP="00D53642">
            <w:pPr>
              <w:rPr>
                <w:szCs w:val="24"/>
              </w:rPr>
            </w:pPr>
            <w:r w:rsidRPr="00052585">
              <w:rPr>
                <w:rFonts w:ascii="Arial" w:eastAsia="Arial" w:hAnsi="Arial" w:cs="Arial"/>
                <w:b/>
                <w:bCs/>
                <w:color w:val="FFFFFF"/>
                <w:szCs w:val="24"/>
              </w:rPr>
              <w:t>Done?</w:t>
            </w:r>
          </w:p>
        </w:tc>
      </w:tr>
      <w:tr w:rsidR="007739AD" w:rsidRPr="00052585" w14:paraId="6ECF6680" w14:textId="77777777" w:rsidTr="00D53642">
        <w:tc>
          <w:tcPr>
            <w:tcW w:w="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48F7278" w14:textId="77777777" w:rsidR="007739AD" w:rsidRPr="00052585" w:rsidRDefault="007739AD" w:rsidP="00D53642">
            <w:pPr>
              <w:rPr>
                <w:szCs w:val="24"/>
              </w:rPr>
            </w:pPr>
            <w:r w:rsidRPr="00052585">
              <w:rPr>
                <w:rFonts w:ascii="Arial" w:eastAsia="Arial" w:hAnsi="Arial" w:cs="Arial"/>
                <w:szCs w:val="24"/>
              </w:rPr>
              <w:t>☑</w:t>
            </w:r>
          </w:p>
        </w:tc>
        <w:tc>
          <w:tcPr>
            <w:tcW w:w="76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E2732C5" w14:textId="77777777" w:rsidR="007739AD" w:rsidRPr="00052585" w:rsidRDefault="007739AD" w:rsidP="00D53642">
            <w:pPr>
              <w:rPr>
                <w:szCs w:val="24"/>
              </w:rPr>
            </w:pPr>
            <w:r w:rsidRPr="00052585">
              <w:rPr>
                <w:rFonts w:ascii="Arial" w:eastAsia="Arial" w:hAnsi="Arial" w:cs="Arial"/>
                <w:b/>
                <w:bCs/>
                <w:color w:val="2C5F8A"/>
                <w:szCs w:val="24"/>
              </w:rPr>
              <w:t xml:space="preserve">[Literature] </w:t>
            </w:r>
            <w:r w:rsidRPr="00052585">
              <w:rPr>
                <w:rFonts w:ascii="Arial" w:eastAsia="Arial" w:hAnsi="Arial" w:cs="Arial"/>
                <w:szCs w:val="24"/>
              </w:rPr>
              <w:t>I have used a minimum of 10 credible, up-to-date sources (mostly last 5 years)</w:t>
            </w:r>
          </w:p>
        </w:tc>
        <w:tc>
          <w:tcPr>
            <w:tcW w:w="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0D38CDB" w14:textId="77777777" w:rsidR="007739AD" w:rsidRPr="00052585" w:rsidRDefault="007739AD" w:rsidP="00D53642">
            <w:pPr>
              <w:rPr>
                <w:szCs w:val="24"/>
              </w:rPr>
            </w:pPr>
          </w:p>
        </w:tc>
      </w:tr>
      <w:tr w:rsidR="007739AD" w:rsidRPr="00052585" w14:paraId="5770FA06" w14:textId="77777777" w:rsidTr="00D53642">
        <w:tc>
          <w:tcPr>
            <w:tcW w:w="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59C3E81" w14:textId="77777777" w:rsidR="007739AD" w:rsidRPr="00052585" w:rsidRDefault="007739AD" w:rsidP="00D53642">
            <w:pPr>
              <w:rPr>
                <w:szCs w:val="24"/>
              </w:rPr>
            </w:pPr>
            <w:r w:rsidRPr="00052585">
              <w:rPr>
                <w:rFonts w:ascii="Arial" w:eastAsia="Arial" w:hAnsi="Arial" w:cs="Arial"/>
                <w:szCs w:val="24"/>
              </w:rPr>
              <w:t>☑</w:t>
            </w:r>
          </w:p>
        </w:tc>
        <w:tc>
          <w:tcPr>
            <w:tcW w:w="76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6169408" w14:textId="77777777" w:rsidR="007739AD" w:rsidRPr="00052585" w:rsidRDefault="007739AD" w:rsidP="00D53642">
            <w:pPr>
              <w:rPr>
                <w:szCs w:val="24"/>
              </w:rPr>
            </w:pPr>
            <w:r w:rsidRPr="00052585">
              <w:rPr>
                <w:rFonts w:ascii="Arial" w:eastAsia="Arial" w:hAnsi="Arial" w:cs="Arial"/>
                <w:b/>
                <w:bCs/>
                <w:color w:val="2C5F8A"/>
                <w:szCs w:val="24"/>
              </w:rPr>
              <w:t xml:space="preserve">[Literature] </w:t>
            </w:r>
            <w:r w:rsidRPr="00052585">
              <w:rPr>
                <w:rFonts w:ascii="Arial" w:eastAsia="Arial" w:hAnsi="Arial" w:cs="Arial"/>
                <w:szCs w:val="24"/>
              </w:rPr>
              <w:t>All sources are cited in UWTSD Harvard Style with in-text citations throughout</w:t>
            </w:r>
          </w:p>
        </w:tc>
        <w:tc>
          <w:tcPr>
            <w:tcW w:w="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B39E772" w14:textId="77777777" w:rsidR="007739AD" w:rsidRPr="00052585" w:rsidRDefault="007739AD" w:rsidP="00D53642">
            <w:pPr>
              <w:rPr>
                <w:szCs w:val="24"/>
              </w:rPr>
            </w:pPr>
          </w:p>
        </w:tc>
      </w:tr>
      <w:tr w:rsidR="007739AD" w:rsidRPr="00052585" w14:paraId="664B5937" w14:textId="77777777" w:rsidTr="00D53642">
        <w:tc>
          <w:tcPr>
            <w:tcW w:w="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4348A74" w14:textId="77777777" w:rsidR="007739AD" w:rsidRPr="00052585" w:rsidRDefault="007739AD" w:rsidP="00D53642">
            <w:pPr>
              <w:rPr>
                <w:szCs w:val="24"/>
              </w:rPr>
            </w:pPr>
            <w:r w:rsidRPr="00052585">
              <w:rPr>
                <w:rFonts w:ascii="Arial" w:eastAsia="Arial" w:hAnsi="Arial" w:cs="Arial"/>
                <w:szCs w:val="24"/>
              </w:rPr>
              <w:t>☑</w:t>
            </w:r>
          </w:p>
        </w:tc>
        <w:tc>
          <w:tcPr>
            <w:tcW w:w="76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EB0488E" w14:textId="77777777" w:rsidR="007739AD" w:rsidRPr="00052585" w:rsidRDefault="007739AD" w:rsidP="00D53642">
            <w:pPr>
              <w:rPr>
                <w:szCs w:val="24"/>
              </w:rPr>
            </w:pPr>
            <w:r w:rsidRPr="00052585">
              <w:rPr>
                <w:rFonts w:ascii="Arial" w:eastAsia="Arial" w:hAnsi="Arial" w:cs="Arial"/>
                <w:b/>
                <w:bCs/>
                <w:color w:val="2C5F8A"/>
                <w:szCs w:val="24"/>
              </w:rPr>
              <w:t xml:space="preserve">[Literature] </w:t>
            </w:r>
            <w:r w:rsidRPr="00052585">
              <w:rPr>
                <w:rFonts w:ascii="Arial" w:eastAsia="Arial" w:hAnsi="Arial" w:cs="Arial"/>
                <w:szCs w:val="24"/>
              </w:rPr>
              <w:t>All in-text citations appear in the reference list and vice versa</w:t>
            </w:r>
          </w:p>
        </w:tc>
        <w:tc>
          <w:tcPr>
            <w:tcW w:w="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BDC1CD8" w14:textId="77777777" w:rsidR="007739AD" w:rsidRPr="00052585" w:rsidRDefault="007739AD" w:rsidP="00D53642">
            <w:pPr>
              <w:rPr>
                <w:szCs w:val="24"/>
              </w:rPr>
            </w:pPr>
          </w:p>
        </w:tc>
      </w:tr>
      <w:tr w:rsidR="007739AD" w:rsidRPr="00052585" w14:paraId="3DA35987" w14:textId="77777777" w:rsidTr="00D53642">
        <w:tc>
          <w:tcPr>
            <w:tcW w:w="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3AA8F82" w14:textId="77777777" w:rsidR="007739AD" w:rsidRPr="00052585" w:rsidRDefault="007739AD" w:rsidP="00D53642">
            <w:pPr>
              <w:rPr>
                <w:szCs w:val="24"/>
              </w:rPr>
            </w:pPr>
            <w:r w:rsidRPr="00052585">
              <w:rPr>
                <w:rFonts w:ascii="Arial" w:eastAsia="Arial" w:hAnsi="Arial" w:cs="Arial"/>
                <w:szCs w:val="24"/>
              </w:rPr>
              <w:t>☑</w:t>
            </w:r>
          </w:p>
        </w:tc>
        <w:tc>
          <w:tcPr>
            <w:tcW w:w="76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1506A15" w14:textId="77777777" w:rsidR="007739AD" w:rsidRPr="00052585" w:rsidRDefault="007739AD" w:rsidP="00D53642">
            <w:pPr>
              <w:rPr>
                <w:szCs w:val="24"/>
              </w:rPr>
            </w:pPr>
            <w:r w:rsidRPr="00052585">
              <w:rPr>
                <w:rFonts w:ascii="Arial" w:eastAsia="Arial" w:hAnsi="Arial" w:cs="Arial"/>
                <w:b/>
                <w:bCs/>
                <w:color w:val="2C5F8A"/>
                <w:szCs w:val="24"/>
              </w:rPr>
              <w:t xml:space="preserve">[Knowledge] </w:t>
            </w:r>
            <w:r w:rsidRPr="00052585">
              <w:rPr>
                <w:rFonts w:ascii="Arial" w:eastAsia="Arial" w:hAnsi="Arial" w:cs="Arial"/>
                <w:szCs w:val="24"/>
              </w:rPr>
              <w:t>I have defined diabetes and described Type 1 vs Type 2 clearly</w:t>
            </w:r>
          </w:p>
        </w:tc>
        <w:tc>
          <w:tcPr>
            <w:tcW w:w="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5028B36" w14:textId="77777777" w:rsidR="007739AD" w:rsidRPr="00052585" w:rsidRDefault="007739AD" w:rsidP="00D53642">
            <w:pPr>
              <w:rPr>
                <w:szCs w:val="24"/>
              </w:rPr>
            </w:pPr>
          </w:p>
        </w:tc>
      </w:tr>
      <w:tr w:rsidR="007739AD" w:rsidRPr="00052585" w14:paraId="09E0C24F" w14:textId="77777777" w:rsidTr="00D53642">
        <w:tc>
          <w:tcPr>
            <w:tcW w:w="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EAE71C0" w14:textId="77777777" w:rsidR="007739AD" w:rsidRPr="00052585" w:rsidRDefault="007739AD" w:rsidP="00D53642">
            <w:pPr>
              <w:rPr>
                <w:szCs w:val="24"/>
              </w:rPr>
            </w:pPr>
            <w:r w:rsidRPr="00052585">
              <w:rPr>
                <w:rFonts w:ascii="Arial" w:eastAsia="Arial" w:hAnsi="Arial" w:cs="Arial"/>
                <w:szCs w:val="24"/>
              </w:rPr>
              <w:lastRenderedPageBreak/>
              <w:t>☑</w:t>
            </w:r>
          </w:p>
        </w:tc>
        <w:tc>
          <w:tcPr>
            <w:tcW w:w="76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54EA732" w14:textId="77777777" w:rsidR="007739AD" w:rsidRPr="00052585" w:rsidRDefault="007739AD" w:rsidP="00D53642">
            <w:pPr>
              <w:rPr>
                <w:szCs w:val="24"/>
              </w:rPr>
            </w:pPr>
            <w:r w:rsidRPr="00052585">
              <w:rPr>
                <w:rFonts w:ascii="Arial" w:eastAsia="Arial" w:hAnsi="Arial" w:cs="Arial"/>
                <w:b/>
                <w:bCs/>
                <w:color w:val="2C5F8A"/>
                <w:szCs w:val="24"/>
              </w:rPr>
              <w:t xml:space="preserve">[Knowledge] </w:t>
            </w:r>
            <w:r w:rsidRPr="00052585">
              <w:rPr>
                <w:rFonts w:ascii="Arial" w:eastAsia="Arial" w:hAnsi="Arial" w:cs="Arial"/>
                <w:szCs w:val="24"/>
              </w:rPr>
              <w:t>I have explained homeostasis and the dual hormone feedback loop (insulin &amp; glucagon)</w:t>
            </w:r>
          </w:p>
        </w:tc>
        <w:tc>
          <w:tcPr>
            <w:tcW w:w="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570F7D6" w14:textId="77777777" w:rsidR="007739AD" w:rsidRPr="00052585" w:rsidRDefault="007739AD" w:rsidP="00D53642">
            <w:pPr>
              <w:rPr>
                <w:szCs w:val="24"/>
              </w:rPr>
            </w:pPr>
          </w:p>
        </w:tc>
      </w:tr>
      <w:tr w:rsidR="007739AD" w:rsidRPr="00052585" w14:paraId="40A5D813" w14:textId="77777777" w:rsidTr="00D53642">
        <w:tc>
          <w:tcPr>
            <w:tcW w:w="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E8B0407" w14:textId="77777777" w:rsidR="007739AD" w:rsidRPr="00052585" w:rsidRDefault="007739AD" w:rsidP="00D53642">
            <w:pPr>
              <w:rPr>
                <w:szCs w:val="24"/>
              </w:rPr>
            </w:pPr>
            <w:r w:rsidRPr="00052585">
              <w:rPr>
                <w:rFonts w:ascii="Arial" w:eastAsia="Arial" w:hAnsi="Arial" w:cs="Arial"/>
                <w:szCs w:val="24"/>
              </w:rPr>
              <w:t>☑</w:t>
            </w:r>
          </w:p>
        </w:tc>
        <w:tc>
          <w:tcPr>
            <w:tcW w:w="76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6264448" w14:textId="77777777" w:rsidR="007739AD" w:rsidRPr="00052585" w:rsidRDefault="007739AD" w:rsidP="00D53642">
            <w:pPr>
              <w:rPr>
                <w:szCs w:val="24"/>
              </w:rPr>
            </w:pPr>
            <w:r w:rsidRPr="00052585">
              <w:rPr>
                <w:rFonts w:ascii="Arial" w:eastAsia="Arial" w:hAnsi="Arial" w:cs="Arial"/>
                <w:b/>
                <w:bCs/>
                <w:color w:val="2C5F8A"/>
                <w:szCs w:val="24"/>
              </w:rPr>
              <w:t xml:space="preserve">[Knowledge] </w:t>
            </w:r>
            <w:r w:rsidRPr="00052585">
              <w:rPr>
                <w:rFonts w:ascii="Arial" w:eastAsia="Arial" w:hAnsi="Arial" w:cs="Arial"/>
                <w:szCs w:val="24"/>
              </w:rPr>
              <w:t>I have used correct anatomical terms (e.g. islets of Langerhans, β-cells, α-cells, GLUT4, glycogenesis)</w:t>
            </w:r>
          </w:p>
        </w:tc>
        <w:tc>
          <w:tcPr>
            <w:tcW w:w="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516396E" w14:textId="77777777" w:rsidR="007739AD" w:rsidRPr="00052585" w:rsidRDefault="007739AD" w:rsidP="00D53642">
            <w:pPr>
              <w:rPr>
                <w:szCs w:val="24"/>
              </w:rPr>
            </w:pPr>
          </w:p>
        </w:tc>
      </w:tr>
      <w:tr w:rsidR="007739AD" w:rsidRPr="00052585" w14:paraId="27020E41" w14:textId="77777777" w:rsidTr="00D53642">
        <w:tc>
          <w:tcPr>
            <w:tcW w:w="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55F23B3" w14:textId="77777777" w:rsidR="007739AD" w:rsidRPr="00052585" w:rsidRDefault="007739AD" w:rsidP="00D53642">
            <w:pPr>
              <w:rPr>
                <w:szCs w:val="24"/>
              </w:rPr>
            </w:pPr>
            <w:r w:rsidRPr="00052585">
              <w:rPr>
                <w:rFonts w:ascii="Arial" w:eastAsia="Arial" w:hAnsi="Arial" w:cs="Arial"/>
                <w:szCs w:val="24"/>
              </w:rPr>
              <w:t>☑</w:t>
            </w:r>
          </w:p>
        </w:tc>
        <w:tc>
          <w:tcPr>
            <w:tcW w:w="76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DE958DB" w14:textId="77777777" w:rsidR="007739AD" w:rsidRPr="00052585" w:rsidRDefault="007739AD" w:rsidP="00D53642">
            <w:pPr>
              <w:rPr>
                <w:szCs w:val="24"/>
              </w:rPr>
            </w:pPr>
            <w:r w:rsidRPr="00052585">
              <w:rPr>
                <w:rFonts w:ascii="Arial" w:eastAsia="Arial" w:hAnsi="Arial" w:cs="Arial"/>
                <w:b/>
                <w:bCs/>
                <w:color w:val="2C5F8A"/>
                <w:szCs w:val="24"/>
              </w:rPr>
              <w:t xml:space="preserve">[Knowledge] </w:t>
            </w:r>
            <w:r w:rsidRPr="00052585">
              <w:rPr>
                <w:rFonts w:ascii="Arial" w:eastAsia="Arial" w:hAnsi="Arial" w:cs="Arial"/>
                <w:szCs w:val="24"/>
              </w:rPr>
              <w:t>I have explained aerobic cellular respiration including glycolysis, Krebs cycle, and ATP production</w:t>
            </w:r>
          </w:p>
        </w:tc>
        <w:tc>
          <w:tcPr>
            <w:tcW w:w="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C028055" w14:textId="77777777" w:rsidR="007739AD" w:rsidRPr="00052585" w:rsidRDefault="007739AD" w:rsidP="00D53642">
            <w:pPr>
              <w:rPr>
                <w:szCs w:val="24"/>
              </w:rPr>
            </w:pPr>
          </w:p>
        </w:tc>
      </w:tr>
      <w:tr w:rsidR="007739AD" w:rsidRPr="00052585" w14:paraId="562DD238" w14:textId="77777777" w:rsidTr="00D53642">
        <w:tc>
          <w:tcPr>
            <w:tcW w:w="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4E99122" w14:textId="77777777" w:rsidR="007739AD" w:rsidRPr="00052585" w:rsidRDefault="007739AD" w:rsidP="00D53642">
            <w:pPr>
              <w:rPr>
                <w:szCs w:val="24"/>
              </w:rPr>
            </w:pPr>
            <w:r w:rsidRPr="00052585">
              <w:rPr>
                <w:rFonts w:ascii="Arial" w:eastAsia="Arial" w:hAnsi="Arial" w:cs="Arial"/>
                <w:szCs w:val="24"/>
              </w:rPr>
              <w:t>☑</w:t>
            </w:r>
          </w:p>
        </w:tc>
        <w:tc>
          <w:tcPr>
            <w:tcW w:w="76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F717DB2" w14:textId="77777777" w:rsidR="007739AD" w:rsidRPr="00052585" w:rsidRDefault="007739AD" w:rsidP="00D53642">
            <w:pPr>
              <w:rPr>
                <w:szCs w:val="24"/>
              </w:rPr>
            </w:pPr>
            <w:r w:rsidRPr="00052585">
              <w:rPr>
                <w:rFonts w:ascii="Arial" w:eastAsia="Arial" w:hAnsi="Arial" w:cs="Arial"/>
                <w:b/>
                <w:bCs/>
                <w:color w:val="2C5F8A"/>
                <w:szCs w:val="24"/>
              </w:rPr>
              <w:t xml:space="preserve">[Cognitive] </w:t>
            </w:r>
            <w:r w:rsidRPr="00052585">
              <w:rPr>
                <w:rFonts w:ascii="Arial" w:eastAsia="Arial" w:hAnsi="Arial" w:cs="Arial"/>
                <w:szCs w:val="24"/>
              </w:rPr>
              <w:t>I have not just described facts — I have explained why and how things happen</w:t>
            </w:r>
          </w:p>
        </w:tc>
        <w:tc>
          <w:tcPr>
            <w:tcW w:w="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FF00649" w14:textId="77777777" w:rsidR="007739AD" w:rsidRPr="00052585" w:rsidRDefault="007739AD" w:rsidP="00D53642">
            <w:pPr>
              <w:rPr>
                <w:szCs w:val="24"/>
              </w:rPr>
            </w:pPr>
          </w:p>
        </w:tc>
      </w:tr>
      <w:tr w:rsidR="007739AD" w:rsidRPr="00052585" w14:paraId="267CDEFE" w14:textId="77777777" w:rsidTr="00D53642">
        <w:tc>
          <w:tcPr>
            <w:tcW w:w="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6E694EC" w14:textId="77777777" w:rsidR="007739AD" w:rsidRPr="00052585" w:rsidRDefault="007739AD" w:rsidP="00D53642">
            <w:pPr>
              <w:rPr>
                <w:szCs w:val="24"/>
              </w:rPr>
            </w:pPr>
            <w:r w:rsidRPr="00052585">
              <w:rPr>
                <w:rFonts w:ascii="Arial" w:eastAsia="Arial" w:hAnsi="Arial" w:cs="Arial"/>
                <w:szCs w:val="24"/>
              </w:rPr>
              <w:t>☑</w:t>
            </w:r>
          </w:p>
        </w:tc>
        <w:tc>
          <w:tcPr>
            <w:tcW w:w="76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6EBEEC3" w14:textId="77777777" w:rsidR="007739AD" w:rsidRPr="00052585" w:rsidRDefault="007739AD" w:rsidP="00D53642">
            <w:pPr>
              <w:rPr>
                <w:szCs w:val="24"/>
              </w:rPr>
            </w:pPr>
            <w:r w:rsidRPr="00052585">
              <w:rPr>
                <w:rFonts w:ascii="Arial" w:eastAsia="Arial" w:hAnsi="Arial" w:cs="Arial"/>
                <w:b/>
                <w:bCs/>
                <w:color w:val="2C5F8A"/>
                <w:szCs w:val="24"/>
              </w:rPr>
              <w:t xml:space="preserve">[Cognitive] </w:t>
            </w:r>
            <w:r w:rsidRPr="00052585">
              <w:rPr>
                <w:rFonts w:ascii="Arial" w:eastAsia="Arial" w:hAnsi="Arial" w:cs="Arial"/>
                <w:szCs w:val="24"/>
              </w:rPr>
              <w:t>I have linked anatomy and physiology throughout (structure → function)</w:t>
            </w:r>
          </w:p>
        </w:tc>
        <w:tc>
          <w:tcPr>
            <w:tcW w:w="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4337E30" w14:textId="77777777" w:rsidR="007739AD" w:rsidRPr="00052585" w:rsidRDefault="007739AD" w:rsidP="00D53642">
            <w:pPr>
              <w:rPr>
                <w:szCs w:val="24"/>
              </w:rPr>
            </w:pPr>
          </w:p>
        </w:tc>
      </w:tr>
      <w:tr w:rsidR="007739AD" w:rsidRPr="00052585" w14:paraId="75C8AF30" w14:textId="77777777" w:rsidTr="00D53642">
        <w:tc>
          <w:tcPr>
            <w:tcW w:w="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F836ACD" w14:textId="77777777" w:rsidR="007739AD" w:rsidRPr="00052585" w:rsidRDefault="007739AD" w:rsidP="00D53642">
            <w:pPr>
              <w:rPr>
                <w:szCs w:val="24"/>
              </w:rPr>
            </w:pPr>
            <w:r w:rsidRPr="00052585">
              <w:rPr>
                <w:rFonts w:ascii="Arial" w:eastAsia="Arial" w:hAnsi="Arial" w:cs="Arial"/>
                <w:szCs w:val="24"/>
              </w:rPr>
              <w:t>☑</w:t>
            </w:r>
          </w:p>
        </w:tc>
        <w:tc>
          <w:tcPr>
            <w:tcW w:w="76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FA4FA9D" w14:textId="77777777" w:rsidR="007739AD" w:rsidRPr="00052585" w:rsidRDefault="007739AD" w:rsidP="00D53642">
            <w:pPr>
              <w:rPr>
                <w:szCs w:val="24"/>
              </w:rPr>
            </w:pPr>
            <w:r w:rsidRPr="00052585">
              <w:rPr>
                <w:rFonts w:ascii="Arial" w:eastAsia="Arial" w:hAnsi="Arial" w:cs="Arial"/>
                <w:b/>
                <w:bCs/>
                <w:color w:val="2C5F8A"/>
                <w:szCs w:val="24"/>
              </w:rPr>
              <w:t xml:space="preserve">[Cognitive] </w:t>
            </w:r>
            <w:r w:rsidRPr="00052585">
              <w:rPr>
                <w:rFonts w:ascii="Arial" w:eastAsia="Arial" w:hAnsi="Arial" w:cs="Arial"/>
                <w:szCs w:val="24"/>
              </w:rPr>
              <w:t xml:space="preserve">Any diagrams/tables are </w:t>
            </w:r>
            <w:proofErr w:type="gramStart"/>
            <w:r w:rsidRPr="00052585">
              <w:rPr>
                <w:rFonts w:ascii="Arial" w:eastAsia="Arial" w:hAnsi="Arial" w:cs="Arial"/>
                <w:szCs w:val="24"/>
              </w:rPr>
              <w:t>labelled</w:t>
            </w:r>
            <w:proofErr w:type="gramEnd"/>
            <w:r w:rsidRPr="00052585">
              <w:rPr>
                <w:rFonts w:ascii="Arial" w:eastAsia="Arial" w:hAnsi="Arial" w:cs="Arial"/>
                <w:szCs w:val="24"/>
              </w:rPr>
              <w:t xml:space="preserve"> and their relevance is explained in the text</w:t>
            </w:r>
          </w:p>
        </w:tc>
        <w:tc>
          <w:tcPr>
            <w:tcW w:w="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72F1F18" w14:textId="77777777" w:rsidR="007739AD" w:rsidRPr="00052585" w:rsidRDefault="007739AD" w:rsidP="00D53642">
            <w:pPr>
              <w:rPr>
                <w:szCs w:val="24"/>
              </w:rPr>
            </w:pPr>
          </w:p>
        </w:tc>
      </w:tr>
      <w:tr w:rsidR="007739AD" w:rsidRPr="00052585" w14:paraId="267BF8F9" w14:textId="77777777" w:rsidTr="00D53642">
        <w:tc>
          <w:tcPr>
            <w:tcW w:w="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EF5AB9D" w14:textId="77777777" w:rsidR="007739AD" w:rsidRPr="00052585" w:rsidRDefault="007739AD" w:rsidP="00D53642">
            <w:pPr>
              <w:rPr>
                <w:szCs w:val="24"/>
              </w:rPr>
            </w:pPr>
            <w:r w:rsidRPr="00052585">
              <w:rPr>
                <w:rFonts w:ascii="Arial" w:eastAsia="Arial" w:hAnsi="Arial" w:cs="Arial"/>
                <w:szCs w:val="24"/>
              </w:rPr>
              <w:t>☑</w:t>
            </w:r>
          </w:p>
        </w:tc>
        <w:tc>
          <w:tcPr>
            <w:tcW w:w="76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1C58486" w14:textId="77777777" w:rsidR="007739AD" w:rsidRPr="00052585" w:rsidRDefault="007739AD" w:rsidP="00D53642">
            <w:pPr>
              <w:rPr>
                <w:szCs w:val="24"/>
              </w:rPr>
            </w:pPr>
            <w:r w:rsidRPr="00052585">
              <w:rPr>
                <w:rFonts w:ascii="Arial" w:eastAsia="Arial" w:hAnsi="Arial" w:cs="Arial"/>
                <w:b/>
                <w:bCs/>
                <w:color w:val="2C5F8A"/>
                <w:szCs w:val="24"/>
              </w:rPr>
              <w:t xml:space="preserve">[Practical] </w:t>
            </w:r>
            <w:r w:rsidRPr="00052585">
              <w:rPr>
                <w:rFonts w:ascii="Arial" w:eastAsia="Arial" w:hAnsi="Arial" w:cs="Arial"/>
                <w:szCs w:val="24"/>
              </w:rPr>
              <w:t>I have linked physiological content back to the case study scenario throughout</w:t>
            </w:r>
          </w:p>
        </w:tc>
        <w:tc>
          <w:tcPr>
            <w:tcW w:w="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179BE08" w14:textId="77777777" w:rsidR="007739AD" w:rsidRPr="00052585" w:rsidRDefault="007739AD" w:rsidP="00D53642">
            <w:pPr>
              <w:rPr>
                <w:szCs w:val="24"/>
              </w:rPr>
            </w:pPr>
          </w:p>
        </w:tc>
      </w:tr>
      <w:tr w:rsidR="007739AD" w:rsidRPr="00052585" w14:paraId="2E6BEE92" w14:textId="77777777" w:rsidTr="00D53642">
        <w:tc>
          <w:tcPr>
            <w:tcW w:w="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D0B278B" w14:textId="77777777" w:rsidR="007739AD" w:rsidRPr="00052585" w:rsidRDefault="007739AD" w:rsidP="00D53642">
            <w:pPr>
              <w:rPr>
                <w:szCs w:val="24"/>
              </w:rPr>
            </w:pPr>
            <w:r w:rsidRPr="00052585">
              <w:rPr>
                <w:rFonts w:ascii="Arial" w:eastAsia="Arial" w:hAnsi="Arial" w:cs="Arial"/>
                <w:szCs w:val="24"/>
              </w:rPr>
              <w:t>☑</w:t>
            </w:r>
          </w:p>
        </w:tc>
        <w:tc>
          <w:tcPr>
            <w:tcW w:w="76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FF8FD74" w14:textId="77777777" w:rsidR="007739AD" w:rsidRPr="00052585" w:rsidRDefault="007739AD" w:rsidP="00D53642">
            <w:pPr>
              <w:rPr>
                <w:szCs w:val="24"/>
              </w:rPr>
            </w:pPr>
            <w:r w:rsidRPr="00052585">
              <w:rPr>
                <w:rFonts w:ascii="Arial" w:eastAsia="Arial" w:hAnsi="Arial" w:cs="Arial"/>
                <w:b/>
                <w:bCs/>
                <w:color w:val="2C5F8A"/>
                <w:szCs w:val="24"/>
              </w:rPr>
              <w:t xml:space="preserve">[Practical] </w:t>
            </w:r>
            <w:r w:rsidRPr="00052585">
              <w:rPr>
                <w:rFonts w:ascii="Arial" w:eastAsia="Arial" w:hAnsi="Arial" w:cs="Arial"/>
                <w:szCs w:val="24"/>
              </w:rPr>
              <w:t>I have included monitoring methods and evidence-based lifestyle recommendations</w:t>
            </w:r>
          </w:p>
        </w:tc>
        <w:tc>
          <w:tcPr>
            <w:tcW w:w="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E200BA7" w14:textId="77777777" w:rsidR="007739AD" w:rsidRPr="00052585" w:rsidRDefault="007739AD" w:rsidP="00D53642">
            <w:pPr>
              <w:rPr>
                <w:szCs w:val="24"/>
              </w:rPr>
            </w:pPr>
          </w:p>
        </w:tc>
      </w:tr>
      <w:tr w:rsidR="007739AD" w:rsidRPr="00052585" w14:paraId="02E1EEBF" w14:textId="77777777" w:rsidTr="00D53642">
        <w:tc>
          <w:tcPr>
            <w:tcW w:w="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DAC15E7" w14:textId="77777777" w:rsidR="007739AD" w:rsidRPr="00052585" w:rsidRDefault="007739AD" w:rsidP="00D53642">
            <w:pPr>
              <w:rPr>
                <w:szCs w:val="24"/>
              </w:rPr>
            </w:pPr>
            <w:r w:rsidRPr="00052585">
              <w:rPr>
                <w:rFonts w:ascii="Arial" w:eastAsia="Arial" w:hAnsi="Arial" w:cs="Arial"/>
                <w:szCs w:val="24"/>
              </w:rPr>
              <w:t>☑</w:t>
            </w:r>
          </w:p>
        </w:tc>
        <w:tc>
          <w:tcPr>
            <w:tcW w:w="76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DD127F8" w14:textId="77777777" w:rsidR="007739AD" w:rsidRPr="00052585" w:rsidRDefault="007739AD" w:rsidP="00D53642">
            <w:pPr>
              <w:rPr>
                <w:szCs w:val="24"/>
              </w:rPr>
            </w:pPr>
            <w:r w:rsidRPr="00052585">
              <w:rPr>
                <w:rFonts w:ascii="Arial" w:eastAsia="Arial" w:hAnsi="Arial" w:cs="Arial"/>
                <w:b/>
                <w:bCs/>
                <w:color w:val="2C5F8A"/>
                <w:szCs w:val="24"/>
              </w:rPr>
              <w:t xml:space="preserve">[Transfer] </w:t>
            </w:r>
            <w:r w:rsidRPr="00052585">
              <w:rPr>
                <w:rFonts w:ascii="Arial" w:eastAsia="Arial" w:hAnsi="Arial" w:cs="Arial"/>
                <w:szCs w:val="24"/>
              </w:rPr>
              <w:t>My report follows the required structure (Introduction → ... → Conclusion → References)</w:t>
            </w:r>
          </w:p>
        </w:tc>
        <w:tc>
          <w:tcPr>
            <w:tcW w:w="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BF7220B" w14:textId="77777777" w:rsidR="007739AD" w:rsidRPr="00052585" w:rsidRDefault="007739AD" w:rsidP="00D53642">
            <w:pPr>
              <w:rPr>
                <w:szCs w:val="24"/>
              </w:rPr>
            </w:pPr>
          </w:p>
        </w:tc>
      </w:tr>
      <w:tr w:rsidR="007739AD" w:rsidRPr="00052585" w14:paraId="5272110F" w14:textId="77777777" w:rsidTr="00D53642">
        <w:tc>
          <w:tcPr>
            <w:tcW w:w="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090B47C" w14:textId="77777777" w:rsidR="007739AD" w:rsidRPr="00052585" w:rsidRDefault="007739AD" w:rsidP="00D53642">
            <w:pPr>
              <w:rPr>
                <w:szCs w:val="24"/>
              </w:rPr>
            </w:pPr>
            <w:r w:rsidRPr="00052585">
              <w:rPr>
                <w:rFonts w:ascii="Arial" w:eastAsia="Arial" w:hAnsi="Arial" w:cs="Arial"/>
                <w:szCs w:val="24"/>
              </w:rPr>
              <w:t>☑</w:t>
            </w:r>
          </w:p>
        </w:tc>
        <w:tc>
          <w:tcPr>
            <w:tcW w:w="76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A68BB23" w14:textId="77777777" w:rsidR="007739AD" w:rsidRPr="00052585" w:rsidRDefault="007739AD" w:rsidP="00D53642">
            <w:pPr>
              <w:rPr>
                <w:szCs w:val="24"/>
              </w:rPr>
            </w:pPr>
            <w:r w:rsidRPr="00052585">
              <w:rPr>
                <w:rFonts w:ascii="Arial" w:eastAsia="Arial" w:hAnsi="Arial" w:cs="Arial"/>
                <w:b/>
                <w:bCs/>
                <w:color w:val="2C5F8A"/>
                <w:szCs w:val="24"/>
              </w:rPr>
              <w:t xml:space="preserve">[Transfer] </w:t>
            </w:r>
            <w:r w:rsidRPr="00052585">
              <w:rPr>
                <w:rFonts w:ascii="Arial" w:eastAsia="Arial" w:hAnsi="Arial" w:cs="Arial"/>
                <w:szCs w:val="24"/>
              </w:rPr>
              <w:t xml:space="preserve">My report is within the </w:t>
            </w:r>
            <w:proofErr w:type="gramStart"/>
            <w:r w:rsidRPr="00052585">
              <w:rPr>
                <w:rFonts w:ascii="Arial" w:eastAsia="Arial" w:hAnsi="Arial" w:cs="Arial"/>
                <w:szCs w:val="24"/>
              </w:rPr>
              <w:t>2,000 word</w:t>
            </w:r>
            <w:proofErr w:type="gramEnd"/>
            <w:r w:rsidRPr="00052585">
              <w:rPr>
                <w:rFonts w:ascii="Arial" w:eastAsia="Arial" w:hAnsi="Arial" w:cs="Arial"/>
                <w:szCs w:val="24"/>
              </w:rPr>
              <w:t xml:space="preserve"> limit (+/- 10% = 1,800–2,200 words)</w:t>
            </w:r>
          </w:p>
        </w:tc>
        <w:tc>
          <w:tcPr>
            <w:tcW w:w="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EE00022" w14:textId="77777777" w:rsidR="007739AD" w:rsidRPr="00052585" w:rsidRDefault="007739AD" w:rsidP="00D53642">
            <w:pPr>
              <w:rPr>
                <w:szCs w:val="24"/>
              </w:rPr>
            </w:pPr>
          </w:p>
        </w:tc>
      </w:tr>
      <w:tr w:rsidR="007739AD" w:rsidRPr="00052585" w14:paraId="694A3B99" w14:textId="77777777" w:rsidTr="00D53642">
        <w:tc>
          <w:tcPr>
            <w:tcW w:w="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D055E30" w14:textId="77777777" w:rsidR="007739AD" w:rsidRPr="00052585" w:rsidRDefault="007739AD" w:rsidP="00D53642">
            <w:pPr>
              <w:rPr>
                <w:szCs w:val="24"/>
              </w:rPr>
            </w:pPr>
            <w:r w:rsidRPr="00052585">
              <w:rPr>
                <w:rFonts w:ascii="Arial" w:eastAsia="Arial" w:hAnsi="Arial" w:cs="Arial"/>
                <w:szCs w:val="24"/>
              </w:rPr>
              <w:t>☑</w:t>
            </w:r>
          </w:p>
        </w:tc>
        <w:tc>
          <w:tcPr>
            <w:tcW w:w="76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1FB4D4D" w14:textId="77777777" w:rsidR="007739AD" w:rsidRPr="00052585" w:rsidRDefault="007739AD" w:rsidP="00D53642">
            <w:pPr>
              <w:rPr>
                <w:szCs w:val="24"/>
              </w:rPr>
            </w:pPr>
            <w:r w:rsidRPr="00052585">
              <w:rPr>
                <w:rFonts w:ascii="Arial" w:eastAsia="Arial" w:hAnsi="Arial" w:cs="Arial"/>
                <w:b/>
                <w:bCs/>
                <w:color w:val="2C5F8A"/>
                <w:szCs w:val="24"/>
              </w:rPr>
              <w:t xml:space="preserve">[Transfer] </w:t>
            </w:r>
            <w:r w:rsidRPr="00052585">
              <w:rPr>
                <w:rFonts w:ascii="Arial" w:eastAsia="Arial" w:hAnsi="Arial" w:cs="Arial"/>
                <w:szCs w:val="24"/>
              </w:rPr>
              <w:t>I have deleted all guiding prompts from the template before submitting</w:t>
            </w:r>
          </w:p>
        </w:tc>
        <w:tc>
          <w:tcPr>
            <w:tcW w:w="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0D1522C" w14:textId="77777777" w:rsidR="007739AD" w:rsidRPr="00052585" w:rsidRDefault="007739AD" w:rsidP="00D53642">
            <w:pPr>
              <w:rPr>
                <w:szCs w:val="24"/>
              </w:rPr>
            </w:pPr>
          </w:p>
        </w:tc>
      </w:tr>
    </w:tbl>
    <w:p w14:paraId="048E109E" w14:textId="77777777" w:rsidR="00DE477A" w:rsidRPr="00052585" w:rsidRDefault="00DE477A" w:rsidP="00D55A7C">
      <w:pPr>
        <w:spacing w:before="60" w:after="60"/>
        <w:jc w:val="both"/>
        <w:rPr>
          <w:szCs w:val="24"/>
        </w:rPr>
      </w:pPr>
    </w:p>
    <w:p w14:paraId="260DA15B" w14:textId="77777777" w:rsidR="00012E0F" w:rsidRPr="00052585" w:rsidRDefault="00012E0F" w:rsidP="00D55A7C">
      <w:pPr>
        <w:spacing w:before="60" w:after="60"/>
        <w:jc w:val="both"/>
        <w:rPr>
          <w:szCs w:val="24"/>
        </w:rPr>
      </w:pPr>
    </w:p>
    <w:p w14:paraId="1C1B5B6E" w14:textId="54198E0F" w:rsidR="001B7A40" w:rsidRPr="00DE477A" w:rsidRDefault="001B7A40" w:rsidP="00D55A7C">
      <w:pPr>
        <w:spacing w:line="360" w:lineRule="auto"/>
        <w:jc w:val="both"/>
        <w:rPr>
          <w:rFonts w:ascii="Arial" w:hAnsi="Arial" w:cs="Arial"/>
          <w:b/>
          <w:bCs/>
        </w:rPr>
      </w:pPr>
    </w:p>
    <w:sectPr w:rsidR="001B7A40" w:rsidRPr="00DE477A" w:rsidSect="0037028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1A69DC" w14:textId="77777777" w:rsidR="003A0E93" w:rsidRDefault="003A0E93" w:rsidP="00C03A91">
      <w:pPr>
        <w:spacing w:after="0" w:line="240" w:lineRule="auto"/>
      </w:pPr>
      <w:r>
        <w:separator/>
      </w:r>
    </w:p>
  </w:endnote>
  <w:endnote w:type="continuationSeparator" w:id="0">
    <w:p w14:paraId="37C5C0A0" w14:textId="77777777" w:rsidR="003A0E93" w:rsidRDefault="003A0E93"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F7AA81" w14:textId="77777777" w:rsidR="003A0E93" w:rsidRDefault="003A0E93" w:rsidP="00C03A91">
      <w:pPr>
        <w:spacing w:after="0" w:line="240" w:lineRule="auto"/>
      </w:pPr>
      <w:r>
        <w:separator/>
      </w:r>
    </w:p>
  </w:footnote>
  <w:footnote w:type="continuationSeparator" w:id="0">
    <w:p w14:paraId="6D2B2DEF" w14:textId="77777777" w:rsidR="003A0E93" w:rsidRDefault="003A0E93"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9878581">
    <w:abstractNumId w:val="1"/>
  </w:num>
  <w:num w:numId="2" w16cid:durableId="174851341">
    <w:abstractNumId w:val="0"/>
  </w:num>
  <w:num w:numId="3" w16cid:durableId="214435986">
    <w:abstractNumId w:val="3"/>
  </w:num>
  <w:num w:numId="4" w16cid:durableId="18771103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0BCB"/>
    <w:rsid w:val="00002881"/>
    <w:rsid w:val="00012E0F"/>
    <w:rsid w:val="00024144"/>
    <w:rsid w:val="00052585"/>
    <w:rsid w:val="00076AC0"/>
    <w:rsid w:val="0008122C"/>
    <w:rsid w:val="000B17F2"/>
    <w:rsid w:val="000C4EDA"/>
    <w:rsid w:val="001A0EF3"/>
    <w:rsid w:val="001B7A40"/>
    <w:rsid w:val="001D245D"/>
    <w:rsid w:val="001F6DDB"/>
    <w:rsid w:val="00216C85"/>
    <w:rsid w:val="00245F56"/>
    <w:rsid w:val="00273EDD"/>
    <w:rsid w:val="002771A7"/>
    <w:rsid w:val="00287FD6"/>
    <w:rsid w:val="00293ADB"/>
    <w:rsid w:val="002C3965"/>
    <w:rsid w:val="002D5EDB"/>
    <w:rsid w:val="00321C4C"/>
    <w:rsid w:val="00340D37"/>
    <w:rsid w:val="00370282"/>
    <w:rsid w:val="00372EEB"/>
    <w:rsid w:val="00385DB3"/>
    <w:rsid w:val="003A0E93"/>
    <w:rsid w:val="003E601A"/>
    <w:rsid w:val="004566B9"/>
    <w:rsid w:val="004577F7"/>
    <w:rsid w:val="004C1BD1"/>
    <w:rsid w:val="005247B0"/>
    <w:rsid w:val="00563AF8"/>
    <w:rsid w:val="0057616D"/>
    <w:rsid w:val="005851AD"/>
    <w:rsid w:val="0063739B"/>
    <w:rsid w:val="00650D44"/>
    <w:rsid w:val="006E62AF"/>
    <w:rsid w:val="00746A78"/>
    <w:rsid w:val="00750C84"/>
    <w:rsid w:val="007739AD"/>
    <w:rsid w:val="0078782A"/>
    <w:rsid w:val="007A7297"/>
    <w:rsid w:val="007C1D65"/>
    <w:rsid w:val="007E7745"/>
    <w:rsid w:val="008277A0"/>
    <w:rsid w:val="008353D4"/>
    <w:rsid w:val="008942A0"/>
    <w:rsid w:val="008A309A"/>
    <w:rsid w:val="00940407"/>
    <w:rsid w:val="00946CE3"/>
    <w:rsid w:val="00986F78"/>
    <w:rsid w:val="00995C46"/>
    <w:rsid w:val="009A3C1C"/>
    <w:rsid w:val="009D1D1E"/>
    <w:rsid w:val="009D3FDC"/>
    <w:rsid w:val="00A035FD"/>
    <w:rsid w:val="00A44C33"/>
    <w:rsid w:val="00AA4DD8"/>
    <w:rsid w:val="00AB3427"/>
    <w:rsid w:val="00AC4241"/>
    <w:rsid w:val="00AC4A11"/>
    <w:rsid w:val="00BF7262"/>
    <w:rsid w:val="00C03A91"/>
    <w:rsid w:val="00CD099A"/>
    <w:rsid w:val="00CD2863"/>
    <w:rsid w:val="00CD73C3"/>
    <w:rsid w:val="00CE7A90"/>
    <w:rsid w:val="00D4287B"/>
    <w:rsid w:val="00D55A7C"/>
    <w:rsid w:val="00D73FB0"/>
    <w:rsid w:val="00D7516E"/>
    <w:rsid w:val="00D870AB"/>
    <w:rsid w:val="00DA2A1E"/>
    <w:rsid w:val="00DB6D4B"/>
    <w:rsid w:val="00DE477A"/>
    <w:rsid w:val="00E2038D"/>
    <w:rsid w:val="00E92200"/>
    <w:rsid w:val="00EB12BC"/>
    <w:rsid w:val="00F137E3"/>
    <w:rsid w:val="00F23281"/>
    <w:rsid w:val="00F44C8F"/>
    <w:rsid w:val="00F66CED"/>
    <w:rsid w:val="00F71532"/>
    <w:rsid w:val="00FD045D"/>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3744C47C-6306-4EC0-86BE-5BC17720B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7516E"/>
    <w:pPr>
      <w:keepNext/>
      <w:keepLines/>
      <w:spacing w:before="240" w:after="0" w:line="360" w:lineRule="auto"/>
      <w:jc w:val="both"/>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3E601A"/>
    <w:pPr>
      <w:spacing w:before="100" w:beforeAutospacing="1" w:after="100" w:afterAutospacing="1" w:line="240" w:lineRule="auto"/>
      <w:outlineLvl w:val="2"/>
    </w:pPr>
    <w:rPr>
      <w:rFonts w:ascii="Arial" w:eastAsia="Arial"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16E"/>
    <w:rPr>
      <w:rFonts w:ascii="Arial" w:eastAsiaTheme="majorEastAsia" w:hAnsi="Arial" w:cs="Arial"/>
      <w:b/>
      <w:sz w:val="28"/>
      <w:szCs w:val="28"/>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3E601A"/>
    <w:rPr>
      <w:rFonts w:ascii="Arial" w:eastAsia="Arial"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BalloonText">
    <w:name w:val="Balloon Text"/>
    <w:basedOn w:val="Normal"/>
    <w:link w:val="BalloonTextChar"/>
    <w:uiPriority w:val="99"/>
    <w:semiHidden/>
    <w:unhideWhenUsed/>
    <w:rsid w:val="00F715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1532"/>
    <w:rPr>
      <w:rFonts w:ascii="Segoe UI" w:hAnsi="Segoe UI" w:cs="Segoe UI"/>
      <w:sz w:val="18"/>
      <w:szCs w:val="1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ice.org.uk/guidance/qs20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iabetes.org.uk/about-diabetes/type-2-diabetes/caus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16</Pages>
  <Words>3701</Words>
  <Characters>21101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HAK</dc:creator>
  <cp:keywords/>
  <dc:description/>
  <cp:lastModifiedBy>elisha HAK</cp:lastModifiedBy>
  <cp:revision>2</cp:revision>
  <dcterms:created xsi:type="dcterms:W3CDTF">2026-07-28T21:47:00Z</dcterms:created>
  <dcterms:modified xsi:type="dcterms:W3CDTF">2026-07-28T21:47:00Z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28ca6013-00fb-4b12-ba4c-149e234d865c</vt:lpwstr>
  </property>
</Properties>
</file>