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customxml/itemprops1.xml" ContentType="application/vnd.openxmlformats-officedocument.customXmlProperties+xml"/>
  <Override PartName="/word/styles.xml" ContentType="application/vnd.openxmlformats-officedocument.wordprocessingml.styles+xml"/>
  <Override PartName="/word/footnotes.xml" ContentType="application/vnd.openxmlformats-officedocument.wordprocessingml.foot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pPr>
        <w:spacing w:after="0" w:line="360" w:lineRule="auto"/>
        <w:contextualSpacing w:val="on"/>
        <w:jc w:val="both"/>
        <w:rPr>
          <w:rFonts w:ascii="Arial" w:cs="Arial" w:hAnsi="Arial"/>
          <w:color w:val="000000" w:themeColor="text1"/>
          <w:sz w:val="24"/>
          <w:szCs w:val="24"/>
        </w:rPr>
      </w:pPr>
    </w:p>
    <w:p>
      <w:pPr>
        <w:spacing w:after="0" w:line="360" w:lineRule="auto"/>
        <w:contextualSpacing w:val="on"/>
        <w:jc w:val="both"/>
        <w:rPr>
          <w:rFonts w:ascii="Arial" w:cs="Arial" w:hAnsi="Arial"/>
          <w:color w:val="000000" w:themeColor="text1"/>
          <w:sz w:val="24"/>
          <w:szCs w:val="24"/>
        </w:rPr>
      </w:pPr>
    </w:p>
    <w:p>
      <w:pPr>
        <w:spacing w:after="0" w:line="360" w:lineRule="auto"/>
        <w:contextualSpacing w:val="on"/>
        <w:jc w:val="both"/>
        <w:rPr>
          <w:rFonts w:ascii="Arial" w:cs="Arial" w:hAnsi="Arial"/>
          <w:color w:val="000000" w:themeColor="text1"/>
          <w:sz w:val="24"/>
          <w:szCs w:val="24"/>
        </w:rPr>
      </w:pPr>
    </w:p>
    <w:p>
      <w:pPr>
        <w:spacing w:after="0" w:line="360" w:lineRule="auto"/>
        <w:contextualSpacing w:val="on"/>
        <w:jc w:val="center"/>
        <w:rPr>
          <w:rFonts w:ascii="Arial" w:cs="Arial" w:hAnsi="Arial"/>
          <w:color w:val="000000" w:themeColor="text1"/>
          <w:sz w:val="24"/>
          <w:szCs w:val="24"/>
        </w:rPr>
      </w:pPr>
    </w:p>
    <w:p>
      <w:pPr>
        <w:spacing w:after="0" w:line="360" w:lineRule="auto"/>
        <w:contextualSpacing w:val="on"/>
        <w:jc w:val="center"/>
        <w:rPr>
          <w:rFonts w:ascii="Arial" w:cs="Arial" w:hAnsi="Arial"/>
          <w:b/>
          <w:bCs/>
          <w:color w:val="000000" w:themeColor="text1"/>
          <w:sz w:val="24"/>
          <w:szCs w:val="24"/>
        </w:rPr>
      </w:pPr>
      <w:r>
        <w:rPr>
          <w:rFonts w:ascii="Arial" w:cs="Arial" w:hAnsi="Arial"/>
          <w:b/>
          <w:bCs/>
          <w:color w:val="000000" w:themeColor="text1"/>
          <w:sz w:val="24"/>
          <w:szCs w:val="24"/>
        </w:rPr>
        <w:t xml:space="preserve"> Hotel Handbook</w:t>
      </w:r>
    </w:p>
    <w:p>
      <w:pPr>
        <w:spacing w:after="0" w:line="360" w:lineRule="auto"/>
        <w:contextualSpacing w:val="on"/>
        <w:jc w:val="center"/>
        <w:rPr>
          <w:rFonts w:ascii="Arial" w:cs="Arial" w:hAnsi="Arial"/>
          <w:b/>
          <w:bCs/>
          <w:color w:val="000000" w:themeColor="text1"/>
          <w:sz w:val="24"/>
          <w:szCs w:val="24"/>
        </w:rPr>
      </w:pPr>
      <w:r>
        <w:rPr>
          <w:rFonts w:ascii="Arial" w:cs="Arial" w:hAnsi="Arial"/>
          <w:b/>
          <w:bCs/>
          <w:color w:val="000000" w:themeColor="text1"/>
          <w:sz w:val="24"/>
          <w:szCs w:val="24"/>
        </w:rPr>
        <w:t>BMIH5003</w:t>
      </w:r>
    </w:p>
    <w:p>
      <w:pPr>
        <w:spacing w:after="0" w:line="360" w:lineRule="auto"/>
        <w:contextualSpacing w:val="on"/>
        <w:jc w:val="center"/>
        <w:rPr>
          <w:rFonts w:ascii="Arial" w:cs="Arial" w:hAnsi="Arial"/>
          <w:b/>
          <w:bCs/>
          <w:color w:val="000000" w:themeColor="text1"/>
          <w:sz w:val="24"/>
          <w:szCs w:val="24"/>
        </w:rPr>
      </w:pPr>
      <w:r>
        <w:rPr>
          <w:rFonts w:ascii="Arial" w:cs="Arial" w:hAnsi="Arial"/>
          <w:b/>
          <w:bCs/>
          <w:color w:val="000000" w:themeColor="text1"/>
          <w:sz w:val="24"/>
          <w:szCs w:val="24"/>
        </w:rPr>
        <w:t>Foreign Languages and Cultural Awareness</w:t>
      </w:r>
    </w:p>
    <w:p>
      <w:pPr>
        <w:spacing w:after="0" w:line="360" w:lineRule="auto"/>
        <w:contextualSpacing w:val="on"/>
        <w:jc w:val="center"/>
        <w:rPr>
          <w:rFonts w:ascii="Arial" w:cs="Arial" w:hAnsi="Arial"/>
          <w:b/>
          <w:bCs/>
          <w:color w:val="000000" w:themeColor="text1"/>
          <w:sz w:val="24"/>
          <w:szCs w:val="24"/>
        </w:rPr>
      </w:pPr>
      <w:r>
        <w:rPr>
          <w:rFonts w:ascii="Arial" w:cs="Arial" w:hAnsi="Arial"/>
          <w:b/>
          <w:bCs/>
          <w:color w:val="000000" w:themeColor="text1"/>
          <w:sz w:val="24"/>
          <w:szCs w:val="24"/>
        </w:rPr>
        <w:t>Cultural Awareness</w:t>
      </w:r>
    </w:p>
    <w:p>
      <w:pPr>
        <w:spacing w:after="0" w:line="360" w:lineRule="auto"/>
        <w:contextualSpacing w:val="on"/>
        <w:jc w:val="center"/>
        <w:rPr>
          <w:rFonts w:ascii="Arial" w:cs="Arial" w:hAnsi="Arial"/>
          <w:color w:val="000000" w:themeColor="text1"/>
          <w:sz w:val="24"/>
          <w:szCs w:val="24"/>
        </w:rPr>
      </w:pPr>
      <w:r>
        <w:rPr>
          <w:rFonts w:ascii="Arial" w:cs="Arial" w:hAnsi="Arial"/>
          <w:color w:val="000000" w:themeColor="text1"/>
          <w:sz w:val="24"/>
          <w:szCs w:val="24"/>
        </w:rPr>
        <w:t>Name of Student : Marius Stroe (2117199)</w:t>
      </w:r>
      <w:r>
        <w:rPr>
          <w:rFonts w:ascii="Arial" w:cs="Arial" w:hAnsi="Arial"/>
          <w:color w:val="000000" w:themeColor="text1"/>
          <w:sz w:val="24"/>
          <w:szCs w:val="24"/>
        </w:rPr>
        <w:t xml:space="preserve"> </w:t>
      </w:r>
    </w:p>
    <w:p>
      <w:pPr>
        <w:spacing w:after="0" w:line="360" w:lineRule="auto"/>
        <w:contextualSpacing w:val="on"/>
        <w:jc w:val="center"/>
        <w:rPr>
          <w:rFonts w:ascii="Arial" w:cs="Arial" w:hAnsi="Arial"/>
          <w:color w:val="000000" w:themeColor="text1"/>
          <w:sz w:val="24"/>
          <w:szCs w:val="24"/>
        </w:rPr>
      </w:pPr>
      <w:r>
        <w:rPr>
          <w:rFonts w:ascii="Arial" w:cs="Arial" w:hAnsi="Arial"/>
          <w:color w:val="000000" w:themeColor="text1"/>
          <w:sz w:val="24"/>
          <w:szCs w:val="24"/>
        </w:rPr>
        <w:t>Module tutor : Rodrigo Aquilera</w:t>
      </w:r>
    </w:p>
    <w:p>
      <w:pPr>
        <w:spacing w:after="0"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br w:type="page"/>
      </w:r>
    </w:p>
    <w:p>
      <w:pPr>
        <w:pStyle w:val="TOCHeading"/>
        <w:jc w:val="center"/>
        <w:rPr>
          <w:rFonts w:ascii="Arial" w:hAnsi="Arial"/>
          <w:b/>
          <w:bCs/>
          <w:i w:val="off"/>
          <w:iCs w:val="off"/>
          <w:color w:val="000000" w:themeColor="text1"/>
          <w:sz w:val="24"/>
        </w:rPr>
      </w:pPr>
      <w:r>
        <w:rPr>
          <w:rFonts w:ascii="Arial" w:eastAsiaTheme="minorHAnsi" w:hAnsi="Arial"/>
          <w:b/>
          <w:bCs/>
          <w:i w:val="off"/>
          <w:iCs w:val="off"/>
          <w:color w:val="000000" w:themeColor="text1"/>
          <w:sz w:val="24"/>
        </w:rPr>
        <w:t xml:space="preserve">Table of </w:t>
      </w:r>
      <w:r>
        <w:rPr>
          <w:rFonts w:ascii="Arial" w:hAnsi="Arial"/>
          <w:b/>
          <w:bCs/>
          <w:i w:val="off"/>
          <w:iCs w:val="off"/>
          <w:color w:val="000000" w:themeColor="text1"/>
          <w:sz w:val="24"/>
        </w:rPr>
        <w:t>Contents</w:t>
      </w:r>
    </w:p>
    <w:p>
      <w:pPr>
        <w:pStyle w:val="Toc1"/>
        <w:tabs>
          <w:tab w:val="right" w:leader="dot" w:pos="9350"/>
        </w:tabs>
        <w:rPr>
          <w:rFonts w:ascii="Arial" w:cs="Arial" w:eastAsiaTheme="minorEastAsia" w:hAnsi="Arial"/>
          <w:color w:val="000000" w:themeColor="text1"/>
          <w:sz w:val="24"/>
          <w:szCs w:val="24"/>
          <w:lang w:val="en-GB" w:eastAsia="en-GB"/>
        </w:rPr>
      </w:pPr>
      <w:r>
        <w:fldChar w:fldCharType="begin"/>
      </w:r>
      <w:r>
        <w:instrText xml:space="preserve"> TOC \o "1-3" \h \z \u </w:instrText>
      </w:r>
      <w:r>
        <w:fldChar w:fldCharType="separate"/>
      </w:r>
      <w:r>
        <w:fldChar w:fldCharType="begin"/>
      </w:r>
      <w:r>
        <w:instrText xml:space="preserve">HYPERLINK \l "_Toc127805971" </w:instrText>
      </w:r>
      <w:r>
        <w:fldChar w:fldCharType="separate"/>
      </w:r>
      <w:r>
        <w:rPr>
          <w:rStyle w:val="Hyperlink"/>
          <w:rFonts w:ascii="Arial" w:cs="Arial" w:hAnsi="Arial"/>
          <w:color w:val="000000" w:themeColor="text1"/>
          <w:sz w:val="24"/>
          <w:szCs w:val="24"/>
        </w:rPr>
        <w:t>Executive Summary</w:t>
      </w:r>
      <w:r>
        <w:rPr>
          <w:rFonts w:ascii="Arial" w:cs="Arial" w:hAnsi="Arial"/>
          <w:color w:val="000000" w:themeColor="text1"/>
          <w:sz w:val="24"/>
          <w:szCs w:val="24"/>
        </w:rPr>
        <w:tab/>
      </w:r>
      <w:r>
        <w:fldChar w:fldCharType="begin"/>
      </w:r>
      <w:r>
        <w:instrText xml:space="preserve"> PAGEREF _Toc127805971 \h </w:instrText>
      </w:r>
      <w:r>
        <w:fldChar w:fldCharType="separate"/>
      </w:r>
      <w:r>
        <w:rPr>
          <w:rFonts w:ascii="Arial" w:cs="Arial" w:hAnsi="Arial"/>
          <w:color w:val="000000" w:themeColor="text1"/>
          <w:sz w:val="24"/>
          <w:szCs w:val="24"/>
        </w:rPr>
        <w:t>3</w:t>
      </w:r>
      <w:r>
        <w:fldChar w:fldCharType="end"/>
      </w:r>
      <w:r>
        <w:fldChar w:fldCharType="end"/>
      </w:r>
    </w:p>
    <w:p>
      <w:pPr>
        <w:pStyle w:val="Toc1"/>
        <w:tabs>
          <w:tab w:val="left" w:pos="440"/>
          <w:tab w:val="right" w:leader="dot" w:pos="9350"/>
        </w:tabs>
        <w:rPr>
          <w:rFonts w:ascii="Arial" w:cs="Arial" w:eastAsiaTheme="minorEastAsia" w:hAnsi="Arial"/>
          <w:color w:val="000000" w:themeColor="text1"/>
          <w:sz w:val="24"/>
          <w:szCs w:val="24"/>
          <w:lang w:val="en-GB" w:eastAsia="en-GB"/>
        </w:rPr>
      </w:pPr>
      <w:r>
        <w:fldChar w:fldCharType="begin"/>
      </w:r>
      <w:r>
        <w:instrText xml:space="preserve">HYPERLINK \l "_Toc127805972" </w:instrText>
      </w:r>
      <w:r>
        <w:fldChar w:fldCharType="separate"/>
      </w:r>
      <w:r>
        <w:rPr>
          <w:rStyle w:val="Hyperlink"/>
          <w:rFonts w:ascii="Arial" w:cs="Arial" w:hAnsi="Arial"/>
          <w:color w:val="000000" w:themeColor="text1"/>
          <w:sz w:val="24"/>
          <w:szCs w:val="24"/>
        </w:rPr>
        <w:t>1.</w:t>
      </w:r>
      <w:r>
        <w:rPr>
          <w:rFonts w:ascii="Arial" w:cs="Arial" w:eastAsiaTheme="minorEastAsia" w:hAnsi="Arial"/>
          <w:color w:val="000000" w:themeColor="text1"/>
          <w:sz w:val="24"/>
          <w:szCs w:val="24"/>
          <w:lang w:val="en-GB" w:eastAsia="en-GB"/>
        </w:rPr>
        <w:tab/>
      </w:r>
      <w:r>
        <w:rPr>
          <w:rStyle w:val="Hyperlink"/>
          <w:rFonts w:ascii="Arial" w:cs="Arial" w:hAnsi="Arial"/>
          <w:color w:val="000000" w:themeColor="text1"/>
          <w:sz w:val="24"/>
          <w:szCs w:val="24"/>
        </w:rPr>
        <w:t>Introduction</w:t>
      </w:r>
      <w:r>
        <w:rPr>
          <w:rFonts w:ascii="Arial" w:cs="Arial" w:hAnsi="Arial"/>
          <w:color w:val="000000" w:themeColor="text1"/>
          <w:sz w:val="24"/>
          <w:szCs w:val="24"/>
        </w:rPr>
        <w:tab/>
      </w:r>
      <w:r>
        <w:fldChar w:fldCharType="begin"/>
      </w:r>
      <w:r>
        <w:instrText xml:space="preserve"> PAGEREF _Toc127805972 \h </w:instrText>
      </w:r>
      <w:r>
        <w:fldChar w:fldCharType="separate"/>
      </w:r>
      <w:r>
        <w:rPr>
          <w:rFonts w:ascii="Arial" w:cs="Arial" w:hAnsi="Arial"/>
          <w:color w:val="000000" w:themeColor="text1"/>
          <w:sz w:val="24"/>
          <w:szCs w:val="24"/>
        </w:rPr>
        <w:t>4</w:t>
      </w:r>
      <w:r>
        <w:fldChar w:fldCharType="end"/>
      </w:r>
      <w:r>
        <w:fldChar w:fldCharType="end"/>
      </w:r>
    </w:p>
    <w:p>
      <w:pPr>
        <w:pStyle w:val="Toc2"/>
        <w:tabs>
          <w:tab w:val="right" w:leader="dot" w:pos="9350"/>
        </w:tabs>
        <w:rPr>
          <w:rFonts w:ascii="Arial" w:cs="Arial" w:eastAsiaTheme="minorEastAsia" w:hAnsi="Arial"/>
          <w:color w:val="000000" w:themeColor="text1"/>
          <w:sz w:val="24"/>
          <w:szCs w:val="24"/>
          <w:lang w:val="en-GB" w:eastAsia="en-GB"/>
        </w:rPr>
      </w:pPr>
      <w:r>
        <w:fldChar w:fldCharType="begin"/>
      </w:r>
      <w:r>
        <w:instrText xml:space="preserve">HYPERLINK \l "_Toc127805973" </w:instrText>
      </w:r>
      <w:r>
        <w:fldChar w:fldCharType="separate"/>
      </w:r>
      <w:r>
        <w:rPr>
          <w:rStyle w:val="Hyperlink"/>
          <w:rFonts w:ascii="Arial" w:cs="Arial" w:hAnsi="Arial"/>
          <w:color w:val="000000" w:themeColor="text1"/>
          <w:sz w:val="24"/>
          <w:szCs w:val="24"/>
        </w:rPr>
        <w:t>1.1 United Kingdom</w:t>
      </w:r>
      <w:r>
        <w:rPr>
          <w:rFonts w:ascii="Arial" w:cs="Arial" w:hAnsi="Arial"/>
          <w:color w:val="000000" w:themeColor="text1"/>
          <w:sz w:val="24"/>
          <w:szCs w:val="24"/>
        </w:rPr>
        <w:tab/>
      </w:r>
      <w:r>
        <w:fldChar w:fldCharType="begin"/>
      </w:r>
      <w:r>
        <w:instrText xml:space="preserve"> PAGEREF _Toc127805973 \h </w:instrText>
      </w:r>
      <w:r>
        <w:fldChar w:fldCharType="separate"/>
      </w:r>
      <w:r>
        <w:rPr>
          <w:rFonts w:ascii="Arial" w:cs="Arial" w:hAnsi="Arial"/>
          <w:color w:val="000000" w:themeColor="text1"/>
          <w:sz w:val="24"/>
          <w:szCs w:val="24"/>
        </w:rPr>
        <w:t>4</w:t>
      </w:r>
      <w:r>
        <w:fldChar w:fldCharType="end"/>
      </w:r>
      <w:r>
        <w:fldChar w:fldCharType="end"/>
      </w:r>
    </w:p>
    <w:p>
      <w:pPr>
        <w:pStyle w:val="Toc2"/>
        <w:tabs>
          <w:tab w:val="right" w:leader="dot" w:pos="9350"/>
        </w:tabs>
        <w:rPr>
          <w:rFonts w:ascii="Arial" w:cs="Arial" w:eastAsiaTheme="minorEastAsia" w:hAnsi="Arial"/>
          <w:color w:val="000000" w:themeColor="text1"/>
          <w:sz w:val="24"/>
          <w:szCs w:val="24"/>
          <w:lang w:val="en-GB" w:eastAsia="en-GB"/>
        </w:rPr>
      </w:pPr>
      <w:r>
        <w:fldChar w:fldCharType="begin"/>
      </w:r>
      <w:r>
        <w:instrText xml:space="preserve">HYPERLINK \l "_Toc127805974" </w:instrText>
      </w:r>
      <w:r>
        <w:fldChar w:fldCharType="separate"/>
      </w:r>
      <w:r>
        <w:rPr>
          <w:rStyle w:val="Hyperlink"/>
          <w:rFonts w:ascii="Arial" w:cs="Arial" w:hAnsi="Arial"/>
          <w:color w:val="000000" w:themeColor="text1"/>
          <w:sz w:val="24"/>
          <w:szCs w:val="24"/>
        </w:rPr>
        <w:t>1.2 Turkey</w:t>
      </w:r>
      <w:r>
        <w:rPr>
          <w:rFonts w:ascii="Arial" w:cs="Arial" w:hAnsi="Arial"/>
          <w:color w:val="000000" w:themeColor="text1"/>
          <w:sz w:val="24"/>
          <w:szCs w:val="24"/>
        </w:rPr>
        <w:tab/>
      </w:r>
      <w:r>
        <w:fldChar w:fldCharType="begin"/>
      </w:r>
      <w:r>
        <w:instrText xml:space="preserve"> PAGEREF _Toc127805974 \h </w:instrText>
      </w:r>
      <w:r>
        <w:fldChar w:fldCharType="separate"/>
      </w:r>
      <w:r>
        <w:rPr>
          <w:rFonts w:ascii="Arial" w:cs="Arial" w:hAnsi="Arial"/>
          <w:color w:val="000000" w:themeColor="text1"/>
          <w:sz w:val="24"/>
          <w:szCs w:val="24"/>
        </w:rPr>
        <w:t>5</w:t>
      </w:r>
      <w:r>
        <w:fldChar w:fldCharType="end"/>
      </w:r>
      <w:r>
        <w:fldChar w:fldCharType="end"/>
      </w:r>
    </w:p>
    <w:p>
      <w:pPr>
        <w:pStyle w:val="Toc1"/>
        <w:tabs>
          <w:tab w:val="left" w:pos="440"/>
          <w:tab w:val="right" w:leader="dot" w:pos="9350"/>
        </w:tabs>
        <w:rPr>
          <w:rFonts w:ascii="Arial" w:cs="Arial" w:eastAsiaTheme="minorEastAsia" w:hAnsi="Arial"/>
          <w:color w:val="000000" w:themeColor="text1"/>
          <w:sz w:val="24"/>
          <w:szCs w:val="24"/>
          <w:lang w:val="en-GB" w:eastAsia="en-GB"/>
        </w:rPr>
      </w:pPr>
      <w:r>
        <w:fldChar w:fldCharType="begin"/>
      </w:r>
      <w:r>
        <w:instrText xml:space="preserve">HYPERLINK \l "_Toc127805975" </w:instrText>
      </w:r>
      <w:r>
        <w:fldChar w:fldCharType="separate"/>
      </w:r>
      <w:r>
        <w:rPr>
          <w:rStyle w:val="Hyperlink"/>
          <w:rFonts w:ascii="Arial" w:cs="Arial" w:hAnsi="Arial"/>
          <w:color w:val="000000" w:themeColor="text1"/>
          <w:sz w:val="24"/>
          <w:szCs w:val="24"/>
        </w:rPr>
        <w:t>2.</w:t>
      </w:r>
      <w:r>
        <w:rPr>
          <w:rFonts w:ascii="Arial" w:cs="Arial" w:eastAsiaTheme="minorEastAsia" w:hAnsi="Arial"/>
          <w:color w:val="000000" w:themeColor="text1"/>
          <w:sz w:val="24"/>
          <w:szCs w:val="24"/>
          <w:lang w:val="en-GB" w:eastAsia="en-GB"/>
        </w:rPr>
        <w:tab/>
      </w:r>
      <w:r>
        <w:rPr>
          <w:rStyle w:val="Hyperlink"/>
          <w:rFonts w:ascii="Arial" w:cs="Arial" w:hAnsi="Arial"/>
          <w:color w:val="000000" w:themeColor="text1"/>
          <w:sz w:val="24"/>
          <w:szCs w:val="24"/>
        </w:rPr>
        <w:t>Critical Theoretical Base for Country Analysis</w:t>
      </w:r>
      <w:r>
        <w:rPr>
          <w:rFonts w:ascii="Arial" w:cs="Arial" w:hAnsi="Arial"/>
          <w:color w:val="000000" w:themeColor="text1"/>
          <w:sz w:val="24"/>
          <w:szCs w:val="24"/>
        </w:rPr>
        <w:tab/>
      </w:r>
      <w:r>
        <w:fldChar w:fldCharType="begin"/>
      </w:r>
      <w:r>
        <w:instrText xml:space="preserve"> PAGEREF _Toc127805975 \h </w:instrText>
      </w:r>
      <w:r>
        <w:fldChar w:fldCharType="separate"/>
      </w:r>
      <w:r>
        <w:rPr>
          <w:rFonts w:ascii="Arial" w:cs="Arial" w:hAnsi="Arial"/>
          <w:color w:val="000000" w:themeColor="text1"/>
          <w:sz w:val="24"/>
          <w:szCs w:val="24"/>
        </w:rPr>
        <w:t>6</w:t>
      </w:r>
      <w:r>
        <w:fldChar w:fldCharType="end"/>
      </w:r>
      <w:r>
        <w:fldChar w:fldCharType="end"/>
      </w:r>
    </w:p>
    <w:p>
      <w:pPr>
        <w:pStyle w:val="Toc1"/>
        <w:tabs>
          <w:tab w:val="left" w:pos="440"/>
          <w:tab w:val="right" w:leader="dot" w:pos="9350"/>
        </w:tabs>
        <w:rPr>
          <w:rFonts w:ascii="Arial" w:cs="Arial" w:eastAsiaTheme="minorEastAsia" w:hAnsi="Arial"/>
          <w:color w:val="000000" w:themeColor="text1"/>
          <w:sz w:val="24"/>
          <w:szCs w:val="24"/>
          <w:lang w:val="en-GB" w:eastAsia="en-GB"/>
        </w:rPr>
      </w:pPr>
      <w:r>
        <w:fldChar w:fldCharType="begin"/>
      </w:r>
      <w:r>
        <w:instrText xml:space="preserve">HYPERLINK \l "_Toc127805976" </w:instrText>
      </w:r>
      <w:r>
        <w:fldChar w:fldCharType="separate"/>
      </w:r>
      <w:r>
        <w:rPr>
          <w:rStyle w:val="Hyperlink"/>
          <w:rFonts w:ascii="Arial" w:cs="Arial" w:hAnsi="Arial"/>
          <w:color w:val="000000" w:themeColor="text1"/>
          <w:sz w:val="24"/>
          <w:szCs w:val="24"/>
        </w:rPr>
        <w:t>3.</w:t>
      </w:r>
      <w:r>
        <w:rPr>
          <w:rFonts w:ascii="Arial" w:cs="Arial" w:eastAsiaTheme="minorEastAsia" w:hAnsi="Arial"/>
          <w:color w:val="000000" w:themeColor="text1"/>
          <w:sz w:val="24"/>
          <w:szCs w:val="24"/>
          <w:lang w:val="en-GB" w:eastAsia="en-GB"/>
        </w:rPr>
        <w:tab/>
      </w:r>
      <w:r>
        <w:rPr>
          <w:rStyle w:val="Hyperlink"/>
          <w:rFonts w:ascii="Arial" w:cs="Arial" w:hAnsi="Arial"/>
          <w:color w:val="000000" w:themeColor="text1"/>
          <w:sz w:val="24"/>
          <w:szCs w:val="24"/>
        </w:rPr>
        <w:t>Hotel Handbook</w:t>
      </w:r>
      <w:r>
        <w:rPr>
          <w:rFonts w:ascii="Arial" w:cs="Arial" w:hAnsi="Arial"/>
          <w:color w:val="000000" w:themeColor="text1"/>
          <w:sz w:val="24"/>
          <w:szCs w:val="24"/>
        </w:rPr>
        <w:tab/>
      </w:r>
      <w:r>
        <w:fldChar w:fldCharType="begin"/>
      </w:r>
      <w:r>
        <w:instrText xml:space="preserve"> PAGEREF _Toc127805976 \h </w:instrText>
      </w:r>
      <w:r>
        <w:fldChar w:fldCharType="separate"/>
      </w:r>
      <w:r>
        <w:rPr>
          <w:rFonts w:ascii="Arial" w:cs="Arial" w:hAnsi="Arial"/>
          <w:color w:val="000000" w:themeColor="text1"/>
          <w:sz w:val="24"/>
          <w:szCs w:val="24"/>
        </w:rPr>
        <w:t>7</w:t>
      </w:r>
      <w:r>
        <w:fldChar w:fldCharType="end"/>
      </w:r>
      <w:r>
        <w:fldChar w:fldCharType="end"/>
      </w:r>
    </w:p>
    <w:p>
      <w:pPr>
        <w:pStyle w:val="Toc1"/>
        <w:tabs>
          <w:tab w:val="left" w:pos="440"/>
          <w:tab w:val="right" w:leader="dot" w:pos="9350"/>
        </w:tabs>
        <w:rPr>
          <w:rFonts w:ascii="Arial" w:cs="Arial" w:eastAsiaTheme="minorEastAsia" w:hAnsi="Arial"/>
          <w:color w:val="000000" w:themeColor="text1"/>
          <w:sz w:val="24"/>
          <w:szCs w:val="24"/>
          <w:lang w:val="en-GB" w:eastAsia="en-GB"/>
        </w:rPr>
      </w:pPr>
      <w:r>
        <w:fldChar w:fldCharType="begin"/>
      </w:r>
      <w:r>
        <w:instrText xml:space="preserve">HYPERLINK \l "_Toc127805977" </w:instrText>
      </w:r>
      <w:r>
        <w:fldChar w:fldCharType="separate"/>
      </w:r>
      <w:r>
        <w:rPr>
          <w:rStyle w:val="Hyperlink"/>
          <w:rFonts w:ascii="Arial" w:cs="Arial" w:hAnsi="Arial"/>
          <w:color w:val="000000" w:themeColor="text1"/>
          <w:sz w:val="24"/>
          <w:szCs w:val="24"/>
        </w:rPr>
        <w:t>4.</w:t>
      </w:r>
      <w:r>
        <w:rPr>
          <w:rFonts w:ascii="Arial" w:cs="Arial" w:eastAsiaTheme="minorEastAsia" w:hAnsi="Arial"/>
          <w:color w:val="000000" w:themeColor="text1"/>
          <w:sz w:val="24"/>
          <w:szCs w:val="24"/>
          <w:lang w:val="en-GB" w:eastAsia="en-GB"/>
        </w:rPr>
        <w:tab/>
      </w:r>
      <w:r>
        <w:rPr>
          <w:rStyle w:val="Hyperlink"/>
          <w:rFonts w:ascii="Arial" w:cs="Arial" w:hAnsi="Arial"/>
          <w:color w:val="000000" w:themeColor="text1"/>
          <w:sz w:val="24"/>
          <w:szCs w:val="24"/>
        </w:rPr>
        <w:t>Summary</w:t>
      </w:r>
      <w:r>
        <w:rPr>
          <w:rFonts w:ascii="Arial" w:cs="Arial" w:hAnsi="Arial"/>
          <w:color w:val="000000" w:themeColor="text1"/>
          <w:sz w:val="24"/>
          <w:szCs w:val="24"/>
        </w:rPr>
        <w:tab/>
      </w:r>
      <w:r>
        <w:fldChar w:fldCharType="begin"/>
      </w:r>
      <w:r>
        <w:instrText xml:space="preserve"> PAGEREF _Toc127805977 \h </w:instrText>
      </w:r>
      <w:r>
        <w:fldChar w:fldCharType="separate"/>
      </w:r>
      <w:r>
        <w:rPr>
          <w:rFonts w:ascii="Arial" w:cs="Arial" w:hAnsi="Arial"/>
          <w:color w:val="000000" w:themeColor="text1"/>
          <w:sz w:val="24"/>
          <w:szCs w:val="24"/>
        </w:rPr>
        <w:t>8</w:t>
      </w:r>
      <w:r>
        <w:fldChar w:fldCharType="end"/>
      </w:r>
      <w:r>
        <w:fldChar w:fldCharType="end"/>
      </w:r>
    </w:p>
    <w:p>
      <w:pPr>
        <w:pStyle w:val="Toc1"/>
        <w:tabs>
          <w:tab w:val="left" w:pos="440"/>
          <w:tab w:val="right" w:leader="dot" w:pos="9350"/>
        </w:tabs>
        <w:rPr>
          <w:rFonts w:ascii="Arial" w:cs="Arial" w:eastAsiaTheme="minorEastAsia" w:hAnsi="Arial"/>
          <w:color w:val="000000" w:themeColor="text1"/>
          <w:sz w:val="24"/>
          <w:szCs w:val="24"/>
          <w:lang w:val="en-GB" w:eastAsia="en-GB"/>
        </w:rPr>
      </w:pPr>
      <w:r>
        <w:fldChar w:fldCharType="begin"/>
      </w:r>
      <w:r>
        <w:instrText xml:space="preserve">HYPERLINK \l "_Toc127805978" </w:instrText>
      </w:r>
      <w:r>
        <w:fldChar w:fldCharType="separate"/>
      </w:r>
      <w:r>
        <w:rPr>
          <w:rStyle w:val="Hyperlink"/>
          <w:rFonts w:ascii="Arial" w:cs="Arial" w:hAnsi="Arial"/>
          <w:color w:val="000000" w:themeColor="text1"/>
          <w:sz w:val="24"/>
          <w:szCs w:val="24"/>
        </w:rPr>
        <w:t>5.</w:t>
      </w:r>
      <w:r>
        <w:rPr>
          <w:rFonts w:ascii="Arial" w:cs="Arial" w:eastAsiaTheme="minorEastAsia" w:hAnsi="Arial"/>
          <w:color w:val="000000" w:themeColor="text1"/>
          <w:sz w:val="24"/>
          <w:szCs w:val="24"/>
          <w:lang w:val="en-GB" w:eastAsia="en-GB"/>
        </w:rPr>
        <w:tab/>
      </w:r>
      <w:r>
        <w:rPr>
          <w:rStyle w:val="Hyperlink"/>
          <w:rFonts w:ascii="Arial" w:cs="Arial" w:hAnsi="Arial"/>
          <w:color w:val="000000" w:themeColor="text1"/>
          <w:sz w:val="24"/>
          <w:szCs w:val="24"/>
        </w:rPr>
        <w:t>Recommendations</w:t>
      </w:r>
      <w:r>
        <w:rPr>
          <w:rFonts w:ascii="Arial" w:cs="Arial" w:hAnsi="Arial"/>
          <w:color w:val="000000" w:themeColor="text1"/>
          <w:sz w:val="24"/>
          <w:szCs w:val="24"/>
        </w:rPr>
        <w:tab/>
      </w:r>
      <w:r>
        <w:fldChar w:fldCharType="begin"/>
      </w:r>
      <w:r>
        <w:instrText xml:space="preserve"> PAGEREF _Toc127805978 \h </w:instrText>
      </w:r>
      <w:r>
        <w:fldChar w:fldCharType="separate"/>
      </w:r>
      <w:r>
        <w:rPr>
          <w:rFonts w:ascii="Arial" w:cs="Arial" w:hAnsi="Arial"/>
          <w:color w:val="000000" w:themeColor="text1"/>
          <w:sz w:val="24"/>
          <w:szCs w:val="24"/>
        </w:rPr>
        <w:t>8</w:t>
      </w:r>
      <w:r>
        <w:fldChar w:fldCharType="end"/>
      </w:r>
      <w:r>
        <w:fldChar w:fldCharType="end"/>
      </w:r>
    </w:p>
    <w:p>
      <w:pPr>
        <w:pStyle w:val="Toc1"/>
        <w:tabs>
          <w:tab w:val="right" w:leader="dot" w:pos="9350"/>
        </w:tabs>
        <w:rPr>
          <w:rFonts w:ascii="Arial" w:cs="Arial" w:eastAsiaTheme="minorEastAsia" w:hAnsi="Arial"/>
          <w:color w:val="000000" w:themeColor="text1"/>
          <w:sz w:val="24"/>
          <w:szCs w:val="24"/>
          <w:lang w:val="en-GB" w:eastAsia="en-GB"/>
        </w:rPr>
      </w:pPr>
      <w:r>
        <w:fldChar w:fldCharType="begin"/>
      </w:r>
      <w:r>
        <w:instrText xml:space="preserve">HYPERLINK \l "_Toc127805979" </w:instrText>
      </w:r>
      <w:r>
        <w:fldChar w:fldCharType="separate"/>
      </w:r>
      <w:r>
        <w:rPr>
          <w:rStyle w:val="Hyperlink"/>
          <w:rFonts w:ascii="Arial" w:cs="Arial" w:hAnsi="Arial"/>
          <w:color w:val="000000" w:themeColor="text1"/>
          <w:sz w:val="24"/>
          <w:szCs w:val="24"/>
        </w:rPr>
        <w:t>References</w:t>
      </w:r>
      <w:r>
        <w:rPr>
          <w:rFonts w:ascii="Arial" w:cs="Arial" w:hAnsi="Arial"/>
          <w:color w:val="000000" w:themeColor="text1"/>
          <w:sz w:val="24"/>
          <w:szCs w:val="24"/>
        </w:rPr>
        <w:tab/>
      </w:r>
      <w:r>
        <w:fldChar w:fldCharType="begin"/>
      </w:r>
      <w:r>
        <w:instrText xml:space="preserve"> PAGEREF _Toc127805979 \h </w:instrText>
      </w:r>
      <w:r>
        <w:fldChar w:fldCharType="separate"/>
      </w:r>
      <w:r>
        <w:rPr>
          <w:rFonts w:ascii="Arial" w:cs="Arial" w:hAnsi="Arial"/>
          <w:color w:val="000000" w:themeColor="text1"/>
          <w:sz w:val="24"/>
          <w:szCs w:val="24"/>
        </w:rPr>
        <w:t>9</w:t>
      </w:r>
      <w:r>
        <w:fldChar w:fldCharType="end"/>
      </w:r>
      <w:r>
        <w:fldChar w:fldCharType="end"/>
      </w:r>
    </w:p>
    <w:p>
      <w:pPr>
        <w:spacing w:after="0" w:line="360" w:lineRule="auto"/>
        <w:contextualSpacing w:val="on"/>
        <w:jc w:val="both"/>
        <w:rPr>
          <w:rFonts w:ascii="Arial" w:cs="Arial" w:hAnsi="Arial"/>
          <w:color w:val="000000" w:themeColor="text1"/>
          <w:sz w:val="24"/>
          <w:szCs w:val="24"/>
        </w:rPr>
      </w:pPr>
      <w:r>
        <w:fldChar w:fldCharType="end"/>
      </w:r>
    </w:p>
    <w:p>
      <w:pPr>
        <w:spacing w:after="0" w:line="360" w:lineRule="auto"/>
        <w:contextualSpacing w:val="on"/>
        <w:jc w:val="both"/>
        <w:rPr>
          <w:rFonts w:ascii="Arial" w:cs="Arial" w:hAnsi="Arial"/>
          <w:color w:val="000000" w:themeColor="text1"/>
          <w:sz w:val="24"/>
          <w:szCs w:val="24"/>
        </w:rPr>
      </w:pPr>
    </w:p>
    <w:p>
      <w:pPr>
        <w:spacing w:after="0"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br w:type="page"/>
      </w:r>
    </w:p>
    <w:p>
      <w:pPr>
        <w:pStyle w:val="Heading1"/>
        <w:rPr/>
      </w:pPr>
      <w:bookmarkStart w:id="0" w:name="_Toc127805971"/>
      <w:r>
        <w:t>Executive Summary</w:t>
      </w:r>
      <w:bookmarkEnd w:id="0"/>
    </w:p>
    <w:p>
      <w:pPr>
        <w:spacing w:after="0"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 xml:space="preserve">This report is presented for the staff members of the Hotel. This report is aimed to build the in-depth understanding of the importance of cultures and their differences. The report is reflecting the cross country analysis between the home country, i.e. United Kingdom and the </w:t>
      </w:r>
      <w:r>
        <w:rPr>
          <w:rFonts w:ascii="Arial" w:cs="Arial" w:hAnsi="Arial"/>
          <w:color w:val="000000" w:themeColor="text1"/>
          <w:sz w:val="24"/>
          <w:szCs w:val="24"/>
        </w:rPr>
        <w:t>guest’s</w:t>
      </w:r>
      <w:r>
        <w:rPr>
          <w:rFonts w:ascii="Arial" w:cs="Arial" w:hAnsi="Arial"/>
          <w:color w:val="000000" w:themeColor="text1"/>
          <w:sz w:val="24"/>
          <w:szCs w:val="24"/>
        </w:rPr>
        <w:t xml:space="preserve"> country, i.e. Turkey. </w:t>
      </w:r>
      <w:r>
        <w:rPr>
          <w:rFonts w:ascii="Arial" w:cs="Arial" w:hAnsi="Arial"/>
          <w:color w:val="000000" w:themeColor="text1"/>
          <w:sz w:val="24"/>
          <w:szCs w:val="24"/>
        </w:rPr>
        <w:t>The biases and myths must be removed therefore, a brief but conclusive information about both of the countries has been reported. Also the information is disseminated by implication of the theoretical models; such as Homestead. Also an alert list of dos and don’ts has also been issued for the respective department to give them a quick overview of what is expected by the guests. Lastly two recommendations are enlisted for the staff members so that they can have better future.</w:t>
      </w:r>
    </w:p>
    <w:p>
      <w:pPr>
        <w:spacing w:after="0"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br w:type="page"/>
      </w:r>
    </w:p>
    <w:p>
      <w:pPr>
        <w:pStyle w:val="Heading1"/>
        <w:numPr>
          <w:ilvl w:val="0"/>
          <w:numId w:val="2"/>
        </w:numPr>
        <w:ind w:left="0" w:firstLine="0"/>
        <w:rPr/>
      </w:pPr>
      <w:bookmarkStart w:id="1" w:name="_Toc127805972"/>
      <w:r>
        <w:t>Introduction</w:t>
      </w:r>
      <w:bookmarkEnd w:id="1"/>
    </w:p>
    <w:p>
      <w:pPr>
        <w:spacing w:after="0"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This handbook is meant to guide the hotel staff on cross cultural grounds. It is expected that the hotel staff will follow the instructions. Hospitality business is not just a business but it is a prolong relationship without any limitation of borders and differences. The proficient hotel staff members ensure that the guest service experience must be dynamic, prolific</w:t>
      </w:r>
      <w:r>
        <w:rPr>
          <w:rFonts w:ascii="Arial" w:cs="Arial" w:hAnsi="Arial"/>
          <w:color w:val="000000" w:themeColor="text1"/>
          <w:sz w:val="24"/>
          <w:szCs w:val="24"/>
        </w:rPr>
        <w:t>, inimitable and incomparable during their stay at the hotel</w:t>
      </w:r>
      <w:r>
        <w:rPr>
          <w:rFonts w:ascii="Arial" w:cs="Arial" w:hAnsi="Arial"/>
          <w:color w:val="000000" w:themeColor="text1"/>
          <w:sz w:val="24"/>
          <w:szCs w:val="24"/>
        </w:rPr>
        <w:t xml:space="preserve"> (</w:t>
      </w:r>
      <w:r>
        <w:rPr>
          <w:rFonts w:ascii="Arial" w:cs="Arial" w:hAnsi="Arial"/>
          <w:color w:val="000000" w:themeColor="text1"/>
          <w:sz w:val="24"/>
          <w:szCs w:val="24"/>
        </w:rPr>
        <w:t>Jandt, 2016)</w:t>
      </w:r>
      <w:r>
        <w:rPr>
          <w:rFonts w:ascii="Arial" w:cs="Arial" w:hAnsi="Arial"/>
          <w:color w:val="000000" w:themeColor="text1"/>
          <w:sz w:val="24"/>
          <w:szCs w:val="24"/>
        </w:rPr>
        <w:t xml:space="preserve">. </w:t>
      </w:r>
      <w:r>
        <w:rPr>
          <w:rFonts w:ascii="Arial" w:cs="Arial" w:hAnsi="Arial"/>
          <w:color w:val="000000" w:themeColor="text1"/>
          <w:sz w:val="24"/>
          <w:szCs w:val="24"/>
        </w:rPr>
        <w:t>Before concentrating on the consequences of providing hotel guest service, it is necessary for hotel workers to possess cultural intelligence and sensitivity</w:t>
      </w:r>
      <w:r>
        <w:rPr>
          <w:rFonts w:ascii="Arial" w:cs="Arial" w:hAnsi="Arial"/>
          <w:color w:val="000000" w:themeColor="text1"/>
          <w:sz w:val="24"/>
          <w:szCs w:val="24"/>
        </w:rPr>
        <w:t xml:space="preserve"> (</w:t>
      </w:r>
      <w:r>
        <w:rPr>
          <w:rFonts w:ascii="Arial" w:cs="Arial" w:hAnsi="Arial"/>
          <w:color w:val="000000" w:themeColor="text1"/>
          <w:sz w:val="24"/>
          <w:szCs w:val="24"/>
        </w:rPr>
        <w:t>Samovar, 2009)</w:t>
      </w:r>
      <w:r>
        <w:rPr>
          <w:rFonts w:ascii="Arial" w:cs="Arial" w:hAnsi="Arial"/>
          <w:color w:val="000000" w:themeColor="text1"/>
          <w:sz w:val="24"/>
          <w:szCs w:val="24"/>
        </w:rPr>
        <w:t>.</w:t>
      </w:r>
      <w:r>
        <w:rPr>
          <w:rFonts w:ascii="Arial" w:cs="Arial" w:hAnsi="Arial"/>
          <w:color w:val="000000" w:themeColor="text1"/>
          <w:sz w:val="24"/>
          <w:szCs w:val="24"/>
        </w:rPr>
        <w:t xml:space="preserve"> </w:t>
      </w:r>
      <w:r>
        <w:rPr>
          <w:rFonts w:ascii="Arial" w:cs="Arial" w:hAnsi="Arial"/>
          <w:color w:val="000000" w:themeColor="text1"/>
          <w:sz w:val="24"/>
          <w:szCs w:val="24"/>
        </w:rPr>
        <w:t>Therefore,</w:t>
      </w:r>
      <w:r>
        <w:rPr>
          <w:rFonts w:ascii="Arial" w:cs="Arial" w:hAnsi="Arial"/>
          <w:color w:val="000000" w:themeColor="text1"/>
          <w:sz w:val="24"/>
          <w:szCs w:val="24"/>
        </w:rPr>
        <w:t xml:space="preserve"> it is essential for the hotel staff to be educated about the cultural differences and similarities.</w:t>
      </w:r>
      <w:r>
        <w:rPr>
          <w:rFonts w:ascii="Arial" w:cs="Arial" w:hAnsi="Arial"/>
          <w:color w:val="000000" w:themeColor="text1"/>
          <w:sz w:val="24"/>
          <w:szCs w:val="24"/>
        </w:rPr>
        <w:t xml:space="preserve"> This handbook is focused on explaining the differences in cultures of United Kingdom and Turkey</w:t>
      </w:r>
      <w:r>
        <w:rPr>
          <w:rFonts w:ascii="Arial" w:cs="Arial" w:hAnsi="Arial"/>
          <w:color w:val="000000" w:themeColor="text1"/>
          <w:sz w:val="24"/>
          <w:szCs w:val="24"/>
        </w:rPr>
        <w:t xml:space="preserve"> to offer </w:t>
      </w:r>
      <w:r>
        <w:rPr>
          <w:rFonts w:ascii="Arial" w:cs="Arial" w:hAnsi="Arial"/>
          <w:color w:val="000000" w:themeColor="text1"/>
          <w:sz w:val="24"/>
          <w:szCs w:val="24"/>
        </w:rPr>
        <w:t xml:space="preserve">the hotel staff greater </w:t>
      </w:r>
      <w:r>
        <w:rPr>
          <w:rFonts w:ascii="Arial" w:cs="Arial" w:hAnsi="Arial"/>
          <w:color w:val="000000" w:themeColor="text1"/>
          <w:sz w:val="24"/>
          <w:szCs w:val="24"/>
        </w:rPr>
        <w:t>grasp over the subject</w:t>
      </w:r>
      <w:r>
        <w:rPr>
          <w:rFonts w:ascii="Arial" w:cs="Arial" w:hAnsi="Arial"/>
          <w:color w:val="000000" w:themeColor="text1"/>
          <w:sz w:val="24"/>
          <w:szCs w:val="24"/>
        </w:rPr>
        <w:t xml:space="preserve"> by use of theoretical analysis</w:t>
      </w:r>
      <w:r>
        <w:rPr>
          <w:rFonts w:ascii="Arial" w:cs="Arial" w:hAnsi="Arial"/>
          <w:color w:val="000000" w:themeColor="text1"/>
          <w:sz w:val="24"/>
          <w:szCs w:val="24"/>
        </w:rPr>
        <w:t>.</w:t>
      </w:r>
    </w:p>
    <w:p>
      <w:pPr>
        <w:spacing w:after="0" w:line="360" w:lineRule="auto"/>
        <w:contextualSpacing w:val="on"/>
        <w:jc w:val="center"/>
        <w:rPr>
          <w:rFonts w:ascii="Arial" w:cs="Arial" w:hAnsi="Arial"/>
          <w:color w:val="000000" w:themeColor="text1"/>
          <w:sz w:val="24"/>
          <w:szCs w:val="24"/>
        </w:rPr>
      </w:pPr>
      <w:r>
        <w:rPr>
          <w:rFonts w:ascii="Arial" w:cs="Arial" w:hAnsi="Arial"/>
          <w:color w:val="000000" w:themeColor="text1"/>
          <w:sz w:val="24"/>
          <w:szCs w:val="24"/>
        </w:rPr>
        <w:drawing xmlns:mc="http://schemas.openxmlformats.org/markup-compatibility/2006">
          <wp:inline distT="0" distB="0" distL="0" distR="0">
            <wp:extent cx="5943600" cy="334518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a:srcRect/>
                    <a:stretch>
                      <a:fillRect/>
                    </a:stretch>
                  </pic:blipFill>
                  <pic:spPr>
                    <a:xfrm>
                      <a:off x="0" y="0"/>
                      <a:ext cx="5943600" cy="3345180"/>
                    </a:xfrm>
                    <a:prstGeom prst="rect">
                      <a:avLst/>
                    </a:prstGeom>
                  </pic:spPr>
                </pic:pic>
              </a:graphicData>
            </a:graphic>
          </wp:inline>
        </w:drawing>
      </w:r>
    </w:p>
    <w:p>
      <w:pPr>
        <w:spacing w:after="0" w:line="360" w:lineRule="auto"/>
        <w:contextualSpacing w:val="on"/>
        <w:jc w:val="center"/>
        <w:rPr>
          <w:rFonts w:ascii="Arial" w:cs="Arial" w:hAnsi="Arial"/>
          <w:color w:val="000000" w:themeColor="text1"/>
          <w:sz w:val="24"/>
          <w:szCs w:val="24"/>
        </w:rPr>
      </w:pPr>
      <w:r>
        <w:rPr>
          <w:rFonts w:ascii="Arial" w:cs="Arial" w:hAnsi="Arial"/>
          <w:color w:val="000000" w:themeColor="text1"/>
          <w:sz w:val="24"/>
          <w:szCs w:val="24"/>
        </w:rPr>
        <w:t>(Hofstede Insights (2022)</w:t>
      </w:r>
    </w:p>
    <w:p>
      <w:pPr>
        <w:spacing w:after="0" w:line="360" w:lineRule="auto"/>
        <w:contextualSpacing w:val="on"/>
        <w:jc w:val="both"/>
        <w:rPr>
          <w:rFonts w:ascii="Arial" w:cs="Arial" w:hAnsi="Arial"/>
          <w:color w:val="000000" w:themeColor="text1"/>
          <w:sz w:val="24"/>
          <w:szCs w:val="24"/>
        </w:rPr>
      </w:pPr>
    </w:p>
    <w:p>
      <w:pPr>
        <w:pStyle w:val="Heading2"/>
        <w:rPr/>
      </w:pPr>
      <w:bookmarkStart w:id="2" w:name="_Toc127805973"/>
      <w:r>
        <w:t xml:space="preserve">1.1 </w:t>
      </w:r>
      <w:r>
        <w:t>United Kingdom</w:t>
      </w:r>
      <w:bookmarkEnd w:id="2"/>
    </w:p>
    <w:p>
      <w:pPr>
        <w:spacing w:after="0"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The deep drivers of the British culture, such as, power distance, individualism, masculinity, uncertainty avoidance, long-term orientations and indulgence must be scrutinized to understand the cultural model of the UK</w:t>
      </w:r>
      <w:r>
        <w:rPr>
          <w:rFonts w:ascii="Arial" w:cs="Arial" w:hAnsi="Arial"/>
          <w:color w:val="000000" w:themeColor="text1"/>
          <w:sz w:val="24"/>
          <w:szCs w:val="24"/>
        </w:rPr>
        <w:t xml:space="preserve"> (</w:t>
      </w:r>
      <w:r>
        <w:rPr>
          <w:rFonts w:ascii="Arial" w:cs="Arial" w:hAnsi="Arial"/>
          <w:color w:val="000000" w:themeColor="text1"/>
          <w:sz w:val="24"/>
          <w:szCs w:val="24"/>
        </w:rPr>
        <w:t>Smith</w:t>
      </w:r>
      <w:r>
        <w:rPr>
          <w:rFonts w:ascii="Arial" w:cs="Arial" w:hAnsi="Arial"/>
          <w:color w:val="000000" w:themeColor="text1"/>
          <w:sz w:val="24"/>
          <w:szCs w:val="24"/>
        </w:rPr>
        <w:t xml:space="preserve"> et al., </w:t>
      </w:r>
      <w:r>
        <w:rPr>
          <w:rFonts w:ascii="Arial" w:cs="Arial" w:hAnsi="Arial"/>
          <w:color w:val="000000" w:themeColor="text1"/>
          <w:sz w:val="24"/>
          <w:szCs w:val="24"/>
        </w:rPr>
        <w:t>2019)</w:t>
      </w:r>
      <w:r>
        <w:rPr>
          <w:rFonts w:ascii="Arial" w:cs="Arial" w:hAnsi="Arial"/>
          <w:color w:val="000000" w:themeColor="text1"/>
          <w:sz w:val="24"/>
          <w:szCs w:val="24"/>
        </w:rPr>
        <w:t xml:space="preserve">. </w:t>
      </w:r>
      <w:r>
        <w:rPr>
          <w:rFonts w:ascii="Arial" w:cs="Arial" w:hAnsi="Arial"/>
          <w:color w:val="000000" w:themeColor="text1"/>
          <w:sz w:val="24"/>
          <w:szCs w:val="24"/>
        </w:rPr>
        <w:t xml:space="preserve">Power display </w:t>
      </w:r>
      <w:r>
        <w:rPr>
          <w:rFonts w:ascii="Arial" w:cs="Arial" w:hAnsi="Arial"/>
          <w:color w:val="000000" w:themeColor="text1"/>
          <w:sz w:val="24"/>
          <w:szCs w:val="24"/>
        </w:rPr>
        <w:t xml:space="preserve">index for Britain shows the ranking of 35 that determines that Britain people have lower tendencies towards inequalities. They prefer to treat people on equal grounds. UK nation is deemed as one of the highest in rank who believes in individualism. This shows a major difference with the Turkish people. British people enjoy their solace and privacy. </w:t>
      </w:r>
      <w:r>
        <w:rPr>
          <w:rFonts w:ascii="Arial" w:cs="Arial" w:hAnsi="Arial"/>
          <w:color w:val="000000" w:themeColor="text1"/>
          <w:sz w:val="24"/>
          <w:szCs w:val="24"/>
        </w:rPr>
        <w:t xml:space="preserve">We have in Britain the fecund consumerism along with the ‘ME’ culture. </w:t>
      </w:r>
      <w:r>
        <w:rPr>
          <w:rFonts w:ascii="Arial" w:cs="Arial" w:hAnsi="Arial"/>
          <w:color w:val="000000" w:themeColor="text1"/>
          <w:sz w:val="24"/>
          <w:szCs w:val="24"/>
        </w:rPr>
        <w:t xml:space="preserve">For the fight between feminine and masculine, masculinity ball is in the court of the UK. We are deemed as driven and highly success oriented. Turkish may get confused by the contradiction of culture between understated values and modesty. </w:t>
      </w:r>
      <w:r>
        <w:rPr>
          <w:rFonts w:ascii="Arial" w:cs="Arial" w:hAnsi="Arial"/>
          <w:color w:val="000000" w:themeColor="text1"/>
          <w:sz w:val="24"/>
          <w:szCs w:val="24"/>
        </w:rPr>
        <w:t xml:space="preserve">We are capable of understanding critical communication as compared to feminine who are only focused to work. We enjoy working and having clear ambition. This tool can be used by the staff members to persuade the Turkish guests. </w:t>
      </w:r>
      <w:r>
        <w:rPr>
          <w:rFonts w:ascii="Arial" w:cs="Arial" w:hAnsi="Arial"/>
          <w:color w:val="000000" w:themeColor="text1"/>
          <w:sz w:val="24"/>
          <w:szCs w:val="24"/>
        </w:rPr>
        <w:t>We do not have law and order problems as much so we are low in uncertainty avoidance. For long-term orientation, Britain does not show any preferences. Though, British people are highly indulgent and like to control</w:t>
      </w:r>
      <w:r>
        <w:rPr>
          <w:rFonts w:ascii="Arial" w:cs="Arial" w:hAnsi="Arial"/>
          <w:color w:val="000000" w:themeColor="text1"/>
          <w:sz w:val="24"/>
          <w:szCs w:val="24"/>
        </w:rPr>
        <w:t xml:space="preserve"> (Salali, and Uysal, 2022). </w:t>
      </w:r>
      <w:r>
        <w:rPr>
          <w:rFonts w:ascii="Arial" w:cs="Arial" w:hAnsi="Arial"/>
          <w:color w:val="000000" w:themeColor="text1"/>
          <w:sz w:val="24"/>
          <w:szCs w:val="24"/>
        </w:rPr>
        <w:t xml:space="preserve"> </w:t>
      </w:r>
    </w:p>
    <w:p>
      <w:pPr>
        <w:spacing w:after="0" w:line="360" w:lineRule="auto"/>
        <w:contextualSpacing w:val="on"/>
        <w:jc w:val="both"/>
        <w:rPr>
          <w:rFonts w:ascii="Arial" w:cs="Arial" w:hAnsi="Arial"/>
          <w:color w:val="000000" w:themeColor="text1"/>
          <w:sz w:val="24"/>
          <w:szCs w:val="24"/>
        </w:rPr>
      </w:pPr>
    </w:p>
    <w:p>
      <w:pPr>
        <w:pStyle w:val="Heading2"/>
        <w:rPr/>
      </w:pPr>
      <w:bookmarkStart w:id="3" w:name="_Toc127805974"/>
      <w:r>
        <w:t xml:space="preserve">1.2 </w:t>
      </w:r>
      <w:r>
        <w:t>Turkey</w:t>
      </w:r>
      <w:bookmarkEnd w:id="3"/>
      <w:r>
        <w:t xml:space="preserve"> </w:t>
      </w:r>
    </w:p>
    <w:p>
      <w:pPr>
        <w:spacing w:after="0"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 xml:space="preserve">As we believe every person is different from other. So it is true for the societies and cultures. The inequalities among cultures shape our lifestyles and future dimensions. </w:t>
      </w:r>
      <w:r>
        <w:rPr>
          <w:rFonts w:ascii="Arial" w:cs="Arial" w:hAnsi="Arial"/>
          <w:color w:val="000000" w:themeColor="text1"/>
          <w:sz w:val="24"/>
          <w:szCs w:val="24"/>
        </w:rPr>
        <w:t>If the hotel staff would like to explore the culture of Turks, they can actually get the cultural deep drivers; such as, power distance, individualism, masculinity, uncertainty avoidance, long-term orientation, and indulgence</w:t>
      </w:r>
      <w:r>
        <w:rPr>
          <w:rFonts w:ascii="Arial" w:cs="Arial" w:hAnsi="Arial"/>
          <w:color w:val="000000" w:themeColor="text1"/>
          <w:sz w:val="24"/>
          <w:szCs w:val="24"/>
        </w:rPr>
        <w:t xml:space="preserve"> (Salali, and Uysal, 2022)</w:t>
      </w:r>
      <w:r>
        <w:rPr>
          <w:rFonts w:ascii="Arial" w:cs="Arial" w:hAnsi="Arial"/>
          <w:color w:val="000000" w:themeColor="text1"/>
          <w:sz w:val="24"/>
          <w:szCs w:val="24"/>
        </w:rPr>
        <w:t xml:space="preserve">. </w:t>
      </w:r>
      <w:r>
        <w:rPr>
          <w:rFonts w:ascii="Arial" w:cs="Arial" w:hAnsi="Arial"/>
          <w:color w:val="000000" w:themeColor="text1"/>
          <w:sz w:val="24"/>
          <w:szCs w:val="24"/>
        </w:rPr>
        <w:t>By power distance, we mean that each unit in the system, either powerful or the least powerful, must acclaim that there is no power theft or unequal distribution. Power distancing is apparent in Turkish culture where they like to maintain high distances with the least powerful. There is a centralized system and a great reliance on fathers, supervisors and managers. Therefore, you might not find the them quite open but this does not mean th</w:t>
      </w:r>
      <w:r>
        <w:rPr>
          <w:rFonts w:ascii="Arial" w:cs="Arial" w:hAnsi="Arial"/>
          <w:color w:val="000000" w:themeColor="text1"/>
          <w:sz w:val="24"/>
          <w:szCs w:val="24"/>
        </w:rPr>
        <w:t>at they are not cordial</w:t>
      </w:r>
      <w:r>
        <w:rPr>
          <w:rFonts w:ascii="Arial" w:cs="Arial" w:hAnsi="Arial"/>
          <w:color w:val="000000" w:themeColor="text1"/>
          <w:sz w:val="24"/>
          <w:szCs w:val="24"/>
        </w:rPr>
        <w:t xml:space="preserve"> </w:t>
      </w:r>
      <w:r>
        <w:rPr>
          <w:rFonts w:ascii="Arial" w:cs="Arial" w:hAnsi="Arial"/>
          <w:color w:val="000000" w:themeColor="text1"/>
          <w:sz w:val="24"/>
          <w:szCs w:val="24"/>
        </w:rPr>
        <w:t>(Evason, 2019).</w:t>
      </w:r>
    </w:p>
    <w:p>
      <w:pPr>
        <w:spacing w:after="0"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Through individualism, you must understand the level of interdependence among the wings or members of the society.</w:t>
      </w:r>
      <w:r>
        <w:rPr>
          <w:rFonts w:ascii="Arial" w:cs="Arial" w:hAnsi="Arial"/>
          <w:color w:val="000000" w:themeColor="text1"/>
          <w:sz w:val="24"/>
          <w:szCs w:val="24"/>
        </w:rPr>
        <w:t xml:space="preserve"> Turkey is a collectivist society where people would like to survive and work in groups so that each unit or member must be taken care or not neglected</w:t>
      </w:r>
      <w:r>
        <w:rPr>
          <w:rFonts w:ascii="Arial" w:cs="Arial" w:hAnsi="Arial"/>
          <w:color w:val="000000" w:themeColor="text1"/>
          <w:sz w:val="24"/>
          <w:szCs w:val="24"/>
        </w:rPr>
        <w:t xml:space="preserve"> (</w:t>
      </w:r>
      <w:r>
        <w:rPr>
          <w:rFonts w:ascii="Arial" w:cs="Arial" w:hAnsi="Arial"/>
          <w:color w:val="000000" w:themeColor="text1"/>
          <w:sz w:val="24"/>
          <w:szCs w:val="24"/>
        </w:rPr>
        <w:t>Sakarya and Soyer, 2014)</w:t>
      </w:r>
      <w:r>
        <w:rPr>
          <w:rFonts w:ascii="Arial" w:cs="Arial" w:hAnsi="Arial"/>
          <w:color w:val="000000" w:themeColor="text1"/>
          <w:sz w:val="24"/>
          <w:szCs w:val="24"/>
        </w:rPr>
        <w:t xml:space="preserve">. For them, “We” is important rather than “I”. you </w:t>
      </w:r>
      <w:r>
        <w:rPr>
          <w:rFonts w:ascii="Arial" w:cs="Arial" w:hAnsi="Arial"/>
          <w:color w:val="000000" w:themeColor="text1"/>
          <w:sz w:val="24"/>
          <w:szCs w:val="24"/>
        </w:rPr>
        <w:t xml:space="preserve">can add emotional touch; for instance, to add something for their clans, families or organizations to win their loyalties for a longer period of time. Also, the nation is feminine instead of masculine to show the willingness to adopt the sifter sides of the culture. For example, they value the sympathy for others, value consensus, and work life balance. They believe in enjoying life but not to show off. </w:t>
      </w:r>
      <w:r>
        <w:rPr>
          <w:rFonts w:ascii="Arial" w:cs="Arial" w:hAnsi="Arial"/>
          <w:color w:val="000000" w:themeColor="text1"/>
          <w:sz w:val="24"/>
          <w:szCs w:val="24"/>
        </w:rPr>
        <w:t xml:space="preserve">There is a high uncertainty avoidance among the Turks therefore, they feel threatened by unknown situations. Hence, it can be said that nation is in need of accommodating </w:t>
      </w:r>
      <w:r>
        <w:rPr>
          <w:rFonts w:ascii="Arial" w:cs="Arial" w:hAnsi="Arial"/>
          <w:color w:val="000000" w:themeColor="text1"/>
          <w:sz w:val="24"/>
          <w:szCs w:val="24"/>
        </w:rPr>
        <w:t>laws and rules. Though, there has not been found of any form of dominant cultural preferences among them. So the culture of the UK would be pleasing and ab</w:t>
      </w:r>
      <w:r>
        <w:rPr>
          <w:rFonts w:ascii="Arial" w:cs="Arial" w:hAnsi="Arial"/>
          <w:color w:val="000000" w:themeColor="text1"/>
          <w:sz w:val="24"/>
          <w:szCs w:val="24"/>
        </w:rPr>
        <w:t>le to be instigated among them</w:t>
      </w:r>
      <w:r>
        <w:rPr>
          <w:rFonts w:ascii="Arial" w:cs="Arial" w:hAnsi="Arial"/>
          <w:color w:val="000000" w:themeColor="text1"/>
          <w:sz w:val="24"/>
          <w:szCs w:val="24"/>
        </w:rPr>
        <w:t xml:space="preserve"> (Evason, 2019)</w:t>
      </w:r>
      <w:r>
        <w:rPr>
          <w:rFonts w:ascii="Arial" w:cs="Arial" w:hAnsi="Arial"/>
          <w:color w:val="000000" w:themeColor="text1"/>
          <w:sz w:val="24"/>
          <w:szCs w:val="24"/>
        </w:rPr>
        <w:t xml:space="preserve">. As far as controlling of desires is concerned, Turkish people are indifferent. </w:t>
      </w:r>
    </w:p>
    <w:p>
      <w:pPr>
        <w:spacing w:after="0" w:line="360" w:lineRule="auto"/>
        <w:contextualSpacing w:val="on"/>
        <w:jc w:val="both"/>
        <w:rPr>
          <w:rFonts w:ascii="Arial" w:cs="Arial" w:hAnsi="Arial"/>
          <w:color w:val="000000" w:themeColor="text1"/>
          <w:sz w:val="24"/>
          <w:szCs w:val="24"/>
        </w:rPr>
      </w:pPr>
    </w:p>
    <w:p>
      <w:pPr>
        <w:pStyle w:val="Heading1"/>
        <w:numPr>
          <w:ilvl w:val="0"/>
          <w:numId w:val="2"/>
        </w:numPr>
        <w:ind w:left="0" w:firstLine="0"/>
        <w:rPr/>
      </w:pPr>
      <w:bookmarkStart w:id="4" w:name="_Toc127805975"/>
      <w:r>
        <w:t>Critical Theoretical Base</w:t>
      </w:r>
      <w:r>
        <w:t xml:space="preserve"> </w:t>
      </w:r>
      <w:r>
        <w:t xml:space="preserve">for </w:t>
      </w:r>
      <w:r>
        <w:t>Country Analysis</w:t>
      </w:r>
      <w:bookmarkEnd w:id="4"/>
      <w:r>
        <w:t xml:space="preserve"> </w:t>
      </w:r>
    </w:p>
    <w:p>
      <w:pPr>
        <w:spacing w:after="0"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A brief cross country analysis has been provided above</w:t>
      </w:r>
      <w:r>
        <w:rPr>
          <w:rFonts w:ascii="Arial" w:cs="Arial" w:hAnsi="Arial"/>
          <w:color w:val="000000" w:themeColor="text1"/>
          <w:sz w:val="24"/>
          <w:szCs w:val="24"/>
        </w:rPr>
        <w:t xml:space="preserve"> in Hofstede theory of Power Distance Index</w:t>
      </w:r>
      <w:r>
        <w:rPr>
          <w:rFonts w:ascii="Arial" w:cs="Arial" w:hAnsi="Arial"/>
          <w:color w:val="000000" w:themeColor="text1"/>
          <w:sz w:val="24"/>
          <w:szCs w:val="24"/>
        </w:rPr>
        <w:t xml:space="preserve">. Now it is time to study cultural differences through lens of theoretical base. </w:t>
      </w:r>
      <w:r>
        <w:rPr>
          <w:rFonts w:ascii="Arial" w:cs="Arial" w:hAnsi="Arial"/>
          <w:color w:val="000000" w:themeColor="text1"/>
          <w:sz w:val="24"/>
          <w:szCs w:val="24"/>
        </w:rPr>
        <w:t>Cross-cultural model of adaptation teaches us that establishing a healthy and stable relationship is not enough but we have to maintain and struggle for any reciprocal and steady relationship with our environment that is hosting us</w:t>
      </w:r>
      <w:r>
        <w:rPr>
          <w:rFonts w:ascii="Arial" w:cs="Arial" w:hAnsi="Arial"/>
          <w:color w:val="000000" w:themeColor="text1"/>
          <w:sz w:val="24"/>
          <w:szCs w:val="24"/>
        </w:rPr>
        <w:t xml:space="preserve"> (</w:t>
      </w:r>
      <w:r>
        <w:rPr>
          <w:rFonts w:ascii="Arial" w:cs="Arial" w:hAnsi="Arial"/>
          <w:color w:val="000000" w:themeColor="text1"/>
          <w:sz w:val="24"/>
          <w:szCs w:val="24"/>
        </w:rPr>
        <w:t>Timm, 2011)</w:t>
      </w:r>
      <w:r>
        <w:rPr>
          <w:rFonts w:ascii="Arial" w:cs="Arial" w:hAnsi="Arial"/>
          <w:color w:val="000000" w:themeColor="text1"/>
          <w:sz w:val="24"/>
          <w:szCs w:val="24"/>
        </w:rPr>
        <w:t xml:space="preserve">. </w:t>
      </w:r>
      <w:r>
        <w:rPr>
          <w:rFonts w:ascii="Arial" w:cs="Arial" w:hAnsi="Arial"/>
          <w:color w:val="000000" w:themeColor="text1"/>
          <w:sz w:val="24"/>
          <w:szCs w:val="24"/>
        </w:rPr>
        <w:t>In order to meet this challenge, we have to work towards building a functional fitness that must be acceptable by the native population</w:t>
      </w:r>
      <w:r>
        <w:rPr>
          <w:rFonts w:ascii="Arial" w:cs="Arial" w:hAnsi="Arial"/>
          <w:color w:val="000000" w:themeColor="text1"/>
          <w:sz w:val="24"/>
          <w:szCs w:val="24"/>
        </w:rPr>
        <w:t xml:space="preserve"> (Kim, 2010)</w:t>
      </w:r>
      <w:r>
        <w:rPr>
          <w:rFonts w:ascii="Arial" w:cs="Arial" w:hAnsi="Arial"/>
          <w:color w:val="000000" w:themeColor="text1"/>
          <w:sz w:val="24"/>
          <w:szCs w:val="24"/>
        </w:rPr>
        <w:t>.</w:t>
      </w:r>
      <w:r>
        <w:rPr>
          <w:rFonts w:ascii="Arial" w:cs="Arial" w:hAnsi="Arial"/>
          <w:color w:val="000000" w:themeColor="text1"/>
          <w:sz w:val="24"/>
          <w:szCs w:val="24"/>
        </w:rPr>
        <w:t xml:space="preserve"> The theory emphasizes that a closed knitted system of transportation and communication can work well to bring the differences in culture; for instance, linguistically, religiously, racially or nationally can be closed through interdependence facets</w:t>
      </w:r>
      <w:r>
        <w:rPr>
          <w:rFonts w:ascii="Arial" w:cs="Arial" w:hAnsi="Arial"/>
          <w:color w:val="000000" w:themeColor="text1"/>
          <w:sz w:val="24"/>
          <w:szCs w:val="24"/>
        </w:rPr>
        <w:t xml:space="preserve"> (Kim, 2010)</w:t>
      </w:r>
      <w:r>
        <w:rPr>
          <w:rFonts w:ascii="Arial" w:cs="Arial" w:hAnsi="Arial"/>
          <w:color w:val="000000" w:themeColor="text1"/>
          <w:sz w:val="24"/>
          <w:szCs w:val="24"/>
        </w:rPr>
        <w:t>.</w:t>
      </w:r>
      <w:r>
        <w:rPr>
          <w:rFonts w:ascii="Arial" w:cs="Arial" w:hAnsi="Arial"/>
          <w:color w:val="000000" w:themeColor="text1"/>
          <w:sz w:val="24"/>
          <w:szCs w:val="24"/>
        </w:rPr>
        <w:t xml:space="preserve"> </w:t>
      </w:r>
    </w:p>
    <w:p>
      <w:pPr>
        <w:spacing w:after="0"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drawing xmlns:mc="http://schemas.openxmlformats.org/markup-compatibility/2006">
          <wp:inline distT="0" distB="0" distL="0" distR="0">
            <wp:extent cx="4001058" cy="2057687"/>
            <wp:effectExtent l="0" t="0" r="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a:srcRect/>
                    <a:stretch>
                      <a:fillRect/>
                    </a:stretch>
                  </pic:blipFill>
                  <pic:spPr>
                    <a:xfrm>
                      <a:off x="0" y="0"/>
                      <a:ext cx="4001058" cy="2057687"/>
                    </a:xfrm>
                    <a:prstGeom prst="rect">
                      <a:avLst/>
                    </a:prstGeom>
                  </pic:spPr>
                </pic:pic>
              </a:graphicData>
            </a:graphic>
          </wp:inline>
        </w:drawing>
      </w:r>
      <w:r>
        <w:rPr>
          <w:rFonts w:ascii="Arial" w:cs="Arial" w:hAnsi="Arial"/>
          <w:color w:val="000000" w:themeColor="text1"/>
          <w:sz w:val="24"/>
          <w:szCs w:val="24"/>
        </w:rPr>
        <w:t>(Hofstede Insights, 2022)</w:t>
      </w:r>
    </w:p>
    <w:p>
      <w:pPr>
        <w:spacing w:after="0"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The above picture is the depiction of Hofstede’s perception of cultural differences where he put forwarded the culture as collective mental programming that differentiates the people and</w:t>
      </w:r>
      <w:r>
        <w:rPr>
          <w:rFonts w:ascii="Arial" w:cs="Arial" w:hAnsi="Arial"/>
          <w:color w:val="000000" w:themeColor="text1"/>
          <w:sz w:val="24"/>
          <w:szCs w:val="24"/>
        </w:rPr>
        <w:t xml:space="preserve"> </w:t>
      </w:r>
      <w:r>
        <w:rPr>
          <w:rFonts w:ascii="Arial" w:cs="Arial" w:hAnsi="Arial"/>
          <w:color w:val="000000" w:themeColor="text1"/>
          <w:sz w:val="24"/>
          <w:szCs w:val="24"/>
        </w:rPr>
        <w:t>their respective categories. It is different form nature and personality because it is learned phenomenon and adopted through social environment</w:t>
      </w:r>
      <w:r>
        <w:rPr>
          <w:rFonts w:ascii="Arial" w:cs="Arial" w:hAnsi="Arial"/>
          <w:color w:val="000000" w:themeColor="text1"/>
          <w:sz w:val="24"/>
          <w:szCs w:val="24"/>
        </w:rPr>
        <w:t xml:space="preserve"> (Moran, 2018)</w:t>
      </w:r>
      <w:r>
        <w:rPr>
          <w:rFonts w:ascii="Arial" w:cs="Arial" w:hAnsi="Arial"/>
          <w:color w:val="000000" w:themeColor="text1"/>
          <w:sz w:val="24"/>
          <w:szCs w:val="24"/>
        </w:rPr>
        <w:t>.</w:t>
      </w:r>
      <w:r>
        <w:rPr>
          <w:rFonts w:ascii="Arial" w:cs="Arial" w:hAnsi="Arial"/>
          <w:color w:val="000000" w:themeColor="text1"/>
          <w:sz w:val="24"/>
          <w:szCs w:val="24"/>
        </w:rPr>
        <w:t xml:space="preserve"> Culture has the layers of rituals, heroism and symbolism which can be learnt and adopted to know the culture of foreign country so that better relationship and communication can be taken place.</w:t>
      </w:r>
      <w:r>
        <w:rPr>
          <w:rFonts w:ascii="Arial" w:cs="Arial" w:hAnsi="Arial"/>
          <w:color w:val="000000" w:themeColor="text1"/>
          <w:sz w:val="24"/>
          <w:szCs w:val="24"/>
        </w:rPr>
        <w:t xml:space="preserve"> </w:t>
      </w:r>
    </w:p>
    <w:p>
      <w:pPr>
        <w:spacing w:after="0"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Thus, by keeping in view the discussed differences, it is suggested that you consider and treat Turkish people as God, since guests are considered not lesser than God in the culture.  You must be generous and offer gifts. The spices and herbs are used by them frequently in festivities which cannot be avoided. Turkish are big fan of their traditional Turkish “</w:t>
      </w:r>
      <w:r>
        <w:rPr>
          <w:rFonts w:ascii="Arial" w:cs="Arial" w:hAnsi="Arial"/>
          <w:color w:val="000000" w:themeColor="text1"/>
          <w:sz w:val="24"/>
          <w:szCs w:val="24"/>
        </w:rPr>
        <w:t>kehw</w:t>
      </w:r>
      <w:r>
        <w:rPr>
          <w:rFonts w:ascii="Arial" w:cs="Arial" w:hAnsi="Arial"/>
          <w:color w:val="000000" w:themeColor="text1"/>
          <w:sz w:val="24"/>
          <w:szCs w:val="24"/>
        </w:rPr>
        <w:t xml:space="preserve">a” (tea) and coffee. </w:t>
      </w:r>
      <w:r>
        <w:rPr>
          <w:rFonts w:ascii="Arial" w:cs="Arial" w:hAnsi="Arial"/>
          <w:color w:val="000000" w:themeColor="text1"/>
          <w:sz w:val="24"/>
          <w:szCs w:val="24"/>
        </w:rPr>
        <w:t xml:space="preserve">(Moran, 2018). </w:t>
      </w:r>
      <w:r>
        <w:rPr>
          <w:rFonts w:ascii="Arial" w:cs="Arial" w:hAnsi="Arial"/>
          <w:color w:val="000000" w:themeColor="text1"/>
          <w:sz w:val="24"/>
          <w:szCs w:val="24"/>
        </w:rPr>
        <w:t xml:space="preserve">They are communal people and like to enjoy in communal gatherings. The wearing complaints are not welcomed by them ever. The positive compliments on personal presentations are even shunned. </w:t>
      </w:r>
    </w:p>
    <w:p>
      <w:pPr>
        <w:spacing w:after="0" w:line="360" w:lineRule="auto"/>
        <w:contextualSpacing w:val="on"/>
        <w:jc w:val="both"/>
        <w:rPr>
          <w:rFonts w:ascii="Arial" w:cs="Arial" w:hAnsi="Arial"/>
          <w:color w:val="000000" w:themeColor="text1"/>
          <w:sz w:val="24"/>
          <w:szCs w:val="24"/>
        </w:rPr>
      </w:pPr>
    </w:p>
    <w:p>
      <w:pPr>
        <w:pStyle w:val="Heading1"/>
        <w:numPr>
          <w:ilvl w:val="0"/>
          <w:numId w:val="2"/>
        </w:numPr>
        <w:ind w:left="0" w:firstLine="0"/>
        <w:rPr/>
      </w:pPr>
      <w:bookmarkStart w:id="5" w:name="_Toc127805976"/>
      <w:r>
        <w:t>Hotel Handbook</w:t>
      </w:r>
      <w:bookmarkEnd w:id="5"/>
      <w:r>
        <w:t xml:space="preserve"> </w:t>
      </w:r>
    </w:p>
    <w:tbl>
      <w:tblPr>
        <w:tblStyle w:val="GridTable5DarkAccent3"/>
        <w:tblW w:w="0" w:type="auto"/>
        <w:tblLook w:val="04A0"/>
      </w:tblPr>
      <w:tblGrid>
        <w:gridCol w:w="3116"/>
        <w:gridCol w:w="3117"/>
        <w:gridCol w:w="3117"/>
      </w:tblGrid>
      <w:tr>
        <w:trPr>
          <w:cnfStyle w:val="100000000000"/>
        </w:trPr>
        <w:tc>
          <w:tcPr>
            <w:cnfStyle w:val="101000000000"/>
            <w:tcW w:w="3116" w:type="dxa"/>
            <w:tcBorders>
              <w:top w:val="single" w:color="auto" w:sz="4" w:space="0"/>
              <w:left w:val="single" w:color="auto" w:sz="4" w:space="0"/>
              <w:bottom w:val="single" w:color="auto" w:sz="4" w:space="0"/>
              <w:right w:val="single" w:color="auto" w:sz="4" w:space="0"/>
            </w:tcBorders>
          </w:tcPr>
          <w:p>
            <w:pPr>
              <w:spacing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Functional Areas</w:t>
            </w:r>
          </w:p>
        </w:tc>
        <w:tc>
          <w:tcPr>
            <w:cnfStyle w:val="100000000000"/>
            <w:tcW w:w="3117" w:type="dxa"/>
            <w:tcBorders>
              <w:top w:val="single" w:color="auto" w:sz="4" w:space="0"/>
              <w:left w:val="single" w:color="auto" w:sz="4" w:space="0"/>
              <w:bottom w:val="single" w:color="auto" w:sz="4" w:space="0"/>
              <w:right w:val="single" w:color="auto" w:sz="4" w:space="0"/>
            </w:tcBorders>
          </w:tcPr>
          <w:p>
            <w:pPr>
              <w:spacing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Do’s</w:t>
            </w:r>
          </w:p>
        </w:tc>
        <w:tc>
          <w:tcPr>
            <w:cnfStyle w:val="100000000000"/>
            <w:tcW w:w="3117" w:type="dxa"/>
            <w:tcBorders>
              <w:top w:val="single" w:color="auto" w:sz="4" w:space="0"/>
              <w:left w:val="single" w:color="auto" w:sz="4" w:space="0"/>
              <w:bottom w:val="single" w:color="auto" w:sz="4" w:space="0"/>
              <w:right w:val="single" w:color="auto" w:sz="4" w:space="0"/>
            </w:tcBorders>
          </w:tcPr>
          <w:p>
            <w:pPr>
              <w:spacing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Don’ts</w:t>
            </w:r>
          </w:p>
        </w:tc>
      </w:tr>
      <w:tr>
        <w:trPr>
          <w:cnfStyle w:val="000000100000"/>
        </w:trPr>
        <w:tc>
          <w:tcPr>
            <w:cnfStyle w:val="001000100000"/>
            <w:tcW w:w="3116" w:type="dxa"/>
            <w:tcBorders>
              <w:top w:val="single" w:color="auto" w:sz="4" w:space="0"/>
            </w:tcBorders>
          </w:tcPr>
          <w:p>
            <w:pPr>
              <w:spacing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Reception</w:t>
            </w:r>
          </w:p>
        </w:tc>
        <w:tc>
          <w:tcPr>
            <w:cnfStyle w:val="000000100000"/>
            <w:tcW w:w="3117" w:type="dxa"/>
            <w:tcBorders>
              <w:top w:val="single" w:color="auto" w:sz="4" w:space="0"/>
            </w:tcBorders>
          </w:tcPr>
          <w:p>
            <w:pPr>
              <w:spacing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Greeting, smile, gift sharing</w:t>
            </w:r>
          </w:p>
        </w:tc>
        <w:tc>
          <w:tcPr>
            <w:cnfStyle w:val="000000100000"/>
            <w:tcW w:w="3117" w:type="dxa"/>
            <w:tcBorders>
              <w:top w:val="single" w:color="auto" w:sz="4" w:space="0"/>
            </w:tcBorders>
          </w:tcPr>
          <w:p>
            <w:pPr>
              <w:spacing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Physical contact</w:t>
            </w:r>
          </w:p>
        </w:tc>
      </w:tr>
      <w:tr>
        <w:trPr/>
        <w:tc>
          <w:tcPr>
            <w:cnfStyle w:val="001000010000"/>
            <w:tcW w:w="3116" w:type="dxa"/>
          </w:tcPr>
          <w:p>
            <w:pPr>
              <w:spacing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Kitchen</w:t>
            </w:r>
          </w:p>
        </w:tc>
        <w:tc>
          <w:tcPr>
            <w:cnfStyle w:val="000000010000"/>
            <w:tcW w:w="3117" w:type="dxa"/>
          </w:tcPr>
          <w:p>
            <w:pPr>
              <w:spacing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Spicy, herbs use, long food list items</w:t>
            </w:r>
          </w:p>
        </w:tc>
        <w:tc>
          <w:tcPr>
            <w:cnfStyle w:val="000000010000"/>
            <w:tcW w:w="3117" w:type="dxa"/>
          </w:tcPr>
          <w:p>
            <w:pPr>
              <w:spacing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Indulgence and compelling of western food and culture</w:t>
            </w:r>
          </w:p>
        </w:tc>
      </w:tr>
      <w:tr>
        <w:trPr>
          <w:cnfStyle w:val="000000100000"/>
        </w:trPr>
        <w:tc>
          <w:tcPr>
            <w:cnfStyle w:val="001000100000"/>
            <w:tcW w:w="3116" w:type="dxa"/>
          </w:tcPr>
          <w:p>
            <w:pPr>
              <w:spacing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House Keeping</w:t>
            </w:r>
          </w:p>
        </w:tc>
        <w:tc>
          <w:tcPr>
            <w:cnfStyle w:val="000000100000"/>
            <w:tcW w:w="3117" w:type="dxa"/>
          </w:tcPr>
          <w:p>
            <w:pPr>
              <w:spacing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Cleaning, ironing, regular chores</w:t>
            </w:r>
          </w:p>
        </w:tc>
        <w:tc>
          <w:tcPr>
            <w:cnfStyle w:val="000000100000"/>
            <w:tcW w:w="3117" w:type="dxa"/>
          </w:tcPr>
          <w:p>
            <w:pPr>
              <w:spacing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 xml:space="preserve">Grape vining, persuading, intriguing </w:t>
            </w:r>
          </w:p>
        </w:tc>
      </w:tr>
      <w:tr>
        <w:trPr/>
        <w:tc>
          <w:tcPr>
            <w:cnfStyle w:val="001000010000"/>
            <w:tcW w:w="3116" w:type="dxa"/>
          </w:tcPr>
          <w:p>
            <w:pPr>
              <w:spacing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Security</w:t>
            </w:r>
          </w:p>
        </w:tc>
        <w:tc>
          <w:tcPr>
            <w:cnfStyle w:val="000000010000"/>
            <w:tcW w:w="3117" w:type="dxa"/>
          </w:tcPr>
          <w:p>
            <w:pPr>
              <w:spacing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Guide, brief introduction, contact sharing, monitoring info sharing</w:t>
            </w:r>
          </w:p>
        </w:tc>
        <w:tc>
          <w:tcPr>
            <w:cnfStyle w:val="000000010000"/>
            <w:tcW w:w="3117" w:type="dxa"/>
          </w:tcPr>
          <w:p>
            <w:pPr>
              <w:spacing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 xml:space="preserve">Digging of personal info, non -availability, law and norm understanding expectation </w:t>
            </w:r>
          </w:p>
        </w:tc>
      </w:tr>
      <w:tr>
        <w:trPr>
          <w:cnfStyle w:val="000000100000"/>
        </w:trPr>
        <w:tc>
          <w:tcPr>
            <w:cnfStyle w:val="001000100000"/>
            <w:tcW w:w="3116" w:type="dxa"/>
          </w:tcPr>
          <w:p>
            <w:pPr>
              <w:spacing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Management</w:t>
            </w:r>
          </w:p>
        </w:tc>
        <w:tc>
          <w:tcPr>
            <w:cnfStyle w:val="000000100000"/>
            <w:tcW w:w="3117" w:type="dxa"/>
          </w:tcPr>
          <w:p>
            <w:pPr>
              <w:spacing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 xml:space="preserve">Online tools, communicate </w:t>
            </w:r>
          </w:p>
        </w:tc>
        <w:tc>
          <w:tcPr>
            <w:cnfStyle w:val="000000100000"/>
            <w:tcW w:w="3117" w:type="dxa"/>
          </w:tcPr>
          <w:p>
            <w:pPr>
              <w:spacing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System Integration, avoidance, AI, night disruptions</w:t>
            </w:r>
          </w:p>
        </w:tc>
      </w:tr>
      <w:tr>
        <w:trPr/>
        <w:tc>
          <w:tcPr>
            <w:cnfStyle w:val="001000010000"/>
            <w:tcW w:w="3116" w:type="dxa"/>
          </w:tcPr>
          <w:p>
            <w:pPr>
              <w:spacing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Food &amp; Beverages</w:t>
            </w:r>
          </w:p>
        </w:tc>
        <w:tc>
          <w:tcPr>
            <w:cnfStyle w:val="000000010000"/>
            <w:tcW w:w="3117" w:type="dxa"/>
          </w:tcPr>
          <w:p>
            <w:pPr>
              <w:spacing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Traditional brewing coffee and tea</w:t>
            </w:r>
          </w:p>
        </w:tc>
        <w:tc>
          <w:tcPr>
            <w:cnfStyle w:val="000000010000"/>
            <w:tcW w:w="3117" w:type="dxa"/>
          </w:tcPr>
          <w:p>
            <w:pPr>
              <w:spacing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More milk or tea whitener, alcoholic drinks</w:t>
            </w:r>
          </w:p>
        </w:tc>
      </w:tr>
      <w:tr>
        <w:trPr>
          <w:cnfStyle w:val="000000100000"/>
        </w:trPr>
        <w:tc>
          <w:tcPr>
            <w:cnfStyle w:val="001000100000"/>
            <w:tcW w:w="3116" w:type="dxa"/>
          </w:tcPr>
          <w:p>
            <w:pPr>
              <w:spacing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 xml:space="preserve">Maintenance  </w:t>
            </w:r>
          </w:p>
        </w:tc>
        <w:tc>
          <w:tcPr>
            <w:cnfStyle w:val="000000100000"/>
            <w:tcW w:w="3117" w:type="dxa"/>
          </w:tcPr>
          <w:p>
            <w:pPr>
              <w:spacing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Real-time accessibility to requests</w:t>
            </w:r>
            <w:r>
              <w:rPr>
                <w:rFonts w:ascii="Arial" w:cs="Arial" w:hAnsi="Arial"/>
                <w:color w:val="000000" w:themeColor="text1"/>
                <w:sz w:val="24"/>
                <w:szCs w:val="24"/>
              </w:rPr>
              <w:t>, scheduling updates</w:t>
            </w:r>
          </w:p>
        </w:tc>
        <w:tc>
          <w:tcPr>
            <w:cnfStyle w:val="000000100000"/>
            <w:tcW w:w="3117" w:type="dxa"/>
          </w:tcPr>
          <w:p>
            <w:pPr>
              <w:spacing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Nuisance, disturbance, disruptions</w:t>
            </w:r>
          </w:p>
        </w:tc>
      </w:tr>
    </w:tbl>
    <w:p>
      <w:pPr>
        <w:spacing w:after="0"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(Barreto et al. 2021; Beyond cultural differences, y.n.d)</w:t>
      </w:r>
    </w:p>
    <w:p>
      <w:pPr>
        <w:pStyle w:val="Heading1"/>
        <w:numPr>
          <w:ilvl w:val="0"/>
          <w:numId w:val="2"/>
        </w:numPr>
        <w:ind w:left="0" w:firstLine="0"/>
        <w:rPr/>
      </w:pPr>
      <w:bookmarkStart w:id="6" w:name="_Toc127805977"/>
      <w:r>
        <w:t>Summary</w:t>
      </w:r>
      <w:bookmarkEnd w:id="6"/>
    </w:p>
    <w:p>
      <w:pPr>
        <w:spacing w:after="0"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t xml:space="preserve">In summary, it can be said that Turkish are more centered and less interactive though more congenial and like to share spaces with guests. Thus, they must be dealt accordingly. </w:t>
      </w:r>
    </w:p>
    <w:p>
      <w:pPr>
        <w:pStyle w:val="Heading1"/>
        <w:numPr>
          <w:ilvl w:val="0"/>
          <w:numId w:val="2"/>
        </w:numPr>
        <w:ind w:left="0" w:firstLine="0"/>
        <w:rPr/>
      </w:pPr>
      <w:bookmarkStart w:id="7" w:name="_Toc127805978"/>
      <w:r>
        <w:t>Recommendation</w:t>
      </w:r>
      <w:r>
        <w:t>s</w:t>
      </w:r>
      <w:bookmarkEnd w:id="7"/>
    </w:p>
    <w:p>
      <w:pPr>
        <w:pStyle w:val="ListParagraph"/>
        <w:numPr>
          <w:ilvl w:val="0"/>
          <w:numId w:val="1"/>
        </w:numPr>
        <w:spacing w:after="0" w:line="360" w:lineRule="auto"/>
        <w:ind w:left="0" w:firstLine="0"/>
        <w:jc w:val="both"/>
        <w:rPr>
          <w:rFonts w:ascii="Arial" w:cs="Arial" w:hAnsi="Arial"/>
          <w:color w:val="000000" w:themeColor="text1"/>
          <w:sz w:val="24"/>
          <w:szCs w:val="24"/>
        </w:rPr>
      </w:pPr>
      <w:r>
        <w:rPr>
          <w:rFonts w:ascii="Arial" w:cs="Arial" w:hAnsi="Arial"/>
          <w:color w:val="000000" w:themeColor="text1"/>
          <w:sz w:val="24"/>
          <w:szCs w:val="24"/>
        </w:rPr>
        <w:t>Our kitchen staff is always agree</w:t>
      </w:r>
      <w:r>
        <w:rPr>
          <w:rFonts w:ascii="Arial" w:cs="Arial" w:hAnsi="Arial"/>
          <w:color w:val="000000" w:themeColor="text1"/>
          <w:sz w:val="24"/>
          <w:szCs w:val="24"/>
        </w:rPr>
        <w:t>d</w:t>
      </w:r>
      <w:r>
        <w:rPr>
          <w:rFonts w:ascii="Arial" w:cs="Arial" w:hAnsi="Arial"/>
          <w:color w:val="000000" w:themeColor="text1"/>
          <w:sz w:val="24"/>
          <w:szCs w:val="24"/>
        </w:rPr>
        <w:t xml:space="preserve"> to </w:t>
      </w:r>
      <w:r>
        <w:rPr>
          <w:rFonts w:ascii="Arial" w:cs="Arial" w:hAnsi="Arial"/>
          <w:color w:val="000000" w:themeColor="text1"/>
          <w:sz w:val="24"/>
          <w:szCs w:val="24"/>
        </w:rPr>
        <w:t>fulfill</w:t>
      </w:r>
      <w:r>
        <w:rPr>
          <w:rFonts w:ascii="Arial" w:cs="Arial" w:hAnsi="Arial"/>
          <w:color w:val="000000" w:themeColor="text1"/>
          <w:sz w:val="24"/>
          <w:szCs w:val="24"/>
        </w:rPr>
        <w:t xml:space="preserve"> your requirements of pleasing taste buds. They neither complain nor get tired of serving you.</w:t>
      </w:r>
      <w:r>
        <w:rPr>
          <w:rFonts w:ascii="Arial" w:cs="Arial" w:hAnsi="Arial"/>
          <w:color w:val="000000" w:themeColor="text1"/>
          <w:sz w:val="24"/>
          <w:szCs w:val="24"/>
        </w:rPr>
        <w:t xml:space="preserve"> The kitchen is really out of mess thanks to their efficiencies. </w:t>
      </w:r>
    </w:p>
    <w:p>
      <w:pPr>
        <w:pStyle w:val="ListParagraph"/>
        <w:numPr>
          <w:ilvl w:val="0"/>
          <w:numId w:val="1"/>
        </w:numPr>
        <w:spacing w:after="0" w:line="360" w:lineRule="auto"/>
        <w:ind w:left="0" w:firstLine="0"/>
        <w:jc w:val="both"/>
        <w:rPr>
          <w:rFonts w:ascii="Arial" w:cs="Arial" w:hAnsi="Arial"/>
          <w:color w:val="000000" w:themeColor="text1"/>
          <w:sz w:val="24"/>
          <w:szCs w:val="24"/>
        </w:rPr>
      </w:pPr>
      <w:r>
        <w:rPr>
          <w:rFonts w:ascii="Arial" w:cs="Arial" w:hAnsi="Arial"/>
          <w:color w:val="000000" w:themeColor="text1"/>
          <w:sz w:val="24"/>
          <w:szCs w:val="24"/>
        </w:rPr>
        <w:t>Our management staff is interactive and listens your problems and then take it further towards finding out the core issues. Management staff is working always and h</w:t>
      </w:r>
      <w:r>
        <w:rPr>
          <w:rFonts w:ascii="Arial" w:cs="Arial" w:hAnsi="Arial"/>
          <w:color w:val="000000" w:themeColor="text1"/>
          <w:sz w:val="24"/>
          <w:szCs w:val="24"/>
        </w:rPr>
        <w:t>ard-</w:t>
      </w:r>
      <w:r>
        <w:rPr>
          <w:rFonts w:ascii="Arial" w:cs="Arial" w:hAnsi="Arial"/>
          <w:color w:val="000000" w:themeColor="text1"/>
          <w:sz w:val="24"/>
          <w:szCs w:val="24"/>
        </w:rPr>
        <w:t xml:space="preserve">working is paid off once they communicate with each other and work outstanding in groups. </w:t>
      </w:r>
    </w:p>
    <w:p>
      <w:pPr>
        <w:spacing w:after="0" w:line="360" w:lineRule="auto"/>
        <w:contextualSpacing w:val="on"/>
        <w:jc w:val="both"/>
        <w:rPr>
          <w:rFonts w:ascii="Arial" w:cs="Arial" w:hAnsi="Arial"/>
          <w:color w:val="000000" w:themeColor="text1"/>
          <w:sz w:val="24"/>
          <w:szCs w:val="24"/>
        </w:rPr>
      </w:pPr>
      <w:r>
        <w:rPr>
          <w:rFonts w:ascii="Arial" w:cs="Arial" w:hAnsi="Arial"/>
          <w:color w:val="000000" w:themeColor="text1"/>
          <w:sz w:val="24"/>
          <w:szCs w:val="24"/>
        </w:rPr>
        <w:br w:type="page"/>
      </w:r>
    </w:p>
    <w:p>
      <w:pPr>
        <w:pStyle w:val="Heading1"/>
        <w:rPr/>
      </w:pPr>
      <w:bookmarkStart w:id="8" w:name="_Toc127805979"/>
      <w:r>
        <w:t>References</w:t>
      </w:r>
      <w:bookmarkEnd w:id="8"/>
    </w:p>
    <w:p>
      <w:pPr>
        <w:spacing w:after="0" w:line="360" w:lineRule="auto"/>
        <w:ind w:left="720" w:hanging="720"/>
        <w:contextualSpacing w:val="on"/>
        <w:jc w:val="both"/>
        <w:rPr>
          <w:rFonts w:ascii="Arial" w:cs="Arial" w:hAnsi="Arial"/>
          <w:color w:val="000000" w:themeColor="text1"/>
          <w:sz w:val="24"/>
          <w:szCs w:val="24"/>
        </w:rPr>
      </w:pPr>
      <w:r>
        <w:rPr>
          <w:rFonts w:ascii="Arial" w:cs="Arial" w:hAnsi="Arial"/>
          <w:color w:val="000000" w:themeColor="text1"/>
          <w:sz w:val="24"/>
          <w:szCs w:val="24"/>
        </w:rPr>
        <w:t>Barreto, M., Victor, C., Hammond, C., Eccles, A., Richins, M.T. and Qualter, P., (2021). Loneliness around the world: Age, gender, and cultural differences in loneliness. </w:t>
      </w:r>
      <w:r>
        <w:rPr>
          <w:rFonts w:ascii="Arial" w:cs="Arial" w:hAnsi="Arial"/>
          <w:i/>
          <w:iCs/>
          <w:color w:val="000000" w:themeColor="text1"/>
          <w:sz w:val="24"/>
          <w:szCs w:val="24"/>
        </w:rPr>
        <w:t>Personality and Individual Differences</w:t>
      </w:r>
      <w:r>
        <w:rPr>
          <w:rFonts w:ascii="Arial" w:cs="Arial" w:hAnsi="Arial"/>
          <w:color w:val="000000" w:themeColor="text1"/>
          <w:sz w:val="24"/>
          <w:szCs w:val="24"/>
        </w:rPr>
        <w:t>, </w:t>
      </w:r>
      <w:r>
        <w:rPr>
          <w:rFonts w:ascii="Arial" w:cs="Arial" w:hAnsi="Arial"/>
          <w:i/>
          <w:iCs/>
          <w:color w:val="000000" w:themeColor="text1"/>
          <w:sz w:val="24"/>
          <w:szCs w:val="24"/>
        </w:rPr>
        <w:t>169</w:t>
      </w:r>
      <w:r>
        <w:rPr>
          <w:rFonts w:ascii="Arial" w:cs="Arial" w:hAnsi="Arial"/>
          <w:color w:val="000000" w:themeColor="text1"/>
          <w:sz w:val="24"/>
          <w:szCs w:val="24"/>
        </w:rPr>
        <w:t>, p.110066.</w:t>
      </w:r>
    </w:p>
    <w:p>
      <w:pPr>
        <w:spacing w:after="0" w:line="360" w:lineRule="auto"/>
        <w:ind w:left="720" w:hanging="720"/>
        <w:contextualSpacing w:val="on"/>
        <w:jc w:val="both"/>
        <w:rPr>
          <w:rFonts w:ascii="Arial" w:cs="Arial" w:hAnsi="Arial"/>
          <w:color w:val="000000" w:themeColor="text1"/>
          <w:sz w:val="24"/>
          <w:szCs w:val="24"/>
        </w:rPr>
      </w:pPr>
      <w:r>
        <w:rPr>
          <w:rFonts w:ascii="Arial" w:cs="Arial" w:hAnsi="Arial"/>
          <w:color w:val="000000" w:themeColor="text1"/>
          <w:sz w:val="24"/>
          <w:szCs w:val="24"/>
        </w:rPr>
        <w:t>Beyond Cultural Differences (y.n.d) Cross Cultural Theories, accessed from https://beyondculturaldifferences.wordpress.com/research-theories/</w:t>
      </w:r>
    </w:p>
    <w:p>
      <w:pPr>
        <w:spacing w:after="0" w:line="360" w:lineRule="auto"/>
        <w:ind w:left="720" w:hanging="720"/>
        <w:contextualSpacing w:val="on"/>
        <w:jc w:val="both"/>
        <w:rPr>
          <w:rFonts w:ascii="Arial" w:cs="Arial" w:hAnsi="Arial"/>
          <w:color w:val="000000" w:themeColor="text1"/>
          <w:sz w:val="24"/>
          <w:szCs w:val="24"/>
        </w:rPr>
      </w:pPr>
      <w:r>
        <w:rPr>
          <w:rFonts w:ascii="Arial" w:cs="Arial" w:hAnsi="Arial"/>
          <w:color w:val="000000" w:themeColor="text1"/>
          <w:sz w:val="24"/>
          <w:szCs w:val="24"/>
        </w:rPr>
        <w:t xml:space="preserve">Evason, N. (2019) Turkish Culture: Etiquettes, </w:t>
      </w:r>
      <w:r>
        <w:rPr>
          <w:rFonts w:ascii="Arial" w:cs="Arial" w:hAnsi="Arial"/>
          <w:i/>
          <w:color w:val="000000" w:themeColor="text1"/>
          <w:sz w:val="24"/>
          <w:szCs w:val="24"/>
        </w:rPr>
        <w:t>Cultural Atlas</w:t>
      </w:r>
      <w:r>
        <w:rPr>
          <w:rFonts w:ascii="Arial" w:cs="Arial" w:hAnsi="Arial"/>
          <w:color w:val="000000" w:themeColor="text1"/>
          <w:sz w:val="24"/>
          <w:szCs w:val="24"/>
        </w:rPr>
        <w:t xml:space="preserve"> accessed from https://culturalatlas.sbs.com.au/turkish-culture/turkish-culture-etiquette </w:t>
      </w:r>
    </w:p>
    <w:p>
      <w:pPr>
        <w:spacing w:after="0" w:line="360" w:lineRule="auto"/>
        <w:ind w:left="720" w:hanging="720"/>
        <w:contextualSpacing w:val="on"/>
        <w:jc w:val="both"/>
        <w:rPr>
          <w:rFonts w:ascii="Arial" w:cs="Arial" w:hAnsi="Arial"/>
          <w:color w:val="000000" w:themeColor="text1"/>
          <w:sz w:val="24"/>
          <w:szCs w:val="24"/>
        </w:rPr>
      </w:pPr>
      <w:r>
        <w:rPr>
          <w:rFonts w:ascii="Arial" w:cs="Arial" w:hAnsi="Arial"/>
          <w:color w:val="000000" w:themeColor="text1"/>
          <w:sz w:val="24"/>
          <w:szCs w:val="24"/>
        </w:rPr>
        <w:t>Hofstede Insights (2022) Country Comparison accessible via https://www.hofstede-insights.com/country-comparison/turkey,the-uk/</w:t>
      </w:r>
    </w:p>
    <w:p>
      <w:pPr>
        <w:spacing w:after="0" w:line="360" w:lineRule="auto"/>
        <w:ind w:left="720" w:hanging="720"/>
        <w:contextualSpacing w:val="on"/>
        <w:jc w:val="both"/>
        <w:rPr>
          <w:rFonts w:ascii="Arial" w:cs="Arial" w:hAnsi="Arial"/>
          <w:color w:val="000000" w:themeColor="text1"/>
          <w:sz w:val="24"/>
          <w:szCs w:val="24"/>
        </w:rPr>
      </w:pPr>
      <w:r>
        <w:rPr>
          <w:rFonts w:ascii="Arial" w:cs="Arial" w:hAnsi="Arial"/>
          <w:color w:val="000000" w:themeColor="text1"/>
          <w:sz w:val="24"/>
          <w:szCs w:val="24"/>
        </w:rPr>
        <w:t>Jandt, F (2016) An Introduction to Intercultural Communication, 8th edition, Sage: San Bernadino.</w:t>
      </w:r>
    </w:p>
    <w:p>
      <w:pPr>
        <w:spacing w:after="0" w:line="360" w:lineRule="auto"/>
        <w:ind w:left="720" w:hanging="720"/>
        <w:contextualSpacing w:val="on"/>
        <w:jc w:val="both"/>
        <w:rPr>
          <w:rFonts w:ascii="Arial" w:cs="Arial" w:hAnsi="Arial"/>
          <w:color w:val="000000" w:themeColor="text1"/>
          <w:sz w:val="24"/>
          <w:szCs w:val="24"/>
        </w:rPr>
      </w:pPr>
      <w:r>
        <w:rPr>
          <w:rFonts w:ascii="Arial" w:cs="Arial" w:hAnsi="Arial"/>
          <w:color w:val="000000" w:themeColor="text1"/>
          <w:sz w:val="24"/>
          <w:szCs w:val="24"/>
        </w:rPr>
        <w:t xml:space="preserve">Kim, Y. Y. (2010) Theory Reflections: Cross Cultural Adaptation Theory </w:t>
      </w:r>
      <w:r>
        <w:rPr>
          <w:rFonts w:ascii="Arial" w:cs="Arial" w:hAnsi="Arial"/>
          <w:i/>
          <w:color w:val="000000" w:themeColor="text1"/>
          <w:sz w:val="24"/>
          <w:szCs w:val="24"/>
        </w:rPr>
        <w:t xml:space="preserve">Nafsa organization, </w:t>
      </w:r>
      <w:r>
        <w:rPr>
          <w:rFonts w:ascii="Arial" w:cs="Arial" w:hAnsi="Arial"/>
          <w:color w:val="000000" w:themeColor="text1"/>
          <w:sz w:val="24"/>
          <w:szCs w:val="24"/>
        </w:rPr>
        <w:t>accessed from https://www.nafsa.org/sites/default/files/ektron/files/underscore/theory_connections_crosscultural.pdf</w:t>
      </w:r>
    </w:p>
    <w:p>
      <w:pPr>
        <w:spacing w:after="0" w:line="360" w:lineRule="auto"/>
        <w:ind w:left="720" w:hanging="720"/>
        <w:contextualSpacing w:val="on"/>
        <w:jc w:val="both"/>
        <w:rPr>
          <w:rFonts w:ascii="Arial" w:cs="Arial" w:hAnsi="Arial"/>
          <w:color w:val="000000" w:themeColor="text1"/>
          <w:sz w:val="24"/>
          <w:szCs w:val="24"/>
        </w:rPr>
      </w:pPr>
      <w:r>
        <w:rPr>
          <w:rFonts w:ascii="Arial" w:cs="Arial" w:hAnsi="Arial"/>
          <w:color w:val="000000" w:themeColor="text1"/>
          <w:sz w:val="24"/>
          <w:szCs w:val="24"/>
        </w:rPr>
        <w:t>Moran, R. (2018) Managing Cultural Differences, 10th edition, Routledge: Abingdon.</w:t>
      </w:r>
    </w:p>
    <w:p>
      <w:pPr>
        <w:spacing w:after="0" w:line="360" w:lineRule="auto"/>
        <w:ind w:left="720" w:hanging="720"/>
        <w:contextualSpacing w:val="on"/>
        <w:jc w:val="both"/>
        <w:rPr>
          <w:rFonts w:ascii="Arial" w:cs="Arial" w:hAnsi="Arial"/>
          <w:color w:val="000000" w:themeColor="text1"/>
          <w:sz w:val="24"/>
          <w:szCs w:val="24"/>
        </w:rPr>
      </w:pPr>
      <w:r>
        <w:rPr>
          <w:rFonts w:ascii="Arial" w:cs="Arial" w:hAnsi="Arial"/>
          <w:color w:val="000000" w:themeColor="text1"/>
          <w:sz w:val="24"/>
          <w:szCs w:val="24"/>
        </w:rPr>
        <w:t>Sakarya, S. and Soyer, N., (2014). Cultural differences in online shopping behavior: Turkey and the United Kingdom. </w:t>
      </w:r>
      <w:r>
        <w:rPr>
          <w:rFonts w:ascii="Arial" w:cs="Arial" w:hAnsi="Arial"/>
          <w:i/>
          <w:iCs/>
          <w:color w:val="000000" w:themeColor="text1"/>
          <w:sz w:val="24"/>
          <w:szCs w:val="24"/>
        </w:rPr>
        <w:t>International Journal of Electronic Commerce Studies</w:t>
      </w:r>
      <w:r>
        <w:rPr>
          <w:rFonts w:ascii="Arial" w:cs="Arial" w:hAnsi="Arial"/>
          <w:color w:val="000000" w:themeColor="text1"/>
          <w:sz w:val="24"/>
          <w:szCs w:val="24"/>
        </w:rPr>
        <w:t>, </w:t>
      </w:r>
      <w:r>
        <w:rPr>
          <w:rFonts w:ascii="Arial" w:cs="Arial" w:hAnsi="Arial"/>
          <w:i/>
          <w:iCs/>
          <w:color w:val="000000" w:themeColor="text1"/>
          <w:sz w:val="24"/>
          <w:szCs w:val="24"/>
        </w:rPr>
        <w:t>4</w:t>
      </w:r>
      <w:r>
        <w:rPr>
          <w:rFonts w:ascii="Arial" w:cs="Arial" w:hAnsi="Arial"/>
          <w:color w:val="000000" w:themeColor="text1"/>
          <w:sz w:val="24"/>
          <w:szCs w:val="24"/>
        </w:rPr>
        <w:t>(2), pp.213-238.</w:t>
      </w:r>
    </w:p>
    <w:p>
      <w:pPr>
        <w:spacing w:after="0" w:line="360" w:lineRule="auto"/>
        <w:ind w:left="720" w:hanging="720"/>
        <w:contextualSpacing w:val="on"/>
        <w:jc w:val="both"/>
        <w:rPr>
          <w:rFonts w:ascii="Arial" w:cs="Arial" w:hAnsi="Arial"/>
          <w:color w:val="000000" w:themeColor="text1"/>
          <w:sz w:val="24"/>
          <w:szCs w:val="24"/>
        </w:rPr>
      </w:pPr>
      <w:r>
        <w:rPr>
          <w:rFonts w:ascii="Arial" w:cs="Arial" w:hAnsi="Arial"/>
          <w:color w:val="000000" w:themeColor="text1"/>
          <w:sz w:val="24"/>
          <w:szCs w:val="24"/>
        </w:rPr>
        <w:t>Salali, G.D. and Uysal, M.S., (2022). COVID-19 vaccine hesitancy is associated with beliefs on the origin of the novel coronavirus in the UK and Turkey. </w:t>
      </w:r>
      <w:r>
        <w:rPr>
          <w:rFonts w:ascii="Arial" w:cs="Arial" w:hAnsi="Arial"/>
          <w:i/>
          <w:iCs/>
          <w:color w:val="000000" w:themeColor="text1"/>
          <w:sz w:val="24"/>
          <w:szCs w:val="24"/>
        </w:rPr>
        <w:t>Psychological medicine</w:t>
      </w:r>
      <w:r>
        <w:rPr>
          <w:rFonts w:ascii="Arial" w:cs="Arial" w:hAnsi="Arial"/>
          <w:color w:val="000000" w:themeColor="text1"/>
          <w:sz w:val="24"/>
          <w:szCs w:val="24"/>
        </w:rPr>
        <w:t>, </w:t>
      </w:r>
      <w:r>
        <w:rPr>
          <w:rFonts w:ascii="Arial" w:cs="Arial" w:hAnsi="Arial"/>
          <w:i/>
          <w:iCs/>
          <w:color w:val="000000" w:themeColor="text1"/>
          <w:sz w:val="24"/>
          <w:szCs w:val="24"/>
        </w:rPr>
        <w:t>52</w:t>
      </w:r>
      <w:r>
        <w:rPr>
          <w:rFonts w:ascii="Arial" w:cs="Arial" w:hAnsi="Arial"/>
          <w:color w:val="000000" w:themeColor="text1"/>
          <w:sz w:val="24"/>
          <w:szCs w:val="24"/>
        </w:rPr>
        <w:t>(15), pp.3750-3752.</w:t>
      </w:r>
    </w:p>
    <w:p>
      <w:pPr>
        <w:spacing w:after="0" w:line="360" w:lineRule="auto"/>
        <w:ind w:left="720" w:hanging="720"/>
        <w:contextualSpacing w:val="on"/>
        <w:jc w:val="both"/>
        <w:rPr>
          <w:rFonts w:ascii="Arial" w:cs="Arial" w:hAnsi="Arial"/>
          <w:color w:val="000000" w:themeColor="text1"/>
          <w:sz w:val="24"/>
          <w:szCs w:val="24"/>
        </w:rPr>
      </w:pPr>
      <w:r>
        <w:rPr>
          <w:rFonts w:ascii="Arial" w:cs="Arial" w:hAnsi="Arial"/>
          <w:color w:val="000000" w:themeColor="text1"/>
          <w:sz w:val="24"/>
          <w:szCs w:val="24"/>
        </w:rPr>
        <w:t>Samovar, L. (2009) Communication Between Cultures, Wadsworth, London.</w:t>
      </w:r>
    </w:p>
    <w:p>
      <w:pPr>
        <w:spacing w:after="0" w:line="360" w:lineRule="auto"/>
        <w:ind w:left="720" w:hanging="720"/>
        <w:contextualSpacing w:val="on"/>
        <w:jc w:val="both"/>
        <w:rPr>
          <w:rFonts w:ascii="Arial" w:cs="Arial" w:hAnsi="Arial"/>
          <w:color w:val="000000" w:themeColor="text1"/>
          <w:sz w:val="24"/>
          <w:szCs w:val="24"/>
        </w:rPr>
      </w:pPr>
      <w:r>
        <w:rPr>
          <w:rFonts w:ascii="Arial" w:cs="Arial" w:hAnsi="Arial"/>
          <w:color w:val="000000" w:themeColor="text1"/>
          <w:sz w:val="24"/>
          <w:szCs w:val="24"/>
        </w:rPr>
        <w:t>Smith, P.K., López-Castro, L., Robinson, S. and Görzig, A., (2019). Consistency of gender differences in bullying in cross-cultural surveys. </w:t>
      </w:r>
      <w:r>
        <w:rPr>
          <w:rFonts w:ascii="Arial" w:cs="Arial" w:hAnsi="Arial"/>
          <w:i/>
          <w:iCs/>
          <w:color w:val="000000" w:themeColor="text1"/>
          <w:sz w:val="24"/>
          <w:szCs w:val="24"/>
        </w:rPr>
        <w:t>Aggression and violent behavior</w:t>
      </w:r>
      <w:r>
        <w:rPr>
          <w:rFonts w:ascii="Arial" w:cs="Arial" w:hAnsi="Arial"/>
          <w:color w:val="000000" w:themeColor="text1"/>
          <w:sz w:val="24"/>
          <w:szCs w:val="24"/>
        </w:rPr>
        <w:t>, </w:t>
      </w:r>
      <w:r>
        <w:rPr>
          <w:rFonts w:ascii="Arial" w:cs="Arial" w:hAnsi="Arial"/>
          <w:i/>
          <w:iCs/>
          <w:color w:val="000000" w:themeColor="text1"/>
          <w:sz w:val="24"/>
          <w:szCs w:val="24"/>
        </w:rPr>
        <w:t>45</w:t>
      </w:r>
      <w:r>
        <w:rPr>
          <w:rFonts w:ascii="Arial" w:cs="Arial" w:hAnsi="Arial"/>
          <w:color w:val="000000" w:themeColor="text1"/>
          <w:sz w:val="24"/>
          <w:szCs w:val="24"/>
        </w:rPr>
        <w:t>, pp.33-40.</w:t>
      </w:r>
    </w:p>
    <w:p>
      <w:pPr>
        <w:spacing w:after="0" w:line="360" w:lineRule="auto"/>
        <w:ind w:left="720" w:hanging="720"/>
        <w:contextualSpacing w:val="on"/>
        <w:jc w:val="both"/>
        <w:rPr>
          <w:rFonts w:ascii="Arial" w:cs="Arial" w:hAnsi="Arial"/>
          <w:color w:val="000000" w:themeColor="text1"/>
          <w:sz w:val="24"/>
          <w:szCs w:val="24"/>
        </w:rPr>
      </w:pPr>
      <w:r>
        <w:rPr>
          <w:rFonts w:ascii="Arial" w:cs="Arial" w:hAnsi="Arial"/>
          <w:color w:val="000000" w:themeColor="text1"/>
          <w:sz w:val="24"/>
          <w:szCs w:val="24"/>
        </w:rPr>
        <w:t>Timm, A. (2011) Intercultural Problems in the Tourism Industry, GRIN Verlag.</w:t>
      </w:r>
    </w:p>
    <w:p>
      <w:pPr>
        <w:spacing w:after="0" w:line="360" w:lineRule="auto"/>
        <w:contextualSpacing w:val="on"/>
        <w:jc w:val="both"/>
        <w:rPr>
          <w:rFonts w:ascii="Arial" w:cs="Arial" w:hAnsi="Arial"/>
          <w:color w:val="000000" w:themeColor="text1"/>
          <w:sz w:val="24"/>
          <w:szCs w:val="24"/>
        </w:rPr>
      </w:pPr>
    </w:p>
    <w:p>
      <w:pPr>
        <w:spacing w:after="0" w:line="360" w:lineRule="auto"/>
        <w:contextualSpacing w:val="on"/>
        <w:jc w:val="both"/>
        <w:rPr>
          <w:rFonts w:ascii="Arial" w:cs="Arial" w:hAnsi="Arial"/>
          <w:color w:val="000000" w:themeColor="text1"/>
          <w:sz w:val="24"/>
          <w:szCs w:val="24"/>
        </w:rPr>
      </w:pPr>
    </w:p>
    <w:sectPr>
      <w:headerReference w:type="default" r:id="rId14"/>
      <w:footerReference w:type="default" r:id="rId15"/>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pPr>
        <w:spacing w:after="0" w:line="240" w:lineRule="auto"/>
        <w:rPr/>
      </w:pPr>
      <w:r>
        <w:rPr/>
        <w:separator/>
      </w:r>
    </w:p>
  </w:endnote>
  <w:endnote w:type="continuationSeparator" w:id="1">
    <w:p>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Calibri">
    <w:panose1 w:val="020f0502020204030204"/>
    <w:charset w:val="00"/>
    <w:family w:val="swiss"/>
    <w:pitch w:val="variable"/>
    <w:sig w:usb0="00000000" w:usb1="00000000" w:usb2="00000009" w:usb3="00000000" w:csb0="000001ff" w:csb1="00000000"/>
  </w:font>
  <w:font w:name="Arial">
    <w:panose1 w:val="020b0604020202020204"/>
    <w:charset w:val="00"/>
    <w:family w:val="swiss"/>
    <w:pitch w:val="variable"/>
    <w:sig w:usb0="00000000" w:usb1="00000000" w:usb2="00000009" w:usb3="00000000" w:csb0="000001ff" w:csb1="00000000"/>
  </w:font>
  <w:font w:name="Calibri Light">
    <w:panose1 w:val="020f0302020204030204"/>
    <w:charset w:val="00"/>
    <w:family w:val="swiss"/>
    <w:pitch w:val="variable"/>
    <w:sig w:usb0="00000000" w:usb1="00000000" w:usb2="00000009" w:usb3="00000000" w:csb0="000001ff" w:csb1="00000000"/>
  </w:font>
  <w:font w:name="Cambria">
    <w:panose1 w:val="02040503050406030204"/>
    <w:charset w:val="00"/>
    <w:family w:val="roman"/>
    <w:pitch w:val="variable"/>
    <w:sig w:usb0="a00002ef" w:usb1="4000004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pPr>
      <w:spacing w:after="0" w:line="240" w:lineRule="auto"/>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pPr>
        <w:spacing w:after="0" w:line="240" w:lineRule="auto"/>
        <w:rPr/>
      </w:pPr>
      <w:r>
        <w:rPr/>
        <w:separator/>
      </w:r>
    </w:p>
  </w:footnote>
  <w:footnote w:type="continuationSeparator" w:id="1">
    <w:p>
      <w:pPr>
        <w:spacing w:after="0" w:line="240" w:lineRule="auto"/>
        <w:rPr/>
      </w:pPr>
      <w:r>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pPr>
      <w:spacing w:after="0" w:line="240" w:lineRule="auto"/>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defaultTabStop w:val="720"/>
  <w:characterSpacingControl w:val="doNotCompress"/>
  <w:hdrShapeDefaults>
    <o:shapedefaults v:ext="edit" spidmax="2050"/>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ECD"/>
    <w:rsid w:val="00012DD0"/>
    <w:rsid w:val="000143BC"/>
    <w:rsid w:val="00024552"/>
    <w:rsid w:val="000712EF"/>
    <w:rsid w:val="000B022E"/>
    <w:rsid w:val="000C58FA"/>
    <w:rsid w:val="000D075E"/>
    <w:rsid w:val="000F47D9"/>
    <w:rsid w:val="00102AB9"/>
    <w:rsid w:val="00110753"/>
    <w:rsid w:val="00112A2E"/>
    <w:rsid w:val="00156403"/>
    <w:rsid w:val="001D5E29"/>
    <w:rsid w:val="001E6008"/>
    <w:rsid w:val="001F2F9C"/>
    <w:rsid w:val="002573ED"/>
    <w:rsid w:val="002671C1"/>
    <w:rsid w:val="0027044A"/>
    <w:rsid w:val="002A1177"/>
    <w:rsid w:val="002B1EE0"/>
    <w:rsid w:val="00326351"/>
    <w:rsid w:val="003E2450"/>
    <w:rsid w:val="003E7C16"/>
    <w:rsid w:val="00402DC1"/>
    <w:rsid w:val="004412A3"/>
    <w:rsid w:val="004421A9"/>
    <w:rsid w:val="00451120"/>
    <w:rsid w:val="00483AED"/>
    <w:rsid w:val="004941A9"/>
    <w:rsid w:val="004D33E2"/>
    <w:rsid w:val="00500794"/>
    <w:rsid w:val="00506DCE"/>
    <w:rsid w:val="00507B01"/>
    <w:rsid w:val="00511ECD"/>
    <w:rsid w:val="00555CBB"/>
    <w:rsid w:val="00564A5B"/>
    <w:rsid w:val="005839CB"/>
    <w:rsid w:val="005A3309"/>
    <w:rsid w:val="005C6EDE"/>
    <w:rsid w:val="005E0A6A"/>
    <w:rsid w:val="005E29EF"/>
    <w:rsid w:val="00611FA7"/>
    <w:rsid w:val="006D77E3"/>
    <w:rsid w:val="006E039C"/>
    <w:rsid w:val="0071478E"/>
    <w:rsid w:val="00733B53"/>
    <w:rsid w:val="00734632"/>
    <w:rsid w:val="007553F3"/>
    <w:rsid w:val="00764E25"/>
    <w:rsid w:val="00780289"/>
    <w:rsid w:val="007C5F64"/>
    <w:rsid w:val="008759E4"/>
    <w:rsid w:val="0089734A"/>
    <w:rsid w:val="009B03D2"/>
    <w:rsid w:val="009C2171"/>
    <w:rsid w:val="009D6487"/>
    <w:rsid w:val="00A355F7"/>
    <w:rsid w:val="00AC01CF"/>
    <w:rsid w:val="00AC540A"/>
    <w:rsid w:val="00AD3971"/>
    <w:rsid w:val="00B45B41"/>
    <w:rsid w:val="00B46F14"/>
    <w:rsid w:val="00B86FD9"/>
    <w:rsid w:val="00B90A0D"/>
    <w:rsid w:val="00BB5588"/>
    <w:rsid w:val="00C06F3D"/>
    <w:rsid w:val="00C73F6B"/>
    <w:rsid w:val="00C835D1"/>
    <w:rsid w:val="00C8477E"/>
    <w:rsid w:val="00CC02FD"/>
    <w:rsid w:val="00D815E0"/>
    <w:rsid w:val="00D975CC"/>
    <w:rsid w:val="00DA6AFC"/>
    <w:rsid w:val="00DA6D90"/>
    <w:rsid w:val="00E15E4E"/>
    <w:rsid w:val="00E45771"/>
    <w:rsid w:val="00E52B7C"/>
    <w:rsid w:val="00E62440"/>
    <w:rsid w:val="00E67C5F"/>
    <w:rsid w:val="00F01306"/>
    <w:rsid w:val="00F6728B"/>
    <w:rsid w:val="00F8285C"/>
    <w:rsid w:val="00F84D04"/>
    <w:rsid w:val="00FD03AC"/>
    <w:rsid w:val="00FD21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D6D0FC"/>
  <w15:chartTrackingRefBased/>
  <w:footnotePr>
    <w:footnote w:id="0"/>
    <w:footnote w:id="1"/>
  </w:footnotePr>
  <w:endnotePr>
    <w:endnote w:id="0"/>
    <w:endnote w:id="1"/>
  </w:endnotePr>
  <w:trackRevisions w:val="off"/>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US" w:bidi="ar-SA" w:eastAsia="en-US"/>
      </w:rPr>
    </w:rPrDefault>
    <w:pPrDefault>
      <w:pPr>
        <w:spacing w:after="160" w:line="259" w:lineRule="auto"/>
      </w:pPr>
    </w:pPrDefault>
  </w:docDefaults>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5b9bd5"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5b9bd5"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4d77"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4d77"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5b9bd5"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5b9bd5"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4d77"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4d77"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5b9bd5"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5b9bd5"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5b9bd5"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5b9bd5"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5b9bd5" w:themeColor="accent1" w:sz="4" w:space="4"/>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Pr>
      <w:b/>
      <w:bCs/>
      <w:i/>
      <w:iCs/>
      <w:color w:val="5b9bd5"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 w:type="paragraph" w:default="1" w:styleId="Normal">
    <w:name w:val="Normal"/>
    <w:uiPriority w:val="99"/>
    <w:qFormat w:val="on"/>
  </w:style>
  <w:style w:type="paragraph" w:styleId="Heading1">
    <w:name w:val="Heading 1"/>
    <w:basedOn w:val="Normal"/>
    <w:next w:val="Normal"/>
    <w:link w:val="Heading1Char"/>
    <w:uiPriority w:val="9"/>
    <w:qFormat w:val="on"/>
    <w:pPr>
      <w:keepNext w:val="on"/>
      <w:keepLines w:val="on"/>
      <w:spacing w:after="0" w:line="360" w:lineRule="auto"/>
      <w:contextualSpacing w:val="on"/>
      <w:jc w:val="both"/>
    </w:pPr>
    <w:rPr>
      <w:rFonts w:ascii="Arial" w:cs="Arial" w:eastAsiaTheme="majorEastAsia" w:hAnsi="Arial"/>
      <w:b/>
      <w:iCs/>
      <w:color w:val="000000" w:themeColor="text1"/>
      <w:sz w:val="24"/>
      <w:szCs w:val="24"/>
    </w:rPr>
  </w:style>
  <w:style w:type="paragraph" w:styleId="Heading2">
    <w:name w:val="Heading 2"/>
    <w:basedOn w:val="Normal"/>
    <w:next w:val="Normal"/>
    <w:link w:val="Heading2Char"/>
    <w:uiPriority w:val="9"/>
    <w:unhideWhenUsed w:val="on"/>
    <w:qFormat w:val="on"/>
    <w:pPr>
      <w:keepNext w:val="on"/>
      <w:keepLines w:val="on"/>
      <w:spacing w:after="0" w:line="360" w:lineRule="auto"/>
      <w:contextualSpacing w:val="on"/>
      <w:jc w:val="both"/>
    </w:pPr>
    <w:rPr>
      <w:rFonts w:ascii="Arial" w:cs="Arial" w:eastAsiaTheme="majorEastAsia" w:hAnsi="Arial"/>
      <w:b/>
      <w:bCs/>
      <w:i/>
      <w:color w:val="000000" w:themeColor="text1"/>
      <w:sz w:val="24"/>
      <w:szCs w:val="24"/>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Arial" w:cs="Arial" w:eastAsiaTheme="majorEastAsia" w:hAnsi="Arial"/>
      <w:b/>
      <w:iCs/>
      <w:color w:val="000000" w:themeColor="text1"/>
      <w:sz w:val="24"/>
      <w:szCs w:val="24"/>
    </w:rPr>
  </w:style>
  <w:style w:type="paragraph" w:styleId="Header">
    <w:name w:val="Header"/>
    <w:basedOn w:val="Normal"/>
    <w:link w:val="HeaderChar"/>
    <w:uiPriority w:val="99"/>
    <w:unhideWhenUsed w:val="on"/>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table" w:styleId="TableGrid">
    <w:name w:val="Table Grid"/>
    <w:basedOn w:val="NormalTable"/>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PlainTable3">
    <w:name w:val="Plain Table 3"/>
    <w:basedOn w:val="NormalTable"/>
    <w:uiPriority w:val="43"/>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sz="4" w:space="0"/>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sz="4" w:space="0"/>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sz="4" w:space="0"/>
        </w:tcBorders>
      </w:tcPr>
    </w:tblStylePr>
    <w:tblStylePr w:type="nwCell">
      <w:tblPr/>
      <w:tcPr>
        <w:tcBorders>
          <w:right w:val="nil" w:sz="4" w:space="0"/>
        </w:tcBorders>
      </w:tcPr>
    </w:tblStylePr>
  </w:style>
  <w:style w:type="table" w:styleId="GridTable5DarkAccent3">
    <w:name w:val="Grid Table 5 Dark Accent 3"/>
    <w:basedOn w:val="NormalTable"/>
    <w:uiPriority w:val="5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deded"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sz="4" w:space="0"/>
          <w:insideV w:val="nil" w:sz="4" w:space="0"/>
        </w:tcBorders>
        <w:shd w:val="clear" w:color="auto" w:fill="a5a5a5"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sz="4" w:space="0"/>
          <w:insideV w:val="nil" w:sz="4" w:space="0"/>
        </w:tcBorders>
        <w:shd w:val="clear" w:color="auto" w:fill="a5a5a5"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sz="4" w:space="0"/>
        </w:tcBorders>
        <w:shd w:val="clear" w:color="auto" w:fill="a5a5a5"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sz="4" w:space="0"/>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ListParagraph">
    <w:name w:val="List Paragraph"/>
    <w:basedOn w:val="Normal"/>
    <w:uiPriority w:val="34"/>
    <w:qFormat w:val="on"/>
    <w:pPr>
      <w:ind w:left="720"/>
      <w:contextualSpacing w:val="on"/>
    </w:pPr>
  </w:style>
  <w:style w:type="character" w:customStyle="1" w:styleId="Heading2Char">
    <w:name w:val="Heading 2 Char"/>
    <w:basedOn w:val="DefaultParagraphFont"/>
    <w:link w:val="Heading2"/>
    <w:uiPriority w:val="9"/>
    <w:rPr>
      <w:rFonts w:ascii="Arial" w:cs="Arial" w:eastAsiaTheme="majorEastAsia" w:hAnsi="Arial"/>
      <w:b/>
      <w:bCs/>
      <w:i/>
      <w:color w:val="000000" w:themeColor="text1"/>
      <w:sz w:val="24"/>
      <w:szCs w:val="24"/>
    </w:rPr>
  </w:style>
  <w:style w:type="paragraph" w:styleId="TOCHeading">
    <w:name w:val="TOC Heading"/>
    <w:basedOn w:val="Heading1"/>
    <w:next w:val="Normal"/>
    <w:uiPriority w:val="39"/>
    <w:unhideWhenUsed w:val="on"/>
    <w:qFormat w:val="on"/>
    <w:pPr/>
    <w:rPr>
      <w:rFonts w:asciiTheme="majorHAnsi" w:hAnsiTheme="majorHAnsi"/>
      <w:b w:val="off"/>
      <w:i/>
      <w:color w:val="2e74b4" w:themeColor="accent1" w:themeShade="bf"/>
      <w:sz w:val="32"/>
    </w:rPr>
  </w:style>
  <w:style w:type="paragraph" w:styleId="Toc1">
    <w:name w:val="Toc 1"/>
    <w:basedOn w:val="Normal"/>
    <w:next w:val="Normal"/>
    <w:uiPriority w:val="39"/>
    <w:unhideWhenUsed w:val="on"/>
    <w:pPr>
      <w:spacing w:after="100"/>
    </w:pPr>
  </w:style>
  <w:style w:type="paragraph" w:styleId="Toc2">
    <w:name w:val="Toc 2"/>
    <w:basedOn w:val="Normal"/>
    <w:next w:val="Normal"/>
    <w:uiPriority w:val="39"/>
    <w:unhideWhenUsed w:val="on"/>
    <w:pPr>
      <w:spacing w:after="100"/>
      <w:ind w:left="220"/>
    </w:pPr>
  </w:style>
  <w:style w:type="character" w:styleId="Hyperlink">
    <w:name w:val="Hyperlink"/>
    <w:basedOn w:val="DefaultParagraphFont"/>
    <w:uiPriority w:val="99"/>
    <w:unhideWhenUsed w:val="on"/>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0" Type="http://schemas.openxmlformats.org/officeDocument/2006/relationships/fontTable" Target="fontTable.xml"/><Relationship Id="rId11" Type="http://schemas.openxmlformats.org/officeDocument/2006/relationships/theme" Target="theme/theme1.xml"/><Relationship Id="rId12" Type="http://schemas.openxmlformats.org/officeDocument/2006/relationships/image" Target="media/image1.png"/><Relationship Id="rId13" Type="http://schemas.openxmlformats.org/officeDocument/2006/relationships/image" Target="media/image2.png"/><Relationship Id="rId14" Type="http://schemas.openxmlformats.org/officeDocument/2006/relationships/header" Target="header1.xml"/><Relationship Id="rId15" Type="http://schemas.openxmlformats.org/officeDocument/2006/relationships/footer" Target="footer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6" Type="http://schemas.openxmlformats.org/officeDocument/2006/relationships/footnotes" Target="footnotes.xml"/><Relationship Id="rId7" Type="http://schemas.openxmlformats.org/officeDocument/2006/relationships/endnotes" Target="endnotes.xml"/><Relationship Id="rId1" Type="http://schemas.openxmlformats.org/officeDocument/2006/relationships/customXml" Target="../customXml/item1.xml"/><Relationship Id="rId5" Type="http://schemas.openxmlformats.org/officeDocument/2006/relationships/webSettings" Target="webSettings.xml"/><Relationship Id="rId8" Type="http://schemas.openxmlformats.org/officeDocument/2006/relationships/image" Target="media/image1.PNG"/><Relationship Id="rId9" Type="http://schemas.openxmlformats.org/officeDocument/2006/relationships/image" Target="media/image2.PNG"/></Relationships>
</file>

<file path=word/_rels/endnotes.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等线 Light"/>
        <a:font script="Hant" typeface="新細明體"/>
        <a:font script="Jpan" typeface="游ゴシック Light"/>
      </a:majorFont>
      <a:minorFont>
        <a:latin typeface="Calibri" panose="020F0502020204030204"/>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等线"/>
        <a:font script="Hant" typeface="新細明體"/>
        <a:font script="Jpan" typeface="游明朝"/>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177DA2-F873-4204-A839-A0CF2ED3EE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1720</Words>
  <Characters>9805</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Marius Stroe</dc:creator>
  <cp:lastModifiedBy>Marius Stroe</cp:lastModifiedBy>
</cp:coreProperties>
</file>