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1C7F84" w14:textId="36B0D97B" w:rsidR="009257EB" w:rsidRPr="007A1884" w:rsidRDefault="007A1884" w:rsidP="007A1884">
      <w:pPr>
        <w:jc w:val="center"/>
        <w:rPr>
          <w:b/>
          <w:bCs/>
          <w:sz w:val="36"/>
          <w:szCs w:val="36"/>
          <w:lang w:val="en-US"/>
        </w:rPr>
      </w:pPr>
      <w:r w:rsidRPr="007A1884">
        <w:rPr>
          <w:b/>
          <w:bCs/>
          <w:sz w:val="36"/>
          <w:szCs w:val="36"/>
          <w:lang w:val="en-US"/>
        </w:rPr>
        <w:t>Answers to questions</w:t>
      </w:r>
    </w:p>
    <w:p w14:paraId="39940A0B" w14:textId="7C2ECE7C" w:rsidR="007A1884" w:rsidRDefault="007A1884" w:rsidP="007A1884">
      <w:pPr>
        <w:pStyle w:val="ListParagraph"/>
        <w:numPr>
          <w:ilvl w:val="0"/>
          <w:numId w:val="1"/>
        </w:numPr>
        <w:rPr>
          <w:sz w:val="32"/>
          <w:szCs w:val="32"/>
          <w:lang w:val="en-US"/>
        </w:rPr>
      </w:pPr>
      <w:r w:rsidRPr="003916C6">
        <w:rPr>
          <w:sz w:val="32"/>
          <w:szCs w:val="32"/>
          <w:lang w:val="en-US"/>
        </w:rPr>
        <w:t xml:space="preserve">What do you think Lord </w:t>
      </w:r>
      <w:proofErr w:type="spellStart"/>
      <w:r w:rsidRPr="003916C6">
        <w:rPr>
          <w:sz w:val="32"/>
          <w:szCs w:val="32"/>
          <w:lang w:val="en-US"/>
        </w:rPr>
        <w:t>Jessel</w:t>
      </w:r>
      <w:proofErr w:type="spellEnd"/>
      <w:r w:rsidRPr="003916C6">
        <w:rPr>
          <w:sz w:val="32"/>
          <w:szCs w:val="32"/>
          <w:lang w:val="en-US"/>
        </w:rPr>
        <w:t xml:space="preserve"> meant when he said, in 1878, that Chancery “is not …a Court of Conscience but a court of law”?</w:t>
      </w:r>
    </w:p>
    <w:p w14:paraId="2AB45765" w14:textId="77777777" w:rsidR="003916C6" w:rsidRPr="003916C6" w:rsidRDefault="003916C6" w:rsidP="003916C6">
      <w:pPr>
        <w:pStyle w:val="ListParagraph"/>
        <w:rPr>
          <w:sz w:val="32"/>
          <w:szCs w:val="32"/>
          <w:lang w:val="en-US"/>
        </w:rPr>
      </w:pPr>
    </w:p>
    <w:p w14:paraId="6C6F9285" w14:textId="6ACF6CB9" w:rsidR="007A1884" w:rsidRPr="003916C6" w:rsidRDefault="007A1884" w:rsidP="007A1884">
      <w:pPr>
        <w:pStyle w:val="ListParagraph"/>
        <w:rPr>
          <w:sz w:val="32"/>
          <w:szCs w:val="32"/>
          <w:lang w:val="en-US"/>
        </w:rPr>
      </w:pPr>
      <w:r w:rsidRPr="003916C6">
        <w:rPr>
          <w:sz w:val="32"/>
          <w:szCs w:val="32"/>
          <w:lang w:val="en-US"/>
        </w:rPr>
        <w:t>The Court of Chancery, or the Chancellor’s court, was the birthplace of equity.  The Chancellor issued the writs that began actions in the royal (common law) courts.  Common law in medieval times was very rigid.  Many people found that they could not get a remedy for their problem.  When that happened, they petitioned the King.  The Chancellor dealt with these petitions and he started to make his own rules and eventually his own court developed to apply them.</w:t>
      </w:r>
    </w:p>
    <w:p w14:paraId="328AE154" w14:textId="7F2F4C03" w:rsidR="007A1884" w:rsidRDefault="007A1884" w:rsidP="007A1884">
      <w:pPr>
        <w:pStyle w:val="ListParagraph"/>
        <w:rPr>
          <w:sz w:val="32"/>
          <w:szCs w:val="32"/>
          <w:lang w:val="en-US"/>
        </w:rPr>
      </w:pPr>
      <w:r w:rsidRPr="003916C6">
        <w:rPr>
          <w:sz w:val="32"/>
          <w:szCs w:val="32"/>
          <w:lang w:val="en-US"/>
        </w:rPr>
        <w:t>In Chancery, to begin with, the emphasis was on finding a result that was consistent with conscience or natural justice.  However, this led to very inconsistent results.  By the Tudor period, Chancery was changing.  The Chancellor was now a lawyer rather than a churchman and records were now kept.  This meant that a body of precedent developed, just as in the common law courts.  By the 17</w:t>
      </w:r>
      <w:r w:rsidRPr="003916C6">
        <w:rPr>
          <w:sz w:val="32"/>
          <w:szCs w:val="32"/>
          <w:vertAlign w:val="superscript"/>
          <w:lang w:val="en-US"/>
        </w:rPr>
        <w:t>th</w:t>
      </w:r>
      <w:r w:rsidRPr="003916C6">
        <w:rPr>
          <w:sz w:val="32"/>
          <w:szCs w:val="32"/>
          <w:lang w:val="en-US"/>
        </w:rPr>
        <w:t xml:space="preserve"> century, chancellors had distanced themselves from the idea that equity was about justice and insisted that it involved the application of settled doctrine and principles.  This is what Lord </w:t>
      </w:r>
      <w:proofErr w:type="spellStart"/>
      <w:r w:rsidRPr="003916C6">
        <w:rPr>
          <w:sz w:val="32"/>
          <w:szCs w:val="32"/>
          <w:lang w:val="en-US"/>
        </w:rPr>
        <w:t>Jessel</w:t>
      </w:r>
      <w:proofErr w:type="spellEnd"/>
      <w:r w:rsidRPr="003916C6">
        <w:rPr>
          <w:sz w:val="32"/>
          <w:szCs w:val="32"/>
          <w:lang w:val="en-US"/>
        </w:rPr>
        <w:t xml:space="preserve"> meant in the quotation.  However, many equitable doctrines are concerned with preventing injustice or unconscionability and it would be fair to say that it still has a distinct </w:t>
      </w:r>
      <w:proofErr w:type="spellStart"/>
      <w:r w:rsidRPr="003916C6">
        <w:rPr>
          <w:sz w:val="32"/>
          <w:szCs w:val="32"/>
          <w:lang w:val="en-US"/>
        </w:rPr>
        <w:t>flavour</w:t>
      </w:r>
      <w:proofErr w:type="spellEnd"/>
      <w:r w:rsidRPr="003916C6">
        <w:rPr>
          <w:sz w:val="32"/>
          <w:szCs w:val="32"/>
          <w:lang w:val="en-US"/>
        </w:rPr>
        <w:t>; one that is different from the common law.</w:t>
      </w:r>
    </w:p>
    <w:p w14:paraId="5484130A" w14:textId="77777777" w:rsidR="003916C6" w:rsidRDefault="003916C6" w:rsidP="007A1884">
      <w:pPr>
        <w:pStyle w:val="ListParagraph"/>
        <w:rPr>
          <w:sz w:val="32"/>
          <w:szCs w:val="32"/>
          <w:lang w:val="en-US"/>
        </w:rPr>
      </w:pPr>
    </w:p>
    <w:p w14:paraId="2E8D24D7" w14:textId="4A72E3E7" w:rsidR="003916C6" w:rsidRDefault="003916C6" w:rsidP="003916C6">
      <w:pPr>
        <w:pStyle w:val="ListParagraph"/>
        <w:numPr>
          <w:ilvl w:val="0"/>
          <w:numId w:val="1"/>
        </w:numPr>
        <w:rPr>
          <w:sz w:val="32"/>
          <w:szCs w:val="32"/>
          <w:lang w:val="en-US"/>
        </w:rPr>
      </w:pPr>
      <w:r>
        <w:rPr>
          <w:sz w:val="32"/>
          <w:szCs w:val="32"/>
          <w:lang w:val="en-US"/>
        </w:rPr>
        <w:t>Explain what an equitable maxim is and briefly illustrate the following equitable maxims.</w:t>
      </w:r>
    </w:p>
    <w:p w14:paraId="349DE17F" w14:textId="7B6C9A64" w:rsidR="003916C6" w:rsidRDefault="003916C6" w:rsidP="003916C6">
      <w:pPr>
        <w:pStyle w:val="ListParagraph"/>
        <w:numPr>
          <w:ilvl w:val="0"/>
          <w:numId w:val="2"/>
        </w:numPr>
        <w:rPr>
          <w:sz w:val="32"/>
          <w:szCs w:val="32"/>
          <w:lang w:val="en-US"/>
        </w:rPr>
      </w:pPr>
      <w:r>
        <w:rPr>
          <w:sz w:val="32"/>
          <w:szCs w:val="32"/>
          <w:lang w:val="en-US"/>
        </w:rPr>
        <w:t>Equity follows the law.</w:t>
      </w:r>
    </w:p>
    <w:p w14:paraId="106BDC40" w14:textId="69DB3B86" w:rsidR="003916C6" w:rsidRDefault="003916C6" w:rsidP="003916C6">
      <w:pPr>
        <w:pStyle w:val="ListParagraph"/>
        <w:numPr>
          <w:ilvl w:val="0"/>
          <w:numId w:val="2"/>
        </w:numPr>
        <w:rPr>
          <w:sz w:val="32"/>
          <w:szCs w:val="32"/>
          <w:lang w:val="en-US"/>
        </w:rPr>
      </w:pPr>
      <w:r>
        <w:rPr>
          <w:sz w:val="32"/>
          <w:szCs w:val="32"/>
          <w:lang w:val="en-US"/>
        </w:rPr>
        <w:t>He who comes to equity must come with clean hands.</w:t>
      </w:r>
    </w:p>
    <w:p w14:paraId="1A877C2B" w14:textId="6079044A" w:rsidR="003916C6" w:rsidRDefault="003916C6" w:rsidP="003916C6">
      <w:pPr>
        <w:ind w:left="720"/>
        <w:rPr>
          <w:sz w:val="32"/>
          <w:szCs w:val="32"/>
          <w:lang w:val="en-US"/>
        </w:rPr>
      </w:pPr>
      <w:r>
        <w:rPr>
          <w:sz w:val="32"/>
          <w:szCs w:val="32"/>
          <w:lang w:val="en-US"/>
        </w:rPr>
        <w:lastRenderedPageBreak/>
        <w:t>The maxims of equity are broad principles that underpin the development and application of more specific rules.  In this way, equity is still less rule-bound than common law.  The maxims are not directly enforced but when you look at the way equity resolves particular problems, you can often see the influence of equitable maxims.</w:t>
      </w:r>
    </w:p>
    <w:p w14:paraId="1DA6798E" w14:textId="24D765DD" w:rsidR="003916C6" w:rsidRDefault="003916C6" w:rsidP="003916C6">
      <w:pPr>
        <w:pStyle w:val="ListParagraph"/>
        <w:numPr>
          <w:ilvl w:val="0"/>
          <w:numId w:val="3"/>
        </w:numPr>
        <w:rPr>
          <w:sz w:val="32"/>
          <w:szCs w:val="32"/>
          <w:lang w:val="en-US"/>
        </w:rPr>
      </w:pPr>
      <w:r>
        <w:rPr>
          <w:sz w:val="32"/>
          <w:szCs w:val="32"/>
          <w:lang w:val="en-US"/>
        </w:rPr>
        <w:t xml:space="preserve">Equity developed to fill gaps in the common law. It recognizes that, sometimes, a person might have an equitable or beneficial interest in land, even though they are not the legal owner.  Equity might therefore take a different view from common law about who is entitled to certain land.  This creates a danger of serious conflict between common law and equity, when equity recognizes different rights or says that someone cannot enforce their common law rights, in that, there </w:t>
      </w:r>
      <w:r w:rsidR="0045515C">
        <w:rPr>
          <w:sz w:val="32"/>
          <w:szCs w:val="32"/>
          <w:lang w:val="en-US"/>
        </w:rPr>
        <w:t>will be uncertainty.  To minimize that conflict, one of the equitable maxims is that “equity follows the law”.  This means that it will not disregard common law rules unless those rules disregard an important circumstances.  There has to be a good reason for equity to depart from common law and the starting point in any dispute will be the position at law.  In the context of the family home, legal title conveyed into joint names will create a presumption of joint beneficial ownership.  Equity follows the law (</w:t>
      </w:r>
      <w:r w:rsidR="0045515C">
        <w:rPr>
          <w:b/>
          <w:bCs/>
          <w:i/>
          <w:iCs/>
          <w:sz w:val="32"/>
          <w:szCs w:val="32"/>
          <w:lang w:val="en-US"/>
        </w:rPr>
        <w:t>Stack v Dowden [2007]</w:t>
      </w:r>
      <w:r w:rsidR="0045515C">
        <w:rPr>
          <w:sz w:val="32"/>
          <w:szCs w:val="32"/>
          <w:lang w:val="en-US"/>
        </w:rPr>
        <w:t>).</w:t>
      </w:r>
    </w:p>
    <w:p w14:paraId="766B8BE6" w14:textId="18EDF74D" w:rsidR="0045515C" w:rsidRDefault="0045515C" w:rsidP="003916C6">
      <w:pPr>
        <w:pStyle w:val="ListParagraph"/>
        <w:numPr>
          <w:ilvl w:val="0"/>
          <w:numId w:val="3"/>
        </w:numPr>
        <w:rPr>
          <w:sz w:val="32"/>
          <w:szCs w:val="32"/>
          <w:lang w:val="en-US"/>
        </w:rPr>
      </w:pPr>
      <w:r>
        <w:rPr>
          <w:sz w:val="32"/>
          <w:szCs w:val="32"/>
          <w:lang w:val="en-US"/>
        </w:rPr>
        <w:t xml:space="preserve">“He who comes to equity must come with clean hands”. A feature of the remedies developed by the courts of equity is that they are discretionary. In order to receive an equitable remedy like specific performance or an injunction, the claimant themselves must have behaved unconscionably.  A company was refused an injunction in </w:t>
      </w:r>
      <w:r>
        <w:rPr>
          <w:b/>
          <w:bCs/>
          <w:i/>
          <w:iCs/>
          <w:sz w:val="32"/>
          <w:szCs w:val="32"/>
          <w:lang w:val="en-US"/>
        </w:rPr>
        <w:t xml:space="preserve">Lee v Haley [1869] </w:t>
      </w:r>
      <w:r>
        <w:rPr>
          <w:sz w:val="32"/>
          <w:szCs w:val="32"/>
          <w:lang w:val="en-US"/>
        </w:rPr>
        <w:t xml:space="preserve">on this ground.  It wished to protect its business but the business had been operated dishonestly and customers did </w:t>
      </w:r>
      <w:r>
        <w:rPr>
          <w:sz w:val="32"/>
          <w:szCs w:val="32"/>
          <w:lang w:val="en-US"/>
        </w:rPr>
        <w:lastRenderedPageBreak/>
        <w:t xml:space="preserve">not received what they had ordered.  However, in some circumstances, a claimant may still receive a remedy despite less-than-honest </w:t>
      </w:r>
      <w:proofErr w:type="spellStart"/>
      <w:r>
        <w:rPr>
          <w:sz w:val="32"/>
          <w:szCs w:val="32"/>
          <w:lang w:val="en-US"/>
        </w:rPr>
        <w:t>behaviour</w:t>
      </w:r>
      <w:proofErr w:type="spellEnd"/>
      <w:r>
        <w:rPr>
          <w:sz w:val="32"/>
          <w:szCs w:val="32"/>
          <w:lang w:val="en-US"/>
        </w:rPr>
        <w:t xml:space="preserve"> because there </w:t>
      </w:r>
      <w:proofErr w:type="spellStart"/>
      <w:r>
        <w:rPr>
          <w:sz w:val="32"/>
          <w:szCs w:val="32"/>
          <w:lang w:val="en-US"/>
        </w:rPr>
        <w:t>behaviour</w:t>
      </w:r>
      <w:proofErr w:type="spellEnd"/>
      <w:r>
        <w:rPr>
          <w:sz w:val="32"/>
          <w:szCs w:val="32"/>
          <w:lang w:val="en-US"/>
        </w:rPr>
        <w:t xml:space="preserve"> is not </w:t>
      </w:r>
      <w:r w:rsidR="009C2E62">
        <w:rPr>
          <w:sz w:val="32"/>
          <w:szCs w:val="32"/>
          <w:lang w:val="en-US"/>
        </w:rPr>
        <w:t>directly relevant to the claim they are making (</w:t>
      </w:r>
      <w:r w:rsidR="009C2E62">
        <w:rPr>
          <w:b/>
          <w:bCs/>
          <w:i/>
          <w:iCs/>
          <w:sz w:val="32"/>
          <w:szCs w:val="32"/>
          <w:lang w:val="en-US"/>
        </w:rPr>
        <w:t>Tinsley v Milligan [1993]</w:t>
      </w:r>
      <w:r w:rsidR="009C2E62">
        <w:rPr>
          <w:sz w:val="32"/>
          <w:szCs w:val="32"/>
          <w:lang w:val="en-US"/>
        </w:rPr>
        <w:t>) or because they did not carry out a dishonest design (</w:t>
      </w:r>
      <w:r w:rsidR="009C2E62">
        <w:rPr>
          <w:b/>
          <w:bCs/>
          <w:i/>
          <w:iCs/>
          <w:sz w:val="32"/>
          <w:szCs w:val="32"/>
          <w:lang w:val="en-US"/>
        </w:rPr>
        <w:t>Tribe v Tribe [1996]</w:t>
      </w:r>
      <w:r w:rsidR="009C2E62">
        <w:rPr>
          <w:sz w:val="32"/>
          <w:szCs w:val="32"/>
          <w:lang w:val="en-US"/>
        </w:rPr>
        <w:t>).</w:t>
      </w:r>
    </w:p>
    <w:p w14:paraId="7C34FD3E" w14:textId="17E41D2D" w:rsidR="009C2E62" w:rsidRDefault="009C2E62" w:rsidP="009C2E62">
      <w:pPr>
        <w:pStyle w:val="ListParagraph"/>
        <w:ind w:left="1080"/>
        <w:rPr>
          <w:sz w:val="32"/>
          <w:szCs w:val="32"/>
          <w:lang w:val="en-US"/>
        </w:rPr>
      </w:pPr>
    </w:p>
    <w:p w14:paraId="253FFF52" w14:textId="022EA702" w:rsidR="009C2E62" w:rsidRDefault="009C2E62" w:rsidP="009C2E62">
      <w:pPr>
        <w:pStyle w:val="ListParagraph"/>
        <w:numPr>
          <w:ilvl w:val="0"/>
          <w:numId w:val="1"/>
        </w:numPr>
        <w:rPr>
          <w:sz w:val="32"/>
          <w:szCs w:val="32"/>
          <w:lang w:val="en-US"/>
        </w:rPr>
      </w:pPr>
      <w:r>
        <w:rPr>
          <w:sz w:val="32"/>
          <w:szCs w:val="32"/>
          <w:lang w:val="en-US"/>
        </w:rPr>
        <w:t>Explain four modern uses of the trust.</w:t>
      </w:r>
    </w:p>
    <w:p w14:paraId="52C9AFFF" w14:textId="62F95E13" w:rsidR="009C2E62" w:rsidRDefault="009C2E62" w:rsidP="009C2E62">
      <w:pPr>
        <w:pStyle w:val="ListParagraph"/>
        <w:numPr>
          <w:ilvl w:val="0"/>
          <w:numId w:val="4"/>
        </w:numPr>
        <w:rPr>
          <w:sz w:val="32"/>
          <w:szCs w:val="32"/>
          <w:lang w:val="en-US"/>
        </w:rPr>
      </w:pPr>
      <w:r>
        <w:rPr>
          <w:sz w:val="32"/>
          <w:szCs w:val="32"/>
          <w:lang w:val="en-US"/>
        </w:rPr>
        <w:t>Providing a way for money to be held and applied for charitable purposes;</w:t>
      </w:r>
    </w:p>
    <w:p w14:paraId="139AF032" w14:textId="2E23A423" w:rsidR="009C2E62" w:rsidRDefault="009C2E62" w:rsidP="009C2E62">
      <w:pPr>
        <w:pStyle w:val="ListParagraph"/>
        <w:numPr>
          <w:ilvl w:val="0"/>
          <w:numId w:val="4"/>
        </w:numPr>
        <w:rPr>
          <w:sz w:val="32"/>
          <w:szCs w:val="32"/>
          <w:lang w:val="en-US"/>
        </w:rPr>
      </w:pPr>
      <w:r>
        <w:rPr>
          <w:sz w:val="32"/>
          <w:szCs w:val="32"/>
          <w:lang w:val="en-US"/>
        </w:rPr>
        <w:t>Allowing 2 or more people to hold land jointly;</w:t>
      </w:r>
    </w:p>
    <w:p w14:paraId="285CA8E2" w14:textId="3C7F54BF" w:rsidR="009C2E62" w:rsidRDefault="009C2E62" w:rsidP="009C2E62">
      <w:pPr>
        <w:pStyle w:val="ListParagraph"/>
        <w:numPr>
          <w:ilvl w:val="0"/>
          <w:numId w:val="4"/>
        </w:numPr>
        <w:rPr>
          <w:sz w:val="32"/>
          <w:szCs w:val="32"/>
          <w:lang w:val="en-US"/>
        </w:rPr>
      </w:pPr>
      <w:r>
        <w:rPr>
          <w:sz w:val="32"/>
          <w:szCs w:val="32"/>
          <w:lang w:val="en-US"/>
        </w:rPr>
        <w:t>Enabling family wealth to be held for the benefit of persons in succession, for example, to a testator’s wife during her lifetime, then the testator’s children and then their children;</w:t>
      </w:r>
    </w:p>
    <w:p w14:paraId="7BE2E88B" w14:textId="7A8E9C52" w:rsidR="009C2E62" w:rsidRDefault="009C2E62" w:rsidP="009C2E62">
      <w:pPr>
        <w:pStyle w:val="ListParagraph"/>
        <w:numPr>
          <w:ilvl w:val="0"/>
          <w:numId w:val="4"/>
        </w:numPr>
        <w:rPr>
          <w:sz w:val="32"/>
          <w:szCs w:val="32"/>
          <w:lang w:val="en-US"/>
        </w:rPr>
      </w:pPr>
      <w:r>
        <w:rPr>
          <w:sz w:val="32"/>
          <w:szCs w:val="32"/>
          <w:lang w:val="en-US"/>
        </w:rPr>
        <w:t>Enabling land or other property to be held for the benefit of a person or persons who cannot hold themselves because they are young  or who, it is thought, would benefit from someone else administering the land or other property for them;</w:t>
      </w:r>
    </w:p>
    <w:p w14:paraId="4C0FE1D6" w14:textId="017BF6B0" w:rsidR="009C2E62" w:rsidRDefault="009C2E62" w:rsidP="009C2E62">
      <w:pPr>
        <w:pStyle w:val="ListParagraph"/>
        <w:numPr>
          <w:ilvl w:val="0"/>
          <w:numId w:val="4"/>
        </w:numPr>
        <w:rPr>
          <w:sz w:val="32"/>
          <w:szCs w:val="32"/>
          <w:lang w:val="en-US"/>
        </w:rPr>
      </w:pPr>
      <w:r>
        <w:rPr>
          <w:sz w:val="32"/>
          <w:szCs w:val="32"/>
          <w:lang w:val="en-US"/>
        </w:rPr>
        <w:t>Enabling someone to make a secret gift to someone else in their will, despite the fact that wills are public documents;</w:t>
      </w:r>
    </w:p>
    <w:p w14:paraId="0BB368E0" w14:textId="455AB6A4" w:rsidR="009C2E62" w:rsidRDefault="009C2E62" w:rsidP="009C2E62">
      <w:pPr>
        <w:pStyle w:val="ListParagraph"/>
        <w:numPr>
          <w:ilvl w:val="0"/>
          <w:numId w:val="4"/>
        </w:numPr>
        <w:rPr>
          <w:sz w:val="32"/>
          <w:szCs w:val="32"/>
          <w:lang w:val="en-US"/>
        </w:rPr>
      </w:pPr>
      <w:r>
        <w:rPr>
          <w:sz w:val="32"/>
          <w:szCs w:val="32"/>
          <w:lang w:val="en-US"/>
        </w:rPr>
        <w:t>As a vehicle to protect lenders from the insolvency of borrowers, to mitigate or avoid tax, or to facilitate the operation of pension schemes.</w:t>
      </w:r>
    </w:p>
    <w:p w14:paraId="0C2608F3" w14:textId="401F98CB" w:rsidR="009C2E62" w:rsidRDefault="009C2E62" w:rsidP="009C2E62">
      <w:pPr>
        <w:pStyle w:val="ListParagraph"/>
        <w:numPr>
          <w:ilvl w:val="0"/>
          <w:numId w:val="1"/>
        </w:numPr>
        <w:rPr>
          <w:sz w:val="32"/>
          <w:szCs w:val="32"/>
          <w:lang w:val="en-US"/>
        </w:rPr>
      </w:pPr>
      <w:r>
        <w:rPr>
          <w:sz w:val="32"/>
          <w:szCs w:val="32"/>
          <w:lang w:val="en-US"/>
        </w:rPr>
        <w:t>Explain briefly what the term “</w:t>
      </w:r>
      <w:r>
        <w:rPr>
          <w:i/>
          <w:iCs/>
          <w:sz w:val="32"/>
          <w:szCs w:val="32"/>
          <w:lang w:val="en-US"/>
        </w:rPr>
        <w:t xml:space="preserve">bona fide </w:t>
      </w:r>
      <w:r>
        <w:rPr>
          <w:sz w:val="32"/>
          <w:szCs w:val="32"/>
          <w:lang w:val="en-US"/>
        </w:rPr>
        <w:t>purchaser for value without notice” means.</w:t>
      </w:r>
    </w:p>
    <w:p w14:paraId="173585E8" w14:textId="73DE8562" w:rsidR="009C2E62" w:rsidRDefault="009C2E62" w:rsidP="009C2E62">
      <w:pPr>
        <w:pStyle w:val="ListParagraph"/>
        <w:rPr>
          <w:sz w:val="32"/>
          <w:szCs w:val="32"/>
          <w:lang w:val="en-US"/>
        </w:rPr>
      </w:pPr>
      <w:r>
        <w:rPr>
          <w:sz w:val="32"/>
          <w:szCs w:val="32"/>
          <w:lang w:val="en-US"/>
        </w:rPr>
        <w:t xml:space="preserve">A purchaser for value is a purchaser who has given consideration, that is, the transaction is a contract.  If A </w:t>
      </w:r>
      <w:r w:rsidR="006F2FD4">
        <w:rPr>
          <w:sz w:val="32"/>
          <w:szCs w:val="32"/>
          <w:lang w:val="en-US"/>
        </w:rPr>
        <w:t xml:space="preserve">gives B a valuable vase for a Christmas present, then B is not the purchaser because B gave no consideration for the vase.  If A </w:t>
      </w:r>
      <w:r w:rsidR="006F2FD4">
        <w:rPr>
          <w:sz w:val="32"/>
          <w:szCs w:val="32"/>
          <w:lang w:val="en-US"/>
        </w:rPr>
        <w:lastRenderedPageBreak/>
        <w:t xml:space="preserve">sells C a vase for £1000, then C has given consideration.  Consideration is a contract law concept and has a wide meaning: it includes money, money’s worth or a future marriage.  There are 3 types of notice.  These are actual notice, imputed notice and constructive notice but you don’t really need to know these in depth.  </w:t>
      </w:r>
      <w:r w:rsidR="006F2FD4">
        <w:rPr>
          <w:i/>
          <w:iCs/>
          <w:sz w:val="32"/>
          <w:szCs w:val="32"/>
          <w:lang w:val="en-US"/>
        </w:rPr>
        <w:t xml:space="preserve">Bona fide </w:t>
      </w:r>
      <w:r w:rsidR="006F2FD4">
        <w:rPr>
          <w:sz w:val="32"/>
          <w:szCs w:val="32"/>
          <w:lang w:val="en-US"/>
        </w:rPr>
        <w:t>means acting in good faith.  This just emphasizes that the purchaser is not fraudulent and has no notice; it does not really add anything to the phrase.</w:t>
      </w:r>
    </w:p>
    <w:p w14:paraId="3AAFF950" w14:textId="0BFC3D85" w:rsidR="006F2FD4" w:rsidRDefault="006F2FD4" w:rsidP="009C2E62">
      <w:pPr>
        <w:pStyle w:val="ListParagraph"/>
        <w:rPr>
          <w:sz w:val="32"/>
          <w:szCs w:val="32"/>
          <w:lang w:val="en-US"/>
        </w:rPr>
      </w:pPr>
    </w:p>
    <w:p w14:paraId="66D0C76B" w14:textId="114839D1" w:rsidR="006F2FD4" w:rsidRDefault="006F2FD4" w:rsidP="006F2FD4">
      <w:pPr>
        <w:pStyle w:val="ListParagraph"/>
        <w:ind w:left="1440" w:hanging="720"/>
        <w:rPr>
          <w:sz w:val="32"/>
          <w:szCs w:val="32"/>
          <w:lang w:val="en-US"/>
        </w:rPr>
      </w:pPr>
      <w:r>
        <w:rPr>
          <w:sz w:val="32"/>
          <w:szCs w:val="32"/>
          <w:lang w:val="en-US"/>
        </w:rPr>
        <w:t>The cases:-</w:t>
      </w:r>
    </w:p>
    <w:p w14:paraId="1ADEC545" w14:textId="76DDAE06" w:rsidR="006F2FD4" w:rsidRDefault="006F2FD4" w:rsidP="006F2FD4">
      <w:pPr>
        <w:pStyle w:val="ListParagraph"/>
        <w:ind w:left="1440" w:hanging="720"/>
        <w:rPr>
          <w:sz w:val="32"/>
          <w:szCs w:val="32"/>
        </w:rPr>
      </w:pPr>
      <w:r>
        <w:rPr>
          <w:b/>
          <w:bCs/>
          <w:i/>
          <w:iCs/>
          <w:sz w:val="32"/>
          <w:szCs w:val="32"/>
          <w:lang w:val="en-US"/>
        </w:rPr>
        <w:t xml:space="preserve">Walsh v Lonsdale [1882] - </w:t>
      </w:r>
      <w:r w:rsidRPr="006F2FD4">
        <w:rPr>
          <w:sz w:val="32"/>
          <w:szCs w:val="32"/>
        </w:rPr>
        <w:t>In the case of a specifically enforceable obligation where the court will compel performance in the case of non</w:t>
      </w:r>
      <w:r>
        <w:rPr>
          <w:sz w:val="32"/>
          <w:szCs w:val="32"/>
        </w:rPr>
        <w:t>-</w:t>
      </w:r>
      <w:r w:rsidRPr="006F2FD4">
        <w:rPr>
          <w:sz w:val="32"/>
          <w:szCs w:val="32"/>
        </w:rPr>
        <w:t>compliance</w:t>
      </w:r>
      <w:r>
        <w:rPr>
          <w:sz w:val="32"/>
          <w:szCs w:val="32"/>
        </w:rPr>
        <w:t>,</w:t>
      </w:r>
      <w:r w:rsidRPr="006F2FD4">
        <w:rPr>
          <w:sz w:val="32"/>
          <w:szCs w:val="32"/>
        </w:rPr>
        <w:t xml:space="preserve"> such a</w:t>
      </w:r>
      <w:r>
        <w:rPr>
          <w:sz w:val="32"/>
          <w:szCs w:val="32"/>
        </w:rPr>
        <w:t>s a</w:t>
      </w:r>
      <w:r w:rsidRPr="006F2FD4">
        <w:rPr>
          <w:sz w:val="32"/>
          <w:szCs w:val="32"/>
        </w:rPr>
        <w:t xml:space="preserve"> contract to grant </w:t>
      </w:r>
      <w:r>
        <w:rPr>
          <w:sz w:val="32"/>
          <w:szCs w:val="32"/>
        </w:rPr>
        <w:t xml:space="preserve"> a </w:t>
      </w:r>
      <w:r w:rsidRPr="006F2FD4">
        <w:rPr>
          <w:sz w:val="32"/>
          <w:szCs w:val="32"/>
        </w:rPr>
        <w:t>legal lease</w:t>
      </w:r>
      <w:r>
        <w:rPr>
          <w:sz w:val="32"/>
          <w:szCs w:val="32"/>
        </w:rPr>
        <w:t>,</w:t>
      </w:r>
      <w:r w:rsidRPr="006F2FD4">
        <w:rPr>
          <w:sz w:val="32"/>
          <w:szCs w:val="32"/>
        </w:rPr>
        <w:t xml:space="preserve"> equity regards that </w:t>
      </w:r>
      <w:proofErr w:type="spellStart"/>
      <w:r w:rsidRPr="006F2FD4">
        <w:rPr>
          <w:sz w:val="32"/>
          <w:szCs w:val="32"/>
        </w:rPr>
        <w:t>as</w:t>
      </w:r>
      <w:proofErr w:type="spellEnd"/>
      <w:r w:rsidRPr="006F2FD4">
        <w:rPr>
          <w:sz w:val="32"/>
          <w:szCs w:val="32"/>
        </w:rPr>
        <w:t xml:space="preserve"> done that ought to be done and regards the parties as already in the position they would be in following the performance of the obligation</w:t>
      </w:r>
      <w:r>
        <w:rPr>
          <w:sz w:val="32"/>
          <w:szCs w:val="32"/>
        </w:rPr>
        <w:t>,</w:t>
      </w:r>
      <w:r w:rsidRPr="006F2FD4">
        <w:rPr>
          <w:sz w:val="32"/>
          <w:szCs w:val="32"/>
        </w:rPr>
        <w:t xml:space="preserve"> in other words as if the lease had been granted</w:t>
      </w:r>
      <w:r>
        <w:rPr>
          <w:sz w:val="32"/>
          <w:szCs w:val="32"/>
        </w:rPr>
        <w:t>.</w:t>
      </w:r>
    </w:p>
    <w:p w14:paraId="70E55B93" w14:textId="5CFF07DC" w:rsidR="006F2FD4" w:rsidRPr="006F2FD4" w:rsidRDefault="006F2FD4" w:rsidP="006F2FD4">
      <w:pPr>
        <w:pStyle w:val="ListParagraph"/>
        <w:ind w:left="1440" w:hanging="720"/>
        <w:rPr>
          <w:sz w:val="32"/>
          <w:szCs w:val="32"/>
        </w:rPr>
      </w:pPr>
      <w:r>
        <w:rPr>
          <w:b/>
          <w:bCs/>
          <w:i/>
          <w:iCs/>
          <w:sz w:val="32"/>
          <w:szCs w:val="32"/>
          <w:lang w:val="en-US"/>
        </w:rPr>
        <w:t>Penn v Lord Baltimore [1750] -</w:t>
      </w:r>
      <w:r>
        <w:rPr>
          <w:sz w:val="32"/>
          <w:szCs w:val="32"/>
          <w:lang w:val="en-US"/>
        </w:rPr>
        <w:t xml:space="preserve"> </w:t>
      </w:r>
      <w:r w:rsidRPr="006F2FD4">
        <w:rPr>
          <w:sz w:val="32"/>
          <w:szCs w:val="32"/>
        </w:rPr>
        <w:t>An English court made an order requiring the defendant to carry out an agreement relating to boundaries of land. The defendant was in England</w:t>
      </w:r>
      <w:r>
        <w:rPr>
          <w:sz w:val="32"/>
          <w:szCs w:val="32"/>
        </w:rPr>
        <w:t>;</w:t>
      </w:r>
      <w:r w:rsidRPr="006F2FD4">
        <w:rPr>
          <w:sz w:val="32"/>
          <w:szCs w:val="32"/>
        </w:rPr>
        <w:t xml:space="preserve"> the land was in America.</w:t>
      </w:r>
    </w:p>
    <w:p w14:paraId="0ACEEA12" w14:textId="50154C5F" w:rsidR="006F2FD4" w:rsidRDefault="00A8623F" w:rsidP="006F2FD4">
      <w:pPr>
        <w:pStyle w:val="ListParagraph"/>
        <w:ind w:left="1440" w:hanging="720"/>
        <w:rPr>
          <w:sz w:val="32"/>
          <w:szCs w:val="32"/>
        </w:rPr>
      </w:pPr>
      <w:r>
        <w:rPr>
          <w:sz w:val="32"/>
          <w:szCs w:val="32"/>
        </w:rPr>
        <w:t>This</w:t>
      </w:r>
      <w:r w:rsidR="006F2FD4" w:rsidRPr="006F2FD4">
        <w:rPr>
          <w:sz w:val="32"/>
          <w:szCs w:val="32"/>
        </w:rPr>
        <w:t xml:space="preserve"> principle also explains why a beneficiary under a trust has a choice between an action to recover the trust property itself </w:t>
      </w:r>
      <w:r>
        <w:rPr>
          <w:sz w:val="32"/>
          <w:szCs w:val="32"/>
        </w:rPr>
        <w:t>(</w:t>
      </w:r>
      <w:r w:rsidR="006F2FD4" w:rsidRPr="006F2FD4">
        <w:rPr>
          <w:sz w:val="32"/>
          <w:szCs w:val="32"/>
        </w:rPr>
        <w:t xml:space="preserve">an </w:t>
      </w:r>
      <w:r w:rsidR="006F2FD4" w:rsidRPr="00A8623F">
        <w:rPr>
          <w:i/>
          <w:iCs/>
          <w:sz w:val="32"/>
          <w:szCs w:val="32"/>
        </w:rPr>
        <w:t xml:space="preserve">in </w:t>
      </w:r>
      <w:r w:rsidRPr="00A8623F">
        <w:rPr>
          <w:i/>
          <w:iCs/>
          <w:sz w:val="32"/>
          <w:szCs w:val="32"/>
        </w:rPr>
        <w:t>rem</w:t>
      </w:r>
      <w:r w:rsidR="006F2FD4" w:rsidRPr="006F2FD4">
        <w:rPr>
          <w:sz w:val="32"/>
          <w:szCs w:val="32"/>
        </w:rPr>
        <w:t xml:space="preserve"> action</w:t>
      </w:r>
      <w:r>
        <w:rPr>
          <w:sz w:val="32"/>
          <w:szCs w:val="32"/>
        </w:rPr>
        <w:t>)</w:t>
      </w:r>
      <w:r w:rsidR="006F2FD4" w:rsidRPr="006F2FD4">
        <w:rPr>
          <w:sz w:val="32"/>
          <w:szCs w:val="32"/>
        </w:rPr>
        <w:t xml:space="preserve"> or a personal action against the trustee. The beneficiary is entitled to ignore the </w:t>
      </w:r>
      <w:r w:rsidR="006F2FD4" w:rsidRPr="00A8623F">
        <w:rPr>
          <w:i/>
          <w:iCs/>
          <w:sz w:val="32"/>
          <w:szCs w:val="32"/>
        </w:rPr>
        <w:t xml:space="preserve">in </w:t>
      </w:r>
      <w:r w:rsidRPr="00A8623F">
        <w:rPr>
          <w:i/>
          <w:iCs/>
          <w:sz w:val="32"/>
          <w:szCs w:val="32"/>
        </w:rPr>
        <w:t>rem</w:t>
      </w:r>
      <w:r>
        <w:rPr>
          <w:sz w:val="32"/>
          <w:szCs w:val="32"/>
        </w:rPr>
        <w:t xml:space="preserve"> </w:t>
      </w:r>
      <w:r w:rsidR="006F2FD4" w:rsidRPr="006F2FD4">
        <w:rPr>
          <w:sz w:val="32"/>
          <w:szCs w:val="32"/>
        </w:rPr>
        <w:t>action if his preference is to pursue the trustee personally</w:t>
      </w:r>
      <w:r>
        <w:rPr>
          <w:sz w:val="32"/>
          <w:szCs w:val="32"/>
        </w:rPr>
        <w:t xml:space="preserve">. </w:t>
      </w:r>
      <w:r w:rsidRPr="00A8623F">
        <w:rPr>
          <w:sz w:val="32"/>
          <w:szCs w:val="32"/>
        </w:rPr>
        <w:t xml:space="preserve">This therefore links with the Maxim equity acts </w:t>
      </w:r>
      <w:r w:rsidRPr="00A8623F">
        <w:rPr>
          <w:i/>
          <w:iCs/>
          <w:sz w:val="32"/>
          <w:szCs w:val="32"/>
        </w:rPr>
        <w:t xml:space="preserve">“in </w:t>
      </w:r>
      <w:proofErr w:type="spellStart"/>
      <w:r w:rsidRPr="00A8623F">
        <w:rPr>
          <w:i/>
          <w:iCs/>
          <w:sz w:val="32"/>
          <w:szCs w:val="32"/>
        </w:rPr>
        <w:t>personam</w:t>
      </w:r>
      <w:proofErr w:type="spellEnd"/>
      <w:r>
        <w:rPr>
          <w:sz w:val="32"/>
          <w:szCs w:val="32"/>
        </w:rPr>
        <w:t>”</w:t>
      </w:r>
      <w:r w:rsidRPr="00A8623F">
        <w:rPr>
          <w:sz w:val="32"/>
          <w:szCs w:val="32"/>
        </w:rPr>
        <w:t xml:space="preserve">. </w:t>
      </w:r>
    </w:p>
    <w:p w14:paraId="5C1FBB1E" w14:textId="6770D072" w:rsidR="00A8623F" w:rsidRDefault="00A8623F" w:rsidP="006F2FD4">
      <w:pPr>
        <w:pStyle w:val="ListParagraph"/>
        <w:ind w:left="1440" w:hanging="720"/>
        <w:rPr>
          <w:sz w:val="32"/>
          <w:szCs w:val="32"/>
        </w:rPr>
      </w:pPr>
      <w:r>
        <w:rPr>
          <w:b/>
          <w:bCs/>
          <w:i/>
          <w:iCs/>
          <w:sz w:val="32"/>
          <w:szCs w:val="32"/>
        </w:rPr>
        <w:t xml:space="preserve">Lee v Haley [1869] – </w:t>
      </w:r>
      <w:r>
        <w:rPr>
          <w:sz w:val="32"/>
          <w:szCs w:val="32"/>
        </w:rPr>
        <w:t>see above; he who comes to equity must come with clean hands.</w:t>
      </w:r>
    </w:p>
    <w:p w14:paraId="6DF99BB9" w14:textId="27DD11E2" w:rsidR="00A8623F" w:rsidRDefault="00A8623F" w:rsidP="006F2FD4">
      <w:pPr>
        <w:pStyle w:val="ListParagraph"/>
        <w:ind w:left="1440" w:hanging="720"/>
        <w:rPr>
          <w:sz w:val="32"/>
          <w:szCs w:val="32"/>
        </w:rPr>
      </w:pPr>
      <w:r>
        <w:rPr>
          <w:b/>
          <w:bCs/>
          <w:i/>
          <w:iCs/>
          <w:sz w:val="32"/>
          <w:szCs w:val="32"/>
        </w:rPr>
        <w:t>O’Sullivan v Management Agency and Music Limited [1985] –</w:t>
      </w:r>
      <w:r>
        <w:rPr>
          <w:sz w:val="32"/>
          <w:szCs w:val="32"/>
        </w:rPr>
        <w:t xml:space="preserve"> He who seeks equity must do equity.  </w:t>
      </w:r>
      <w:r w:rsidRPr="00A8623F">
        <w:rPr>
          <w:sz w:val="32"/>
          <w:szCs w:val="32"/>
        </w:rPr>
        <w:t xml:space="preserve">Without the </w:t>
      </w:r>
      <w:r w:rsidRPr="00A8623F">
        <w:rPr>
          <w:sz w:val="32"/>
          <w:szCs w:val="32"/>
        </w:rPr>
        <w:lastRenderedPageBreak/>
        <w:t>assistance of the management company</w:t>
      </w:r>
      <w:r>
        <w:rPr>
          <w:sz w:val="32"/>
          <w:szCs w:val="32"/>
        </w:rPr>
        <w:t>,</w:t>
      </w:r>
      <w:r w:rsidRPr="00A8623F">
        <w:rPr>
          <w:sz w:val="32"/>
          <w:szCs w:val="32"/>
        </w:rPr>
        <w:t xml:space="preserve"> O'Sullivan would have remained poor and unknown</w:t>
      </w:r>
      <w:r>
        <w:rPr>
          <w:sz w:val="32"/>
          <w:szCs w:val="32"/>
        </w:rPr>
        <w:t>,</w:t>
      </w:r>
      <w:r w:rsidRPr="00A8623F">
        <w:rPr>
          <w:sz w:val="32"/>
          <w:szCs w:val="32"/>
        </w:rPr>
        <w:t xml:space="preserve"> a</w:t>
      </w:r>
      <w:r>
        <w:rPr>
          <w:sz w:val="32"/>
          <w:szCs w:val="32"/>
        </w:rPr>
        <w:t xml:space="preserve"> </w:t>
      </w:r>
      <w:r w:rsidRPr="00A8623F">
        <w:rPr>
          <w:sz w:val="32"/>
          <w:szCs w:val="32"/>
        </w:rPr>
        <w:t xml:space="preserve">factor that should be taken into account and the company given an allowance for its work on </w:t>
      </w:r>
      <w:r>
        <w:rPr>
          <w:sz w:val="32"/>
          <w:szCs w:val="32"/>
        </w:rPr>
        <w:t>O</w:t>
      </w:r>
      <w:r w:rsidRPr="00A8623F">
        <w:rPr>
          <w:sz w:val="32"/>
          <w:szCs w:val="32"/>
        </w:rPr>
        <w:t>'</w:t>
      </w:r>
      <w:r>
        <w:rPr>
          <w:sz w:val="32"/>
          <w:szCs w:val="32"/>
        </w:rPr>
        <w:t>S</w:t>
      </w:r>
      <w:r w:rsidRPr="00A8623F">
        <w:rPr>
          <w:sz w:val="32"/>
          <w:szCs w:val="32"/>
        </w:rPr>
        <w:t xml:space="preserve">ullivan's career. The Court of Appeal agreed. It would simply be inequitable to seek to recover the whole of the profit without being prepared to allow reasonable remuneration for the services provided to him during which time his success was phenomenal. </w:t>
      </w:r>
    </w:p>
    <w:p w14:paraId="6703D8F3" w14:textId="60D14295" w:rsidR="00A8623F" w:rsidRDefault="00A8623F" w:rsidP="006F2FD4">
      <w:pPr>
        <w:pStyle w:val="ListParagraph"/>
        <w:ind w:left="1440" w:hanging="720"/>
        <w:rPr>
          <w:sz w:val="32"/>
          <w:szCs w:val="32"/>
        </w:rPr>
      </w:pPr>
      <w:r>
        <w:rPr>
          <w:b/>
          <w:bCs/>
          <w:i/>
          <w:iCs/>
          <w:sz w:val="32"/>
          <w:szCs w:val="32"/>
        </w:rPr>
        <w:t>Baker v Archer-</w:t>
      </w:r>
      <w:proofErr w:type="spellStart"/>
      <w:r>
        <w:rPr>
          <w:b/>
          <w:bCs/>
          <w:i/>
          <w:iCs/>
          <w:sz w:val="32"/>
          <w:szCs w:val="32"/>
        </w:rPr>
        <w:t>Shee</w:t>
      </w:r>
      <w:proofErr w:type="spellEnd"/>
      <w:r>
        <w:rPr>
          <w:b/>
          <w:bCs/>
          <w:i/>
          <w:iCs/>
          <w:sz w:val="32"/>
          <w:szCs w:val="32"/>
        </w:rPr>
        <w:t xml:space="preserve"> [1927] - </w:t>
      </w:r>
      <w:r w:rsidRPr="00A8623F">
        <w:rPr>
          <w:sz w:val="32"/>
          <w:szCs w:val="32"/>
        </w:rPr>
        <w:t xml:space="preserve">The beneficiary was held by the House of Lords to be the owner. In this case, </w:t>
      </w:r>
      <w:r>
        <w:rPr>
          <w:sz w:val="32"/>
          <w:szCs w:val="32"/>
        </w:rPr>
        <w:t>L</w:t>
      </w:r>
      <w:r w:rsidRPr="00A8623F">
        <w:rPr>
          <w:sz w:val="32"/>
          <w:szCs w:val="32"/>
        </w:rPr>
        <w:t>ady Archer</w:t>
      </w:r>
      <w:r>
        <w:rPr>
          <w:sz w:val="32"/>
          <w:szCs w:val="32"/>
        </w:rPr>
        <w:t>-</w:t>
      </w:r>
      <w:r w:rsidRPr="00A8623F">
        <w:rPr>
          <w:sz w:val="32"/>
          <w:szCs w:val="32"/>
        </w:rPr>
        <w:t xml:space="preserve"> </w:t>
      </w:r>
      <w:proofErr w:type="spellStart"/>
      <w:r>
        <w:rPr>
          <w:sz w:val="32"/>
          <w:szCs w:val="32"/>
        </w:rPr>
        <w:t>S</w:t>
      </w:r>
      <w:r w:rsidRPr="00A8623F">
        <w:rPr>
          <w:sz w:val="32"/>
          <w:szCs w:val="32"/>
        </w:rPr>
        <w:t>he</w:t>
      </w:r>
      <w:r>
        <w:rPr>
          <w:sz w:val="32"/>
          <w:szCs w:val="32"/>
        </w:rPr>
        <w:t>e</w:t>
      </w:r>
      <w:proofErr w:type="spellEnd"/>
      <w:r w:rsidRPr="00A8623F">
        <w:rPr>
          <w:sz w:val="32"/>
          <w:szCs w:val="32"/>
        </w:rPr>
        <w:t xml:space="preserve"> </w:t>
      </w:r>
      <w:r>
        <w:rPr>
          <w:sz w:val="32"/>
          <w:szCs w:val="32"/>
        </w:rPr>
        <w:t>(</w:t>
      </w:r>
      <w:r w:rsidRPr="00A8623F">
        <w:rPr>
          <w:sz w:val="32"/>
          <w:szCs w:val="32"/>
        </w:rPr>
        <w:t>an American citizen resident in England</w:t>
      </w:r>
      <w:r>
        <w:rPr>
          <w:sz w:val="32"/>
          <w:szCs w:val="32"/>
        </w:rPr>
        <w:t>)</w:t>
      </w:r>
      <w:r w:rsidRPr="00A8623F">
        <w:rPr>
          <w:sz w:val="32"/>
          <w:szCs w:val="32"/>
        </w:rPr>
        <w:t xml:space="preserve"> was entitled to the income under a New York trust created by a New York settl</w:t>
      </w:r>
      <w:r>
        <w:rPr>
          <w:sz w:val="32"/>
          <w:szCs w:val="32"/>
        </w:rPr>
        <w:t>o</w:t>
      </w:r>
      <w:r w:rsidRPr="00A8623F">
        <w:rPr>
          <w:sz w:val="32"/>
          <w:szCs w:val="32"/>
        </w:rPr>
        <w:t>r. The income was received by the New York trustee who</w:t>
      </w:r>
      <w:r>
        <w:rPr>
          <w:sz w:val="32"/>
          <w:szCs w:val="32"/>
        </w:rPr>
        <w:t>,</w:t>
      </w:r>
      <w:r w:rsidRPr="00A8623F">
        <w:rPr>
          <w:sz w:val="32"/>
          <w:szCs w:val="32"/>
        </w:rPr>
        <w:t xml:space="preserve"> after paying allowable expenses and local tax</w:t>
      </w:r>
      <w:r>
        <w:rPr>
          <w:sz w:val="32"/>
          <w:szCs w:val="32"/>
        </w:rPr>
        <w:t>,</w:t>
      </w:r>
      <w:r w:rsidRPr="00A8623F">
        <w:rPr>
          <w:sz w:val="32"/>
          <w:szCs w:val="32"/>
        </w:rPr>
        <w:t xml:space="preserve"> credit</w:t>
      </w:r>
      <w:r>
        <w:rPr>
          <w:sz w:val="32"/>
          <w:szCs w:val="32"/>
        </w:rPr>
        <w:t>ed</w:t>
      </w:r>
      <w:r w:rsidRPr="00A8623F">
        <w:rPr>
          <w:sz w:val="32"/>
          <w:szCs w:val="32"/>
        </w:rPr>
        <w:t xml:space="preserve"> the net amount to an account held in New York. The question arose as to whether </w:t>
      </w:r>
      <w:r>
        <w:rPr>
          <w:sz w:val="32"/>
          <w:szCs w:val="32"/>
        </w:rPr>
        <w:t>L</w:t>
      </w:r>
      <w:r w:rsidRPr="00A8623F">
        <w:rPr>
          <w:sz w:val="32"/>
          <w:szCs w:val="32"/>
        </w:rPr>
        <w:t>ady Archer</w:t>
      </w:r>
      <w:r>
        <w:rPr>
          <w:sz w:val="32"/>
          <w:szCs w:val="32"/>
        </w:rPr>
        <w:t>-</w:t>
      </w:r>
      <w:proofErr w:type="spellStart"/>
      <w:r>
        <w:rPr>
          <w:sz w:val="32"/>
          <w:szCs w:val="32"/>
        </w:rPr>
        <w:t>S</w:t>
      </w:r>
      <w:r w:rsidRPr="00A8623F">
        <w:rPr>
          <w:sz w:val="32"/>
          <w:szCs w:val="32"/>
        </w:rPr>
        <w:t>he</w:t>
      </w:r>
      <w:r>
        <w:rPr>
          <w:sz w:val="32"/>
          <w:szCs w:val="32"/>
        </w:rPr>
        <w:t>e</w:t>
      </w:r>
      <w:proofErr w:type="spellEnd"/>
      <w:r w:rsidRPr="00A8623F">
        <w:rPr>
          <w:sz w:val="32"/>
          <w:szCs w:val="32"/>
        </w:rPr>
        <w:t xml:space="preserve"> was liable to UK tax on this income . For reasons turning on English tax law at the time, the answer depended on whether </w:t>
      </w:r>
      <w:r>
        <w:rPr>
          <w:sz w:val="32"/>
          <w:szCs w:val="32"/>
        </w:rPr>
        <w:t>L</w:t>
      </w:r>
      <w:r w:rsidRPr="00A8623F">
        <w:rPr>
          <w:sz w:val="32"/>
          <w:szCs w:val="32"/>
        </w:rPr>
        <w:t>ady Archer</w:t>
      </w:r>
      <w:r>
        <w:rPr>
          <w:sz w:val="32"/>
          <w:szCs w:val="32"/>
        </w:rPr>
        <w:t>-</w:t>
      </w:r>
      <w:proofErr w:type="spellStart"/>
      <w:r>
        <w:rPr>
          <w:sz w:val="32"/>
          <w:szCs w:val="32"/>
        </w:rPr>
        <w:t>S</w:t>
      </w:r>
      <w:r w:rsidRPr="00A8623F">
        <w:rPr>
          <w:sz w:val="32"/>
          <w:szCs w:val="32"/>
        </w:rPr>
        <w:t>he</w:t>
      </w:r>
      <w:r>
        <w:rPr>
          <w:sz w:val="32"/>
          <w:szCs w:val="32"/>
        </w:rPr>
        <w:t>e</w:t>
      </w:r>
      <w:proofErr w:type="spellEnd"/>
      <w:r w:rsidRPr="00A8623F">
        <w:rPr>
          <w:sz w:val="32"/>
          <w:szCs w:val="32"/>
        </w:rPr>
        <w:t xml:space="preserve"> was entitled to the income on the trust property as it arose as opposed to merely what the trustees paid her after deducting their costs and other expenses. In other words</w:t>
      </w:r>
      <w:r w:rsidR="00485567">
        <w:rPr>
          <w:sz w:val="32"/>
          <w:szCs w:val="32"/>
        </w:rPr>
        <w:t>,</w:t>
      </w:r>
      <w:r w:rsidRPr="00A8623F">
        <w:rPr>
          <w:sz w:val="32"/>
          <w:szCs w:val="32"/>
        </w:rPr>
        <w:t xml:space="preserve"> it depended on whether what she owned was the dividends themselves or the right to force the trustees to transfer the dividends to her. If she had a property right in the dividends, she would be entitled to the income </w:t>
      </w:r>
      <w:r w:rsidR="00485567" w:rsidRPr="00485567">
        <w:rPr>
          <w:sz w:val="32"/>
          <w:szCs w:val="32"/>
        </w:rPr>
        <w:t>at the point at which it was received by the trustees, and not when they paid it to her. The House of Lords decided</w:t>
      </w:r>
      <w:r w:rsidR="00485567">
        <w:rPr>
          <w:sz w:val="32"/>
          <w:szCs w:val="32"/>
        </w:rPr>
        <w:t>,</w:t>
      </w:r>
      <w:r w:rsidR="00485567" w:rsidRPr="00485567">
        <w:rPr>
          <w:sz w:val="32"/>
          <w:szCs w:val="32"/>
        </w:rPr>
        <w:t xml:space="preserve"> by a majority of three to two</w:t>
      </w:r>
      <w:r w:rsidR="00485567">
        <w:rPr>
          <w:sz w:val="32"/>
          <w:szCs w:val="32"/>
        </w:rPr>
        <w:t>,</w:t>
      </w:r>
      <w:r w:rsidR="00485567" w:rsidRPr="00485567">
        <w:rPr>
          <w:sz w:val="32"/>
          <w:szCs w:val="32"/>
        </w:rPr>
        <w:t xml:space="preserve"> that she owned the income as it arose. Therefore she was liable to pay UK tax. Admittedly their lordships may have had in mind the fiscal implications of deciding otherwise which might have influenced the decision. </w:t>
      </w:r>
    </w:p>
    <w:p w14:paraId="56F4330E" w14:textId="1BBD9E55" w:rsidR="00485567" w:rsidRPr="00A8623F" w:rsidRDefault="00485567" w:rsidP="006F2FD4">
      <w:pPr>
        <w:pStyle w:val="ListParagraph"/>
        <w:ind w:left="1440" w:hanging="720"/>
        <w:rPr>
          <w:sz w:val="32"/>
          <w:szCs w:val="32"/>
        </w:rPr>
      </w:pPr>
      <w:proofErr w:type="spellStart"/>
      <w:r>
        <w:rPr>
          <w:b/>
          <w:bCs/>
          <w:i/>
          <w:iCs/>
          <w:sz w:val="32"/>
          <w:szCs w:val="32"/>
        </w:rPr>
        <w:lastRenderedPageBreak/>
        <w:t>Schalit</w:t>
      </w:r>
      <w:proofErr w:type="spellEnd"/>
      <w:r>
        <w:rPr>
          <w:b/>
          <w:bCs/>
          <w:i/>
          <w:iCs/>
          <w:sz w:val="32"/>
          <w:szCs w:val="32"/>
        </w:rPr>
        <w:t xml:space="preserve"> v Nadler [1933] -</w:t>
      </w:r>
      <w:r>
        <w:rPr>
          <w:sz w:val="32"/>
          <w:szCs w:val="32"/>
        </w:rPr>
        <w:t xml:space="preserve"> </w:t>
      </w:r>
      <w:r w:rsidRPr="00485567">
        <w:rPr>
          <w:sz w:val="32"/>
          <w:szCs w:val="32"/>
        </w:rPr>
        <w:t xml:space="preserve">The </w:t>
      </w:r>
      <w:r w:rsidRPr="00485567">
        <w:rPr>
          <w:i/>
          <w:iCs/>
          <w:sz w:val="32"/>
          <w:szCs w:val="32"/>
        </w:rPr>
        <w:t xml:space="preserve">“in </w:t>
      </w:r>
      <w:proofErr w:type="spellStart"/>
      <w:r w:rsidRPr="00485567">
        <w:rPr>
          <w:i/>
          <w:iCs/>
          <w:sz w:val="32"/>
          <w:szCs w:val="32"/>
        </w:rPr>
        <w:t>personam</w:t>
      </w:r>
      <w:proofErr w:type="spellEnd"/>
      <w:r w:rsidRPr="00485567">
        <w:rPr>
          <w:i/>
          <w:iCs/>
          <w:sz w:val="32"/>
          <w:szCs w:val="32"/>
        </w:rPr>
        <w:t>”</w:t>
      </w:r>
      <w:r w:rsidRPr="00485567">
        <w:rPr>
          <w:sz w:val="32"/>
          <w:szCs w:val="32"/>
        </w:rPr>
        <w:t xml:space="preserve"> approach was accepted in this case. The issue was who was entitled to exercise the landlord</w:t>
      </w:r>
      <w:r>
        <w:rPr>
          <w:sz w:val="32"/>
          <w:szCs w:val="32"/>
        </w:rPr>
        <w:t>’</w:t>
      </w:r>
      <w:r w:rsidRPr="00485567">
        <w:rPr>
          <w:sz w:val="32"/>
          <w:szCs w:val="32"/>
        </w:rPr>
        <w:t>s remedy of levying distress for rent. This is the landlord</w:t>
      </w:r>
      <w:r>
        <w:rPr>
          <w:sz w:val="32"/>
          <w:szCs w:val="32"/>
        </w:rPr>
        <w:t>’</w:t>
      </w:r>
      <w:r w:rsidRPr="00485567">
        <w:rPr>
          <w:sz w:val="32"/>
          <w:szCs w:val="32"/>
        </w:rPr>
        <w:t xml:space="preserve">s right to enter tenanted property to seize, hold or even sell goods found there, either until the rent is paid or in place of rent. A tenant had rented premises from Joseph </w:t>
      </w:r>
      <w:r>
        <w:rPr>
          <w:sz w:val="32"/>
          <w:szCs w:val="32"/>
        </w:rPr>
        <w:t>N</w:t>
      </w:r>
      <w:r w:rsidRPr="00485567">
        <w:rPr>
          <w:sz w:val="32"/>
          <w:szCs w:val="32"/>
        </w:rPr>
        <w:t xml:space="preserve">adler. Later, Joseph </w:t>
      </w:r>
      <w:r>
        <w:rPr>
          <w:sz w:val="32"/>
          <w:szCs w:val="32"/>
        </w:rPr>
        <w:t>N</w:t>
      </w:r>
      <w:r w:rsidRPr="00485567">
        <w:rPr>
          <w:sz w:val="32"/>
          <w:szCs w:val="32"/>
        </w:rPr>
        <w:t xml:space="preserve">adler declared himself trustee of the property in favour of Joseph </w:t>
      </w:r>
      <w:r>
        <w:rPr>
          <w:sz w:val="32"/>
          <w:szCs w:val="32"/>
        </w:rPr>
        <w:t>N</w:t>
      </w:r>
      <w:r w:rsidRPr="00485567">
        <w:rPr>
          <w:sz w:val="32"/>
          <w:szCs w:val="32"/>
        </w:rPr>
        <w:t xml:space="preserve">adler </w:t>
      </w:r>
      <w:r>
        <w:rPr>
          <w:sz w:val="32"/>
          <w:szCs w:val="32"/>
        </w:rPr>
        <w:t>L</w:t>
      </w:r>
      <w:r w:rsidRPr="00485567">
        <w:rPr>
          <w:sz w:val="32"/>
          <w:szCs w:val="32"/>
        </w:rPr>
        <w:t xml:space="preserve">imited. When the tenant fell into arrears, Joseph </w:t>
      </w:r>
      <w:r>
        <w:rPr>
          <w:sz w:val="32"/>
          <w:szCs w:val="32"/>
        </w:rPr>
        <w:t>N</w:t>
      </w:r>
      <w:r w:rsidRPr="00485567">
        <w:rPr>
          <w:sz w:val="32"/>
          <w:szCs w:val="32"/>
        </w:rPr>
        <w:t xml:space="preserve">adler </w:t>
      </w:r>
      <w:r>
        <w:rPr>
          <w:sz w:val="32"/>
          <w:szCs w:val="32"/>
        </w:rPr>
        <w:t>L</w:t>
      </w:r>
      <w:r w:rsidRPr="00485567">
        <w:rPr>
          <w:sz w:val="32"/>
          <w:szCs w:val="32"/>
        </w:rPr>
        <w:t>imited instructed a bailiff to enter the premises and seize the tenant</w:t>
      </w:r>
      <w:r>
        <w:rPr>
          <w:sz w:val="32"/>
          <w:szCs w:val="32"/>
        </w:rPr>
        <w:t>’</w:t>
      </w:r>
      <w:r w:rsidRPr="00485567">
        <w:rPr>
          <w:sz w:val="32"/>
          <w:szCs w:val="32"/>
        </w:rPr>
        <w:t xml:space="preserve">s goods . The tenant argued that the district was invalid as only Joseph </w:t>
      </w:r>
      <w:r>
        <w:rPr>
          <w:sz w:val="32"/>
          <w:szCs w:val="32"/>
        </w:rPr>
        <w:t>N</w:t>
      </w:r>
      <w:r w:rsidRPr="00485567">
        <w:rPr>
          <w:sz w:val="32"/>
          <w:szCs w:val="32"/>
        </w:rPr>
        <w:t xml:space="preserve">adler was entitled to exercise the remedy. The court agreed. The beneficiary was entitled to bring an action against Joseph </w:t>
      </w:r>
      <w:r>
        <w:rPr>
          <w:sz w:val="32"/>
          <w:szCs w:val="32"/>
        </w:rPr>
        <w:t>N</w:t>
      </w:r>
      <w:r w:rsidRPr="00485567">
        <w:rPr>
          <w:sz w:val="32"/>
          <w:szCs w:val="32"/>
        </w:rPr>
        <w:t>adler for the profits from the trust property, but was not entitled to the rent itself</w:t>
      </w:r>
      <w:r>
        <w:rPr>
          <w:sz w:val="32"/>
          <w:szCs w:val="32"/>
        </w:rPr>
        <w:t>.</w:t>
      </w:r>
    </w:p>
    <w:sectPr w:rsidR="00485567" w:rsidRPr="00A862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1B28C9"/>
    <w:multiLevelType w:val="hybridMultilevel"/>
    <w:tmpl w:val="1B76F260"/>
    <w:lvl w:ilvl="0" w:tplc="1884D22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8F4780D"/>
    <w:multiLevelType w:val="hybridMultilevel"/>
    <w:tmpl w:val="46F22A2E"/>
    <w:lvl w:ilvl="0" w:tplc="7428AFD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E710AF7"/>
    <w:multiLevelType w:val="hybridMultilevel"/>
    <w:tmpl w:val="C87E44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BE72832"/>
    <w:multiLevelType w:val="hybridMultilevel"/>
    <w:tmpl w:val="747E8F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884"/>
    <w:rsid w:val="003916C6"/>
    <w:rsid w:val="0045515C"/>
    <w:rsid w:val="00485567"/>
    <w:rsid w:val="006F2FD4"/>
    <w:rsid w:val="007A1884"/>
    <w:rsid w:val="009257EB"/>
    <w:rsid w:val="009C2E62"/>
    <w:rsid w:val="00A862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2B5DF"/>
  <w15:chartTrackingRefBased/>
  <w15:docId w15:val="{37368E72-D3EE-4918-AD89-586E28B37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18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1378</Words>
  <Characters>7861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2020-09-13T11:59:00Z</dcterms:created>
  <dcterms:modified xsi:type="dcterms:W3CDTF">2020-09-13T13:05:00Z</dcterms:modified>
</cp:coreProperties>
</file>