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4FBB00" w14:textId="0CEB56AE" w:rsidR="00C414FF" w:rsidRPr="00C414FF" w:rsidRDefault="00C414FF" w:rsidP="00C414FF">
      <w:pPr>
        <w:jc w:val="center"/>
        <w:rPr>
          <w:rFonts w:ascii="Arial" w:hAnsi="Arial" w:cs="Arial"/>
        </w:rPr>
      </w:pPr>
      <w:r w:rsidRPr="00C414FF">
        <w:rPr>
          <w:rFonts w:ascii="Arial" w:hAnsi="Arial" w:cs="Arial"/>
          <w:noProof/>
        </w:rPr>
        <w:drawing>
          <wp:inline distT="0" distB="0" distL="0" distR="0" wp14:anchorId="67622C70" wp14:editId="7B50320E">
            <wp:extent cx="1574800" cy="1555750"/>
            <wp:effectExtent l="0" t="0" r="6350" b="6350"/>
            <wp:docPr id="882465349" name="Picture 8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black and yellow shield with blue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4800" cy="1555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C5C192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129FDE53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1A20D94A" w14:textId="482BDF45" w:rsidR="00C414FF" w:rsidRDefault="004776B9" w:rsidP="00C414FF">
      <w:pPr>
        <w:jc w:val="center"/>
        <w:rPr>
          <w:rFonts w:ascii="Arial" w:hAnsi="Arial" w:cs="Arial"/>
        </w:rPr>
      </w:pPr>
      <w:r w:rsidRPr="004776B9">
        <w:rPr>
          <w:rFonts w:ascii="Arial" w:hAnsi="Arial" w:cs="Arial"/>
        </w:rPr>
        <w:t>Jack Frampton</w:t>
      </w:r>
    </w:p>
    <w:p w14:paraId="55749E8F" w14:textId="2447F331" w:rsidR="004776B9" w:rsidRPr="00C414FF" w:rsidRDefault="004776B9" w:rsidP="00C414F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2413011</w:t>
      </w:r>
    </w:p>
    <w:p w14:paraId="793CBC21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2A0A2C6F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63576E45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2C2E4601" w14:textId="7FD915B6" w:rsidR="00C414FF" w:rsidRPr="00C414FF" w:rsidRDefault="00F912BA" w:rsidP="00C414F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Understanding the importance of critical diameter and critical density in the detonation process</w:t>
      </w:r>
    </w:p>
    <w:p w14:paraId="06404E49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6C0809A7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0B674248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13668C51" w14:textId="01FBDD26" w:rsidR="00C414FF" w:rsidRPr="00C414FF" w:rsidRDefault="00F912BA" w:rsidP="00C414F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University of Wales Trinity Sant David</w:t>
      </w:r>
    </w:p>
    <w:p w14:paraId="6021AFD4" w14:textId="72E969C8" w:rsidR="00C414FF" w:rsidRPr="00C414FF" w:rsidRDefault="006B08A7" w:rsidP="00C414FF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Principles of OME ACDA4019</w:t>
      </w:r>
    </w:p>
    <w:p w14:paraId="07633EE5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057099BB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4BC659CC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136FD029" w14:textId="7F8C1503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439181B2" w14:textId="5F305E7C" w:rsidR="00C414FF" w:rsidRPr="00C414FF" w:rsidRDefault="00C414FF" w:rsidP="00C414FF">
      <w:pPr>
        <w:jc w:val="center"/>
        <w:rPr>
          <w:rFonts w:ascii="Arial" w:hAnsi="Arial" w:cs="Arial"/>
        </w:rPr>
      </w:pPr>
      <w:r w:rsidRPr="00C414FF">
        <w:rPr>
          <w:rFonts w:ascii="Arial" w:hAnsi="Arial" w:cs="Arial"/>
        </w:rPr>
        <w:t xml:space="preserve">Academic Year: </w:t>
      </w:r>
      <w:r w:rsidR="002108E2">
        <w:rPr>
          <w:rFonts w:ascii="Arial" w:hAnsi="Arial" w:cs="Arial"/>
        </w:rPr>
        <w:t>2025-2026</w:t>
      </w:r>
    </w:p>
    <w:p w14:paraId="40296A79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0FE67183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169D61FE" w14:textId="77777777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2EC517FA" w14:textId="4C8D6A9F" w:rsidR="00C414FF" w:rsidRPr="00C414FF" w:rsidRDefault="00C414FF" w:rsidP="00C414FF">
      <w:pPr>
        <w:jc w:val="center"/>
        <w:rPr>
          <w:rFonts w:ascii="Arial" w:hAnsi="Arial" w:cs="Arial"/>
        </w:rPr>
      </w:pPr>
      <w:r w:rsidRPr="00C414FF">
        <w:rPr>
          <w:rFonts w:ascii="Arial" w:hAnsi="Arial" w:cs="Arial"/>
        </w:rPr>
        <w:t>Supervisor:</w:t>
      </w:r>
      <w:r w:rsidRPr="00C414FF">
        <w:rPr>
          <w:rFonts w:ascii="Arial" w:hAnsi="Arial" w:cs="Arial"/>
        </w:rPr>
        <w:tab/>
        <w:t xml:space="preserve"> </w:t>
      </w:r>
      <w:r w:rsidR="002108E2">
        <w:rPr>
          <w:rFonts w:ascii="Arial" w:hAnsi="Arial" w:cs="Arial"/>
        </w:rPr>
        <w:t>Dr Gareth Collett</w:t>
      </w:r>
    </w:p>
    <w:p w14:paraId="5A35AF54" w14:textId="5F30097F" w:rsidR="00C414FF" w:rsidRPr="00C414FF" w:rsidRDefault="00C414FF" w:rsidP="00C414FF">
      <w:pPr>
        <w:jc w:val="center"/>
        <w:rPr>
          <w:rFonts w:ascii="Arial" w:hAnsi="Arial" w:cs="Arial"/>
        </w:rPr>
      </w:pPr>
    </w:p>
    <w:p w14:paraId="088DFE05" w14:textId="77777777" w:rsidR="003A07DF" w:rsidRPr="003A07DF" w:rsidRDefault="003A07DF" w:rsidP="000364F4">
      <w:pPr>
        <w:pStyle w:val="Heading1"/>
      </w:pPr>
      <w:bookmarkStart w:id="0" w:name="_Toc129338450"/>
      <w:bookmarkStart w:id="1" w:name="_Toc137806433"/>
      <w:bookmarkStart w:id="2" w:name="_Toc216962275"/>
      <w:bookmarkStart w:id="3" w:name="_Toc216963244"/>
      <w:r w:rsidRPr="003A07DF">
        <w:lastRenderedPageBreak/>
        <w:t>Academic integrity declaration</w:t>
      </w:r>
      <w:bookmarkEnd w:id="0"/>
      <w:bookmarkEnd w:id="1"/>
      <w:bookmarkEnd w:id="2"/>
      <w:bookmarkEnd w:id="3"/>
    </w:p>
    <w:p w14:paraId="4A56BFF6" w14:textId="77777777" w:rsidR="003A07DF" w:rsidRPr="003A07DF" w:rsidRDefault="003A07DF" w:rsidP="007E7A3B">
      <w:pPr>
        <w:spacing w:line="360" w:lineRule="auto"/>
        <w:rPr>
          <w:rFonts w:ascii="Arial" w:hAnsi="Arial" w:cs="Arial"/>
        </w:rPr>
      </w:pPr>
      <w:r w:rsidRPr="003A07DF">
        <w:rPr>
          <w:rFonts w:ascii="Arial" w:hAnsi="Arial" w:cs="Arial"/>
        </w:rPr>
        <w:t>I declare that:</w:t>
      </w:r>
    </w:p>
    <w:p w14:paraId="7D0F1868" w14:textId="77777777" w:rsidR="003A07DF" w:rsidRPr="003A07DF" w:rsidRDefault="003A07DF" w:rsidP="007E7A3B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A07DF">
        <w:rPr>
          <w:rFonts w:ascii="Arial" w:hAnsi="Arial" w:cs="Arial"/>
        </w:rPr>
        <w:t>the thesis submitted has been written by me alone.</w:t>
      </w:r>
    </w:p>
    <w:p w14:paraId="47283808" w14:textId="77777777" w:rsidR="003A07DF" w:rsidRPr="003A07DF" w:rsidRDefault="003A07DF" w:rsidP="007E7A3B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A07DF">
        <w:rPr>
          <w:rFonts w:ascii="Arial" w:hAnsi="Arial" w:cs="Arial"/>
        </w:rPr>
        <w:t>the thesis submitted has not been previously submitted to this university or any other.</w:t>
      </w:r>
    </w:p>
    <w:p w14:paraId="6CFA5442" w14:textId="77777777" w:rsidR="003A07DF" w:rsidRPr="003A07DF" w:rsidRDefault="003A07DF" w:rsidP="007E7A3B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A07DF">
        <w:rPr>
          <w:rFonts w:ascii="Arial" w:hAnsi="Arial" w:cs="Arial"/>
        </w:rPr>
        <w:t>that all content, including primary and/or secondary data, is true to the best of my knowledge.</w:t>
      </w:r>
    </w:p>
    <w:p w14:paraId="5A7F6182" w14:textId="77777777" w:rsidR="003A07DF" w:rsidRPr="003A07DF" w:rsidRDefault="003A07DF" w:rsidP="007E7A3B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A07DF">
        <w:rPr>
          <w:rFonts w:ascii="Arial" w:hAnsi="Arial" w:cs="Arial"/>
        </w:rPr>
        <w:t>that all quotations and references have been duly acknowledged according to the requirements of academic research.</w:t>
      </w:r>
    </w:p>
    <w:p w14:paraId="63CCAA0A" w14:textId="7F832E7B" w:rsidR="007E7A3B" w:rsidRDefault="003A07DF" w:rsidP="007E7A3B">
      <w:pPr>
        <w:spacing w:line="360" w:lineRule="auto"/>
        <w:rPr>
          <w:rFonts w:ascii="Arial" w:hAnsi="Arial" w:cs="Arial"/>
        </w:rPr>
      </w:pPr>
      <w:r w:rsidRPr="003A07DF">
        <w:rPr>
          <w:rFonts w:ascii="Arial" w:hAnsi="Arial" w:cs="Arial"/>
        </w:rPr>
        <w:t>I understand that to knowingly submit work in violation of the above statement will be considered by examiners as academic misconduct.</w:t>
      </w:r>
    </w:p>
    <w:p w14:paraId="669B221D" w14:textId="77777777" w:rsidR="007E7A3B" w:rsidRDefault="007E7A3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10568C2" w14:textId="50690301" w:rsidR="002E56A8" w:rsidRDefault="00952E86" w:rsidP="00952E86">
      <w:pPr>
        <w:pStyle w:val="Heading1"/>
      </w:pPr>
      <w:bookmarkStart w:id="4" w:name="_Toc216963245"/>
      <w:r>
        <w:lastRenderedPageBreak/>
        <w:t>Abstract</w:t>
      </w:r>
      <w:bookmarkEnd w:id="4"/>
    </w:p>
    <w:p w14:paraId="4227A6B2" w14:textId="43F2F3BE" w:rsidR="00CE1254" w:rsidRDefault="00FB2537" w:rsidP="00952E86">
      <w:r>
        <w:t xml:space="preserve">In this study, </w:t>
      </w:r>
      <w:r w:rsidR="00081345">
        <w:t xml:space="preserve">the importance of critical diameter and critical density will be evaluated. This will include results from </w:t>
      </w:r>
      <w:r w:rsidR="00A33160">
        <w:t>theoretical calculations and physical recordings</w:t>
      </w:r>
      <w:r w:rsidR="00D269F7">
        <w:t xml:space="preserve">. A literature review will be conducted </w:t>
      </w:r>
      <w:r w:rsidR="000141A5">
        <w:t xml:space="preserve">to review the characteristics and properties of one </w:t>
      </w:r>
      <w:r w:rsidR="00DD576A">
        <w:t>primary and one secondary explosive. This assessment will show the values of unconfined explosives and how confinement can have a positive or negative effects on OME professionals</w:t>
      </w:r>
      <w:r w:rsidR="002E0A27">
        <w:t xml:space="preserve">. The correlation of detonation velocity and density of a secondary </w:t>
      </w:r>
      <w:r w:rsidR="00CE1254">
        <w:t xml:space="preserve">explosive will also be explored. </w:t>
      </w:r>
    </w:p>
    <w:p w14:paraId="5A7D8B1A" w14:textId="77777777" w:rsidR="00CE1254" w:rsidRDefault="00CE1254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4832061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BF2B50B" w14:textId="3449CDBD" w:rsidR="00CE1254" w:rsidRDefault="00CE1254">
          <w:pPr>
            <w:pStyle w:val="TOCHeading"/>
          </w:pPr>
          <w:r>
            <w:t>Contents</w:t>
          </w:r>
        </w:p>
        <w:p w14:paraId="4F1D88E7" w14:textId="5BDA2566" w:rsidR="00CE1254" w:rsidRDefault="00CE12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963244" w:history="1">
            <w:r w:rsidRPr="00CD6BFA">
              <w:rPr>
                <w:rStyle w:val="Hyperlink"/>
                <w:noProof/>
              </w:rPr>
              <w:t>Academic integrity declaration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19E53A" w14:textId="69367C69" w:rsidR="00CE1254" w:rsidRDefault="00CE12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45" w:history="1">
            <w:r w:rsidRPr="00CD6BFA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7BBDB5" w14:textId="10B79C2A" w:rsidR="00CE1254" w:rsidRDefault="00CE12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46" w:history="1">
            <w:r w:rsidRPr="00CD6BFA">
              <w:rPr>
                <w:rStyle w:val="Hyperlink"/>
                <w:noProof/>
              </w:rPr>
              <w:t>Characteristics of a Primary and Secondary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9A837" w14:textId="55973A47" w:rsidR="00CE1254" w:rsidRDefault="00CE12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47" w:history="1">
            <w:r w:rsidRPr="00CD6BFA">
              <w:rPr>
                <w:rStyle w:val="Hyperlink"/>
                <w:noProof/>
              </w:rPr>
              <w:t>Primary Explosive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270958" w14:textId="1050F9F0" w:rsidR="00CE1254" w:rsidRDefault="00CE12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48" w:history="1">
            <w:r w:rsidRPr="00CD6BFA">
              <w:rPr>
                <w:rStyle w:val="Hyperlink"/>
                <w:noProof/>
              </w:rPr>
              <w:t>Secondary Explosive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9E33C2" w14:textId="15A63558" w:rsidR="00CE1254" w:rsidRDefault="00CE12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49" w:history="1">
            <w:r w:rsidRPr="00CD6BFA">
              <w:rPr>
                <w:rStyle w:val="Hyperlink"/>
                <w:noProof/>
              </w:rPr>
              <w:t>Critical Diameters and Densities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47B8E" w14:textId="0BB27143" w:rsidR="00CE1254" w:rsidRDefault="00CE12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50" w:history="1">
            <w:r w:rsidRPr="00CD6BFA">
              <w:rPr>
                <w:rStyle w:val="Hyperlink"/>
                <w:noProof/>
              </w:rPr>
              <w:t>Unconfined Explosives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74EDDF" w14:textId="0D01D13E" w:rsidR="00CE1254" w:rsidRDefault="00CE12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51" w:history="1">
            <w:r w:rsidRPr="00CD6BFA">
              <w:rPr>
                <w:rStyle w:val="Hyperlink"/>
                <w:noProof/>
              </w:rPr>
              <w:t>Stimulus Applied to the Primary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66473" w14:textId="307E476F" w:rsidR="00CE1254" w:rsidRDefault="00CE12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52" w:history="1">
            <w:r w:rsidRPr="00CD6BFA">
              <w:rPr>
                <w:rStyle w:val="Hyperlink"/>
                <w:noProof/>
              </w:rPr>
              <w:t>Effect of Confinement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D83A90" w14:textId="1B26AEEA" w:rsidR="00CE1254" w:rsidRDefault="00CE12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53" w:history="1">
            <w:r w:rsidRPr="00CD6BFA">
              <w:rPr>
                <w:rStyle w:val="Hyperlink"/>
                <w:noProof/>
              </w:rPr>
              <w:t>Velocity of Detonation vs Density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4B754A" w14:textId="48EF8479" w:rsidR="00CE1254" w:rsidRDefault="00CE12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54" w:history="1">
            <w:r w:rsidRPr="00CD6BFA">
              <w:rPr>
                <w:rStyle w:val="Hyperlink"/>
                <w:noProof/>
              </w:rPr>
              <w:t>Detonation Train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F5C97" w14:textId="20D591F1" w:rsidR="00CE1254" w:rsidRDefault="00CE12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963255" w:history="1">
            <w:r w:rsidRPr="00CD6BF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83B23" w14:textId="67EFFC59" w:rsidR="00CE1254" w:rsidRDefault="00CE1254">
          <w:r>
            <w:rPr>
              <w:b/>
              <w:bCs/>
              <w:noProof/>
            </w:rPr>
            <w:fldChar w:fldCharType="end"/>
          </w:r>
        </w:p>
      </w:sdtContent>
    </w:sdt>
    <w:p w14:paraId="5B2F62ED" w14:textId="77777777" w:rsidR="00952E86" w:rsidRPr="00952E86" w:rsidRDefault="00952E86" w:rsidP="00952E86"/>
    <w:p w14:paraId="14223620" w14:textId="77777777" w:rsidR="003A07DF" w:rsidRPr="003A07DF" w:rsidRDefault="003A07DF" w:rsidP="007E7A3B">
      <w:pPr>
        <w:spacing w:line="360" w:lineRule="auto"/>
        <w:rPr>
          <w:rFonts w:ascii="Arial" w:hAnsi="Arial" w:cs="Arial"/>
        </w:rPr>
      </w:pPr>
    </w:p>
    <w:p w14:paraId="58941DBA" w14:textId="6840463A" w:rsidR="00C414FF" w:rsidRPr="00C414FF" w:rsidRDefault="00C414FF" w:rsidP="003A07DF">
      <w:pPr>
        <w:spacing w:line="480" w:lineRule="auto"/>
        <w:rPr>
          <w:rFonts w:ascii="Arial" w:hAnsi="Arial" w:cs="Arial"/>
        </w:rPr>
      </w:pPr>
    </w:p>
    <w:p w14:paraId="3EB8090B" w14:textId="4E0854EA" w:rsidR="002E56A8" w:rsidRDefault="002E56A8">
      <w:pPr>
        <w:rPr>
          <w:rFonts w:ascii="Arial" w:hAnsi="Arial" w:cs="Arial"/>
        </w:rPr>
      </w:pPr>
    </w:p>
    <w:p w14:paraId="30AE7943" w14:textId="77777777" w:rsidR="002E56A8" w:rsidRDefault="002E56A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94097B2" w14:textId="585FAF1D" w:rsidR="00176ACF" w:rsidRDefault="004F6FC2" w:rsidP="00A52C08">
      <w:pPr>
        <w:pStyle w:val="Heading1"/>
      </w:pPr>
      <w:bookmarkStart w:id="5" w:name="_Toc216962276"/>
      <w:bookmarkStart w:id="6" w:name="_Toc216963246"/>
      <w:r>
        <w:lastRenderedPageBreak/>
        <w:t>Characteristics of a Primary and Secondary Explosive</w:t>
      </w:r>
      <w:bookmarkEnd w:id="5"/>
      <w:bookmarkEnd w:id="6"/>
    </w:p>
    <w:p w14:paraId="1118DDFA" w14:textId="722260D1" w:rsidR="00D8608E" w:rsidRDefault="002E7320" w:rsidP="00D8608E">
      <w:pPr>
        <w:spacing w:line="360" w:lineRule="auto"/>
      </w:pPr>
      <w:r>
        <w:t xml:space="preserve">In this assessment, </w:t>
      </w:r>
      <w:r w:rsidR="006511EC">
        <w:t xml:space="preserve">the chosen primary explosive will be Lead Azide, while the secondary explosive will be </w:t>
      </w:r>
      <w:r w:rsidR="006D45D7">
        <w:t xml:space="preserve">TNT (Trinitrotoluene). These materials will be evaluated for their </w:t>
      </w:r>
      <w:r w:rsidR="00B645EA">
        <w:t>physical and chemical properties.</w:t>
      </w:r>
    </w:p>
    <w:p w14:paraId="5BC80C01" w14:textId="7B13D400" w:rsidR="00D051C8" w:rsidRDefault="00D051C8" w:rsidP="00D051C8">
      <w:pPr>
        <w:pStyle w:val="Heading2"/>
      </w:pPr>
      <w:bookmarkStart w:id="7" w:name="_Toc216962277"/>
      <w:bookmarkStart w:id="8" w:name="_Toc216963247"/>
      <w:r>
        <w:t xml:space="preserve">Primary Explosive </w:t>
      </w:r>
      <w:r w:rsidR="004119BE">
        <w:t>Characteristics</w:t>
      </w:r>
      <w:bookmarkEnd w:id="7"/>
      <w:bookmarkEnd w:id="8"/>
    </w:p>
    <w:p w14:paraId="4A18DC02" w14:textId="3DDFCAFA" w:rsidR="00D36156" w:rsidRDefault="001D1CEA" w:rsidP="00D8608E">
      <w:pPr>
        <w:spacing w:line="360" w:lineRule="auto"/>
      </w:pPr>
      <w:r>
        <w:t>Lead azide</w:t>
      </w:r>
      <w:r w:rsidR="00C54FE2">
        <w:t>,</w:t>
      </w:r>
      <w:r>
        <w:t xml:space="preserve"> </w:t>
      </w:r>
      <w:r w:rsidR="00C54FE2">
        <w:t>with</w:t>
      </w:r>
      <w:r>
        <w:t xml:space="preserve"> the </w:t>
      </w:r>
      <w:r w:rsidR="00224D10">
        <w:t xml:space="preserve">chemical composition of </w:t>
      </w:r>
      <w:r w:rsidR="00040E28">
        <w:t>Pb (</w:t>
      </w:r>
      <w:r w:rsidR="00224D10">
        <w:t>N</w:t>
      </w:r>
      <w:r w:rsidR="00224D10">
        <w:rPr>
          <w:vertAlign w:val="subscript"/>
        </w:rPr>
        <w:t xml:space="preserve">3 </w:t>
      </w:r>
      <w:r w:rsidR="00224D10">
        <w:t>)</w:t>
      </w:r>
      <w:r w:rsidR="00FE0B82">
        <w:rPr>
          <w:vertAlign w:val="subscript"/>
        </w:rPr>
        <w:t>2</w:t>
      </w:r>
      <w:r w:rsidR="00C54FE2">
        <w:t xml:space="preserve">, </w:t>
      </w:r>
      <w:r w:rsidR="001827AD">
        <w:t>is an extremely powerful primary expl</w:t>
      </w:r>
      <w:r w:rsidR="00981036">
        <w:t>osive</w:t>
      </w:r>
      <w:r w:rsidR="00161818">
        <w:t>, usually paired with a secondary explosive such as TNT, RDX</w:t>
      </w:r>
      <w:r w:rsidR="00B2002B">
        <w:t xml:space="preserve">. </w:t>
      </w:r>
      <w:r w:rsidR="00C232D2">
        <w:t>As lead azide</w:t>
      </w:r>
      <w:r w:rsidR="00D7745B">
        <w:t xml:space="preserve"> has a relatively low</w:t>
      </w:r>
      <w:r w:rsidR="00673A9B">
        <w:t xml:space="preserve"> thermal</w:t>
      </w:r>
      <w:r w:rsidR="00D7745B">
        <w:t xml:space="preserve"> ignition temperature</w:t>
      </w:r>
      <w:r w:rsidR="00F31F9C">
        <w:t xml:space="preserve"> of 327 </w:t>
      </w:r>
      <w:r w:rsidR="003D1BCF">
        <w:t>–</w:t>
      </w:r>
      <w:r w:rsidR="00F31F9C">
        <w:t xml:space="preserve"> 360</w:t>
      </w:r>
      <w:r w:rsidR="003D1BCF">
        <w:t xml:space="preserve"> ºC</w:t>
      </w:r>
      <w:r w:rsidR="0039348B">
        <w:t xml:space="preserve"> and a temperature of ignition via hotspots is 430 – 500 ºC</w:t>
      </w:r>
      <w:r w:rsidR="003D1BCF">
        <w:t xml:space="preserve"> </w:t>
      </w:r>
      <w:sdt>
        <w:sdtPr>
          <w:id w:val="1060364021"/>
          <w:citation/>
        </w:sdtPr>
        <w:sdtEndPr/>
        <w:sdtContent>
          <w:r w:rsidR="001551C4">
            <w:fldChar w:fldCharType="begin"/>
          </w:r>
          <w:r w:rsidR="001551C4">
            <w:instrText xml:space="preserve"> CITATION Akh22 \l 2057 </w:instrText>
          </w:r>
          <w:r w:rsidR="001551C4">
            <w:fldChar w:fldCharType="separate"/>
          </w:r>
          <w:r w:rsidR="0019560B" w:rsidRPr="0019560B">
            <w:rPr>
              <w:noProof/>
            </w:rPr>
            <w:t>[1]</w:t>
          </w:r>
          <w:r w:rsidR="001551C4">
            <w:fldChar w:fldCharType="end"/>
          </w:r>
        </w:sdtContent>
      </w:sdt>
      <w:r w:rsidR="001551C4">
        <w:t xml:space="preserve"> </w:t>
      </w:r>
      <w:r w:rsidR="00F02F9E">
        <w:t xml:space="preserve">, </w:t>
      </w:r>
      <w:r w:rsidR="0009395B">
        <w:t>accidental ignition of this composition is very high</w:t>
      </w:r>
      <w:r w:rsidR="00DD4D1E">
        <w:t xml:space="preserve">. </w:t>
      </w:r>
      <w:r w:rsidR="00E71C6D">
        <w:t xml:space="preserve">Once the rapid decomposition begins, </w:t>
      </w:r>
      <w:r w:rsidR="00340611">
        <w:t>the reaction accelerates violently</w:t>
      </w:r>
      <w:r w:rsidR="00B112D0">
        <w:t xml:space="preserve"> producing gas and heat</w:t>
      </w:r>
      <w:r w:rsidR="007139C4">
        <w:t xml:space="preserve"> making it extremely advantageous in detonators. This violent reaction ensures </w:t>
      </w:r>
      <w:r w:rsidR="007B6BBE">
        <w:t>reliable initiations with minimal energy input</w:t>
      </w:r>
      <w:r w:rsidR="00C86B28">
        <w:t xml:space="preserve">. </w:t>
      </w:r>
      <w:r w:rsidR="00D30C57">
        <w:t xml:space="preserve"> It is also </w:t>
      </w:r>
      <w:r w:rsidR="00D36156">
        <w:t>moderately sensitive to:</w:t>
      </w:r>
    </w:p>
    <w:p w14:paraId="111207BD" w14:textId="6346CC45" w:rsidR="00975396" w:rsidRDefault="00D36156" w:rsidP="00D8608E">
      <w:pPr>
        <w:spacing w:line="360" w:lineRule="auto"/>
      </w:pPr>
      <w:r>
        <w:t>Impact</w:t>
      </w:r>
      <w:r w:rsidR="00975396">
        <w:t xml:space="preserve"> – small mechanical shocks can cause detonation</w:t>
      </w:r>
      <w:r w:rsidR="00203A68">
        <w:t>, sensitivity of 2.5 – 4 Nm</w:t>
      </w:r>
      <w:sdt>
        <w:sdtPr>
          <w:id w:val="149262385"/>
          <w:citation/>
        </w:sdtPr>
        <w:sdtEndPr/>
        <w:sdtContent>
          <w:r w:rsidR="00F64DD5">
            <w:fldChar w:fldCharType="begin"/>
          </w:r>
          <w:r w:rsidR="00F64DD5">
            <w:instrText xml:space="preserve"> CITATION Akh22 \l 2057 </w:instrText>
          </w:r>
          <w:r w:rsidR="00F64DD5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[1]</w:t>
          </w:r>
          <w:r w:rsidR="00F64DD5">
            <w:fldChar w:fldCharType="end"/>
          </w:r>
        </w:sdtContent>
      </w:sdt>
    </w:p>
    <w:p w14:paraId="4D9E9F22" w14:textId="24A9B3E8" w:rsidR="00975396" w:rsidRDefault="00975396" w:rsidP="00D8608E">
      <w:pPr>
        <w:spacing w:line="360" w:lineRule="auto"/>
      </w:pPr>
      <w:r>
        <w:t xml:space="preserve">Friction – minor rubbing/scraping can lead to </w:t>
      </w:r>
      <w:r w:rsidR="002E0ED1">
        <w:t>detonation</w:t>
      </w:r>
      <w:r w:rsidR="00F64DD5">
        <w:t xml:space="preserve">, sensitivity of </w:t>
      </w:r>
      <w:r w:rsidR="002E0ED1">
        <w:t>0.1 – 1 N</w:t>
      </w:r>
      <w:sdt>
        <w:sdtPr>
          <w:id w:val="1968243100"/>
          <w:citation/>
        </w:sdtPr>
        <w:sdtEndPr/>
        <w:sdtContent>
          <w:r w:rsidR="002E0ED1">
            <w:fldChar w:fldCharType="begin"/>
          </w:r>
          <w:r w:rsidR="002E0ED1">
            <w:instrText xml:space="preserve"> CITATION Akh22 \l 2057 </w:instrText>
          </w:r>
          <w:r w:rsidR="002E0ED1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[1]</w:t>
          </w:r>
          <w:r w:rsidR="002E0ED1">
            <w:fldChar w:fldCharType="end"/>
          </w:r>
        </w:sdtContent>
      </w:sdt>
    </w:p>
    <w:p w14:paraId="22C1EBD1" w14:textId="77777777" w:rsidR="00535DA0" w:rsidRDefault="00535DA0" w:rsidP="00D8608E">
      <w:pPr>
        <w:spacing w:line="360" w:lineRule="auto"/>
      </w:pPr>
      <w:r>
        <w:t>ESD – can be triggered by electrostatic discharge</w:t>
      </w:r>
    </w:p>
    <w:p w14:paraId="179B2F09" w14:textId="3C0DF583" w:rsidR="00D8608E" w:rsidRDefault="00535DA0" w:rsidP="00D8608E">
      <w:pPr>
        <w:spacing w:line="360" w:lineRule="auto"/>
      </w:pPr>
      <w:r>
        <w:t xml:space="preserve">Thermal – as stated before, decomposes at </w:t>
      </w:r>
      <w:r w:rsidR="00765718">
        <w:t>roughly 330 ºC</w:t>
      </w:r>
      <w:r w:rsidR="00D36156">
        <w:t xml:space="preserve"> </w:t>
      </w:r>
    </w:p>
    <w:p w14:paraId="63CAFBDC" w14:textId="155898B1" w:rsidR="001113D2" w:rsidRDefault="001113D2" w:rsidP="00D8608E">
      <w:pPr>
        <w:spacing w:line="360" w:lineRule="auto"/>
      </w:pPr>
      <w:r>
        <w:t xml:space="preserve">The heat of detonation </w:t>
      </w:r>
      <w:r w:rsidR="007B7098">
        <w:t>of Lead Azide is 1.6-1.8</w:t>
      </w:r>
      <w:r w:rsidR="00E259C1">
        <w:t xml:space="preserve"> kJ/g</w:t>
      </w:r>
      <w:r w:rsidR="00C336A3">
        <w:t xml:space="preserve"> and a detonation </w:t>
      </w:r>
      <w:r w:rsidR="007D732B">
        <w:t xml:space="preserve">velocity of </w:t>
      </w:r>
      <w:r w:rsidR="00272FC2">
        <w:t>≈</w:t>
      </w:r>
      <w:r w:rsidR="007D732B">
        <w:t>4500 m/s</w:t>
      </w:r>
      <w:sdt>
        <w:sdtPr>
          <w:id w:val="-1987318569"/>
          <w:citation/>
        </w:sdtPr>
        <w:sdtEndPr/>
        <w:sdtContent>
          <w:r w:rsidR="0074185A">
            <w:fldChar w:fldCharType="begin"/>
          </w:r>
          <w:r w:rsidR="0074185A">
            <w:instrText xml:space="preserve"> CITATION RMe15 \l 2057 </w:instrText>
          </w:r>
          <w:r w:rsidR="0074185A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[2]</w:t>
          </w:r>
          <w:r w:rsidR="0074185A">
            <w:fldChar w:fldCharType="end"/>
          </w:r>
        </w:sdtContent>
      </w:sdt>
      <w:r w:rsidR="0074185A">
        <w:t>.</w:t>
      </w:r>
    </w:p>
    <w:p w14:paraId="072223B9" w14:textId="77777777" w:rsidR="00765718" w:rsidRDefault="00765718" w:rsidP="00D8608E">
      <w:pPr>
        <w:spacing w:line="360" w:lineRule="auto"/>
      </w:pPr>
    </w:p>
    <w:p w14:paraId="7E1EBB83" w14:textId="10D0FF02" w:rsidR="00734652" w:rsidRDefault="00734652" w:rsidP="00734652">
      <w:pPr>
        <w:pStyle w:val="Heading2"/>
      </w:pPr>
      <w:bookmarkStart w:id="9" w:name="_Toc216962278"/>
      <w:bookmarkStart w:id="10" w:name="_Toc216963248"/>
      <w:r>
        <w:t>Secondary Explosive</w:t>
      </w:r>
      <w:r w:rsidR="004119BE">
        <w:t xml:space="preserve"> </w:t>
      </w:r>
      <w:r w:rsidR="002E0ED1">
        <w:t>Characteristics</w:t>
      </w:r>
      <w:bookmarkEnd w:id="9"/>
      <w:bookmarkEnd w:id="10"/>
    </w:p>
    <w:p w14:paraId="62DB8595" w14:textId="0CDF5A9E" w:rsidR="00EB5D56" w:rsidRDefault="0005452C" w:rsidP="00D8608E">
      <w:pPr>
        <w:spacing w:line="360" w:lineRule="auto"/>
      </w:pPr>
      <w:r>
        <w:t xml:space="preserve">TNT, Trinitrotoluene, </w:t>
      </w:r>
      <w:r w:rsidR="007722A5">
        <w:t xml:space="preserve">with the chemical composition of </w:t>
      </w:r>
      <w:r w:rsidR="004153C3">
        <w:t>C</w:t>
      </w:r>
      <w:r w:rsidR="004153C3">
        <w:rPr>
          <w:vertAlign w:val="subscript"/>
        </w:rPr>
        <w:t>7</w:t>
      </w:r>
      <w:r w:rsidR="0065602B">
        <w:t>H</w:t>
      </w:r>
      <w:r w:rsidR="0065602B">
        <w:rPr>
          <w:vertAlign w:val="subscript"/>
        </w:rPr>
        <w:t>5</w:t>
      </w:r>
      <w:r w:rsidR="0065602B">
        <w:t>N</w:t>
      </w:r>
      <w:r w:rsidR="0065602B">
        <w:rPr>
          <w:vertAlign w:val="subscript"/>
        </w:rPr>
        <w:t>3</w:t>
      </w:r>
      <w:r w:rsidR="0065602B">
        <w:t>O</w:t>
      </w:r>
      <w:r w:rsidR="007B0497">
        <w:rPr>
          <w:vertAlign w:val="subscript"/>
        </w:rPr>
        <w:t xml:space="preserve">6 </w:t>
      </w:r>
      <w:r w:rsidR="007B0497">
        <w:t>is</w:t>
      </w:r>
      <w:r w:rsidR="00C86A59">
        <w:t xml:space="preserve"> an extremely reliable secondary explosive, so much so that it is vastly used in munitions today</w:t>
      </w:r>
      <w:r w:rsidR="00965081">
        <w:t xml:space="preserve">. </w:t>
      </w:r>
      <w:r w:rsidR="00E969DB">
        <w:t xml:space="preserve">TNT has a comparatively low melting point </w:t>
      </w:r>
      <w:r w:rsidR="00C20EFB">
        <w:t xml:space="preserve">of 80.7 ºC </w:t>
      </w:r>
      <w:r w:rsidR="00E969DB">
        <w:t xml:space="preserve">and </w:t>
      </w:r>
      <w:r w:rsidR="00C20EFB">
        <w:t>in</w:t>
      </w:r>
      <w:r w:rsidR="005D31B7">
        <w:t xml:space="preserve">sensitivity to impact, friction and ESD – meaning it can be poured into shells </w:t>
      </w:r>
      <w:r w:rsidR="000F03A9">
        <w:t xml:space="preserve">and/or charges with little to no risk of accidental </w:t>
      </w:r>
      <w:r w:rsidR="00925659">
        <w:t xml:space="preserve">detonation making it </w:t>
      </w:r>
      <w:r w:rsidR="002F6EAB">
        <w:t>moderately safe to handle</w:t>
      </w:r>
      <w:sdt>
        <w:sdtPr>
          <w:id w:val="-173423212"/>
          <w:citation/>
        </w:sdtPr>
        <w:sdtEndPr/>
        <w:sdtContent>
          <w:r w:rsidR="003C493F">
            <w:fldChar w:fldCharType="begin"/>
          </w:r>
          <w:r w:rsidR="003C493F">
            <w:instrText xml:space="preserve"> CITATION Akh22 \l 2057 </w:instrText>
          </w:r>
          <w:r w:rsidR="003C493F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[1]</w:t>
          </w:r>
          <w:r w:rsidR="003C493F">
            <w:fldChar w:fldCharType="end"/>
          </w:r>
        </w:sdtContent>
      </w:sdt>
      <w:r w:rsidR="003C493F">
        <w:t>.</w:t>
      </w:r>
      <w:r w:rsidR="00391018">
        <w:t xml:space="preserve"> Furthermore, due to these properties</w:t>
      </w:r>
      <w:r w:rsidR="00ED1319">
        <w:t xml:space="preserve"> of insensitivity, handling, transportation and </w:t>
      </w:r>
      <w:r w:rsidR="003C493F">
        <w:t xml:space="preserve">producing can be achieved on a </w:t>
      </w:r>
      <w:r w:rsidR="003C493F">
        <w:lastRenderedPageBreak/>
        <w:t xml:space="preserve">much larger </w:t>
      </w:r>
      <w:r w:rsidR="000F0685">
        <w:t xml:space="preserve">scale. </w:t>
      </w:r>
      <w:r w:rsidR="009C7E71">
        <w:t>It has a</w:t>
      </w:r>
      <w:r w:rsidR="00B96251">
        <w:t xml:space="preserve"> friction sensitivity of &gt;352 N and an impact sensitivity of 15 Nm</w:t>
      </w:r>
      <w:sdt>
        <w:sdtPr>
          <w:id w:val="-1434820853"/>
          <w:citation/>
        </w:sdtPr>
        <w:sdtEndPr/>
        <w:sdtContent>
          <w:r w:rsidR="005E064C">
            <w:fldChar w:fldCharType="begin"/>
          </w:r>
          <w:r w:rsidR="005E064C">
            <w:instrText xml:space="preserve"> CITATION Akh22 \l 2057 </w:instrText>
          </w:r>
          <w:r w:rsidR="005E064C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[1]</w:t>
          </w:r>
          <w:r w:rsidR="005E064C">
            <w:fldChar w:fldCharType="end"/>
          </w:r>
        </w:sdtContent>
      </w:sdt>
      <w:r w:rsidR="005E064C">
        <w:t>.</w:t>
      </w:r>
    </w:p>
    <w:p w14:paraId="191D417D" w14:textId="0E8FC809" w:rsidR="007557D0" w:rsidRDefault="007557D0" w:rsidP="00D8608E">
      <w:pPr>
        <w:spacing w:line="360" w:lineRule="auto"/>
      </w:pPr>
      <w:r>
        <w:t xml:space="preserve">TNT has a heat of detonation of </w:t>
      </w:r>
      <w:r w:rsidR="00BD1AAB">
        <w:t xml:space="preserve">approximately </w:t>
      </w:r>
      <w:r w:rsidR="00820396">
        <w:t>4.2 kJ/g</w:t>
      </w:r>
      <w:r w:rsidR="00615069">
        <w:t xml:space="preserve">, releasing mass amounts of energy upon detonation </w:t>
      </w:r>
      <w:r w:rsidR="00820396">
        <w:t xml:space="preserve"> and a detonation velocity of around 6800m</w:t>
      </w:r>
      <w:r w:rsidR="00615069">
        <w:t>/</w:t>
      </w:r>
      <w:r w:rsidR="00820396">
        <w:t>s</w:t>
      </w:r>
      <w:r w:rsidR="00615069">
        <w:t xml:space="preserve"> which makes it extremely efficient for military munitions</w:t>
      </w:r>
      <w:sdt>
        <w:sdtPr>
          <w:id w:val="-1587839563"/>
          <w:citation/>
        </w:sdtPr>
        <w:sdtEndPr/>
        <w:sdtContent>
          <w:r w:rsidR="00820396">
            <w:fldChar w:fldCharType="begin"/>
          </w:r>
          <w:r w:rsidR="00820396">
            <w:instrText xml:space="preserve"> CITATION Akh22 \l 2057 </w:instrText>
          </w:r>
          <w:r w:rsidR="00820396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[1]</w:t>
          </w:r>
          <w:r w:rsidR="00820396">
            <w:fldChar w:fldCharType="end"/>
          </w:r>
        </w:sdtContent>
      </w:sdt>
      <w:r w:rsidR="00820396">
        <w:t>.</w:t>
      </w:r>
    </w:p>
    <w:p w14:paraId="318E6930" w14:textId="4365A840" w:rsidR="005E064C" w:rsidRDefault="005E064C" w:rsidP="005E064C">
      <w:pPr>
        <w:pStyle w:val="Heading1"/>
      </w:pPr>
      <w:bookmarkStart w:id="11" w:name="_Toc216962279"/>
      <w:bookmarkStart w:id="12" w:name="_Toc216963249"/>
      <w:r>
        <w:t>Critical Diameters and Densities</w:t>
      </w:r>
      <w:bookmarkEnd w:id="11"/>
      <w:bookmarkEnd w:id="12"/>
      <w:r>
        <w:t xml:space="preserve"> </w:t>
      </w:r>
    </w:p>
    <w:p w14:paraId="173234E4" w14:textId="447A5FEB" w:rsidR="005E064C" w:rsidRDefault="00BA5CED" w:rsidP="00BA5CED">
      <w:pPr>
        <w:pStyle w:val="Heading2"/>
      </w:pPr>
      <w:bookmarkStart w:id="13" w:name="_Toc216962280"/>
      <w:bookmarkStart w:id="14" w:name="_Toc216963250"/>
      <w:r>
        <w:t>Unconfined Explosives</w:t>
      </w:r>
      <w:bookmarkEnd w:id="13"/>
      <w:bookmarkEnd w:id="14"/>
      <w:r>
        <w:t xml:space="preserve"> </w:t>
      </w:r>
    </w:p>
    <w:p w14:paraId="1D8A734C" w14:textId="66901220" w:rsidR="00BA5CED" w:rsidRDefault="007E27DA" w:rsidP="00BA5CED">
      <w:pPr>
        <w:spacing w:line="360" w:lineRule="auto"/>
      </w:pPr>
      <w:r>
        <w:t xml:space="preserve">Critical diameter is the smallest </w:t>
      </w:r>
      <w:r w:rsidR="00386919">
        <w:t>diameter of an explosive charge where a stable detonation can happen</w:t>
      </w:r>
      <w:r w:rsidR="00B663EA">
        <w:t>. If the diameter is below this critical diameter, the charge will fail to detonate and may revert to deflagration</w:t>
      </w:r>
      <w:r w:rsidR="00877421">
        <w:t xml:space="preserve"> or no reaction at all.</w:t>
      </w:r>
    </w:p>
    <w:p w14:paraId="1F5521C3" w14:textId="04DDBD8B" w:rsidR="00931D87" w:rsidRDefault="00931D87" w:rsidP="00BA5CED">
      <w:pPr>
        <w:spacing w:line="360" w:lineRule="auto"/>
      </w:pPr>
      <w:r>
        <w:t>C</w:t>
      </w:r>
      <w:r w:rsidR="002964B8">
        <w:t xml:space="preserve">ritical density refers to the energy output of the detonation. A higher density </w:t>
      </w:r>
      <w:r w:rsidR="004F3D1B">
        <w:t xml:space="preserve">may give you a higher energy output; if the density is too high for the given composition, </w:t>
      </w:r>
      <w:r w:rsidR="003E0D19">
        <w:t>this would crush the crystals in the explosive and give little to no reaction at all</w:t>
      </w:r>
      <w:r w:rsidR="007B1754">
        <w:t xml:space="preserve"> and contrarily, if the density is too low, it will give an unstable detonation. </w:t>
      </w:r>
    </w:p>
    <w:p w14:paraId="1D81B063" w14:textId="71A812FC" w:rsidR="001773EF" w:rsidRDefault="00653B85" w:rsidP="00BA5CED">
      <w:pPr>
        <w:spacing w:line="360" w:lineRule="auto"/>
      </w:pPr>
      <w:r>
        <w:t>The critical diameter of an explosive refers to the minimum density required before detonation failure</w:t>
      </w:r>
      <w:r w:rsidR="00DA690C">
        <w:t xml:space="preserve">, guaranteeing a successful performance. The critical density </w:t>
      </w:r>
      <w:r w:rsidR="000D3A56">
        <w:t>can vary to give the material various effects; for example, velocity, pressure and overall efficiency</w:t>
      </w:r>
      <w:r w:rsidR="00803F77">
        <w:t>.</w:t>
      </w:r>
      <w:r w:rsidR="00DA690C">
        <w:t xml:space="preserve"> </w:t>
      </w:r>
    </w:p>
    <w:p w14:paraId="19850542" w14:textId="5E638496" w:rsidR="00730E97" w:rsidRDefault="00730E97" w:rsidP="00BA5CED">
      <w:pPr>
        <w:spacing w:line="360" w:lineRule="auto"/>
      </w:pPr>
      <w:r>
        <w:t xml:space="preserve">Due to lead azide being such a </w:t>
      </w:r>
      <w:r w:rsidR="00F84FA1">
        <w:t>sensitive explosive</w:t>
      </w:r>
      <w:r w:rsidR="0051308B">
        <w:t xml:space="preserve">, it has an extremely small </w:t>
      </w:r>
      <w:r w:rsidR="005A027E">
        <w:t xml:space="preserve">critical diameter in the range of </w:t>
      </w:r>
      <w:r w:rsidR="00F37D0D">
        <w:t xml:space="preserve">1.2 – 2.5 mm </w:t>
      </w:r>
      <w:sdt>
        <w:sdtPr>
          <w:id w:val="-1239482528"/>
          <w:citation/>
        </w:sdtPr>
        <w:sdtEndPr/>
        <w:sdtContent>
          <w:r w:rsidR="00F37D0D">
            <w:fldChar w:fldCharType="begin"/>
          </w:r>
          <w:r w:rsidR="00F37D0D">
            <w:instrText xml:space="preserve"> CITATION MuY22 \l 2057 </w:instrText>
          </w:r>
          <w:r w:rsidR="00F37D0D">
            <w:fldChar w:fldCharType="separate"/>
          </w:r>
          <w:r w:rsidR="0019560B" w:rsidRPr="0019560B">
            <w:rPr>
              <w:noProof/>
            </w:rPr>
            <w:t>[3]</w:t>
          </w:r>
          <w:r w:rsidR="00F37D0D">
            <w:fldChar w:fldCharType="end"/>
          </w:r>
        </w:sdtContent>
      </w:sdt>
      <w:r w:rsidR="00F37D0D">
        <w:t>.</w:t>
      </w:r>
      <w:r w:rsidR="00A274B1">
        <w:t xml:space="preserve"> The </w:t>
      </w:r>
      <w:r w:rsidR="00A0426C">
        <w:t xml:space="preserve">critical </w:t>
      </w:r>
      <w:r w:rsidR="00B50E70">
        <w:t xml:space="preserve">density of lead azide is prominently recorded as </w:t>
      </w:r>
      <w:r w:rsidR="006A357E">
        <w:t>3.8 – 4.0 g / cm</w:t>
      </w:r>
      <w:r w:rsidR="006A357E">
        <w:rPr>
          <w:vertAlign w:val="superscript"/>
        </w:rPr>
        <w:t>3</w:t>
      </w:r>
      <w:sdt>
        <w:sdtPr>
          <w:rPr>
            <w:vertAlign w:val="superscript"/>
          </w:rPr>
          <w:id w:val="1437398012"/>
          <w:citation/>
        </w:sdtPr>
        <w:sdtEndPr/>
        <w:sdtContent>
          <w:r w:rsidR="006A357E">
            <w:rPr>
              <w:vertAlign w:val="superscript"/>
            </w:rPr>
            <w:fldChar w:fldCharType="begin"/>
          </w:r>
          <w:r w:rsidR="006A357E">
            <w:instrText xml:space="preserve"> CITATION Akh22 \l 2057 </w:instrText>
          </w:r>
          <w:r w:rsidR="006A357E">
            <w:rPr>
              <w:vertAlign w:val="superscript"/>
            </w:rPr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[1]</w:t>
          </w:r>
          <w:r w:rsidR="006A357E">
            <w:rPr>
              <w:vertAlign w:val="superscript"/>
            </w:rPr>
            <w:fldChar w:fldCharType="end"/>
          </w:r>
        </w:sdtContent>
      </w:sdt>
      <w:r w:rsidR="001B2FE5">
        <w:t xml:space="preserve"> , </w:t>
      </w:r>
      <w:sdt>
        <w:sdtPr>
          <w:rPr>
            <w:vertAlign w:val="superscript"/>
          </w:rPr>
          <w:id w:val="-1136723938"/>
          <w:citation/>
        </w:sdtPr>
        <w:sdtEndPr/>
        <w:sdtContent>
          <w:r w:rsidR="006A357E">
            <w:rPr>
              <w:vertAlign w:val="superscript"/>
            </w:rPr>
            <w:fldChar w:fldCharType="begin"/>
          </w:r>
          <w:r w:rsidR="006A357E">
            <w:rPr>
              <w:vertAlign w:val="superscript"/>
            </w:rPr>
            <w:instrText xml:space="preserve"> CITATION RMe15 \l 2057 </w:instrText>
          </w:r>
          <w:r w:rsidR="006A357E">
            <w:rPr>
              <w:vertAlign w:val="superscript"/>
            </w:rPr>
            <w:fldChar w:fldCharType="separate"/>
          </w:r>
          <w:r w:rsidR="0019560B" w:rsidRPr="0019560B">
            <w:rPr>
              <w:noProof/>
            </w:rPr>
            <w:t>[2]</w:t>
          </w:r>
          <w:r w:rsidR="006A357E">
            <w:rPr>
              <w:vertAlign w:val="superscript"/>
            </w:rPr>
            <w:fldChar w:fldCharType="end"/>
          </w:r>
        </w:sdtContent>
      </w:sdt>
      <w:r w:rsidR="006A357E">
        <w:t>.</w:t>
      </w:r>
      <w:r w:rsidR="001B2FE5">
        <w:t xml:space="preserve"> </w:t>
      </w:r>
      <w:r w:rsidR="00216CC2">
        <w:t xml:space="preserve">The low critical diameter of lead azide is only a positive in military ordnance as </w:t>
      </w:r>
      <w:r w:rsidR="00636C23">
        <w:t>it will occupy less space in the munition</w:t>
      </w:r>
      <w:r w:rsidR="007E2318">
        <w:t xml:space="preserve">. </w:t>
      </w:r>
    </w:p>
    <w:p w14:paraId="254080EF" w14:textId="77777777" w:rsidR="008F5C89" w:rsidRDefault="008F5C89" w:rsidP="00BA5CED">
      <w:pPr>
        <w:spacing w:line="360" w:lineRule="auto"/>
      </w:pPr>
    </w:p>
    <w:p w14:paraId="10DBC876" w14:textId="2B9553DB" w:rsidR="008F5C89" w:rsidRDefault="005F41C2" w:rsidP="00BA5CED">
      <w:pPr>
        <w:spacing w:line="360" w:lineRule="auto"/>
      </w:pPr>
      <w:r>
        <w:t xml:space="preserve">As TNT is a much more insensitive explosive, the critical diameter is much larger that </w:t>
      </w:r>
      <w:r w:rsidR="00634468">
        <w:t xml:space="preserve">the primary explosive, lead azide. </w:t>
      </w:r>
      <w:r w:rsidR="0022629A">
        <w:t xml:space="preserve">TNT has a critical diameter typically of </w:t>
      </w:r>
      <w:r w:rsidR="00D825B3">
        <w:t>16 – 30 mm</w:t>
      </w:r>
      <w:sdt>
        <w:sdtPr>
          <w:id w:val="170768593"/>
          <w:citation/>
        </w:sdtPr>
        <w:sdtEndPr/>
        <w:sdtContent>
          <w:r w:rsidR="000726D5">
            <w:fldChar w:fldCharType="begin"/>
          </w:r>
          <w:r w:rsidR="000726D5">
            <w:instrText xml:space="preserve"> CITATION Zha16 \l 2057 </w:instrText>
          </w:r>
          <w:r w:rsidR="000726D5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[4]</w:t>
          </w:r>
          <w:r w:rsidR="000726D5">
            <w:fldChar w:fldCharType="end"/>
          </w:r>
        </w:sdtContent>
      </w:sdt>
      <w:r w:rsidR="00183C30">
        <w:t xml:space="preserve">. This shows that a large amount of TNT is needed or </w:t>
      </w:r>
      <w:r w:rsidR="002540B4">
        <w:t>suitable confinement</w:t>
      </w:r>
      <w:r w:rsidR="00D71212">
        <w:t xml:space="preserve"> to sustain a rapid detonation. </w:t>
      </w:r>
      <w:r w:rsidR="00406524">
        <w:t>The critical densi</w:t>
      </w:r>
      <w:r w:rsidR="00105877">
        <w:t xml:space="preserve">ty is much lower compared to lead azide due </w:t>
      </w:r>
      <w:r w:rsidR="007804CC">
        <w:t>to</w:t>
      </w:r>
      <w:r w:rsidR="00105877">
        <w:t xml:space="preserve"> their difference in thermal sensitivity</w:t>
      </w:r>
      <w:r w:rsidR="00436791">
        <w:t xml:space="preserve"> – TNT has a critical density of 1.50 – 1.6</w:t>
      </w:r>
      <w:r w:rsidR="00832AF7">
        <w:t>5</w:t>
      </w:r>
      <w:r w:rsidR="00436791">
        <w:t xml:space="preserve"> g / cm</w:t>
      </w:r>
      <w:r w:rsidR="00436791">
        <w:rPr>
          <w:vertAlign w:val="superscript"/>
        </w:rPr>
        <w:t>3</w:t>
      </w:r>
      <w:r w:rsidR="00436791">
        <w:t xml:space="preserve"> </w:t>
      </w:r>
      <w:sdt>
        <w:sdtPr>
          <w:id w:val="-42604739"/>
          <w:citation/>
        </w:sdtPr>
        <w:sdtEndPr/>
        <w:sdtContent>
          <w:r w:rsidR="004A5981">
            <w:fldChar w:fldCharType="begin"/>
          </w:r>
          <w:r w:rsidR="004A5981">
            <w:instrText xml:space="preserve"> CITATION Gib23 \l 2057 </w:instrText>
          </w:r>
          <w:r w:rsidR="004A5981">
            <w:fldChar w:fldCharType="separate"/>
          </w:r>
          <w:r w:rsidR="0019560B" w:rsidRPr="0019560B">
            <w:rPr>
              <w:noProof/>
            </w:rPr>
            <w:t>[5]</w:t>
          </w:r>
          <w:r w:rsidR="004A5981">
            <w:fldChar w:fldCharType="end"/>
          </w:r>
        </w:sdtContent>
      </w:sdt>
      <w:r w:rsidR="007804CC">
        <w:t>.</w:t>
      </w:r>
    </w:p>
    <w:p w14:paraId="58E33F43" w14:textId="77777777" w:rsidR="00566E72" w:rsidRDefault="00566E72" w:rsidP="00BA5CED">
      <w:pPr>
        <w:spacing w:line="360" w:lineRule="auto"/>
      </w:pPr>
    </w:p>
    <w:p w14:paraId="69A79BD2" w14:textId="5CA6156C" w:rsidR="00566E72" w:rsidRDefault="002A1738" w:rsidP="00BA5CED">
      <w:pPr>
        <w:spacing w:line="360" w:lineRule="auto"/>
      </w:pPr>
      <w:r>
        <w:t xml:space="preserve">As the </w:t>
      </w:r>
      <w:r w:rsidR="00521A98">
        <w:t>amount of lead azide in the detonator is miniscule, the detonation is almost instantaneous</w:t>
      </w:r>
      <w:r w:rsidR="0024580A">
        <w:t xml:space="preserve"> sending a shock front through the secondary explosive, TNT. </w:t>
      </w:r>
      <w:r w:rsidR="00EF665D">
        <w:t>If both compositions are within the parameters of the</w:t>
      </w:r>
      <w:r w:rsidR="00FB5B04">
        <w:t>ir relative critical diameters and densities</w:t>
      </w:r>
      <w:r w:rsidR="001753AB">
        <w:t xml:space="preserve">, then the pressure wave will travel through both explosives at the speed of sound, detonating the </w:t>
      </w:r>
      <w:r w:rsidR="00BF7490">
        <w:t>explosive virtually instantly</w:t>
      </w:r>
      <w:r w:rsidR="007B2FA0">
        <w:t>.</w:t>
      </w:r>
      <w:r w:rsidR="00333381">
        <w:t xml:space="preserve"> This performance can vary if these values are changed. For example, if the </w:t>
      </w:r>
      <w:r w:rsidR="002556F1">
        <w:t xml:space="preserve">critical density used for the TNT sits just below the maximum </w:t>
      </w:r>
      <w:r w:rsidR="005D5E28">
        <w:t>density,</w:t>
      </w:r>
      <w:r w:rsidR="002556F1">
        <w:t xml:space="preserve"> then the explosive power will be at its highest and the energy output </w:t>
      </w:r>
      <w:r w:rsidR="005D5E28">
        <w:t>is at its maximum. If the critical density sits below its minimum value, then there will be failure in the material and detonation cannot be achieved; it will deflagrate, or no reaction will occur at all.</w:t>
      </w:r>
      <w:r w:rsidR="006C4587">
        <w:t xml:space="preserve"> These </w:t>
      </w:r>
      <w:r w:rsidR="007E402C">
        <w:t>outcomes</w:t>
      </w:r>
      <w:r w:rsidR="006C4587">
        <w:t xml:space="preserve"> will be very similar with the lead azide, if the density sits below the minimum, the </w:t>
      </w:r>
      <w:r w:rsidR="007E402C">
        <w:t>output may not be powerful enough the begin detonation of the TNT.</w:t>
      </w:r>
    </w:p>
    <w:p w14:paraId="73E91B28" w14:textId="77777777" w:rsidR="002F5284" w:rsidRDefault="002F5284" w:rsidP="00BA5CED">
      <w:pPr>
        <w:spacing w:line="360" w:lineRule="auto"/>
      </w:pPr>
    </w:p>
    <w:p w14:paraId="02FA9426" w14:textId="4A47A21A" w:rsidR="002F5284" w:rsidRDefault="002F5284" w:rsidP="002F5284">
      <w:pPr>
        <w:pStyle w:val="Heading2"/>
      </w:pPr>
      <w:bookmarkStart w:id="15" w:name="_Toc216962281"/>
      <w:bookmarkStart w:id="16" w:name="_Toc216963251"/>
      <w:r>
        <w:t>Stimulus Applied to the Primary Explosive</w:t>
      </w:r>
      <w:bookmarkEnd w:id="15"/>
      <w:bookmarkEnd w:id="16"/>
    </w:p>
    <w:p w14:paraId="7E20458B" w14:textId="66E8C5DE" w:rsidR="002F5284" w:rsidRDefault="00563055" w:rsidP="007B655B">
      <w:pPr>
        <w:spacing w:line="360" w:lineRule="auto"/>
      </w:pPr>
      <w:r>
        <w:t xml:space="preserve">The initiation system </w:t>
      </w:r>
      <w:r w:rsidR="001F6C48">
        <w:t xml:space="preserve">that is applied to the primary explosive </w:t>
      </w:r>
      <w:r w:rsidR="00D45BF0">
        <w:t>will be electrical. On the ‘open’ end of the detonator</w:t>
      </w:r>
      <w:r w:rsidR="009A7F68">
        <w:t xml:space="preserve">, electrical wire is crimped into it. </w:t>
      </w:r>
      <w:r w:rsidR="005D3BAB">
        <w:t xml:space="preserve">An electrical current is passed through the wire and into the detonator, this caused detonation </w:t>
      </w:r>
      <w:r w:rsidR="00597218">
        <w:t xml:space="preserve">within the device. </w:t>
      </w:r>
      <w:r w:rsidR="005D7B39">
        <w:t xml:space="preserve">Electrical initiation is </w:t>
      </w:r>
      <w:r w:rsidR="00A265CA">
        <w:t xml:space="preserve">an extremely effective method of initiation </w:t>
      </w:r>
      <w:r w:rsidR="009221D2">
        <w:t xml:space="preserve">and widely used due to its many positives; for example, </w:t>
      </w:r>
      <w:r w:rsidR="00EA108E">
        <w:t>it has extremely precise timing, the explosive can be initiated remotely</w:t>
      </w:r>
      <w:r w:rsidR="00D47EAD">
        <w:t xml:space="preserve"> and is much safer compared to physical </w:t>
      </w:r>
      <w:r w:rsidR="004D1776">
        <w:t>initiation</w:t>
      </w:r>
      <w:r w:rsidR="00D47EAD">
        <w:t xml:space="preserve"> (</w:t>
      </w:r>
      <w:r w:rsidR="004D1776">
        <w:t>match and safety fuse)</w:t>
      </w:r>
      <w:r w:rsidR="00D5650D">
        <w:t xml:space="preserve">. </w:t>
      </w:r>
    </w:p>
    <w:p w14:paraId="79172B93" w14:textId="77777777" w:rsidR="00D5650D" w:rsidRDefault="00D5650D" w:rsidP="002F5284"/>
    <w:p w14:paraId="693F8370" w14:textId="14A75DB7" w:rsidR="00D5650D" w:rsidRDefault="00D5650D" w:rsidP="00D5650D">
      <w:pPr>
        <w:pStyle w:val="Heading1"/>
      </w:pPr>
      <w:bookmarkStart w:id="17" w:name="_Toc216962282"/>
      <w:bookmarkStart w:id="18" w:name="_Toc216963252"/>
      <w:r>
        <w:t>Effect of Confinement</w:t>
      </w:r>
      <w:bookmarkEnd w:id="17"/>
      <w:bookmarkEnd w:id="18"/>
      <w:r>
        <w:t xml:space="preserve"> </w:t>
      </w:r>
    </w:p>
    <w:p w14:paraId="270FFFA0" w14:textId="39EFC6DD" w:rsidR="004B1E46" w:rsidRDefault="00D462CE" w:rsidP="007B655B">
      <w:pPr>
        <w:spacing w:line="360" w:lineRule="auto"/>
      </w:pPr>
      <w:r>
        <w:t>When an explosive is unconfined</w:t>
      </w:r>
      <w:r w:rsidR="009839E1">
        <w:t xml:space="preserve">, the shock front is spread over a much wider area so a lot of energy from the initiating explosive is lost to its surroundings </w:t>
      </w:r>
      <w:r w:rsidR="007F734E">
        <w:t xml:space="preserve">and if </w:t>
      </w:r>
      <w:r w:rsidR="007416C5">
        <w:t xml:space="preserve">sufficient energy is not delivered to the </w:t>
      </w:r>
      <w:r w:rsidR="00392204">
        <w:t>explosive,</w:t>
      </w:r>
      <w:r w:rsidR="007416C5">
        <w:t xml:space="preserve"> then detonation will fail. </w:t>
      </w:r>
      <w:r w:rsidR="00392204">
        <w:t>Whereas</w:t>
      </w:r>
      <w:r w:rsidR="007416C5">
        <w:t xml:space="preserve"> if the explosive is confined, this focuses the pressure wave into the casing and</w:t>
      </w:r>
      <w:r w:rsidR="00186004">
        <w:t xml:space="preserve"> </w:t>
      </w:r>
      <w:r w:rsidR="00BD58D7">
        <w:t>explosive</w:t>
      </w:r>
      <w:r w:rsidR="00392204">
        <w:t xml:space="preserve">. As more energy is being pushed into it, the critical diameter </w:t>
      </w:r>
      <w:r w:rsidR="00D85998">
        <w:t>can be decreased</w:t>
      </w:r>
      <w:r w:rsidR="00332009">
        <w:t xml:space="preserve"> </w:t>
      </w:r>
      <w:sdt>
        <w:sdtPr>
          <w:id w:val="-1001812167"/>
          <w:citation/>
        </w:sdtPr>
        <w:sdtEndPr/>
        <w:sdtContent>
          <w:r w:rsidR="00332009">
            <w:fldChar w:fldCharType="begin"/>
          </w:r>
          <w:r w:rsidR="00332009">
            <w:instrText xml:space="preserve"> CITATION Pet07 \l 2057 </w:instrText>
          </w:r>
          <w:r w:rsidR="00332009">
            <w:fldChar w:fldCharType="separate"/>
          </w:r>
          <w:r w:rsidR="0019560B" w:rsidRPr="0019560B">
            <w:rPr>
              <w:noProof/>
            </w:rPr>
            <w:t>[6]</w:t>
          </w:r>
          <w:r w:rsidR="00332009">
            <w:fldChar w:fldCharType="end"/>
          </w:r>
        </w:sdtContent>
      </w:sdt>
      <w:r w:rsidR="00332009">
        <w:t>.</w:t>
      </w:r>
      <w:r w:rsidR="008F0D4B">
        <w:t xml:space="preserve"> Without </w:t>
      </w:r>
      <w:r w:rsidR="008F0D4B">
        <w:lastRenderedPageBreak/>
        <w:t>confinement the gases expand too quickly which is why a larger critical diameter is needed for unconfined explosives but for confined explosives, the gases are harnessed for that little bit longer allowing maximum energy release.</w:t>
      </w:r>
    </w:p>
    <w:p w14:paraId="361D25C9" w14:textId="77777777" w:rsidR="00332009" w:rsidRDefault="00332009" w:rsidP="004B1E46"/>
    <w:p w14:paraId="189CB424" w14:textId="260D38E2" w:rsidR="00B747F3" w:rsidRDefault="00C5534F" w:rsidP="005C76FD">
      <w:pPr>
        <w:spacing w:line="360" w:lineRule="auto"/>
      </w:pPr>
      <w:r>
        <w:t xml:space="preserve">Using confined explosives has a hugely positive </w:t>
      </w:r>
      <w:r w:rsidR="000832AB">
        <w:t>effect for OME professionals.</w:t>
      </w:r>
      <w:r w:rsidR="00B747F3">
        <w:t xml:space="preserve"> As the critical diameter is decreased, the amount of explosive needed is also decreased allowing faster </w:t>
      </w:r>
      <w:r w:rsidR="00B61256">
        <w:t>manufacturing processes.</w:t>
      </w:r>
    </w:p>
    <w:p w14:paraId="77A1A505" w14:textId="726EB44E" w:rsidR="00332009" w:rsidRDefault="000832AB" w:rsidP="007B655B">
      <w:pPr>
        <w:spacing w:line="360" w:lineRule="auto"/>
      </w:pPr>
      <w:r>
        <w:t xml:space="preserve"> When a</w:t>
      </w:r>
      <w:r w:rsidR="005E6B58">
        <w:t xml:space="preserve">n explosive is confined, the expanding gases (due to heat and decomposition of the </w:t>
      </w:r>
      <w:r w:rsidR="00B61256">
        <w:t>explosive</w:t>
      </w:r>
      <w:r w:rsidR="005E6B58">
        <w:t xml:space="preserve">) </w:t>
      </w:r>
      <w:r w:rsidR="006E66C2">
        <w:t>are trapped in the casing of the munition so when it reaches the target</w:t>
      </w:r>
      <w:r w:rsidR="004E3FD4">
        <w:t xml:space="preserve">, the gases expand so much that the casing tears apart, delivering the maximum amount of energy release which, in turn, </w:t>
      </w:r>
      <w:r w:rsidR="00C12F68">
        <w:t>gives the biggest possible detonation.</w:t>
      </w:r>
      <w:r w:rsidR="0003796D">
        <w:t xml:space="preserve"> Furthermore, it reduces the risk of detonation failures </w:t>
      </w:r>
      <w:r w:rsidR="00FE43EA">
        <w:t xml:space="preserve">or incomplete detonations which pose a serious </w:t>
      </w:r>
      <w:r w:rsidR="00B747F3">
        <w:t xml:space="preserve">safety hazard to the OME professionals. </w:t>
      </w:r>
      <w:r w:rsidR="00286EC3">
        <w:t>The confinement can also assist with controlled fragmentation</w:t>
      </w:r>
      <w:r w:rsidR="00FD277C">
        <w:t xml:space="preserve"> and explosive power to focus on the intended target.</w:t>
      </w:r>
      <w:r w:rsidR="008C07D6">
        <w:t xml:space="preserve"> The container can be modified to give specific types of fragmentation </w:t>
      </w:r>
      <w:r w:rsidR="00D12FE1">
        <w:t>per specific target</w:t>
      </w:r>
      <w:r w:rsidR="00D35079">
        <w:t>;</w:t>
      </w:r>
      <w:r w:rsidR="00D12FE1">
        <w:t xml:space="preserve"> for example</w:t>
      </w:r>
      <w:r w:rsidR="00D35079">
        <w:t xml:space="preserve">, an Mk2 Grenade has clear, grid-shaped </w:t>
      </w:r>
      <w:r w:rsidR="00331EF3">
        <w:t xml:space="preserve">engravements on its </w:t>
      </w:r>
      <w:r w:rsidR="00067C2B">
        <w:t>exterior,</w:t>
      </w:r>
      <w:r w:rsidR="00331EF3">
        <w:t xml:space="preserve"> so each </w:t>
      </w:r>
      <w:r w:rsidR="000949E0">
        <w:t>piece</w:t>
      </w:r>
      <w:r w:rsidR="00331EF3">
        <w:t xml:space="preserve"> of fragmentation is </w:t>
      </w:r>
      <w:r w:rsidR="006825F7">
        <w:t xml:space="preserve">a </w:t>
      </w:r>
      <w:r w:rsidR="00331EF3">
        <w:t xml:space="preserve">similar shape and size </w:t>
      </w:r>
      <w:r w:rsidR="006825F7">
        <w:t>to ensure</w:t>
      </w:r>
      <w:r w:rsidR="00331EF3">
        <w:t xml:space="preserve"> maximum damage.</w:t>
      </w:r>
    </w:p>
    <w:p w14:paraId="5A8573BE" w14:textId="77777777" w:rsidR="007804CC" w:rsidRDefault="007804CC" w:rsidP="004B1E46"/>
    <w:p w14:paraId="00C60811" w14:textId="5FBE90C5" w:rsidR="007804CC" w:rsidRDefault="00CD10E8" w:rsidP="007B655B">
      <w:pPr>
        <w:pStyle w:val="Heading1"/>
      </w:pPr>
      <w:bookmarkStart w:id="19" w:name="_Toc216962283"/>
      <w:bookmarkStart w:id="20" w:name="_Toc216963253"/>
      <w:r>
        <w:t>Velocity of Detonation vs Density</w:t>
      </w:r>
      <w:bookmarkEnd w:id="19"/>
      <w:bookmarkEnd w:id="20"/>
    </w:p>
    <w:p w14:paraId="14DF8889" w14:textId="58F5D0CC" w:rsidR="00CD10E8" w:rsidRDefault="008D46CF" w:rsidP="00CD10E8">
      <w:pPr>
        <w:spacing w:line="360" w:lineRule="auto"/>
      </w:pPr>
      <w:r>
        <w:t xml:space="preserve">As the density of an explosive material decreases, the </w:t>
      </w:r>
      <w:r w:rsidR="00EE230B">
        <w:t xml:space="preserve">composition is less </w:t>
      </w:r>
      <w:r w:rsidR="00C362BA">
        <w:t>tightly</w:t>
      </w:r>
      <w:r w:rsidR="00EE230B">
        <w:t xml:space="preserve"> packed</w:t>
      </w:r>
      <w:r w:rsidR="00C362BA">
        <w:t xml:space="preserve">; this means the shock front will not be able to transfer that energy effectively </w:t>
      </w:r>
      <w:r w:rsidR="00D730F7">
        <w:t>through the TNT</w:t>
      </w:r>
      <w:sdt>
        <w:sdtPr>
          <w:id w:val="1903090868"/>
          <w:citation/>
        </w:sdtPr>
        <w:sdtEndPr/>
        <w:sdtContent>
          <w:r w:rsidR="00822B28">
            <w:fldChar w:fldCharType="begin"/>
          </w:r>
          <w:r w:rsidR="00822B28">
            <w:instrText xml:space="preserve"> CITATION Urb65 \l 2057 </w:instrText>
          </w:r>
          <w:r w:rsidR="00822B28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[7]</w:t>
          </w:r>
          <w:r w:rsidR="00822B28">
            <w:fldChar w:fldCharType="end"/>
          </w:r>
        </w:sdtContent>
      </w:sdt>
      <w:r w:rsidR="00822B28">
        <w:t>.</w:t>
      </w:r>
      <w:r w:rsidR="00A93E39">
        <w:t xml:space="preserve"> </w:t>
      </w:r>
      <w:r w:rsidR="007B7734">
        <w:t xml:space="preserve">The voids in the material absorb some of the energy flowing through </w:t>
      </w:r>
      <w:r w:rsidR="00C46077">
        <w:t xml:space="preserve">it, </w:t>
      </w:r>
      <w:r w:rsidR="00D3482C">
        <w:t xml:space="preserve">this causes hotspots rather than a uniform shock front. </w:t>
      </w:r>
    </w:p>
    <w:p w14:paraId="6ABA6D66" w14:textId="76AD3725" w:rsidR="00E17F12" w:rsidRPr="00CD10E8" w:rsidRDefault="00E17F12" w:rsidP="00CD10E8">
      <w:pPr>
        <w:spacing w:line="360" w:lineRule="auto"/>
      </w:pPr>
      <w:r>
        <w:rPr>
          <w:rFonts w:eastAsia="Times New Roman"/>
          <w:noProof/>
        </w:rPr>
        <w:lastRenderedPageBreak/>
        <w:drawing>
          <wp:inline distT="0" distB="0" distL="0" distR="0" wp14:anchorId="2DA94B93" wp14:editId="4480BA9C">
            <wp:extent cx="2103120" cy="2594764"/>
            <wp:effectExtent l="0" t="0" r="0" b="0"/>
            <wp:docPr id="1910492933" name="Picture 1" descr="A graph of a number of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492933" name="Picture 1" descr="A graph of a number of object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8929" cy="26019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D0547">
        <w:rPr>
          <w:i/>
          <w:iCs/>
        </w:rPr>
        <w:t>Graph 1</w:t>
      </w:r>
      <w:sdt>
        <w:sdtPr>
          <w:id w:val="2025822784"/>
          <w:citation/>
        </w:sdtPr>
        <w:sdtEndPr/>
        <w:sdtContent>
          <w:r w:rsidR="00CE313A">
            <w:fldChar w:fldCharType="begin"/>
          </w:r>
          <w:r w:rsidR="00916211">
            <w:instrText xml:space="preserve">CITATION Akh221 \l 2057 </w:instrText>
          </w:r>
          <w:r w:rsidR="00CE313A">
            <w:fldChar w:fldCharType="separate"/>
          </w:r>
          <w:r w:rsidR="0019560B">
            <w:rPr>
              <w:noProof/>
            </w:rPr>
            <w:t xml:space="preserve"> </w:t>
          </w:r>
          <w:r w:rsidR="0019560B" w:rsidRPr="0019560B">
            <w:rPr>
              <w:noProof/>
            </w:rPr>
            <w:t>[8]</w:t>
          </w:r>
          <w:r w:rsidR="00CE313A">
            <w:fldChar w:fldCharType="end"/>
          </w:r>
        </w:sdtContent>
      </w:sdt>
    </w:p>
    <w:p w14:paraId="067EC639" w14:textId="23D08AAD" w:rsidR="006239AF" w:rsidRDefault="008D0547" w:rsidP="00B26C99">
      <w:pPr>
        <w:spacing w:line="360" w:lineRule="auto"/>
      </w:pPr>
      <w:r>
        <w:t xml:space="preserve">As shown in the graph above, taken from the book </w:t>
      </w:r>
      <w:r w:rsidR="000740FF">
        <w:t>–</w:t>
      </w:r>
      <w:r>
        <w:t xml:space="preserve"> </w:t>
      </w:r>
      <w:r w:rsidR="000740FF">
        <w:rPr>
          <w:i/>
          <w:iCs/>
        </w:rPr>
        <w:t>The Chemistry of Explosives</w:t>
      </w:r>
      <w:r w:rsidR="000740FF">
        <w:t xml:space="preserve">, </w:t>
      </w:r>
      <w:r w:rsidR="00BE5F67">
        <w:t>as the density increases, the detonation velocity increases up to its maximum critical density</w:t>
      </w:r>
      <w:r w:rsidR="00254F4E">
        <w:t xml:space="preserve">. </w:t>
      </w:r>
      <w:r w:rsidR="005B6032">
        <w:t>Once it reaches</w:t>
      </w:r>
      <w:r w:rsidR="00254F4E">
        <w:t xml:space="preserve"> </w:t>
      </w:r>
      <w:r w:rsidR="005B6032">
        <w:t>the</w:t>
      </w:r>
      <w:r w:rsidR="00254F4E">
        <w:t xml:space="preserve"> critical density</w:t>
      </w:r>
      <w:r w:rsidR="005B6032">
        <w:t xml:space="preserve"> of the material</w:t>
      </w:r>
      <w:r w:rsidR="00254F4E">
        <w:t xml:space="preserve">, the graph will start to plateau as </w:t>
      </w:r>
      <w:r w:rsidR="005B6032">
        <w:t xml:space="preserve">at this point, it becomes </w:t>
      </w:r>
      <w:r w:rsidR="00A044D8">
        <w:t>self-confined.</w:t>
      </w:r>
    </w:p>
    <w:p w14:paraId="0B87919C" w14:textId="77777777" w:rsidR="00D61ABD" w:rsidRDefault="00D61ABD" w:rsidP="004B1E46"/>
    <w:tbl>
      <w:tblPr>
        <w:tblStyle w:val="PlainTable3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273CB" w14:paraId="7CD2B474" w14:textId="77777777" w:rsidTr="00C273C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08" w:type="dxa"/>
          </w:tcPr>
          <w:p w14:paraId="4B94A96E" w14:textId="6D739CF6" w:rsidR="00C273CB" w:rsidRPr="004B303D" w:rsidRDefault="0095693C" w:rsidP="004B1E46">
            <w:r>
              <w:rPr>
                <w:caps w:val="0"/>
              </w:rPr>
              <w:t>DENSITY OF TNT (g/cm</w:t>
            </w:r>
            <w:r w:rsidR="004B303D">
              <w:rPr>
                <w:caps w:val="0"/>
                <w:vertAlign w:val="superscript"/>
              </w:rPr>
              <w:t>3</w:t>
            </w:r>
            <w:r w:rsidR="004B303D">
              <w:rPr>
                <w:caps w:val="0"/>
              </w:rPr>
              <w:t>)</w:t>
            </w:r>
          </w:p>
        </w:tc>
        <w:tc>
          <w:tcPr>
            <w:tcW w:w="4508" w:type="dxa"/>
          </w:tcPr>
          <w:p w14:paraId="2134ACB7" w14:textId="74BBA5A1" w:rsidR="00C273CB" w:rsidRDefault="0095693C" w:rsidP="004B1E4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detonation velocity</w:t>
            </w:r>
            <w:r w:rsidR="004B303D">
              <w:t>(</w:t>
            </w:r>
            <w:r w:rsidR="004B303D">
              <w:rPr>
                <w:caps w:val="0"/>
              </w:rPr>
              <w:t>m/s</w:t>
            </w:r>
            <w:r w:rsidR="004B303D">
              <w:t>)</w:t>
            </w:r>
          </w:p>
        </w:tc>
      </w:tr>
      <w:tr w:rsidR="00C273CB" w14:paraId="0D8E0190" w14:textId="77777777" w:rsidTr="00C273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A61CD63" w14:textId="632EC957" w:rsidR="00C273CB" w:rsidRDefault="00FC752C" w:rsidP="004B1E46">
            <w:r>
              <w:t>1.0</w:t>
            </w:r>
          </w:p>
        </w:tc>
        <w:tc>
          <w:tcPr>
            <w:tcW w:w="4508" w:type="dxa"/>
          </w:tcPr>
          <w:p w14:paraId="5511238F" w14:textId="15EA3E99" w:rsidR="00C273CB" w:rsidRDefault="00B9008E" w:rsidP="004B1E4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≈4500-</w:t>
            </w:r>
            <w:r w:rsidR="00C56B46">
              <w:t>5000</w:t>
            </w:r>
          </w:p>
        </w:tc>
      </w:tr>
      <w:tr w:rsidR="00C273CB" w14:paraId="7B869D0B" w14:textId="77777777" w:rsidTr="00C273C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BDEB846" w14:textId="7D1B69FD" w:rsidR="00C273CB" w:rsidRDefault="00C56B46" w:rsidP="004B1E46">
            <w:r>
              <w:t>1.2</w:t>
            </w:r>
          </w:p>
        </w:tc>
        <w:tc>
          <w:tcPr>
            <w:tcW w:w="4508" w:type="dxa"/>
          </w:tcPr>
          <w:p w14:paraId="4A50096E" w14:textId="18469A68" w:rsidR="00C273CB" w:rsidRDefault="00C56B46" w:rsidP="004B1E4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≈</w:t>
            </w:r>
            <w:r w:rsidR="006012EA">
              <w:t>5200-5500</w:t>
            </w:r>
          </w:p>
        </w:tc>
      </w:tr>
      <w:tr w:rsidR="00C273CB" w14:paraId="7EA6CFC2" w14:textId="77777777" w:rsidTr="00C273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643B843" w14:textId="06602166" w:rsidR="00C273CB" w:rsidRDefault="006012EA" w:rsidP="004B1E46">
            <w:r>
              <w:t>1.4</w:t>
            </w:r>
          </w:p>
        </w:tc>
        <w:tc>
          <w:tcPr>
            <w:tcW w:w="4508" w:type="dxa"/>
          </w:tcPr>
          <w:p w14:paraId="1F00D98E" w14:textId="0FC9DF44" w:rsidR="00C273CB" w:rsidRDefault="006012EA" w:rsidP="004B1E4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≈</w:t>
            </w:r>
            <w:r w:rsidR="00FE0838">
              <w:t>6000-6300</w:t>
            </w:r>
          </w:p>
        </w:tc>
      </w:tr>
      <w:tr w:rsidR="00C273CB" w14:paraId="52004AD8" w14:textId="77777777" w:rsidTr="00C273C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07D4800" w14:textId="114B47F3" w:rsidR="00C273CB" w:rsidRDefault="00FE0838" w:rsidP="004B1E46">
            <w:r>
              <w:t>1.5</w:t>
            </w:r>
            <w:r w:rsidR="001E73A0">
              <w:t>5</w:t>
            </w:r>
          </w:p>
        </w:tc>
        <w:tc>
          <w:tcPr>
            <w:tcW w:w="4508" w:type="dxa"/>
          </w:tcPr>
          <w:p w14:paraId="41401206" w14:textId="42873079" w:rsidR="00C273CB" w:rsidRDefault="00E50B0A" w:rsidP="004B1E4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6850</w:t>
            </w:r>
          </w:p>
        </w:tc>
      </w:tr>
      <w:tr w:rsidR="00C273CB" w14:paraId="0C6907EF" w14:textId="77777777" w:rsidTr="00C273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0441210" w14:textId="076D701A" w:rsidR="00C273CB" w:rsidRDefault="00E50B0A" w:rsidP="004B1E46">
            <w:r>
              <w:t>1.6</w:t>
            </w:r>
          </w:p>
        </w:tc>
        <w:tc>
          <w:tcPr>
            <w:tcW w:w="4508" w:type="dxa"/>
          </w:tcPr>
          <w:p w14:paraId="7E75E898" w14:textId="43CD1162" w:rsidR="00C273CB" w:rsidRDefault="00E50B0A" w:rsidP="004B1E4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≈6900-</w:t>
            </w:r>
            <w:r w:rsidR="00FC5EEB">
              <w:t>7000</w:t>
            </w:r>
          </w:p>
        </w:tc>
      </w:tr>
    </w:tbl>
    <w:p w14:paraId="217329DC" w14:textId="0E315005" w:rsidR="00D61ABD" w:rsidRPr="004B1E46" w:rsidRDefault="00D61ABD" w:rsidP="004B1E46"/>
    <w:p w14:paraId="5FA79E22" w14:textId="04157CE7" w:rsidR="00105877" w:rsidRDefault="00FC5EEB" w:rsidP="00BA5CED">
      <w:pPr>
        <w:spacing w:line="360" w:lineRule="auto"/>
      </w:pPr>
      <w:r>
        <w:t xml:space="preserve">From this table, it clearly shows that at the lower end of the densities, the </w:t>
      </w:r>
      <w:r w:rsidR="003C535B">
        <w:t xml:space="preserve">detonation velocity </w:t>
      </w:r>
      <w:r w:rsidR="00FD767C">
        <w:t>jumps up drastically as the density is increased</w:t>
      </w:r>
      <w:r w:rsidR="00A47D18">
        <w:t xml:space="preserve">. Towards the higher end of the densities, the differences in detonation velocities </w:t>
      </w:r>
      <w:r w:rsidR="00667E4F">
        <w:t xml:space="preserve">grows smaller – this is the plateau that was referenced previously. </w:t>
      </w:r>
      <w:r w:rsidR="001F0D2B">
        <w:t xml:space="preserve">Using this trend, the </w:t>
      </w:r>
      <w:r w:rsidR="003B117A">
        <w:t>theoretical maximum critical density can be calculated without the need of a physical detonation.</w:t>
      </w:r>
    </w:p>
    <w:p w14:paraId="630AA991" w14:textId="77777777" w:rsidR="00C3707F" w:rsidRDefault="00C3707F" w:rsidP="00BA5CED">
      <w:pPr>
        <w:spacing w:line="360" w:lineRule="auto"/>
      </w:pPr>
    </w:p>
    <w:p w14:paraId="4F523DE7" w14:textId="2E09266A" w:rsidR="00D67E03" w:rsidRDefault="00B537BE" w:rsidP="007804CC">
      <w:pPr>
        <w:pStyle w:val="Heading1"/>
      </w:pPr>
      <w:bookmarkStart w:id="21" w:name="_Toc216962284"/>
      <w:bookmarkStart w:id="22" w:name="_Toc216963254"/>
      <w:r>
        <w:lastRenderedPageBreak/>
        <w:t>Detonation Train Diagram</w:t>
      </w:r>
      <w:bookmarkEnd w:id="21"/>
      <w:bookmarkEnd w:id="22"/>
    </w:p>
    <w:p w14:paraId="7498F913" w14:textId="1BB230F1" w:rsidR="00B537BE" w:rsidRPr="00B537BE" w:rsidRDefault="00B537BE" w:rsidP="00B537BE">
      <w:r w:rsidRPr="00B537BE">
        <w:rPr>
          <w:noProof/>
        </w:rPr>
        <w:drawing>
          <wp:inline distT="0" distB="0" distL="0" distR="0" wp14:anchorId="72DEA306" wp14:editId="1E2F0207">
            <wp:extent cx="5731510" cy="2479675"/>
            <wp:effectExtent l="0" t="0" r="2540" b="0"/>
            <wp:docPr id="1155071178" name="Picture 1" descr="A diagram of a diagram of a variety of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071178" name="Picture 1" descr="A diagram of a diagram of a variety of objects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0A9DC" w14:textId="76D7D939" w:rsidR="00B0770E" w:rsidRDefault="00B0770E" w:rsidP="004F6FC2"/>
    <w:p w14:paraId="51B56082" w14:textId="77777777" w:rsidR="00B0770E" w:rsidRDefault="00B0770E">
      <w:r>
        <w:br w:type="page"/>
      </w:r>
    </w:p>
    <w:bookmarkStart w:id="23" w:name="_Toc216962285" w:displacedByCustomXml="next"/>
    <w:bookmarkStart w:id="24" w:name="_Toc216963255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2143646310"/>
        <w:docPartObj>
          <w:docPartGallery w:val="Bibliographies"/>
          <w:docPartUnique/>
        </w:docPartObj>
      </w:sdtPr>
      <w:sdtEndPr/>
      <w:sdtContent>
        <w:p w14:paraId="36443E5C" w14:textId="3314CD87" w:rsidR="00B0770E" w:rsidRDefault="00B0770E">
          <w:pPr>
            <w:pStyle w:val="Heading1"/>
          </w:pPr>
          <w:r>
            <w:t>Bibliography</w:t>
          </w:r>
          <w:bookmarkEnd w:id="24"/>
          <w:bookmarkEnd w:id="23"/>
        </w:p>
        <w:sdt>
          <w:sdtPr>
            <w:id w:val="111145805"/>
            <w:bibliography/>
          </w:sdtPr>
          <w:sdtEndPr/>
          <w:sdtContent>
            <w:p w14:paraId="58B1B42E" w14:textId="77777777" w:rsidR="0019560B" w:rsidRDefault="00B0770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19560B" w14:paraId="3C715D5A" w14:textId="77777777">
                <w:trPr>
                  <w:divId w:val="77818710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88D474" w14:textId="7309C404" w:rsidR="0019560B" w:rsidRDefault="0019560B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4B5E66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Akhavan, The Chemistry of Explosives, Cambridge, UK: Royal Society of Chemistry, 2022. </w:t>
                    </w:r>
                  </w:p>
                </w:tc>
              </w:tr>
              <w:tr w:rsidR="0019560B" w14:paraId="5A77176D" w14:textId="77777777">
                <w:trPr>
                  <w:divId w:val="77818710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17078E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89C5D3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Meyer, J. Kohler and A. Homburg, “Explosives,” Wiley-VCH Verlag GmbH &amp; Company KGaA, Weinheim, Germany, 2015.</w:t>
                    </w:r>
                  </w:p>
                </w:tc>
              </w:tr>
              <w:tr w:rsidR="0019560B" w14:paraId="3A3720C7" w14:textId="77777777">
                <w:trPr>
                  <w:divId w:val="77818710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CAA065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77F677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Y. Mu, W. Zhang, R. Shen and Y. Ye, “Observations on Detonation Growth of Lead Azide at Microscale,” MDPI, Nanjing, China, 2022.</w:t>
                    </w:r>
                  </w:p>
                </w:tc>
              </w:tr>
              <w:tr w:rsidR="0019560B" w14:paraId="7CB2F247" w14:textId="77777777">
                <w:trPr>
                  <w:divId w:val="77818710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F13B32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78E341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Z.-X. Zhang, “Explosives and Detonators,” in </w:t>
                    </w:r>
                    <w:r>
                      <w:rPr>
                        <w:i/>
                        <w:iCs/>
                        <w:noProof/>
                      </w:rPr>
                      <w:t>Rock Fracture and Blasting</w:t>
                    </w:r>
                    <w:r>
                      <w:rPr>
                        <w:noProof/>
                      </w:rPr>
                      <w:t>, Svalbard, Norway, Butterworth Heinemann, 2016, pp. 179-195.</w:t>
                    </w:r>
                  </w:p>
                </w:tc>
              </w:tr>
              <w:tr w:rsidR="0019560B" w14:paraId="2A831772" w14:textId="77777777">
                <w:trPr>
                  <w:divId w:val="77818710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057A70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370337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Gibbs and P. A., LASL Explosive Property data, Los Alamos, New Mexico: University of California Press, 2023. </w:t>
                    </w:r>
                  </w:p>
                </w:tc>
              </w:tr>
              <w:tr w:rsidR="0019560B" w14:paraId="11657672" w14:textId="77777777">
                <w:trPr>
                  <w:divId w:val="77818710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272851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424BDF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Petel, M. D., H. A.J., T. R. and C. S.K., “Minimum Propagation Diameter and Thickness of High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Loss Prevention in the Process Industries, </w:t>
                    </w:r>
                    <w:r>
                      <w:rPr>
                        <w:noProof/>
                      </w:rPr>
                      <w:t xml:space="preserve">vol. 20, no. 4-6, pp. 578-583, 2007. </w:t>
                    </w:r>
                  </w:p>
                </w:tc>
              </w:tr>
              <w:tr w:rsidR="0019560B" w14:paraId="50EE0712" w14:textId="77777777">
                <w:trPr>
                  <w:divId w:val="77818710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7DA204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BD72E7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Urbanski, The Chemistry and Technology of Explosives, Warsaw, Poland: Pergamon Press, 1965. </w:t>
                    </w:r>
                  </w:p>
                </w:tc>
              </w:tr>
              <w:tr w:rsidR="0019560B" w14:paraId="46D2A342" w14:textId="77777777">
                <w:trPr>
                  <w:divId w:val="77818710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9220D1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01E59E" w14:textId="77777777" w:rsidR="0019560B" w:rsidRDefault="0019560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Akhavan, “Effect of Density on the Velocity of Detonation,” in </w:t>
                    </w:r>
                    <w:r>
                      <w:rPr>
                        <w:i/>
                        <w:iCs/>
                        <w:noProof/>
                      </w:rPr>
                      <w:t>The Chemistry of Explosives</w:t>
                    </w:r>
                    <w:r>
                      <w:rPr>
                        <w:noProof/>
                      </w:rPr>
                      <w:t>, Cambridge, UK, Royal Society of Chemistry, 2022, pp. 71-72.</w:t>
                    </w:r>
                  </w:p>
                </w:tc>
              </w:tr>
            </w:tbl>
            <w:p w14:paraId="19CDF20C" w14:textId="77777777" w:rsidR="0019560B" w:rsidRDefault="0019560B">
              <w:pPr>
                <w:divId w:val="778187101"/>
                <w:rPr>
                  <w:rFonts w:eastAsia="Times New Roman"/>
                  <w:noProof/>
                </w:rPr>
              </w:pPr>
            </w:p>
            <w:p w14:paraId="73190ECF" w14:textId="13B5734B" w:rsidR="00B0770E" w:rsidRDefault="00B0770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2991C19" w14:textId="77777777" w:rsidR="00AB34FF" w:rsidRPr="004F6FC2" w:rsidRDefault="00AB34FF" w:rsidP="004F6FC2"/>
    <w:sectPr w:rsidR="00AB34FF" w:rsidRPr="004F6F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49C2A6" w14:textId="77777777" w:rsidR="00326A68" w:rsidRDefault="00326A68" w:rsidP="00752A6F">
      <w:pPr>
        <w:spacing w:after="0" w:line="240" w:lineRule="auto"/>
      </w:pPr>
      <w:r>
        <w:separator/>
      </w:r>
    </w:p>
  </w:endnote>
  <w:endnote w:type="continuationSeparator" w:id="0">
    <w:p w14:paraId="72ED19E1" w14:textId="77777777" w:rsidR="00326A68" w:rsidRDefault="00326A68" w:rsidP="00752A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C4C40C" w14:textId="77777777" w:rsidR="00326A68" w:rsidRDefault="00326A68" w:rsidP="00752A6F">
      <w:pPr>
        <w:spacing w:after="0" w:line="240" w:lineRule="auto"/>
      </w:pPr>
      <w:r>
        <w:separator/>
      </w:r>
    </w:p>
  </w:footnote>
  <w:footnote w:type="continuationSeparator" w:id="0">
    <w:p w14:paraId="3CCC3639" w14:textId="77777777" w:rsidR="00326A68" w:rsidRDefault="00326A68" w:rsidP="00752A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71511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A6F"/>
    <w:rsid w:val="00002177"/>
    <w:rsid w:val="000141A5"/>
    <w:rsid w:val="000364F4"/>
    <w:rsid w:val="0003796D"/>
    <w:rsid w:val="00040E28"/>
    <w:rsid w:val="000530AD"/>
    <w:rsid w:val="0005452C"/>
    <w:rsid w:val="00065723"/>
    <w:rsid w:val="00067C2B"/>
    <w:rsid w:val="000726D5"/>
    <w:rsid w:val="00073A0B"/>
    <w:rsid w:val="000740FF"/>
    <w:rsid w:val="00081345"/>
    <w:rsid w:val="000832AB"/>
    <w:rsid w:val="0009395B"/>
    <w:rsid w:val="000949E0"/>
    <w:rsid w:val="000B0013"/>
    <w:rsid w:val="000D3A56"/>
    <w:rsid w:val="000F03A9"/>
    <w:rsid w:val="000F0685"/>
    <w:rsid w:val="00105877"/>
    <w:rsid w:val="001113D2"/>
    <w:rsid w:val="001551C4"/>
    <w:rsid w:val="00161818"/>
    <w:rsid w:val="00170D27"/>
    <w:rsid w:val="001753AB"/>
    <w:rsid w:val="00176ACF"/>
    <w:rsid w:val="001773EF"/>
    <w:rsid w:val="001827AD"/>
    <w:rsid w:val="00183C30"/>
    <w:rsid w:val="00186004"/>
    <w:rsid w:val="0019560B"/>
    <w:rsid w:val="001B2FE5"/>
    <w:rsid w:val="001B58B1"/>
    <w:rsid w:val="001C3701"/>
    <w:rsid w:val="001D1CEA"/>
    <w:rsid w:val="001E73A0"/>
    <w:rsid w:val="001F0D2B"/>
    <w:rsid w:val="001F6C48"/>
    <w:rsid w:val="00203A68"/>
    <w:rsid w:val="002108E2"/>
    <w:rsid w:val="00216CC2"/>
    <w:rsid w:val="00224D10"/>
    <w:rsid w:val="0022629A"/>
    <w:rsid w:val="0024580A"/>
    <w:rsid w:val="002469A7"/>
    <w:rsid w:val="002540B4"/>
    <w:rsid w:val="00254F4E"/>
    <w:rsid w:val="002556F1"/>
    <w:rsid w:val="00265925"/>
    <w:rsid w:val="00272FC2"/>
    <w:rsid w:val="00286EC3"/>
    <w:rsid w:val="0028782C"/>
    <w:rsid w:val="002964B8"/>
    <w:rsid w:val="002A1738"/>
    <w:rsid w:val="002A2CF7"/>
    <w:rsid w:val="002E0A27"/>
    <w:rsid w:val="002E0ED1"/>
    <w:rsid w:val="002E56A8"/>
    <w:rsid w:val="002E7320"/>
    <w:rsid w:val="002F5284"/>
    <w:rsid w:val="002F6EAB"/>
    <w:rsid w:val="003010F5"/>
    <w:rsid w:val="0032242F"/>
    <w:rsid w:val="00326A68"/>
    <w:rsid w:val="00327DE6"/>
    <w:rsid w:val="00331EF3"/>
    <w:rsid w:val="00332009"/>
    <w:rsid w:val="00333381"/>
    <w:rsid w:val="00340611"/>
    <w:rsid w:val="00343536"/>
    <w:rsid w:val="00353A2A"/>
    <w:rsid w:val="003650A7"/>
    <w:rsid w:val="00386919"/>
    <w:rsid w:val="00391018"/>
    <w:rsid w:val="00392204"/>
    <w:rsid w:val="0039348B"/>
    <w:rsid w:val="003A07DF"/>
    <w:rsid w:val="003B117A"/>
    <w:rsid w:val="003B6966"/>
    <w:rsid w:val="003C2130"/>
    <w:rsid w:val="003C493F"/>
    <w:rsid w:val="003C535B"/>
    <w:rsid w:val="003D1BCF"/>
    <w:rsid w:val="003E0D19"/>
    <w:rsid w:val="00406524"/>
    <w:rsid w:val="004105C4"/>
    <w:rsid w:val="004119BE"/>
    <w:rsid w:val="004153C3"/>
    <w:rsid w:val="00436791"/>
    <w:rsid w:val="004776B9"/>
    <w:rsid w:val="004850E3"/>
    <w:rsid w:val="004A5981"/>
    <w:rsid w:val="004B1E46"/>
    <w:rsid w:val="004B303D"/>
    <w:rsid w:val="004D1776"/>
    <w:rsid w:val="004E3FD4"/>
    <w:rsid w:val="004F3D1B"/>
    <w:rsid w:val="004F6FC2"/>
    <w:rsid w:val="0051308B"/>
    <w:rsid w:val="00521A98"/>
    <w:rsid w:val="00535DA0"/>
    <w:rsid w:val="00563055"/>
    <w:rsid w:val="00566E72"/>
    <w:rsid w:val="005765A6"/>
    <w:rsid w:val="00594ABC"/>
    <w:rsid w:val="00597218"/>
    <w:rsid w:val="005A027E"/>
    <w:rsid w:val="005B6032"/>
    <w:rsid w:val="005C76FD"/>
    <w:rsid w:val="005D31B7"/>
    <w:rsid w:val="005D3BAB"/>
    <w:rsid w:val="005D455D"/>
    <w:rsid w:val="005D5E28"/>
    <w:rsid w:val="005D7B39"/>
    <w:rsid w:val="005E064C"/>
    <w:rsid w:val="005E1F52"/>
    <w:rsid w:val="005E6B58"/>
    <w:rsid w:val="005F11AD"/>
    <w:rsid w:val="005F41C2"/>
    <w:rsid w:val="006012EA"/>
    <w:rsid w:val="00615069"/>
    <w:rsid w:val="00617327"/>
    <w:rsid w:val="006239AF"/>
    <w:rsid w:val="00623C18"/>
    <w:rsid w:val="00634468"/>
    <w:rsid w:val="00636C23"/>
    <w:rsid w:val="006511EC"/>
    <w:rsid w:val="00653B85"/>
    <w:rsid w:val="0065602B"/>
    <w:rsid w:val="00667E4F"/>
    <w:rsid w:val="00671143"/>
    <w:rsid w:val="00672864"/>
    <w:rsid w:val="00673A9B"/>
    <w:rsid w:val="006825F7"/>
    <w:rsid w:val="006A357E"/>
    <w:rsid w:val="006B08A7"/>
    <w:rsid w:val="006C4587"/>
    <w:rsid w:val="006D45D7"/>
    <w:rsid w:val="006E66C2"/>
    <w:rsid w:val="007139C4"/>
    <w:rsid w:val="00730E97"/>
    <w:rsid w:val="00734652"/>
    <w:rsid w:val="007416C5"/>
    <w:rsid w:val="0074185A"/>
    <w:rsid w:val="007424E3"/>
    <w:rsid w:val="00752A6F"/>
    <w:rsid w:val="0075332F"/>
    <w:rsid w:val="007557D0"/>
    <w:rsid w:val="00755BE9"/>
    <w:rsid w:val="00765718"/>
    <w:rsid w:val="007722A5"/>
    <w:rsid w:val="007804CC"/>
    <w:rsid w:val="007B0497"/>
    <w:rsid w:val="007B1754"/>
    <w:rsid w:val="007B2FA0"/>
    <w:rsid w:val="007B655B"/>
    <w:rsid w:val="007B6BBE"/>
    <w:rsid w:val="007B7098"/>
    <w:rsid w:val="007B7734"/>
    <w:rsid w:val="007D732B"/>
    <w:rsid w:val="007E2318"/>
    <w:rsid w:val="007E27DA"/>
    <w:rsid w:val="007E402C"/>
    <w:rsid w:val="007E7A3B"/>
    <w:rsid w:val="007F734E"/>
    <w:rsid w:val="007F7B53"/>
    <w:rsid w:val="00803F77"/>
    <w:rsid w:val="00820396"/>
    <w:rsid w:val="00822B28"/>
    <w:rsid w:val="00832AF7"/>
    <w:rsid w:val="00833C7A"/>
    <w:rsid w:val="00877421"/>
    <w:rsid w:val="008C07D6"/>
    <w:rsid w:val="008D0547"/>
    <w:rsid w:val="008D46CF"/>
    <w:rsid w:val="008F0D4B"/>
    <w:rsid w:val="008F5C89"/>
    <w:rsid w:val="008F643B"/>
    <w:rsid w:val="0090406D"/>
    <w:rsid w:val="00916211"/>
    <w:rsid w:val="009221D2"/>
    <w:rsid w:val="00925659"/>
    <w:rsid w:val="00931D87"/>
    <w:rsid w:val="00952E86"/>
    <w:rsid w:val="0095693C"/>
    <w:rsid w:val="00965081"/>
    <w:rsid w:val="00975396"/>
    <w:rsid w:val="00981036"/>
    <w:rsid w:val="009839E1"/>
    <w:rsid w:val="009A7F68"/>
    <w:rsid w:val="009C7E71"/>
    <w:rsid w:val="009E7831"/>
    <w:rsid w:val="009F48B0"/>
    <w:rsid w:val="00A0426C"/>
    <w:rsid w:val="00A044D8"/>
    <w:rsid w:val="00A072A9"/>
    <w:rsid w:val="00A0794D"/>
    <w:rsid w:val="00A265CA"/>
    <w:rsid w:val="00A274B1"/>
    <w:rsid w:val="00A33160"/>
    <w:rsid w:val="00A47D18"/>
    <w:rsid w:val="00A52C08"/>
    <w:rsid w:val="00A93E39"/>
    <w:rsid w:val="00AB1C13"/>
    <w:rsid w:val="00AB34FF"/>
    <w:rsid w:val="00B0770E"/>
    <w:rsid w:val="00B112D0"/>
    <w:rsid w:val="00B1534E"/>
    <w:rsid w:val="00B2002B"/>
    <w:rsid w:val="00B26C99"/>
    <w:rsid w:val="00B50E70"/>
    <w:rsid w:val="00B537BE"/>
    <w:rsid w:val="00B61256"/>
    <w:rsid w:val="00B645EA"/>
    <w:rsid w:val="00B663EA"/>
    <w:rsid w:val="00B67BB2"/>
    <w:rsid w:val="00B747F3"/>
    <w:rsid w:val="00B9008E"/>
    <w:rsid w:val="00B921D7"/>
    <w:rsid w:val="00B9554C"/>
    <w:rsid w:val="00B96251"/>
    <w:rsid w:val="00BA5CED"/>
    <w:rsid w:val="00BD1AAB"/>
    <w:rsid w:val="00BD355E"/>
    <w:rsid w:val="00BD58D7"/>
    <w:rsid w:val="00BE5F67"/>
    <w:rsid w:val="00BF7490"/>
    <w:rsid w:val="00C00463"/>
    <w:rsid w:val="00C12F68"/>
    <w:rsid w:val="00C20EFB"/>
    <w:rsid w:val="00C232D2"/>
    <w:rsid w:val="00C25D92"/>
    <w:rsid w:val="00C273CB"/>
    <w:rsid w:val="00C336A3"/>
    <w:rsid w:val="00C35371"/>
    <w:rsid w:val="00C362BA"/>
    <w:rsid w:val="00C3707F"/>
    <w:rsid w:val="00C414FF"/>
    <w:rsid w:val="00C46077"/>
    <w:rsid w:val="00C54FE2"/>
    <w:rsid w:val="00C5534F"/>
    <w:rsid w:val="00C56B46"/>
    <w:rsid w:val="00C86A59"/>
    <w:rsid w:val="00C86B28"/>
    <w:rsid w:val="00CD10E8"/>
    <w:rsid w:val="00CE1254"/>
    <w:rsid w:val="00CE313A"/>
    <w:rsid w:val="00D051C8"/>
    <w:rsid w:val="00D12FE1"/>
    <w:rsid w:val="00D16C58"/>
    <w:rsid w:val="00D269F7"/>
    <w:rsid w:val="00D30C57"/>
    <w:rsid w:val="00D3482C"/>
    <w:rsid w:val="00D35079"/>
    <w:rsid w:val="00D36156"/>
    <w:rsid w:val="00D45BF0"/>
    <w:rsid w:val="00D462CE"/>
    <w:rsid w:val="00D47EAD"/>
    <w:rsid w:val="00D5650D"/>
    <w:rsid w:val="00D61ABD"/>
    <w:rsid w:val="00D67E03"/>
    <w:rsid w:val="00D71212"/>
    <w:rsid w:val="00D7193B"/>
    <w:rsid w:val="00D730F7"/>
    <w:rsid w:val="00D7745B"/>
    <w:rsid w:val="00D825B3"/>
    <w:rsid w:val="00D85998"/>
    <w:rsid w:val="00D8608E"/>
    <w:rsid w:val="00DA0EA0"/>
    <w:rsid w:val="00DA690C"/>
    <w:rsid w:val="00DC0F79"/>
    <w:rsid w:val="00DD4D1E"/>
    <w:rsid w:val="00DD576A"/>
    <w:rsid w:val="00E17F12"/>
    <w:rsid w:val="00E259C1"/>
    <w:rsid w:val="00E34EFD"/>
    <w:rsid w:val="00E50B0A"/>
    <w:rsid w:val="00E52EF3"/>
    <w:rsid w:val="00E71C6D"/>
    <w:rsid w:val="00E92382"/>
    <w:rsid w:val="00E95885"/>
    <w:rsid w:val="00E969DB"/>
    <w:rsid w:val="00EA108E"/>
    <w:rsid w:val="00EB5D56"/>
    <w:rsid w:val="00ED1319"/>
    <w:rsid w:val="00ED367A"/>
    <w:rsid w:val="00EE230B"/>
    <w:rsid w:val="00EF4014"/>
    <w:rsid w:val="00EF665D"/>
    <w:rsid w:val="00F02F9E"/>
    <w:rsid w:val="00F31F9C"/>
    <w:rsid w:val="00F35707"/>
    <w:rsid w:val="00F37D0D"/>
    <w:rsid w:val="00F64DD5"/>
    <w:rsid w:val="00F84FA1"/>
    <w:rsid w:val="00F912BA"/>
    <w:rsid w:val="00FB2537"/>
    <w:rsid w:val="00FB5B04"/>
    <w:rsid w:val="00FC14AE"/>
    <w:rsid w:val="00FC5EEB"/>
    <w:rsid w:val="00FC752C"/>
    <w:rsid w:val="00FD14D1"/>
    <w:rsid w:val="00FD277C"/>
    <w:rsid w:val="00FD767C"/>
    <w:rsid w:val="00FE0838"/>
    <w:rsid w:val="00FE0B82"/>
    <w:rsid w:val="00FE43EA"/>
    <w:rsid w:val="00FE5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72C78"/>
  <w15:chartTrackingRefBased/>
  <w15:docId w15:val="{E54EA965-E97C-4F93-B837-A539D995B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2A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2A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2A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2A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2A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2A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2A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2A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2A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2A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52A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2A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2A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2A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2A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2A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2A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2A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2A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2A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2A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2A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2A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2A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2A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2A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2A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2A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2A6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52A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2A6F"/>
  </w:style>
  <w:style w:type="paragraph" w:styleId="Footer">
    <w:name w:val="footer"/>
    <w:basedOn w:val="Normal"/>
    <w:link w:val="FooterChar"/>
    <w:uiPriority w:val="99"/>
    <w:unhideWhenUsed/>
    <w:rsid w:val="00752A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2A6F"/>
  </w:style>
  <w:style w:type="paragraph" w:styleId="TOCHeading">
    <w:name w:val="TOC Heading"/>
    <w:basedOn w:val="Heading1"/>
    <w:next w:val="Normal"/>
    <w:uiPriority w:val="39"/>
    <w:unhideWhenUsed/>
    <w:qFormat/>
    <w:rsid w:val="002E56A8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8608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8608E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34652"/>
    <w:pPr>
      <w:spacing w:after="100"/>
      <w:ind w:left="240"/>
    </w:pPr>
  </w:style>
  <w:style w:type="paragraph" w:styleId="Bibliography">
    <w:name w:val="Bibliography"/>
    <w:basedOn w:val="Normal"/>
    <w:next w:val="Normal"/>
    <w:uiPriority w:val="37"/>
    <w:unhideWhenUsed/>
    <w:rsid w:val="00D67E03"/>
  </w:style>
  <w:style w:type="table" w:styleId="TableGrid">
    <w:name w:val="Table Grid"/>
    <w:basedOn w:val="TableNormal"/>
    <w:uiPriority w:val="39"/>
    <w:rsid w:val="00C273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C273C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54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4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6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7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47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1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07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1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6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2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3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1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17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1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8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8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49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3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9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5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26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14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9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1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1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34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44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0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05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45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1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2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26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2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0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3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94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63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96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12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4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93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3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35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9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2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0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6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0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cid:6adf2107-3a3e-4666-92d4-584081ba27b8@GBRP123.PROD.OUTLOOK.CO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Akh22</b:Tag>
    <b:SourceType>Book</b:SourceType>
    <b:Guid>{8C549C01-1F47-40AB-9CDC-B5650D64FB68}</b:Guid>
    <b:Author>
      <b:Author>
        <b:NameList>
          <b:Person>
            <b:Last>Akhavan</b:Last>
            <b:First>Jacqueline</b:First>
          </b:Person>
        </b:NameList>
      </b:Author>
    </b:Author>
    <b:Title>The Chemistry of Explosives</b:Title>
    <b:Year>2022</b:Year>
    <b:City>Cambridge, UK</b:City>
    <b:Publisher>Royal Society of Chemistry</b:Publisher>
    <b:RefOrder>1</b:RefOrder>
  </b:Source>
  <b:Source>
    <b:Tag>RMe15</b:Tag>
    <b:SourceType>Report</b:SourceType>
    <b:Guid>{26A71203-DE0F-496B-B922-863EA8630323}</b:Guid>
    <b:Author>
      <b:Author>
        <b:NameList>
          <b:Person>
            <b:Last>Meyer</b:Last>
            <b:First>R.</b:First>
          </b:Person>
          <b:Person>
            <b:Last>Kohler</b:Last>
            <b:First>J.</b:First>
          </b:Person>
          <b:Person>
            <b:Last>Homburg</b:Last>
            <b:First>A.</b:First>
          </b:Person>
        </b:NameList>
      </b:Author>
    </b:Author>
    <b:Title>Explosives</b:Title>
    <b:Year>2015</b:Year>
    <b:Publisher>Wiley-VCH Verlag GmbH &amp; Company KGaA</b:Publisher>
    <b:City>Weinheim, Germany</b:City>
    <b:RefOrder>2</b:RefOrder>
  </b:Source>
  <b:Source>
    <b:Tag>MuY22</b:Tag>
    <b:SourceType>Report</b:SourceType>
    <b:Guid>{75C2AEF5-7ADF-4B20-AE35-9322EC704E38}</b:Guid>
    <b:Author>
      <b:Author>
        <b:NameList>
          <b:Person>
            <b:Last>Mu</b:Last>
            <b:First>Yunfei</b:First>
          </b:Person>
          <b:Person>
            <b:Last>Zhang</b:Last>
            <b:First>Wei</b:First>
          </b:Person>
          <b:Person>
            <b:Last>Shen</b:Last>
            <b:First>Ruiqi</b:First>
          </b:Person>
          <b:Person>
            <b:Last>Ye</b:Last>
            <b:First>Yinghua</b:First>
          </b:Person>
        </b:NameList>
      </b:Author>
    </b:Author>
    <b:Title>Observations on Detonation Growth of Lead Azide at Microscale</b:Title>
    <b:Year>2022</b:Year>
    <b:Publisher>MDPI</b:Publisher>
    <b:City>Nanjing, China</b:City>
    <b:RefOrder>3</b:RefOrder>
  </b:Source>
  <b:Source>
    <b:Tag>Zha16</b:Tag>
    <b:SourceType>BookSection</b:SourceType>
    <b:Guid>{CD7C3C5B-0B26-4845-8A5F-2AB4F27BA6C8}</b:Guid>
    <b:Title>Explosives and Detonators</b:Title>
    <b:Year>2016</b:Year>
    <b:Publisher>Butterworth Heinemann</b:Publisher>
    <b:City>Svalbard, Norway</b:City>
    <b:Author>
      <b:Author>
        <b:NameList>
          <b:Person>
            <b:Last>Zhang</b:Last>
            <b:First>Zong-Xian</b:First>
          </b:Person>
        </b:NameList>
      </b:Author>
    </b:Author>
    <b:BookTitle>Rock Fracture and Blasting</b:BookTitle>
    <b:Pages>179-195</b:Pages>
    <b:RefOrder>4</b:RefOrder>
  </b:Source>
  <b:Source>
    <b:Tag>Pet07</b:Tag>
    <b:SourceType>JournalArticle</b:SourceType>
    <b:Guid>{DA841B9A-AEE1-4ADB-868E-C6D23B342DDB}</b:Guid>
    <b:Title>Minimum Propagation Diameter and Thickness of High Explosives</b:Title>
    <b:Year>2007</b:Year>
    <b:Pages>578-583</b:Pages>
    <b:Author>
      <b:Author>
        <b:NameList>
          <b:Person>
            <b:Last>Petel</b:Last>
            <b:First>O.E.</b:First>
          </b:Person>
          <b:Person>
            <b:Last>D.</b:Last>
            <b:First>Mack</b:First>
          </b:Person>
          <b:Person>
            <b:Last>A.J.</b:Last>
            <b:First>Higgins</b:First>
          </b:Person>
          <b:Person>
            <b:Last>R.</b:Last>
            <b:First>Turcotte</b:First>
          </b:Person>
          <b:Person>
            <b:Last>S.K.</b:Last>
            <b:First>Chan</b:First>
          </b:Person>
        </b:NameList>
      </b:Author>
    </b:Author>
    <b:JournalName>Journal of Loss Prevention in the Process Industries</b:JournalName>
    <b:Volume>20</b:Volume>
    <b:Issue>4-6</b:Issue>
    <b:RefOrder>6</b:RefOrder>
  </b:Source>
  <b:Source>
    <b:Tag>Gib23</b:Tag>
    <b:SourceType>Book</b:SourceType>
    <b:Guid>{5C4E5A8C-0498-4028-8943-5D996C371D4E}</b:Guid>
    <b:Title>LASL Explosive Property data</b:Title>
    <b:Year>2023</b:Year>
    <b:Author>
      <b:Author>
        <b:NameList>
          <b:Person>
            <b:Last>Gibbs</b:Last>
            <b:First>T.R.</b:First>
          </b:Person>
          <b:Person>
            <b:Last>A.</b:Last>
            <b:First>Popolato</b:First>
          </b:Person>
        </b:NameList>
      </b:Author>
    </b:Author>
    <b:City>Los Alamos, New Mexico</b:City>
    <b:Publisher>University of California Press</b:Publisher>
    <b:RefOrder>5</b:RefOrder>
  </b:Source>
  <b:Source>
    <b:Tag>Urb65</b:Tag>
    <b:SourceType>Book</b:SourceType>
    <b:Guid>{963D20C2-68F4-45C4-8E7E-2CDB43A3B3EE}</b:Guid>
    <b:Author>
      <b:Author>
        <b:NameList>
          <b:Person>
            <b:Last>Urbanski</b:Last>
            <b:First>Tadeusz</b:First>
          </b:Person>
        </b:NameList>
      </b:Author>
    </b:Author>
    <b:Title>The Chemistry and Technology of Explosives</b:Title>
    <b:Year>1965</b:Year>
    <b:City>Warsaw, Poland</b:City>
    <b:Publisher>Pergamon Press</b:Publisher>
    <b:RefOrder>7</b:RefOrder>
  </b:Source>
  <b:Source>
    <b:Tag>Akh221</b:Tag>
    <b:SourceType>BookSection</b:SourceType>
    <b:Guid>{58B7CA8C-55AB-4030-BE3F-D655B9CEAC58}</b:Guid>
    <b:Author>
      <b:Author>
        <b:NameList>
          <b:Person>
            <b:Last>Akhavan</b:Last>
            <b:First>Jacqueline</b:First>
          </b:Person>
        </b:NameList>
      </b:Author>
    </b:Author>
    <b:Title>Effect of Density on the Velocity of Detonation</b:Title>
    <b:BookTitle>The Chemistry of Explosives</b:BookTitle>
    <b:Year>2022</b:Year>
    <b:Pages>71-72</b:Pages>
    <b:City>Cambridge, UK</b:City>
    <b:Publisher>Royal Society of Chemistry</b:Publisher>
    <b:RefOrder>8</b:RefOrder>
  </b:Source>
</b:Sources>
</file>

<file path=customXml/itemProps1.xml><?xml version="1.0" encoding="utf-8"?>
<ds:datastoreItem xmlns:ds="http://schemas.openxmlformats.org/officeDocument/2006/customXml" ds:itemID="{5F19CE6F-AF5B-4515-AD9F-0D80A1C9DC0F}">
  <ds:schemaRefs>
    <ds:schemaRef ds:uri="http://schemas.openxmlformats.org/officeDocument/2006/bibliography"/>
    <ds:schemaRef ds:uri="http://www.w3.org/2000/xmlns/"/>
  </ds:schemaRefs>
</ds:datastoreItem>
</file>

<file path=docMetadata/LabelInfo.xml><?xml version="1.0" encoding="utf-8"?>
<clbl:labelList xmlns:clbl="http://schemas.microsoft.com/office/2020/mipLabelMetadata">
  <clbl:label id="{0685cde0-1612-4589-899c-6313cf88cfb3}" enabled="1" method="Privileged" siteId="{3b3b5e66-62b2-4f04-8848-ac445bc41444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1862</Words>
  <Characters>10618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Frampton</dc:creator>
  <cp:keywords/>
  <dc:description/>
  <cp:lastModifiedBy>Jack Frampton (2413011)</cp:lastModifiedBy>
  <cp:revision>2</cp:revision>
  <dcterms:created xsi:type="dcterms:W3CDTF">2025-12-18T15:26:00Z</dcterms:created>
  <dcterms:modified xsi:type="dcterms:W3CDTF">2025-12-18T15:26:00Z</dcterms:modified>
</cp:coreProperties>
</file>