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09875" w14:textId="77777777" w:rsidR="00CC7994" w:rsidRDefault="00A21401" w:rsidP="00A21401">
      <w:r>
        <w:t>Understanding the Rwandan Genocide: Literature Review, Primary Source Analysis, and Interpretative Essay</w:t>
      </w:r>
    </w:p>
    <w:p w14:paraId="4F358FC7" w14:textId="77777777" w:rsidR="00CC7994" w:rsidRDefault="00CC7994">
      <w:r>
        <w:br w:type="page"/>
      </w:r>
    </w:p>
    <w:sdt>
      <w:sdtPr>
        <w:rPr>
          <w:rFonts w:ascii="Times New Roman" w:eastAsiaTheme="minorHAnsi" w:hAnsi="Times New Roman" w:cstheme="minorBidi"/>
          <w:color w:val="auto"/>
          <w:sz w:val="24"/>
          <w:szCs w:val="22"/>
        </w:rPr>
        <w:id w:val="-880167475"/>
        <w:docPartObj>
          <w:docPartGallery w:val="Table of Contents"/>
          <w:docPartUnique/>
        </w:docPartObj>
      </w:sdtPr>
      <w:sdtEndPr>
        <w:rPr>
          <w:b/>
          <w:bCs/>
          <w:noProof/>
        </w:rPr>
      </w:sdtEndPr>
      <w:sdtContent>
        <w:p w14:paraId="54D9B160" w14:textId="77777777" w:rsidR="00CC7994" w:rsidRDefault="00CC7994">
          <w:pPr>
            <w:pStyle w:val="TOCHeading"/>
          </w:pPr>
          <w:r>
            <w:t>Contents</w:t>
          </w:r>
        </w:p>
        <w:p w14:paraId="3E769D92" w14:textId="77777777" w:rsidR="00CC7994" w:rsidRDefault="00CC799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2472322" w:history="1">
            <w:r w:rsidRPr="00FF0781">
              <w:rPr>
                <w:rStyle w:val="Hyperlink"/>
                <w:noProof/>
              </w:rPr>
              <w:t>Part 1: Literature Review</w:t>
            </w:r>
            <w:r>
              <w:rPr>
                <w:noProof/>
                <w:webHidden/>
              </w:rPr>
              <w:tab/>
            </w:r>
            <w:r>
              <w:rPr>
                <w:noProof/>
                <w:webHidden/>
              </w:rPr>
              <w:fldChar w:fldCharType="begin"/>
            </w:r>
            <w:r>
              <w:rPr>
                <w:noProof/>
                <w:webHidden/>
              </w:rPr>
              <w:instrText xml:space="preserve"> PAGEREF _Toc172472322 \h </w:instrText>
            </w:r>
            <w:r>
              <w:rPr>
                <w:noProof/>
                <w:webHidden/>
              </w:rPr>
            </w:r>
            <w:r>
              <w:rPr>
                <w:noProof/>
                <w:webHidden/>
              </w:rPr>
              <w:fldChar w:fldCharType="separate"/>
            </w:r>
            <w:r>
              <w:rPr>
                <w:noProof/>
                <w:webHidden/>
              </w:rPr>
              <w:t>3</w:t>
            </w:r>
            <w:r>
              <w:rPr>
                <w:noProof/>
                <w:webHidden/>
              </w:rPr>
              <w:fldChar w:fldCharType="end"/>
            </w:r>
          </w:hyperlink>
        </w:p>
        <w:p w14:paraId="6787C0E1" w14:textId="77777777" w:rsidR="00CC7994" w:rsidRDefault="00000000">
          <w:pPr>
            <w:pStyle w:val="TOC2"/>
            <w:tabs>
              <w:tab w:val="right" w:leader="dot" w:pos="9350"/>
            </w:tabs>
            <w:rPr>
              <w:rFonts w:asciiTheme="minorHAnsi" w:eastAsiaTheme="minorEastAsia" w:hAnsiTheme="minorHAnsi"/>
              <w:noProof/>
              <w:sz w:val="22"/>
            </w:rPr>
          </w:pPr>
          <w:hyperlink w:anchor="_Toc172472323" w:history="1">
            <w:r w:rsidR="00CC7994" w:rsidRPr="00FF0781">
              <w:rPr>
                <w:rStyle w:val="Hyperlink"/>
                <w:noProof/>
              </w:rPr>
              <w:t>Introduction</w:t>
            </w:r>
            <w:r w:rsidR="00CC7994">
              <w:rPr>
                <w:noProof/>
                <w:webHidden/>
              </w:rPr>
              <w:tab/>
            </w:r>
            <w:r w:rsidR="00CC7994">
              <w:rPr>
                <w:noProof/>
                <w:webHidden/>
              </w:rPr>
              <w:fldChar w:fldCharType="begin"/>
            </w:r>
            <w:r w:rsidR="00CC7994">
              <w:rPr>
                <w:noProof/>
                <w:webHidden/>
              </w:rPr>
              <w:instrText xml:space="preserve"> PAGEREF _Toc172472323 \h </w:instrText>
            </w:r>
            <w:r w:rsidR="00CC7994">
              <w:rPr>
                <w:noProof/>
                <w:webHidden/>
              </w:rPr>
            </w:r>
            <w:r w:rsidR="00CC7994">
              <w:rPr>
                <w:noProof/>
                <w:webHidden/>
              </w:rPr>
              <w:fldChar w:fldCharType="separate"/>
            </w:r>
            <w:r w:rsidR="00CC7994">
              <w:rPr>
                <w:noProof/>
                <w:webHidden/>
              </w:rPr>
              <w:t>3</w:t>
            </w:r>
            <w:r w:rsidR="00CC7994">
              <w:rPr>
                <w:noProof/>
                <w:webHidden/>
              </w:rPr>
              <w:fldChar w:fldCharType="end"/>
            </w:r>
          </w:hyperlink>
        </w:p>
        <w:p w14:paraId="5DFF6595" w14:textId="77777777" w:rsidR="00CC7994" w:rsidRDefault="00000000">
          <w:pPr>
            <w:pStyle w:val="TOC3"/>
            <w:tabs>
              <w:tab w:val="right" w:leader="dot" w:pos="9350"/>
            </w:tabs>
            <w:rPr>
              <w:rFonts w:asciiTheme="minorHAnsi" w:eastAsiaTheme="minorEastAsia" w:hAnsiTheme="minorHAnsi"/>
              <w:noProof/>
              <w:sz w:val="22"/>
            </w:rPr>
          </w:pPr>
          <w:hyperlink w:anchor="_Toc172472324" w:history="1">
            <w:r w:rsidR="00CC7994" w:rsidRPr="00FF0781">
              <w:rPr>
                <w:rStyle w:val="Hyperlink"/>
                <w:noProof/>
              </w:rPr>
              <w:t>"Leave None to Tell the Story: Des Forges, Alison: "Genocide in Rwanda"</w:t>
            </w:r>
            <w:r w:rsidR="00CC7994">
              <w:rPr>
                <w:noProof/>
                <w:webHidden/>
              </w:rPr>
              <w:tab/>
            </w:r>
            <w:r w:rsidR="00CC7994">
              <w:rPr>
                <w:noProof/>
                <w:webHidden/>
              </w:rPr>
              <w:fldChar w:fldCharType="begin"/>
            </w:r>
            <w:r w:rsidR="00CC7994">
              <w:rPr>
                <w:noProof/>
                <w:webHidden/>
              </w:rPr>
              <w:instrText xml:space="preserve"> PAGEREF _Toc172472324 \h </w:instrText>
            </w:r>
            <w:r w:rsidR="00CC7994">
              <w:rPr>
                <w:noProof/>
                <w:webHidden/>
              </w:rPr>
            </w:r>
            <w:r w:rsidR="00CC7994">
              <w:rPr>
                <w:noProof/>
                <w:webHidden/>
              </w:rPr>
              <w:fldChar w:fldCharType="separate"/>
            </w:r>
            <w:r w:rsidR="00CC7994">
              <w:rPr>
                <w:noProof/>
                <w:webHidden/>
              </w:rPr>
              <w:t>3</w:t>
            </w:r>
            <w:r w:rsidR="00CC7994">
              <w:rPr>
                <w:noProof/>
                <w:webHidden/>
              </w:rPr>
              <w:fldChar w:fldCharType="end"/>
            </w:r>
          </w:hyperlink>
        </w:p>
        <w:p w14:paraId="29E8E9E9" w14:textId="77777777" w:rsidR="00CC7994" w:rsidRDefault="00000000">
          <w:pPr>
            <w:pStyle w:val="TOC3"/>
            <w:tabs>
              <w:tab w:val="right" w:leader="dot" w:pos="9350"/>
            </w:tabs>
            <w:rPr>
              <w:rFonts w:asciiTheme="minorHAnsi" w:eastAsiaTheme="minorEastAsia" w:hAnsiTheme="minorHAnsi"/>
              <w:noProof/>
              <w:sz w:val="22"/>
            </w:rPr>
          </w:pPr>
          <w:hyperlink w:anchor="_Toc172472325" w:history="1">
            <w:r w:rsidR="00CC7994" w:rsidRPr="00FF0781">
              <w:rPr>
                <w:rStyle w:val="Hyperlink"/>
                <w:noProof/>
              </w:rPr>
              <w:t>"When Victims Become Killers: The works are eventually compared: “Colonialism, Nativism, and the Genocide in Rwanda” by Mahmood Mamdani</w:t>
            </w:r>
            <w:r w:rsidR="00CC7994">
              <w:rPr>
                <w:noProof/>
                <w:webHidden/>
              </w:rPr>
              <w:tab/>
            </w:r>
            <w:r w:rsidR="00CC7994">
              <w:rPr>
                <w:noProof/>
                <w:webHidden/>
              </w:rPr>
              <w:fldChar w:fldCharType="begin"/>
            </w:r>
            <w:r w:rsidR="00CC7994">
              <w:rPr>
                <w:noProof/>
                <w:webHidden/>
              </w:rPr>
              <w:instrText xml:space="preserve"> PAGEREF _Toc172472325 \h </w:instrText>
            </w:r>
            <w:r w:rsidR="00CC7994">
              <w:rPr>
                <w:noProof/>
                <w:webHidden/>
              </w:rPr>
            </w:r>
            <w:r w:rsidR="00CC7994">
              <w:rPr>
                <w:noProof/>
                <w:webHidden/>
              </w:rPr>
              <w:fldChar w:fldCharType="separate"/>
            </w:r>
            <w:r w:rsidR="00CC7994">
              <w:rPr>
                <w:noProof/>
                <w:webHidden/>
              </w:rPr>
              <w:t>3</w:t>
            </w:r>
            <w:r w:rsidR="00CC7994">
              <w:rPr>
                <w:noProof/>
                <w:webHidden/>
              </w:rPr>
              <w:fldChar w:fldCharType="end"/>
            </w:r>
          </w:hyperlink>
        </w:p>
        <w:p w14:paraId="67624EE2" w14:textId="77777777" w:rsidR="00CC7994" w:rsidRDefault="00000000">
          <w:pPr>
            <w:pStyle w:val="TOC3"/>
            <w:tabs>
              <w:tab w:val="right" w:leader="dot" w:pos="9350"/>
            </w:tabs>
            <w:rPr>
              <w:rFonts w:asciiTheme="minorHAnsi" w:eastAsiaTheme="minorEastAsia" w:hAnsiTheme="minorHAnsi"/>
              <w:noProof/>
              <w:sz w:val="22"/>
            </w:rPr>
          </w:pPr>
          <w:hyperlink w:anchor="_Toc172472326" w:history="1">
            <w:r w:rsidR="00CC7994" w:rsidRPr="00FF0781">
              <w:rPr>
                <w:rStyle w:val="Hyperlink"/>
                <w:noProof/>
              </w:rPr>
              <w:t>"The Order of Genocide: Race, Power, and War in Rwanda" by Scott Straus</w:t>
            </w:r>
            <w:r w:rsidR="00CC7994">
              <w:rPr>
                <w:noProof/>
                <w:webHidden/>
              </w:rPr>
              <w:tab/>
            </w:r>
            <w:r w:rsidR="00CC7994">
              <w:rPr>
                <w:noProof/>
                <w:webHidden/>
              </w:rPr>
              <w:fldChar w:fldCharType="begin"/>
            </w:r>
            <w:r w:rsidR="00CC7994">
              <w:rPr>
                <w:noProof/>
                <w:webHidden/>
              </w:rPr>
              <w:instrText xml:space="preserve"> PAGEREF _Toc172472326 \h </w:instrText>
            </w:r>
            <w:r w:rsidR="00CC7994">
              <w:rPr>
                <w:noProof/>
                <w:webHidden/>
              </w:rPr>
            </w:r>
            <w:r w:rsidR="00CC7994">
              <w:rPr>
                <w:noProof/>
                <w:webHidden/>
              </w:rPr>
              <w:fldChar w:fldCharType="separate"/>
            </w:r>
            <w:r w:rsidR="00CC7994">
              <w:rPr>
                <w:noProof/>
                <w:webHidden/>
              </w:rPr>
              <w:t>4</w:t>
            </w:r>
            <w:r w:rsidR="00CC7994">
              <w:rPr>
                <w:noProof/>
                <w:webHidden/>
              </w:rPr>
              <w:fldChar w:fldCharType="end"/>
            </w:r>
          </w:hyperlink>
        </w:p>
        <w:p w14:paraId="417919A1" w14:textId="77777777" w:rsidR="00CC7994" w:rsidRDefault="00000000">
          <w:pPr>
            <w:pStyle w:val="TOC3"/>
            <w:tabs>
              <w:tab w:val="right" w:leader="dot" w:pos="9350"/>
            </w:tabs>
            <w:rPr>
              <w:rFonts w:asciiTheme="minorHAnsi" w:eastAsiaTheme="minorEastAsia" w:hAnsiTheme="minorHAnsi"/>
              <w:noProof/>
              <w:sz w:val="22"/>
            </w:rPr>
          </w:pPr>
          <w:hyperlink w:anchor="_Toc172472327" w:history="1">
            <w:r w:rsidR="00CC7994" w:rsidRPr="00FF0781">
              <w:rPr>
                <w:rStyle w:val="Hyperlink"/>
                <w:noProof/>
              </w:rPr>
              <w:t>"The Great African War: “Democratic Republic of Congo and Regional Politics 1996-2006” by Filip Reyntjens</w:t>
            </w:r>
            <w:r w:rsidR="00CC7994">
              <w:rPr>
                <w:noProof/>
                <w:webHidden/>
              </w:rPr>
              <w:tab/>
            </w:r>
            <w:r w:rsidR="00CC7994">
              <w:rPr>
                <w:noProof/>
                <w:webHidden/>
              </w:rPr>
              <w:fldChar w:fldCharType="begin"/>
            </w:r>
            <w:r w:rsidR="00CC7994">
              <w:rPr>
                <w:noProof/>
                <w:webHidden/>
              </w:rPr>
              <w:instrText xml:space="preserve"> PAGEREF _Toc172472327 \h </w:instrText>
            </w:r>
            <w:r w:rsidR="00CC7994">
              <w:rPr>
                <w:noProof/>
                <w:webHidden/>
              </w:rPr>
            </w:r>
            <w:r w:rsidR="00CC7994">
              <w:rPr>
                <w:noProof/>
                <w:webHidden/>
              </w:rPr>
              <w:fldChar w:fldCharType="separate"/>
            </w:r>
            <w:r w:rsidR="00CC7994">
              <w:rPr>
                <w:noProof/>
                <w:webHidden/>
              </w:rPr>
              <w:t>5</w:t>
            </w:r>
            <w:r w:rsidR="00CC7994">
              <w:rPr>
                <w:noProof/>
                <w:webHidden/>
              </w:rPr>
              <w:fldChar w:fldCharType="end"/>
            </w:r>
          </w:hyperlink>
        </w:p>
        <w:p w14:paraId="1E2DACE3" w14:textId="51311897" w:rsidR="00CC7994" w:rsidRDefault="00000000" w:rsidP="00D77D25">
          <w:pPr>
            <w:pStyle w:val="TOC2"/>
            <w:tabs>
              <w:tab w:val="right" w:leader="dot" w:pos="9350"/>
            </w:tabs>
            <w:rPr>
              <w:rFonts w:asciiTheme="minorHAnsi" w:eastAsiaTheme="minorEastAsia" w:hAnsiTheme="minorHAnsi"/>
              <w:noProof/>
              <w:sz w:val="22"/>
            </w:rPr>
          </w:pPr>
          <w:hyperlink w:anchor="_Toc172472328" w:history="1">
            <w:r w:rsidR="00CC7994" w:rsidRPr="00FF0781">
              <w:rPr>
                <w:rStyle w:val="Hyperlink"/>
                <w:noProof/>
              </w:rPr>
              <w:t>Conclusion</w:t>
            </w:r>
            <w:r w:rsidR="00CC7994">
              <w:rPr>
                <w:noProof/>
                <w:webHidden/>
              </w:rPr>
              <w:tab/>
            </w:r>
            <w:r w:rsidR="00CC7994">
              <w:rPr>
                <w:noProof/>
                <w:webHidden/>
              </w:rPr>
              <w:fldChar w:fldCharType="begin"/>
            </w:r>
            <w:r w:rsidR="00CC7994">
              <w:rPr>
                <w:noProof/>
                <w:webHidden/>
              </w:rPr>
              <w:instrText xml:space="preserve"> PAGEREF _Toc172472328 \h </w:instrText>
            </w:r>
            <w:r w:rsidR="00CC7994">
              <w:rPr>
                <w:noProof/>
                <w:webHidden/>
              </w:rPr>
            </w:r>
            <w:r w:rsidR="00CC7994">
              <w:rPr>
                <w:noProof/>
                <w:webHidden/>
              </w:rPr>
              <w:fldChar w:fldCharType="separate"/>
            </w:r>
            <w:r w:rsidR="00CC7994">
              <w:rPr>
                <w:noProof/>
                <w:webHidden/>
              </w:rPr>
              <w:t>5</w:t>
            </w:r>
            <w:r w:rsidR="00CC7994">
              <w:rPr>
                <w:noProof/>
                <w:webHidden/>
              </w:rPr>
              <w:fldChar w:fldCharType="end"/>
            </w:r>
          </w:hyperlink>
        </w:p>
        <w:p w14:paraId="594E458C" w14:textId="77777777" w:rsidR="00CC7994" w:rsidRDefault="00CC7994">
          <w:r>
            <w:rPr>
              <w:b/>
              <w:bCs/>
              <w:noProof/>
            </w:rPr>
            <w:fldChar w:fldCharType="end"/>
          </w:r>
        </w:p>
      </w:sdtContent>
    </w:sdt>
    <w:p w14:paraId="2ACEF7D5" w14:textId="77777777" w:rsidR="00CC7994" w:rsidRDefault="00CC7994">
      <w:r>
        <w:br w:type="page"/>
      </w:r>
    </w:p>
    <w:p w14:paraId="61067667" w14:textId="77777777" w:rsidR="00A21401" w:rsidRDefault="00A21401" w:rsidP="00A21401">
      <w:pPr>
        <w:pStyle w:val="Heading1"/>
      </w:pPr>
      <w:bookmarkStart w:id="0" w:name="_Toc172472322"/>
      <w:r>
        <w:lastRenderedPageBreak/>
        <w:t>Part 1: Literature Review</w:t>
      </w:r>
      <w:bookmarkEnd w:id="0"/>
    </w:p>
    <w:p w14:paraId="4FF926F5" w14:textId="77777777" w:rsidR="00A21401" w:rsidRDefault="00A21401" w:rsidP="00A21401">
      <w:pPr>
        <w:pStyle w:val="Heading2"/>
      </w:pPr>
      <w:bookmarkStart w:id="1" w:name="_Toc172472323"/>
      <w:r>
        <w:t>Introduction</w:t>
      </w:r>
      <w:bookmarkEnd w:id="1"/>
    </w:p>
    <w:p w14:paraId="2458612B" w14:textId="77777777" w:rsidR="00A21401" w:rsidRDefault="00A21401" w:rsidP="00A21401">
      <w:r>
        <w:t xml:space="preserve">The Rwandan Genocide of the year 1994 I can categorize as one of the worst incidences, or rather catastrophes of the twentieth century. About 800000 Tutsi and moderate Hutu were exterminated in a period of about 100 days by the extremely violent Hutu militia men. This literature review focuses on four academic works that contain different insights into the genocide: the book’s key points, advantages, limitations, and usefulness in comprehending the analyzed atrocity are outlined below. </w:t>
      </w:r>
    </w:p>
    <w:p w14:paraId="6D947221" w14:textId="77777777" w:rsidR="00A21401" w:rsidRDefault="00A21401" w:rsidP="00A21401">
      <w:pPr>
        <w:pStyle w:val="Heading3"/>
      </w:pPr>
      <w:bookmarkStart w:id="2" w:name="_Toc172472324"/>
      <w:r>
        <w:t>"Leave None to Tell the Story: Des Forges, Alison: "Genocide in Rwanda"</w:t>
      </w:r>
      <w:bookmarkEnd w:id="2"/>
      <w:r>
        <w:t xml:space="preserve"> </w:t>
      </w:r>
    </w:p>
    <w:p w14:paraId="72EB4F13" w14:textId="77777777" w:rsidR="00A21401" w:rsidRDefault="00A21401" w:rsidP="00A21401">
      <w:r>
        <w:t xml:space="preserve"> Main Argument: The Rwandan Genocide detailed by Alison </w:t>
      </w:r>
      <w:proofErr w:type="gramStart"/>
      <w:r>
        <w:t>Des</w:t>
      </w:r>
      <w:proofErr w:type="gramEnd"/>
      <w:r>
        <w:t xml:space="preserve"> Forges’ work describes the preparatory stages of the genocide and follows through the implementation of the plan. Des Forges has stated that the genocide was well planned by the Rwandan government and the military not a tribal invasion of aggression. </w:t>
      </w:r>
    </w:p>
    <w:p w14:paraId="48458C1B" w14:textId="77777777" w:rsidR="00A21401" w:rsidRDefault="00A21401" w:rsidP="00A21401">
      <w:r>
        <w:t xml:space="preserve"> Strengths: To a vice, one can acknowledge that the book is much stronger in the use of firsthand source and lengthy, chronological approach. Despite this weakness, the sequential working of the genocide is clearly laid out by Des Forges’ effort in categorizing them. </w:t>
      </w:r>
    </w:p>
    <w:p w14:paraId="2F1CB98F" w14:textId="77777777" w:rsidR="00A21401" w:rsidRDefault="00A21401" w:rsidP="00A21401">
      <w:r>
        <w:t xml:space="preserve"> Weaknesses: Critiques against the report have accused it of oversimplification of data to a level that makes it hard to find the overall picture of the analyses. Further, great attention to causative accounts could reduce opportunities for thematic analysis. </w:t>
      </w:r>
    </w:p>
    <w:p w14:paraId="7C075CF1" w14:textId="77777777" w:rsidR="00A21401" w:rsidRDefault="00A21401" w:rsidP="00A21401">
      <w:r>
        <w:t xml:space="preserve"> Utility: As this text is essential for understanding the mastered genocide and its nature, it lays a groundwork for studying the perpetrators and victims’ actions. Due to rich information and </w:t>
      </w:r>
      <w:proofErr w:type="gramStart"/>
      <w:r>
        <w:t>description</w:t>
      </w:r>
      <w:proofErr w:type="gramEnd"/>
      <w:r>
        <w:t xml:space="preserve"> it can be regarded as an essential source for further examination of the events and their realization. </w:t>
      </w:r>
    </w:p>
    <w:p w14:paraId="41857A05" w14:textId="77777777" w:rsidR="00A21401" w:rsidRDefault="00A21401" w:rsidP="00A21401">
      <w:pPr>
        <w:pStyle w:val="Heading3"/>
      </w:pPr>
      <w:bookmarkStart w:id="3" w:name="_Toc172472325"/>
      <w:r>
        <w:t>"When Victims Become Killers: The works are eventually compared: “Colonialism, Nativism, and the Genocide in Rwanda” by Mahmood Mamdani</w:t>
      </w:r>
      <w:bookmarkEnd w:id="3"/>
      <w:r>
        <w:t xml:space="preserve"> </w:t>
      </w:r>
    </w:p>
    <w:p w14:paraId="38A6DE05" w14:textId="77777777" w:rsidR="00A21401" w:rsidRDefault="00A21401" w:rsidP="00A21401">
      <w:r>
        <w:t xml:space="preserve"> Main Argument: In his book, Mahmood Mamdani provides a historical analysis of the Rwandese </w:t>
      </w:r>
      <w:proofErr w:type="spellStart"/>
      <w:r>
        <w:t>civilisation</w:t>
      </w:r>
      <w:proofErr w:type="spellEnd"/>
      <w:r>
        <w:t xml:space="preserve"> and asserts that colonial policies provided the conditions for genocide. He </w:t>
      </w:r>
      <w:r>
        <w:lastRenderedPageBreak/>
        <w:t xml:space="preserve">suggests that colonialism ‘wrote’ ethnic differences and that it was the ‘script’ that was in place when the genocide was launched. </w:t>
      </w:r>
    </w:p>
    <w:p w14:paraId="74A0353D" w14:textId="77777777" w:rsidR="00A21401" w:rsidRDefault="00A21401" w:rsidP="00A21401">
      <w:r>
        <w:t xml:space="preserve"> Strengths: It is for these reasons that critics have hailed Mamdani’s work as highly historical and purely ethnic in its critique. Through his scholarly work, he has detailed the effects of colonialism and </w:t>
      </w:r>
      <w:proofErr w:type="gramStart"/>
      <w:r>
        <w:t>it’s</w:t>
      </w:r>
      <w:proofErr w:type="gramEnd"/>
      <w:r>
        <w:t xml:space="preserve"> lasting repercussions giving an overall approach to the genocide of 1994. </w:t>
      </w:r>
    </w:p>
    <w:p w14:paraId="412753AE" w14:textId="77777777" w:rsidR="00A21401" w:rsidRDefault="00A21401" w:rsidP="00A21401">
      <w:r>
        <w:t xml:space="preserve"> Weaknesses: Critics have some reservation pointing at the factors that, sometimes, the general history argument weaken the complexity of the local politics as depicted by Mamdani. Also, it may shift attention away from the political and social causes of the genocide as we know them: colonialism. </w:t>
      </w:r>
    </w:p>
    <w:p w14:paraId="1CC2110E" w14:textId="77777777" w:rsidR="00A21401" w:rsidRPr="00A21401" w:rsidRDefault="00A21401" w:rsidP="00A21401">
      <w:r>
        <w:t xml:space="preserve"> Utility: In more ways than one, this text is very useful in giving background information to the genocide that occurred in Rwanda. It also helps to understand the ethnic animosity at the root of the conflict and gives a wider framework to the action rather than the detailed one as in Des Forges’ work.</w:t>
      </w:r>
    </w:p>
    <w:p w14:paraId="5C150D91" w14:textId="77777777" w:rsidR="00A21401" w:rsidRDefault="00A21401" w:rsidP="00A21401">
      <w:pPr>
        <w:pStyle w:val="Heading3"/>
      </w:pPr>
      <w:bookmarkStart w:id="4" w:name="_Toc172472326"/>
      <w:r>
        <w:t>"The Order of Genocide: Race, Power, and War in Rwanda" by Scott Straus</w:t>
      </w:r>
      <w:bookmarkEnd w:id="4"/>
    </w:p>
    <w:p w14:paraId="2EB65875" w14:textId="77777777" w:rsidR="00A21401" w:rsidRDefault="00A21401" w:rsidP="00A21401">
      <w:r>
        <w:t xml:space="preserve">Main Argument: Scott Straus explicates the modalities of mobilization and participation in the genocide specifying why and how Rwandese were mobilized to kill. From the tenor of the arguments, Straus expresses his views to the effect that genocide was inclined and caused by state power and war, other than ethnic hatred only. </w:t>
      </w:r>
    </w:p>
    <w:p w14:paraId="246C3FBF" w14:textId="77777777" w:rsidR="00A21401" w:rsidRDefault="00A21401" w:rsidP="00A21401">
      <w:r>
        <w:t xml:space="preserve"> Strengths: This kind of historical experiences, Straus’ empirical methodology centered on interviews with the perpetrators, gives an unconventional insight into the cause of the genocide. His thoroughgoing approach helps to look at the matters from social perspective and avoid generalizations. </w:t>
      </w:r>
    </w:p>
    <w:p w14:paraId="67D6418D" w14:textId="77777777" w:rsidR="00A21401" w:rsidRDefault="00A21401" w:rsidP="00A21401">
      <w:r>
        <w:t xml:space="preserve"> Weaknesses: The major criticism linked to Straus’ work is first, paying less attention to the international dimension and, second, its possible consequences. It is a rather thorough work, although there are occasional shortages of a more geopolitical approach. </w:t>
      </w:r>
    </w:p>
    <w:p w14:paraId="219D9CC9" w14:textId="77777777" w:rsidR="00A21401" w:rsidRDefault="00A21401" w:rsidP="00A21401">
      <w:r>
        <w:t xml:space="preserve"> </w:t>
      </w:r>
    </w:p>
    <w:p w14:paraId="36948756" w14:textId="77777777" w:rsidR="00A21401" w:rsidRDefault="00A21401" w:rsidP="00A21401">
      <w:r>
        <w:lastRenderedPageBreak/>
        <w:t xml:space="preserve"> Utility: Understanding the genocide requires the knowledge of factors that transpired at micro level and thus this text is crucial. That gives the information regarding psychological and social factor that led to participation; this is essential for analyzing the behaviour of the perpetrators. </w:t>
      </w:r>
    </w:p>
    <w:p w14:paraId="7B18D08B" w14:textId="77777777" w:rsidR="00A21401" w:rsidRDefault="00A21401" w:rsidP="00A21401">
      <w:pPr>
        <w:pStyle w:val="Heading3"/>
      </w:pPr>
      <w:bookmarkStart w:id="5" w:name="_Toc172472327"/>
      <w:r>
        <w:t xml:space="preserve">"The Great African War: “Democratic Republic of Congo and Regional Politics 1996-2006” by Filip </w:t>
      </w:r>
      <w:proofErr w:type="spellStart"/>
      <w:r>
        <w:t>Reyntjens</w:t>
      </w:r>
      <w:bookmarkEnd w:id="5"/>
      <w:proofErr w:type="spellEnd"/>
      <w:r>
        <w:t xml:space="preserve"> </w:t>
      </w:r>
    </w:p>
    <w:p w14:paraId="020570B1" w14:textId="77777777" w:rsidR="00A21401" w:rsidRDefault="00A21401" w:rsidP="00A21401">
      <w:r>
        <w:t xml:space="preserve"> Main Argument: Although conceived in the light of the Great Lakes Controversy, </w:t>
      </w:r>
      <w:proofErr w:type="spellStart"/>
      <w:r>
        <w:t>Reyntjens</w:t>
      </w:r>
      <w:proofErr w:type="spellEnd"/>
      <w:r>
        <w:t xml:space="preserve">’ work </w:t>
      </w:r>
      <w:proofErr w:type="gramStart"/>
      <w:r>
        <w:t>is helpful in understanding</w:t>
      </w:r>
      <w:proofErr w:type="gramEnd"/>
      <w:r>
        <w:t xml:space="preserve"> the consequences of the Rwandese Genocide, the effects of it on the Great Lakes area, as well as the violence that continued after the events of the genocide. </w:t>
      </w:r>
    </w:p>
    <w:p w14:paraId="25C0E415" w14:textId="77777777" w:rsidR="00A21401" w:rsidRDefault="00A21401" w:rsidP="00A21401">
      <w:r>
        <w:t xml:space="preserve"> Strengths: While some degree of generalization is unavoidable in such works, </w:t>
      </w:r>
      <w:proofErr w:type="spellStart"/>
      <w:r>
        <w:t>Reyntjens</w:t>
      </w:r>
      <w:proofErr w:type="spellEnd"/>
      <w:r>
        <w:t xml:space="preserve">’ book is mainly focused on the regional connections, and stressing how the conflicts in the Great Lakes area are interrelated. It does give a general perspective on the impact of the genocide on geopolitics. </w:t>
      </w:r>
    </w:p>
    <w:p w14:paraId="73FAD2CB" w14:textId="77777777" w:rsidR="00A21401" w:rsidRDefault="00A21401" w:rsidP="00A21401">
      <w:r>
        <w:t xml:space="preserve"> Weaknesses: The main limitation which should be noted is the fact that, while it provides detailed information on the events occurred during the given period and concerned the given region, the mass killings in Rwanda are viewed in a broader context objectively. This can lead to the general discussion of the genocide and can obscure the fine analysis of the circumstances that existed just after the genocide was committed. </w:t>
      </w:r>
    </w:p>
    <w:p w14:paraId="7875AC6E" w14:textId="77777777" w:rsidR="00A21401" w:rsidRDefault="00A21401" w:rsidP="00A21401">
      <w:r>
        <w:t xml:space="preserve"> Utility: This text is helpful to gain knowledge about the effects of Rwandan Genocide and the consecutive wars in the area. It assists in creating an understanding of contemporary violence and political unsteadiness in the region, so it supplements stricter genocide </w:t>
      </w:r>
      <w:proofErr w:type="gramStart"/>
      <w:r>
        <w:t>analysis</w:t>
      </w:r>
      <w:proofErr w:type="gramEnd"/>
    </w:p>
    <w:p w14:paraId="5564ED5F" w14:textId="77777777" w:rsidR="00A21401" w:rsidRDefault="00A21401" w:rsidP="00A21401">
      <w:pPr>
        <w:pStyle w:val="Heading2"/>
      </w:pPr>
      <w:bookmarkStart w:id="6" w:name="_Toc172472328"/>
      <w:r>
        <w:t>Conclusion</w:t>
      </w:r>
      <w:bookmarkEnd w:id="6"/>
    </w:p>
    <w:p w14:paraId="1BF347A1" w14:textId="77777777" w:rsidR="00A21401" w:rsidRDefault="00A21401" w:rsidP="00A21401">
      <w:r w:rsidRPr="00A21401">
        <w:t xml:space="preserve">These four academic sources present different and somewhat similar viewpoints about the Rwandan Genocide. Des Forges’ work presents </w:t>
      </w:r>
      <w:proofErr w:type="gramStart"/>
      <w:r w:rsidRPr="00A21401">
        <w:t>an</w:t>
      </w:r>
      <w:proofErr w:type="gramEnd"/>
      <w:r w:rsidRPr="00A21401">
        <w:t xml:space="preserve"> socio-political chronological narration that highlights the planned strategy of the genocide and Mamdani on the political historical context of ethnic animosity. </w:t>
      </w:r>
      <w:proofErr w:type="gramStart"/>
      <w:r w:rsidRPr="00A21401">
        <w:t>While,</w:t>
      </w:r>
      <w:proofErr w:type="gramEnd"/>
      <w:r w:rsidRPr="00A21401">
        <w:t xml:space="preserve"> Straus is concerned with both the mechanisms of getting the people at large involved and the rhetorical strategies he identifies, </w:t>
      </w:r>
      <w:proofErr w:type="spellStart"/>
      <w:r w:rsidRPr="00A21401">
        <w:t>Reyntjens</w:t>
      </w:r>
      <w:proofErr w:type="spellEnd"/>
      <w:r w:rsidRPr="00A21401">
        <w:t xml:space="preserve"> </w:t>
      </w:r>
      <w:proofErr w:type="spellStart"/>
      <w:r w:rsidRPr="00A21401">
        <w:t>contextualises</w:t>
      </w:r>
      <w:proofErr w:type="spellEnd"/>
      <w:r w:rsidRPr="00A21401">
        <w:t xml:space="preserve"> the genocide within a wider geographical framework. Altogether, these works give a </w:t>
      </w:r>
      <w:proofErr w:type="spellStart"/>
      <w:r w:rsidRPr="00A21401">
        <w:t>polydimensional</w:t>
      </w:r>
      <w:proofErr w:type="spellEnd"/>
      <w:r w:rsidRPr="00A21401">
        <w:t xml:space="preserve"> picture </w:t>
      </w:r>
      <w:r w:rsidRPr="00A21401">
        <w:lastRenderedPageBreak/>
        <w:t>of the Rwandan Genocide; the social, political, psychological, regional, and historical causes and the execution of the Genocide.</w:t>
      </w:r>
    </w:p>
    <w:p w14:paraId="55C057DA" w14:textId="77777777" w:rsidR="00CC7994" w:rsidRDefault="00CC7994" w:rsidP="00CC7994">
      <w:pPr>
        <w:pStyle w:val="Heading1"/>
      </w:pPr>
      <w:bookmarkStart w:id="7" w:name="_Toc172472336"/>
      <w:r>
        <w:t>References</w:t>
      </w:r>
      <w:bookmarkEnd w:id="7"/>
    </w:p>
    <w:p w14:paraId="4EF725CE" w14:textId="77777777" w:rsidR="00CC7994" w:rsidRDefault="00CC7994" w:rsidP="00CC7994">
      <w:r>
        <w:t>Des Forges, A. (1999). Leave None to Tell the Story: Genocide in Rwanda. Human Rights Watch. Retrieved from Google Scholar.</w:t>
      </w:r>
    </w:p>
    <w:p w14:paraId="7A7220FB" w14:textId="77777777" w:rsidR="00CC7994" w:rsidRDefault="00CC7994" w:rsidP="00CC7994">
      <w:r>
        <w:t>Mamdani, M. (2001). When Victims Become Killers: Colonialism, Nativism, and the Genocide in Rwanda. Princeton University Press. Retrieved from Google Scholar.</w:t>
      </w:r>
    </w:p>
    <w:p w14:paraId="07683286" w14:textId="77777777" w:rsidR="00CC7994" w:rsidRDefault="00CC7994" w:rsidP="00CC7994">
      <w:r>
        <w:t>Straus, S. (2006). The Order of Genocide: Race, Power, and War in Rwanda. Cornell University Press. Retrieved from Google Scholar.</w:t>
      </w:r>
    </w:p>
    <w:p w14:paraId="61F9DC75" w14:textId="32CBA067" w:rsidR="00F81B19" w:rsidRPr="00CC7994" w:rsidRDefault="00CC7994" w:rsidP="00F81B19">
      <w:r>
        <w:t xml:space="preserve">Filip </w:t>
      </w:r>
      <w:proofErr w:type="spellStart"/>
      <w:r>
        <w:t>Reyntjens</w:t>
      </w:r>
      <w:proofErr w:type="spellEnd"/>
    </w:p>
    <w:p w14:paraId="01E74506" w14:textId="49C308F8" w:rsidR="00CC7994" w:rsidRPr="00CC7994" w:rsidRDefault="00CC7994" w:rsidP="00CC7994"/>
    <w:sectPr w:rsidR="00CC7994" w:rsidRPr="00CC79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401"/>
    <w:rsid w:val="000F0E16"/>
    <w:rsid w:val="0026341D"/>
    <w:rsid w:val="00424CB5"/>
    <w:rsid w:val="004E0B98"/>
    <w:rsid w:val="00703928"/>
    <w:rsid w:val="00A21401"/>
    <w:rsid w:val="00B54E7D"/>
    <w:rsid w:val="00CC7994"/>
    <w:rsid w:val="00D748C4"/>
    <w:rsid w:val="00D77D25"/>
    <w:rsid w:val="00DB4C79"/>
    <w:rsid w:val="00F81B19"/>
    <w:rsid w:val="00F870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A4183"/>
  <w15:chartTrackingRefBased/>
  <w15:docId w15:val="{58A9098A-85C1-4783-BAB2-E2D59D633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CB5"/>
    <w:rPr>
      <w:rFonts w:ascii="Times New Roman" w:hAnsi="Times New Roman"/>
      <w:sz w:val="24"/>
    </w:rPr>
  </w:style>
  <w:style w:type="paragraph" w:styleId="Heading1">
    <w:name w:val="heading 1"/>
    <w:basedOn w:val="Normal"/>
    <w:next w:val="Normal"/>
    <w:link w:val="Heading1Char"/>
    <w:autoRedefine/>
    <w:uiPriority w:val="9"/>
    <w:qFormat/>
    <w:rsid w:val="00DB4C79"/>
    <w:pPr>
      <w:outlineLvl w:val="0"/>
    </w:pPr>
    <w:rPr>
      <w:b/>
    </w:rPr>
  </w:style>
  <w:style w:type="paragraph" w:styleId="Heading2">
    <w:name w:val="heading 2"/>
    <w:basedOn w:val="Heading1"/>
    <w:next w:val="Normal"/>
    <w:link w:val="Heading2Char"/>
    <w:autoRedefine/>
    <w:uiPriority w:val="9"/>
    <w:unhideWhenUsed/>
    <w:qFormat/>
    <w:rsid w:val="00424CB5"/>
    <w:pPr>
      <w:outlineLvl w:val="1"/>
    </w:pPr>
    <w:rPr>
      <w:i/>
    </w:rPr>
  </w:style>
  <w:style w:type="paragraph" w:styleId="Heading3">
    <w:name w:val="heading 3"/>
    <w:basedOn w:val="Heading2"/>
    <w:next w:val="Normal"/>
    <w:link w:val="Heading3Char"/>
    <w:autoRedefine/>
    <w:uiPriority w:val="9"/>
    <w:unhideWhenUsed/>
    <w:qFormat/>
    <w:rsid w:val="00424CB5"/>
    <w:pPr>
      <w:outlineLvl w:val="2"/>
    </w:pPr>
    <w:rPr>
      <w:b w:val="0"/>
      <w:i w:val="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C79"/>
    <w:rPr>
      <w:rFonts w:ascii="Times New Roman" w:hAnsi="Times New Roman"/>
      <w:b/>
      <w:sz w:val="24"/>
    </w:rPr>
  </w:style>
  <w:style w:type="character" w:customStyle="1" w:styleId="Heading3Char">
    <w:name w:val="Heading 3 Char"/>
    <w:basedOn w:val="DefaultParagraphFont"/>
    <w:link w:val="Heading3"/>
    <w:uiPriority w:val="9"/>
    <w:rsid w:val="00424CB5"/>
    <w:rPr>
      <w:rFonts w:ascii="Times New Roman" w:hAnsi="Times New Roman"/>
      <w:b/>
      <w:i/>
      <w:sz w:val="24"/>
      <w:u w:val="single"/>
    </w:rPr>
  </w:style>
  <w:style w:type="character" w:customStyle="1" w:styleId="Heading2Char">
    <w:name w:val="Heading 2 Char"/>
    <w:basedOn w:val="DefaultParagraphFont"/>
    <w:link w:val="Heading2"/>
    <w:uiPriority w:val="9"/>
    <w:rsid w:val="00424CB5"/>
    <w:rPr>
      <w:rFonts w:ascii="Times New Roman" w:hAnsi="Times New Roman"/>
      <w:b/>
      <w:i/>
      <w:sz w:val="24"/>
    </w:rPr>
  </w:style>
  <w:style w:type="paragraph" w:styleId="TOCHeading">
    <w:name w:val="TOC Heading"/>
    <w:basedOn w:val="Heading1"/>
    <w:next w:val="Normal"/>
    <w:uiPriority w:val="39"/>
    <w:unhideWhenUsed/>
    <w:qFormat/>
    <w:rsid w:val="00CC7994"/>
    <w:pPr>
      <w:keepNext/>
      <w:keepLines/>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CC7994"/>
    <w:pPr>
      <w:spacing w:after="100"/>
    </w:pPr>
  </w:style>
  <w:style w:type="paragraph" w:styleId="TOC2">
    <w:name w:val="toc 2"/>
    <w:basedOn w:val="Normal"/>
    <w:next w:val="Normal"/>
    <w:autoRedefine/>
    <w:uiPriority w:val="39"/>
    <w:unhideWhenUsed/>
    <w:rsid w:val="00CC7994"/>
    <w:pPr>
      <w:spacing w:after="100"/>
      <w:ind w:left="240"/>
    </w:pPr>
  </w:style>
  <w:style w:type="paragraph" w:styleId="TOC3">
    <w:name w:val="toc 3"/>
    <w:basedOn w:val="Normal"/>
    <w:next w:val="Normal"/>
    <w:autoRedefine/>
    <w:uiPriority w:val="39"/>
    <w:unhideWhenUsed/>
    <w:rsid w:val="00CC7994"/>
    <w:pPr>
      <w:spacing w:after="100"/>
      <w:ind w:left="480"/>
    </w:pPr>
  </w:style>
  <w:style w:type="character" w:styleId="Hyperlink">
    <w:name w:val="Hyperlink"/>
    <w:basedOn w:val="DefaultParagraphFont"/>
    <w:uiPriority w:val="99"/>
    <w:unhideWhenUsed/>
    <w:rsid w:val="00CC79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500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7840F-C412-4EA4-B81F-92B5AF237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1183</Words>
  <Characters>6745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Abbasa abbasa</cp:lastModifiedBy>
  <cp:revision>2</cp:revision>
  <dcterms:created xsi:type="dcterms:W3CDTF">2024-07-21T16:56:00Z</dcterms:created>
  <dcterms:modified xsi:type="dcterms:W3CDTF">2024-07-21T16:56:00Z</dcterms:modified>
</cp:coreProperties>
</file>