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4081C2E7" w:rsidR="0023696A" w:rsidRDefault="002D2090" w:rsidP="002D2090">
      <w:pPr>
        <w:pBdr>
          <w:top w:val="nil"/>
          <w:left w:val="nil"/>
          <w:bottom w:val="nil"/>
          <w:right w:val="nil"/>
          <w:between w:val="nil"/>
        </w:pBdr>
        <w:spacing w:before="240"/>
        <w:jc w:val="center"/>
        <w:rPr>
          <w:b/>
          <w:sz w:val="28"/>
          <w:szCs w:val="28"/>
          <w:u w:val="single"/>
        </w:rPr>
      </w:pPr>
      <w:r w:rsidRPr="002D2090">
        <w:rPr>
          <w:b/>
          <w:sz w:val="28"/>
          <w:szCs w:val="28"/>
          <w:u w:val="single"/>
        </w:rPr>
        <w:t xml:space="preserve">All about me and my ADHD: </w:t>
      </w:r>
      <w:r w:rsidR="00D8431E" w:rsidRPr="002D2090">
        <w:rPr>
          <w:b/>
          <w:sz w:val="28"/>
          <w:szCs w:val="28"/>
          <w:u w:val="single"/>
        </w:rPr>
        <w:t xml:space="preserve">2000 </w:t>
      </w:r>
      <w:r w:rsidR="006150E9" w:rsidRPr="002D2090">
        <w:rPr>
          <w:b/>
          <w:sz w:val="28"/>
          <w:szCs w:val="28"/>
          <w:u w:val="single"/>
        </w:rPr>
        <w:t>W</w:t>
      </w:r>
      <w:r w:rsidR="00D8431E" w:rsidRPr="002D2090">
        <w:rPr>
          <w:b/>
          <w:sz w:val="28"/>
          <w:szCs w:val="28"/>
          <w:u w:val="single"/>
        </w:rPr>
        <w:t xml:space="preserve">ord </w:t>
      </w:r>
      <w:r w:rsidR="006150E9" w:rsidRPr="002D2090">
        <w:rPr>
          <w:b/>
          <w:sz w:val="28"/>
          <w:szCs w:val="28"/>
          <w:u w:val="single"/>
        </w:rPr>
        <w:t>P</w:t>
      </w:r>
      <w:r w:rsidR="00D8431E" w:rsidRPr="002D2090">
        <w:rPr>
          <w:b/>
          <w:sz w:val="28"/>
          <w:szCs w:val="28"/>
          <w:u w:val="single"/>
        </w:rPr>
        <w:t xml:space="preserve">rocess </w:t>
      </w:r>
      <w:r w:rsidR="006150E9" w:rsidRPr="002D2090">
        <w:rPr>
          <w:b/>
          <w:sz w:val="28"/>
          <w:szCs w:val="28"/>
          <w:u w:val="single"/>
        </w:rPr>
        <w:t>D</w:t>
      </w:r>
      <w:r w:rsidR="00D8431E" w:rsidRPr="002D2090">
        <w:rPr>
          <w:b/>
          <w:sz w:val="28"/>
          <w:szCs w:val="28"/>
          <w:u w:val="single"/>
        </w:rPr>
        <w:t>ocumentation.</w:t>
      </w:r>
    </w:p>
    <w:p w14:paraId="4D1EF906" w14:textId="4BE82821" w:rsidR="002D2090" w:rsidRPr="002D2090" w:rsidRDefault="002D2090" w:rsidP="002D2090">
      <w:pPr>
        <w:pBdr>
          <w:top w:val="nil"/>
          <w:left w:val="nil"/>
          <w:bottom w:val="nil"/>
          <w:right w:val="nil"/>
          <w:between w:val="nil"/>
        </w:pBdr>
        <w:spacing w:before="240"/>
        <w:jc w:val="center"/>
        <w:rPr>
          <w:bCs/>
          <w:color w:val="000000"/>
          <w:sz w:val="28"/>
          <w:szCs w:val="28"/>
        </w:rPr>
      </w:pPr>
      <w:r w:rsidRPr="002D2090">
        <w:rPr>
          <w:bCs/>
          <w:sz w:val="28"/>
          <w:szCs w:val="28"/>
        </w:rPr>
        <w:t>By Ffion Weston.</w:t>
      </w:r>
    </w:p>
    <w:p w14:paraId="19F16F5B" w14:textId="5E49C16F" w:rsidR="002D2090" w:rsidRDefault="002D2090" w:rsidP="002D2090">
      <w:pPr>
        <w:pBdr>
          <w:top w:val="nil"/>
          <w:left w:val="nil"/>
          <w:bottom w:val="nil"/>
          <w:right w:val="nil"/>
          <w:between w:val="nil"/>
        </w:pBdr>
        <w:spacing w:before="240"/>
        <w:rPr>
          <w:b/>
          <w:color w:val="000000"/>
          <w:sz w:val="24"/>
          <w:szCs w:val="24"/>
          <w:u w:val="single"/>
        </w:rPr>
      </w:pPr>
    </w:p>
    <w:p w14:paraId="4E8EB530" w14:textId="53C9C190" w:rsidR="002D2090" w:rsidRDefault="002D2090" w:rsidP="002D2090">
      <w:pPr>
        <w:pBdr>
          <w:top w:val="nil"/>
          <w:left w:val="nil"/>
          <w:bottom w:val="nil"/>
          <w:right w:val="nil"/>
          <w:between w:val="nil"/>
        </w:pBdr>
        <w:spacing w:before="240"/>
        <w:rPr>
          <w:b/>
          <w:color w:val="000000"/>
          <w:sz w:val="24"/>
          <w:szCs w:val="24"/>
          <w:u w:val="single"/>
        </w:rPr>
      </w:pPr>
    </w:p>
    <w:p w14:paraId="7E1383F4" w14:textId="4DBA3541" w:rsidR="002D2090" w:rsidRDefault="002D2090" w:rsidP="002D2090">
      <w:pPr>
        <w:pBdr>
          <w:top w:val="nil"/>
          <w:left w:val="nil"/>
          <w:bottom w:val="nil"/>
          <w:right w:val="nil"/>
          <w:between w:val="nil"/>
        </w:pBdr>
        <w:spacing w:before="240"/>
        <w:rPr>
          <w:b/>
          <w:color w:val="000000"/>
          <w:sz w:val="24"/>
          <w:szCs w:val="24"/>
          <w:u w:val="single"/>
        </w:rPr>
      </w:pPr>
    </w:p>
    <w:p w14:paraId="7B99E423" w14:textId="59D217A3" w:rsidR="002D2090" w:rsidRDefault="002D2090" w:rsidP="002D2090">
      <w:pPr>
        <w:pBdr>
          <w:top w:val="nil"/>
          <w:left w:val="nil"/>
          <w:bottom w:val="nil"/>
          <w:right w:val="nil"/>
          <w:between w:val="nil"/>
        </w:pBdr>
        <w:spacing w:before="240"/>
        <w:rPr>
          <w:b/>
          <w:color w:val="000000"/>
          <w:sz w:val="24"/>
          <w:szCs w:val="24"/>
          <w:u w:val="single"/>
        </w:rPr>
      </w:pPr>
    </w:p>
    <w:p w14:paraId="6BE1AB0B" w14:textId="4B6BB53D" w:rsidR="002D2090" w:rsidRDefault="002D2090" w:rsidP="002D2090">
      <w:pPr>
        <w:pBdr>
          <w:top w:val="nil"/>
          <w:left w:val="nil"/>
          <w:bottom w:val="nil"/>
          <w:right w:val="nil"/>
          <w:between w:val="nil"/>
        </w:pBdr>
        <w:spacing w:before="240"/>
        <w:rPr>
          <w:b/>
          <w:color w:val="000000"/>
          <w:sz w:val="24"/>
          <w:szCs w:val="24"/>
          <w:u w:val="single"/>
        </w:rPr>
      </w:pPr>
    </w:p>
    <w:p w14:paraId="7E14C2E4" w14:textId="7D85ADF2" w:rsidR="002D2090" w:rsidRDefault="002D2090" w:rsidP="002D2090">
      <w:pPr>
        <w:pBdr>
          <w:top w:val="nil"/>
          <w:left w:val="nil"/>
          <w:bottom w:val="nil"/>
          <w:right w:val="nil"/>
          <w:between w:val="nil"/>
        </w:pBdr>
        <w:spacing w:before="240"/>
        <w:rPr>
          <w:b/>
          <w:color w:val="000000"/>
          <w:sz w:val="24"/>
          <w:szCs w:val="24"/>
          <w:u w:val="single"/>
        </w:rPr>
      </w:pPr>
    </w:p>
    <w:p w14:paraId="0C6F0657" w14:textId="1A5300F7" w:rsidR="002D2090" w:rsidRDefault="002D2090" w:rsidP="002D2090">
      <w:pPr>
        <w:pBdr>
          <w:top w:val="nil"/>
          <w:left w:val="nil"/>
          <w:bottom w:val="nil"/>
          <w:right w:val="nil"/>
          <w:between w:val="nil"/>
        </w:pBdr>
        <w:spacing w:before="240"/>
        <w:rPr>
          <w:b/>
          <w:color w:val="000000"/>
          <w:sz w:val="24"/>
          <w:szCs w:val="24"/>
          <w:u w:val="single"/>
        </w:rPr>
      </w:pPr>
    </w:p>
    <w:p w14:paraId="7D58B089" w14:textId="4E79696F" w:rsidR="002D2090" w:rsidRDefault="002D2090" w:rsidP="002D2090">
      <w:pPr>
        <w:pBdr>
          <w:top w:val="nil"/>
          <w:left w:val="nil"/>
          <w:bottom w:val="nil"/>
          <w:right w:val="nil"/>
          <w:between w:val="nil"/>
        </w:pBdr>
        <w:spacing w:before="240"/>
        <w:rPr>
          <w:b/>
          <w:color w:val="000000"/>
          <w:sz w:val="24"/>
          <w:szCs w:val="24"/>
          <w:u w:val="single"/>
        </w:rPr>
      </w:pPr>
    </w:p>
    <w:p w14:paraId="22CEB64C" w14:textId="6F343575" w:rsidR="002D2090" w:rsidRDefault="002D2090" w:rsidP="002D2090">
      <w:pPr>
        <w:pBdr>
          <w:top w:val="nil"/>
          <w:left w:val="nil"/>
          <w:bottom w:val="nil"/>
          <w:right w:val="nil"/>
          <w:between w:val="nil"/>
        </w:pBdr>
        <w:spacing w:before="240"/>
        <w:rPr>
          <w:b/>
          <w:color w:val="000000"/>
          <w:sz w:val="24"/>
          <w:szCs w:val="24"/>
          <w:u w:val="single"/>
        </w:rPr>
      </w:pPr>
    </w:p>
    <w:p w14:paraId="40F3BE05" w14:textId="61CD8AAC" w:rsidR="002D2090" w:rsidRDefault="002D2090" w:rsidP="002D2090">
      <w:pPr>
        <w:pBdr>
          <w:top w:val="nil"/>
          <w:left w:val="nil"/>
          <w:bottom w:val="nil"/>
          <w:right w:val="nil"/>
          <w:between w:val="nil"/>
        </w:pBdr>
        <w:spacing w:before="240"/>
        <w:rPr>
          <w:b/>
          <w:color w:val="000000"/>
          <w:sz w:val="24"/>
          <w:szCs w:val="24"/>
          <w:u w:val="single"/>
        </w:rPr>
      </w:pPr>
    </w:p>
    <w:p w14:paraId="254DE5EB" w14:textId="387A1E65" w:rsidR="002D2090" w:rsidRDefault="002D2090" w:rsidP="002D2090">
      <w:pPr>
        <w:pBdr>
          <w:top w:val="nil"/>
          <w:left w:val="nil"/>
          <w:bottom w:val="nil"/>
          <w:right w:val="nil"/>
          <w:between w:val="nil"/>
        </w:pBdr>
        <w:spacing w:before="240"/>
        <w:rPr>
          <w:b/>
          <w:color w:val="000000"/>
          <w:sz w:val="24"/>
          <w:szCs w:val="24"/>
          <w:u w:val="single"/>
        </w:rPr>
      </w:pPr>
    </w:p>
    <w:p w14:paraId="3FECE11B" w14:textId="7D84AF88" w:rsidR="002D2090" w:rsidRDefault="002D2090" w:rsidP="002D2090">
      <w:pPr>
        <w:pBdr>
          <w:top w:val="nil"/>
          <w:left w:val="nil"/>
          <w:bottom w:val="nil"/>
          <w:right w:val="nil"/>
          <w:between w:val="nil"/>
        </w:pBdr>
        <w:spacing w:before="240"/>
        <w:rPr>
          <w:b/>
          <w:color w:val="000000"/>
          <w:sz w:val="24"/>
          <w:szCs w:val="24"/>
          <w:u w:val="single"/>
        </w:rPr>
      </w:pPr>
    </w:p>
    <w:p w14:paraId="664EF5BB" w14:textId="7E35F48D" w:rsidR="002D2090" w:rsidRDefault="002D2090" w:rsidP="002D2090">
      <w:pPr>
        <w:pBdr>
          <w:top w:val="nil"/>
          <w:left w:val="nil"/>
          <w:bottom w:val="nil"/>
          <w:right w:val="nil"/>
          <w:between w:val="nil"/>
        </w:pBdr>
        <w:spacing w:before="240"/>
        <w:rPr>
          <w:b/>
          <w:color w:val="000000"/>
          <w:sz w:val="24"/>
          <w:szCs w:val="24"/>
          <w:u w:val="single"/>
        </w:rPr>
      </w:pPr>
    </w:p>
    <w:p w14:paraId="76F3BB75" w14:textId="7F6B699E" w:rsidR="002D2090" w:rsidRDefault="002D2090" w:rsidP="002D2090">
      <w:pPr>
        <w:pBdr>
          <w:top w:val="nil"/>
          <w:left w:val="nil"/>
          <w:bottom w:val="nil"/>
          <w:right w:val="nil"/>
          <w:between w:val="nil"/>
        </w:pBdr>
        <w:spacing w:before="240"/>
        <w:rPr>
          <w:b/>
          <w:color w:val="000000"/>
          <w:sz w:val="24"/>
          <w:szCs w:val="24"/>
          <w:u w:val="single"/>
        </w:rPr>
      </w:pPr>
    </w:p>
    <w:p w14:paraId="56BFC4D0" w14:textId="15EE477E" w:rsidR="002D2090" w:rsidRDefault="002D2090" w:rsidP="002D2090">
      <w:pPr>
        <w:pBdr>
          <w:top w:val="nil"/>
          <w:left w:val="nil"/>
          <w:bottom w:val="nil"/>
          <w:right w:val="nil"/>
          <w:between w:val="nil"/>
        </w:pBdr>
        <w:spacing w:before="240"/>
        <w:rPr>
          <w:b/>
          <w:color w:val="000000"/>
          <w:sz w:val="24"/>
          <w:szCs w:val="24"/>
          <w:u w:val="single"/>
        </w:rPr>
      </w:pPr>
    </w:p>
    <w:p w14:paraId="71395DC6" w14:textId="40CF6D31" w:rsidR="002D2090" w:rsidRDefault="002D2090" w:rsidP="002D2090">
      <w:pPr>
        <w:pBdr>
          <w:top w:val="nil"/>
          <w:left w:val="nil"/>
          <w:bottom w:val="nil"/>
          <w:right w:val="nil"/>
          <w:between w:val="nil"/>
        </w:pBdr>
        <w:spacing w:before="240"/>
        <w:rPr>
          <w:b/>
          <w:color w:val="000000"/>
          <w:sz w:val="24"/>
          <w:szCs w:val="24"/>
          <w:u w:val="single"/>
        </w:rPr>
      </w:pPr>
    </w:p>
    <w:p w14:paraId="709CB8CE" w14:textId="476AA608" w:rsidR="002D2090" w:rsidRDefault="002D2090" w:rsidP="002D2090">
      <w:pPr>
        <w:pBdr>
          <w:top w:val="nil"/>
          <w:left w:val="nil"/>
          <w:bottom w:val="nil"/>
          <w:right w:val="nil"/>
          <w:between w:val="nil"/>
        </w:pBdr>
        <w:spacing w:before="240"/>
        <w:rPr>
          <w:b/>
          <w:color w:val="000000"/>
          <w:sz w:val="24"/>
          <w:szCs w:val="24"/>
          <w:u w:val="single"/>
        </w:rPr>
      </w:pPr>
    </w:p>
    <w:p w14:paraId="617049A9" w14:textId="2BC6C08C" w:rsidR="002D2090" w:rsidRDefault="002D2090" w:rsidP="002D2090">
      <w:pPr>
        <w:pBdr>
          <w:top w:val="nil"/>
          <w:left w:val="nil"/>
          <w:bottom w:val="nil"/>
          <w:right w:val="nil"/>
          <w:between w:val="nil"/>
        </w:pBdr>
        <w:spacing w:before="240"/>
        <w:rPr>
          <w:b/>
          <w:color w:val="000000"/>
          <w:sz w:val="24"/>
          <w:szCs w:val="24"/>
          <w:u w:val="single"/>
        </w:rPr>
      </w:pPr>
    </w:p>
    <w:p w14:paraId="02D580C6" w14:textId="53B9CB19" w:rsidR="002D2090" w:rsidRDefault="002D2090" w:rsidP="002D2090">
      <w:pPr>
        <w:pBdr>
          <w:top w:val="nil"/>
          <w:left w:val="nil"/>
          <w:bottom w:val="nil"/>
          <w:right w:val="nil"/>
          <w:between w:val="nil"/>
        </w:pBdr>
        <w:spacing w:before="240"/>
        <w:rPr>
          <w:b/>
          <w:color w:val="000000"/>
          <w:sz w:val="24"/>
          <w:szCs w:val="24"/>
          <w:u w:val="single"/>
        </w:rPr>
      </w:pPr>
    </w:p>
    <w:p w14:paraId="19B16D81" w14:textId="46C2BC2A" w:rsidR="002D2090" w:rsidRDefault="002D2090" w:rsidP="002D2090">
      <w:pPr>
        <w:pBdr>
          <w:top w:val="nil"/>
          <w:left w:val="nil"/>
          <w:bottom w:val="nil"/>
          <w:right w:val="nil"/>
          <w:between w:val="nil"/>
        </w:pBdr>
        <w:spacing w:before="240"/>
        <w:rPr>
          <w:b/>
          <w:color w:val="000000"/>
          <w:sz w:val="24"/>
          <w:szCs w:val="24"/>
          <w:u w:val="single"/>
        </w:rPr>
      </w:pPr>
    </w:p>
    <w:p w14:paraId="37B969FB" w14:textId="5F238A0A" w:rsidR="002D2090" w:rsidRDefault="002D2090" w:rsidP="002D2090">
      <w:pPr>
        <w:pBdr>
          <w:top w:val="nil"/>
          <w:left w:val="nil"/>
          <w:bottom w:val="nil"/>
          <w:right w:val="nil"/>
          <w:between w:val="nil"/>
        </w:pBdr>
        <w:spacing w:before="240"/>
        <w:rPr>
          <w:b/>
          <w:color w:val="000000"/>
          <w:sz w:val="24"/>
          <w:szCs w:val="24"/>
          <w:u w:val="single"/>
        </w:rPr>
      </w:pPr>
    </w:p>
    <w:p w14:paraId="38665EC7" w14:textId="77777777" w:rsidR="002D2090" w:rsidRDefault="002D2090" w:rsidP="002D2090">
      <w:pPr>
        <w:pBdr>
          <w:top w:val="nil"/>
          <w:left w:val="nil"/>
          <w:bottom w:val="nil"/>
          <w:right w:val="nil"/>
          <w:between w:val="nil"/>
        </w:pBdr>
        <w:spacing w:before="240"/>
        <w:rPr>
          <w:b/>
          <w:color w:val="000000"/>
          <w:sz w:val="24"/>
          <w:szCs w:val="24"/>
          <w:u w:val="single"/>
        </w:rPr>
      </w:pPr>
    </w:p>
    <w:p w14:paraId="00000002" w14:textId="2F1B7E53" w:rsidR="0023696A" w:rsidRDefault="00D8431E" w:rsidP="002D2090">
      <w:pPr>
        <w:pBdr>
          <w:top w:val="nil"/>
          <w:left w:val="nil"/>
          <w:bottom w:val="nil"/>
          <w:right w:val="nil"/>
          <w:between w:val="nil"/>
        </w:pBdr>
        <w:spacing w:before="240"/>
        <w:rPr>
          <w:color w:val="000000"/>
        </w:rPr>
      </w:pPr>
      <w:r>
        <w:rPr>
          <w:color w:val="000000"/>
        </w:rPr>
        <w:t xml:space="preserve">The key points of </w:t>
      </w:r>
      <w:r w:rsidR="002D2090">
        <w:rPr>
          <w:color w:val="000000"/>
        </w:rPr>
        <w:t xml:space="preserve">this </w:t>
      </w:r>
      <w:r>
        <w:rPr>
          <w:color w:val="000000"/>
        </w:rPr>
        <w:t>project are as follows:</w:t>
      </w:r>
    </w:p>
    <w:p w14:paraId="00000003" w14:textId="0A190361" w:rsidR="0023696A" w:rsidRDefault="00D8431E" w:rsidP="002D2090">
      <w:pPr>
        <w:pBdr>
          <w:top w:val="nil"/>
          <w:left w:val="nil"/>
          <w:bottom w:val="nil"/>
          <w:right w:val="nil"/>
          <w:between w:val="nil"/>
        </w:pBdr>
        <w:spacing w:before="240"/>
        <w:rPr>
          <w:color w:val="000000"/>
        </w:rPr>
      </w:pPr>
      <w:r>
        <w:rPr>
          <w:color w:val="000000"/>
        </w:rPr>
        <w:t>•To teach girls with ADHD healthy coping mechanisms to deal with the struggles of ADHD</w:t>
      </w:r>
      <w:r w:rsidR="0005563A">
        <w:rPr>
          <w:color w:val="000000"/>
        </w:rPr>
        <w:t>.</w:t>
      </w:r>
    </w:p>
    <w:p w14:paraId="00000004" w14:textId="77777777" w:rsidR="0023696A" w:rsidRDefault="00D8431E" w:rsidP="002D2090">
      <w:pPr>
        <w:pBdr>
          <w:top w:val="nil"/>
          <w:left w:val="nil"/>
          <w:bottom w:val="nil"/>
          <w:right w:val="nil"/>
          <w:between w:val="nil"/>
        </w:pBdr>
        <w:spacing w:before="240"/>
        <w:rPr>
          <w:color w:val="000000"/>
        </w:rPr>
      </w:pPr>
      <w:r>
        <w:rPr>
          <w:color w:val="000000"/>
        </w:rPr>
        <w:t>•To bring more awareness to ADHD and how it presents in girls.</w:t>
      </w:r>
    </w:p>
    <w:p w14:paraId="00000005" w14:textId="7CA347B9" w:rsidR="0023696A" w:rsidRDefault="00D8431E" w:rsidP="002D2090">
      <w:pPr>
        <w:pBdr>
          <w:top w:val="nil"/>
          <w:left w:val="nil"/>
          <w:bottom w:val="nil"/>
          <w:right w:val="nil"/>
          <w:between w:val="nil"/>
        </w:pBdr>
        <w:spacing w:before="240"/>
        <w:rPr>
          <w:color w:val="000000"/>
        </w:rPr>
      </w:pPr>
      <w:r>
        <w:rPr>
          <w:color w:val="000000"/>
        </w:rPr>
        <w:t>•To build understanding of the struggles of ADHD</w:t>
      </w:r>
      <w:r w:rsidR="0005563A">
        <w:rPr>
          <w:color w:val="000000"/>
        </w:rPr>
        <w:t>.</w:t>
      </w:r>
    </w:p>
    <w:p w14:paraId="00000006" w14:textId="1F0379D9" w:rsidR="0023696A" w:rsidRDefault="00D8431E" w:rsidP="002D2090">
      <w:pPr>
        <w:pBdr>
          <w:top w:val="nil"/>
          <w:left w:val="nil"/>
          <w:bottom w:val="nil"/>
          <w:right w:val="nil"/>
          <w:between w:val="nil"/>
        </w:pBdr>
        <w:spacing w:before="240"/>
        <w:rPr>
          <w:color w:val="000000"/>
        </w:rPr>
      </w:pPr>
      <w:r>
        <w:rPr>
          <w:color w:val="000000"/>
        </w:rPr>
        <w:t>•To develop resilience in girls who have ADHD</w:t>
      </w:r>
      <w:r w:rsidR="0005563A">
        <w:rPr>
          <w:color w:val="000000"/>
        </w:rPr>
        <w:t>.</w:t>
      </w:r>
    </w:p>
    <w:p w14:paraId="00000007" w14:textId="77777777" w:rsidR="0023696A" w:rsidRDefault="00D8431E" w:rsidP="002D2090">
      <w:pPr>
        <w:pBdr>
          <w:top w:val="nil"/>
          <w:left w:val="nil"/>
          <w:bottom w:val="nil"/>
          <w:right w:val="nil"/>
          <w:between w:val="nil"/>
        </w:pBdr>
        <w:spacing w:before="240"/>
        <w:rPr>
          <w:color w:val="000000"/>
        </w:rPr>
      </w:pPr>
      <w:r>
        <w:rPr>
          <w:color w:val="000000"/>
        </w:rPr>
        <w:t xml:space="preserve"> </w:t>
      </w:r>
    </w:p>
    <w:p w14:paraId="00000009" w14:textId="73295443" w:rsidR="0023696A" w:rsidRDefault="00D8431E" w:rsidP="002D2090">
      <w:pPr>
        <w:pBdr>
          <w:top w:val="nil"/>
          <w:left w:val="nil"/>
          <w:bottom w:val="nil"/>
          <w:right w:val="nil"/>
          <w:between w:val="nil"/>
        </w:pBdr>
        <w:spacing w:before="240"/>
      </w:pPr>
      <w:r>
        <w:rPr>
          <w:color w:val="000000"/>
        </w:rPr>
        <w:t>Girls who have ADHD present different symptoms compared to their male counterparts. For example,</w:t>
      </w:r>
      <w:r>
        <w:rPr>
          <w:color w:val="000000"/>
        </w:rPr>
        <w:t xml:space="preserve"> when speaking of hyperactivity, girls tend to be excessively talkative rather than being more physically hyperactive (Quinn, 2005).</w:t>
      </w:r>
      <w:r>
        <w:t xml:space="preserve"> </w:t>
      </w:r>
      <w:r>
        <w:rPr>
          <w:color w:val="000000"/>
        </w:rPr>
        <w:t xml:space="preserve">When ADHD was first </w:t>
      </w:r>
      <w:proofErr w:type="spellStart"/>
      <w:r>
        <w:rPr>
          <w:color w:val="000000"/>
        </w:rPr>
        <w:t>recognised</w:t>
      </w:r>
      <w:proofErr w:type="spellEnd"/>
      <w:r>
        <w:rPr>
          <w:color w:val="000000"/>
        </w:rPr>
        <w:t xml:space="preserve"> as a disorder, most of the testing was solely based on the male experience</w:t>
      </w:r>
      <w:r>
        <w:t xml:space="preserve"> and</w:t>
      </w:r>
      <w:r>
        <w:rPr>
          <w:color w:val="000000"/>
        </w:rPr>
        <w:t xml:space="preserve"> for many year</w:t>
      </w:r>
      <w:r>
        <w:rPr>
          <w:color w:val="000000"/>
        </w:rPr>
        <w:t xml:space="preserve">s the difference in symptoms through gender was not </w:t>
      </w:r>
      <w:proofErr w:type="spellStart"/>
      <w:r>
        <w:rPr>
          <w:color w:val="000000"/>
        </w:rPr>
        <w:t>recognised</w:t>
      </w:r>
      <w:proofErr w:type="spellEnd"/>
      <w:r>
        <w:rPr>
          <w:color w:val="000000"/>
        </w:rPr>
        <w:t xml:space="preserve"> (</w:t>
      </w:r>
      <w:proofErr w:type="spellStart"/>
      <w:r>
        <w:rPr>
          <w:color w:val="000000"/>
        </w:rPr>
        <w:t>Bauermeister</w:t>
      </w:r>
      <w:proofErr w:type="spellEnd"/>
      <w:r>
        <w:rPr>
          <w:color w:val="000000"/>
        </w:rPr>
        <w:t xml:space="preserve"> et.al, 2007). From this research coupled with my own personal experience of being a woman with ADHD, girls experience different symptoms, therefore have different struggles that n</w:t>
      </w:r>
      <w:r>
        <w:rPr>
          <w:color w:val="000000"/>
        </w:rPr>
        <w:t>eed to be resolved as they grow older. Th</w:t>
      </w:r>
      <w:r>
        <w:t xml:space="preserve">ese connections have </w:t>
      </w:r>
      <w:r>
        <w:rPr>
          <w:color w:val="000000"/>
        </w:rPr>
        <w:t xml:space="preserve">formed the idea of my drama project. </w:t>
      </w:r>
    </w:p>
    <w:p w14:paraId="0000000A" w14:textId="77777777" w:rsidR="0023696A" w:rsidRDefault="00D8431E" w:rsidP="002D2090">
      <w:pPr>
        <w:pBdr>
          <w:top w:val="nil"/>
          <w:left w:val="nil"/>
          <w:bottom w:val="nil"/>
          <w:right w:val="nil"/>
          <w:between w:val="nil"/>
        </w:pBdr>
        <w:spacing w:before="240"/>
        <w:rPr>
          <w:color w:val="000000"/>
        </w:rPr>
      </w:pPr>
      <w:r>
        <w:rPr>
          <w:color w:val="000000"/>
        </w:rPr>
        <w:t>Howard Gardener’s theory of multiple intelligences state that there are eight different ways in which people work best.</w:t>
      </w:r>
    </w:p>
    <w:p w14:paraId="0000000B" w14:textId="77777777" w:rsidR="0023696A" w:rsidRDefault="00D8431E" w:rsidP="002D2090">
      <w:pPr>
        <w:pBdr>
          <w:top w:val="nil"/>
          <w:left w:val="nil"/>
          <w:bottom w:val="nil"/>
          <w:right w:val="nil"/>
          <w:between w:val="nil"/>
        </w:pBdr>
        <w:spacing w:before="240"/>
        <w:rPr>
          <w:color w:val="000000"/>
        </w:rPr>
      </w:pPr>
      <w:r>
        <w:rPr>
          <w:color w:val="000000"/>
        </w:rPr>
        <w:t xml:space="preserve"> </w:t>
      </w:r>
    </w:p>
    <w:p w14:paraId="0000000C"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Verbal/Linguistic</w:t>
      </w:r>
    </w:p>
    <w:p w14:paraId="0000000D"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Log</w:t>
      </w:r>
      <w:r>
        <w:rPr>
          <w:color w:val="000000"/>
        </w:rPr>
        <w:t>ical/Mathematical</w:t>
      </w:r>
    </w:p>
    <w:p w14:paraId="0000000E"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Visual/Spatial</w:t>
      </w:r>
    </w:p>
    <w:p w14:paraId="0000000F"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 xml:space="preserve">Musical/Rhythmic </w:t>
      </w:r>
    </w:p>
    <w:p w14:paraId="00000010"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Bodily/Kinesthetic</w:t>
      </w:r>
    </w:p>
    <w:p w14:paraId="00000011"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Interpersonal</w:t>
      </w:r>
    </w:p>
    <w:p w14:paraId="00000012"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Intrapersonal</w:t>
      </w:r>
    </w:p>
    <w:p w14:paraId="00000013" w14:textId="77777777" w:rsidR="0023696A" w:rsidRDefault="00D8431E" w:rsidP="002D2090">
      <w:pPr>
        <w:pBdr>
          <w:top w:val="nil"/>
          <w:left w:val="nil"/>
          <w:bottom w:val="nil"/>
          <w:right w:val="nil"/>
          <w:between w:val="nil"/>
        </w:pBdr>
        <w:spacing w:before="240"/>
        <w:rPr>
          <w:color w:val="000000"/>
        </w:rPr>
      </w:pPr>
      <w:r>
        <w:rPr>
          <w:color w:val="000000"/>
        </w:rPr>
        <w:t xml:space="preserve">•    </w:t>
      </w:r>
      <w:r>
        <w:rPr>
          <w:color w:val="000000"/>
        </w:rPr>
        <w:tab/>
        <w:t>Naturalistic</w:t>
      </w:r>
    </w:p>
    <w:p w14:paraId="00000014" w14:textId="77777777" w:rsidR="0023696A" w:rsidRDefault="00D8431E" w:rsidP="002D2090">
      <w:pPr>
        <w:pBdr>
          <w:top w:val="nil"/>
          <w:left w:val="nil"/>
          <w:bottom w:val="nil"/>
          <w:right w:val="nil"/>
          <w:between w:val="nil"/>
        </w:pBdr>
        <w:spacing w:before="240" w:after="240"/>
        <w:rPr>
          <w:color w:val="000000"/>
        </w:rPr>
      </w:pPr>
      <w:r>
        <w:rPr>
          <w:color w:val="000000"/>
        </w:rPr>
        <w:t xml:space="preserve"> </w:t>
      </w:r>
    </w:p>
    <w:p w14:paraId="00000015" w14:textId="77777777" w:rsidR="0023696A" w:rsidRDefault="00D8431E">
      <w:pPr>
        <w:pBdr>
          <w:top w:val="nil"/>
          <w:left w:val="nil"/>
          <w:bottom w:val="nil"/>
          <w:right w:val="nil"/>
          <w:between w:val="nil"/>
        </w:pBdr>
        <w:ind w:left="2160"/>
        <w:jc w:val="right"/>
        <w:rPr>
          <w:color w:val="000000"/>
        </w:rPr>
      </w:pPr>
      <w:r>
        <w:rPr>
          <w:color w:val="000000"/>
        </w:rPr>
        <w:t>(Van Der Water et.al, 2015)</w:t>
      </w:r>
    </w:p>
    <w:p w14:paraId="00000016" w14:textId="77777777" w:rsidR="0023696A" w:rsidRDefault="00D8431E">
      <w:pPr>
        <w:pBdr>
          <w:top w:val="nil"/>
          <w:left w:val="nil"/>
          <w:bottom w:val="nil"/>
          <w:right w:val="nil"/>
          <w:between w:val="nil"/>
        </w:pBdr>
        <w:spacing w:before="240" w:after="240"/>
        <w:rPr>
          <w:color w:val="000000"/>
        </w:rPr>
      </w:pPr>
      <w:r>
        <w:rPr>
          <w:color w:val="000000"/>
        </w:rPr>
        <w:lastRenderedPageBreak/>
        <w:t xml:space="preserve"> </w:t>
      </w:r>
    </w:p>
    <w:p w14:paraId="00000017" w14:textId="77777777" w:rsidR="0023696A" w:rsidRDefault="00D8431E">
      <w:pPr>
        <w:pBdr>
          <w:top w:val="nil"/>
          <w:left w:val="nil"/>
          <w:bottom w:val="nil"/>
          <w:right w:val="nil"/>
          <w:between w:val="nil"/>
        </w:pBdr>
        <w:spacing w:before="240"/>
      </w:pPr>
      <w:r>
        <w:rPr>
          <w:color w:val="000000"/>
        </w:rPr>
        <w:t xml:space="preserve">The teaching style </w:t>
      </w:r>
      <w:proofErr w:type="gramStart"/>
      <w:r>
        <w:rPr>
          <w:color w:val="000000"/>
        </w:rPr>
        <w:t>most commonly used</w:t>
      </w:r>
      <w:proofErr w:type="gramEnd"/>
      <w:r>
        <w:rPr>
          <w:color w:val="000000"/>
        </w:rPr>
        <w:t xml:space="preserve"> in schools, Gardener describes as “Verbal/Linguistic”, this is where a person best learns by reading, writing and speaking. As many people with ADHD have comorbidity such as dyslexia this is not always </w:t>
      </w:r>
      <w:r>
        <w:t>conducive to</w:t>
      </w:r>
      <w:r>
        <w:rPr>
          <w:color w:val="000000"/>
        </w:rPr>
        <w:t xml:space="preserve"> lea</w:t>
      </w:r>
      <w:r>
        <w:rPr>
          <w:color w:val="000000"/>
        </w:rPr>
        <w:t>rning. Instead, the style of which someone with ADHD could relate best to is “Bodily/Kinesthetic”, this is where someone us</w:t>
      </w:r>
      <w:r>
        <w:t>es</w:t>
      </w:r>
      <w:r>
        <w:rPr>
          <w:color w:val="000000"/>
        </w:rPr>
        <w:t xml:space="preserve"> their body to express ideas, building objects and using gestures. This way of working can be effective when working with someone </w:t>
      </w:r>
      <w:r>
        <w:t>w</w:t>
      </w:r>
      <w:r>
        <w:t xml:space="preserve">ho has ADHD. </w:t>
      </w:r>
      <w:r>
        <w:rPr>
          <w:color w:val="000000"/>
        </w:rPr>
        <w:t>Howard Gardener’s research was based on findings from the 1980’s and in modern day teaching, schools tend to use the teaching method commonly known as VARK.</w:t>
      </w:r>
      <w:r>
        <w:t xml:space="preserve"> </w:t>
      </w:r>
      <w:r>
        <w:rPr>
          <w:color w:val="000000"/>
        </w:rPr>
        <w:t>VARK is an abbreviation of the different learning styles. It stands for: visual, aural</w:t>
      </w:r>
      <w:r>
        <w:rPr>
          <w:color w:val="000000"/>
        </w:rPr>
        <w:t xml:space="preserve">/auditory, read/write and </w:t>
      </w:r>
      <w:proofErr w:type="spellStart"/>
      <w:r>
        <w:rPr>
          <w:color w:val="000000"/>
        </w:rPr>
        <w:t>kinaesthetic</w:t>
      </w:r>
      <w:proofErr w:type="spellEnd"/>
      <w:r>
        <w:rPr>
          <w:color w:val="000000"/>
        </w:rPr>
        <w:t xml:space="preserve">. These are the different categories within </w:t>
      </w:r>
      <w:proofErr w:type="gramStart"/>
      <w:r>
        <w:rPr>
          <w:color w:val="000000"/>
        </w:rPr>
        <w:t>learning,</w:t>
      </w:r>
      <w:proofErr w:type="gramEnd"/>
      <w:r>
        <w:rPr>
          <w:color w:val="000000"/>
        </w:rPr>
        <w:t xml:space="preserve"> </w:t>
      </w:r>
      <w:r>
        <w:t>however, an individual can be</w:t>
      </w:r>
      <w:r>
        <w:rPr>
          <w:color w:val="000000"/>
        </w:rPr>
        <w:t xml:space="preserve"> multimodal. </w:t>
      </w:r>
      <w:r>
        <w:t>T</w:t>
      </w:r>
      <w:r>
        <w:rPr>
          <w:color w:val="000000"/>
        </w:rPr>
        <w:t xml:space="preserve">here is a test that is taken to discover your </w:t>
      </w:r>
      <w:r>
        <w:t>l</w:t>
      </w:r>
      <w:r>
        <w:rPr>
          <w:color w:val="000000"/>
        </w:rPr>
        <w:t>earning style preference (VARK, 2012).</w:t>
      </w:r>
      <w:r>
        <w:t xml:space="preserve"> </w:t>
      </w:r>
      <w:r>
        <w:rPr>
          <w:color w:val="000000"/>
        </w:rPr>
        <w:t xml:space="preserve">Using the VARK means that teachers </w:t>
      </w:r>
      <w:r>
        <w:rPr>
          <w:color w:val="000000"/>
        </w:rPr>
        <w:t>create their lesson plan to include each of these learning styles in order to be as accessible as possible.</w:t>
      </w:r>
      <w:r>
        <w:t xml:space="preserve"> </w:t>
      </w:r>
    </w:p>
    <w:p w14:paraId="00000018" w14:textId="6D68362B" w:rsidR="0023696A" w:rsidRDefault="00D8431E">
      <w:pPr>
        <w:pBdr>
          <w:top w:val="nil"/>
          <w:left w:val="nil"/>
          <w:bottom w:val="nil"/>
          <w:right w:val="nil"/>
          <w:between w:val="nil"/>
        </w:pBdr>
        <w:spacing w:before="240"/>
        <w:rPr>
          <w:color w:val="000000"/>
        </w:rPr>
      </w:pPr>
      <w:r>
        <w:rPr>
          <w:color w:val="000000"/>
        </w:rPr>
        <w:t xml:space="preserve">Interactive learning is key when working with people </w:t>
      </w:r>
      <w:r>
        <w:t xml:space="preserve">with ADHD </w:t>
      </w:r>
      <w:r>
        <w:rPr>
          <w:color w:val="000000"/>
        </w:rPr>
        <w:t xml:space="preserve">and using drama provides the space to create and interact. Movement and physical activity </w:t>
      </w:r>
      <w:proofErr w:type="gramStart"/>
      <w:r>
        <w:rPr>
          <w:color w:val="000000"/>
        </w:rPr>
        <w:t>has</w:t>
      </w:r>
      <w:proofErr w:type="gramEnd"/>
      <w:r>
        <w:rPr>
          <w:color w:val="000000"/>
        </w:rPr>
        <w:t xml:space="preserve"> also shown to improve academic performance and both of these are core parts of using drama for educational and therapeutic practice (Archer, </w:t>
      </w:r>
      <w:proofErr w:type="spellStart"/>
      <w:r>
        <w:rPr>
          <w:color w:val="000000"/>
        </w:rPr>
        <w:t>Kostrzewa</w:t>
      </w:r>
      <w:proofErr w:type="spellEnd"/>
      <w:r>
        <w:rPr>
          <w:color w:val="000000"/>
        </w:rPr>
        <w:t>, 2011).</w:t>
      </w:r>
      <w:r>
        <w:t xml:space="preserve"> Als</w:t>
      </w:r>
      <w:r>
        <w:t xml:space="preserve">o, </w:t>
      </w:r>
      <w:r>
        <w:rPr>
          <w:color w:val="000000"/>
        </w:rPr>
        <w:t xml:space="preserve">Ashton and Gould (2017) presented research that role-play can be a useful tool when teaching girls on the autistic spectrum. Although </w:t>
      </w:r>
      <w:r>
        <w:t>this</w:t>
      </w:r>
      <w:r>
        <w:rPr>
          <w:color w:val="000000"/>
        </w:rPr>
        <w:t xml:space="preserve"> drama project is aimed at girls with ADHD, Ashton and Gould’s research has shown that girls with these learning di</w:t>
      </w:r>
      <w:r>
        <w:rPr>
          <w:color w:val="000000"/>
        </w:rPr>
        <w:t xml:space="preserve">fferences may share similar struggles such as self-advocacy, emotional awareness and their permission to say “no”. Girls with ADHD and autism sometimes struggle to set boundaries and </w:t>
      </w:r>
      <w:r>
        <w:t xml:space="preserve">have difficulty in </w:t>
      </w:r>
      <w:r>
        <w:rPr>
          <w:color w:val="000000"/>
        </w:rPr>
        <w:t xml:space="preserve">explaining the limit of their capabilities. Research </w:t>
      </w:r>
      <w:r>
        <w:t>s</w:t>
      </w:r>
      <w:r>
        <w:t xml:space="preserve">uggests </w:t>
      </w:r>
      <w:r>
        <w:rPr>
          <w:color w:val="000000"/>
        </w:rPr>
        <w:t xml:space="preserve">that autism and ADHD frequently occur together and the most recent edition of the </w:t>
      </w:r>
      <w:r w:rsidR="009C56CA" w:rsidRPr="009C56CA">
        <w:rPr>
          <w:shd w:val="clear" w:color="auto" w:fill="FFFFFF"/>
        </w:rPr>
        <w:t>Diagnostic and Statistical Manual of Mental Disorders</w:t>
      </w:r>
      <w:r w:rsidR="009C56CA">
        <w:rPr>
          <w:color w:val="000000"/>
        </w:rPr>
        <w:t xml:space="preserve"> (DSM), </w:t>
      </w:r>
      <w:r>
        <w:rPr>
          <w:color w:val="000000"/>
        </w:rPr>
        <w:t xml:space="preserve">has allowed for dual diagnosis, meaning that both disorders can be diagnosed in the same individual. Ashton and Gould’s research shows that role-play </w:t>
      </w:r>
      <w:r>
        <w:t>can be</w:t>
      </w:r>
      <w:r>
        <w:rPr>
          <w:color w:val="000000"/>
        </w:rPr>
        <w:t xml:space="preserve"> used </w:t>
      </w:r>
      <w:r>
        <w:rPr>
          <w:color w:val="000000"/>
        </w:rPr>
        <w:t>as a tool to aid in gaining social skills and can be effective for rehearsing situations that a girl may find herself that do not happen frequently, for example a dangerous event (Ashton and Gould, 2017). As a result of this research, this could aid in eli</w:t>
      </w:r>
      <w:r>
        <w:rPr>
          <w:color w:val="000000"/>
        </w:rPr>
        <w:t>minating anxiety and better prepare girls who have ADHD and autism. As many women with ADHD</w:t>
      </w:r>
      <w:r>
        <w:t xml:space="preserve"> </w:t>
      </w:r>
      <w:r>
        <w:rPr>
          <w:color w:val="000000"/>
        </w:rPr>
        <w:t xml:space="preserve">experience anxiety as a comorbid disorder, drama techniques such as role-play can aid in decreasing </w:t>
      </w:r>
      <w:r>
        <w:t>stress</w:t>
      </w:r>
      <w:r>
        <w:rPr>
          <w:color w:val="000000"/>
        </w:rPr>
        <w:t>. It gives the participant the chance to rehearse situatio</w:t>
      </w:r>
      <w:r>
        <w:rPr>
          <w:color w:val="000000"/>
        </w:rPr>
        <w:t>ns and “gain the tools they need to better understand the responses of others” (Monika, 2011).</w:t>
      </w:r>
    </w:p>
    <w:p w14:paraId="00000019" w14:textId="77777777" w:rsidR="0023696A" w:rsidRDefault="00D8431E">
      <w:pPr>
        <w:pBdr>
          <w:top w:val="nil"/>
          <w:left w:val="nil"/>
          <w:bottom w:val="nil"/>
          <w:right w:val="nil"/>
          <w:between w:val="nil"/>
        </w:pBdr>
        <w:spacing w:before="240"/>
        <w:rPr>
          <w:color w:val="000000"/>
        </w:rPr>
      </w:pPr>
      <w:r>
        <w:rPr>
          <w:color w:val="000000"/>
        </w:rPr>
        <w:t>Another technique that can be effective when working with girls with this learning difference is storytelling, with this process used frequently in drama therapy</w:t>
      </w:r>
      <w:r>
        <w:rPr>
          <w:color w:val="000000"/>
        </w:rPr>
        <w:t xml:space="preserve">. This gives </w:t>
      </w:r>
      <w:r>
        <w:t xml:space="preserve">participants </w:t>
      </w:r>
      <w:r>
        <w:rPr>
          <w:color w:val="000000"/>
        </w:rPr>
        <w:t xml:space="preserve">a creative outlet to explore their issues, allowing the </w:t>
      </w:r>
      <w:r>
        <w:t xml:space="preserve">person </w:t>
      </w:r>
      <w:r>
        <w:rPr>
          <w:color w:val="000000"/>
        </w:rPr>
        <w:t>to roleplay different solutions to their problems in a safe and trusted environment (Monika, 2011).</w:t>
      </w:r>
    </w:p>
    <w:p w14:paraId="0000001A" w14:textId="77777777" w:rsidR="0023696A" w:rsidRDefault="00D8431E">
      <w:pPr>
        <w:pBdr>
          <w:top w:val="nil"/>
          <w:left w:val="nil"/>
          <w:bottom w:val="nil"/>
          <w:right w:val="nil"/>
          <w:between w:val="nil"/>
        </w:pBdr>
        <w:spacing w:before="240"/>
        <w:rPr>
          <w:color w:val="000000"/>
        </w:rPr>
      </w:pPr>
      <w:r>
        <w:rPr>
          <w:color w:val="000000"/>
        </w:rPr>
        <w:t>Techniques such as storytelling that have been used in drama therap</w:t>
      </w:r>
      <w:r>
        <w:rPr>
          <w:color w:val="000000"/>
        </w:rPr>
        <w:t>y are,</w:t>
      </w:r>
    </w:p>
    <w:p w14:paraId="0000001B" w14:textId="77777777" w:rsidR="0023696A" w:rsidRDefault="00D8431E">
      <w:pPr>
        <w:pBdr>
          <w:top w:val="nil"/>
          <w:left w:val="nil"/>
          <w:bottom w:val="nil"/>
          <w:right w:val="nil"/>
          <w:between w:val="nil"/>
        </w:pBdr>
        <w:spacing w:before="240"/>
        <w:rPr>
          <w:color w:val="000000"/>
        </w:rPr>
      </w:pPr>
      <w:r>
        <w:rPr>
          <w:color w:val="000000"/>
        </w:rPr>
        <w:t xml:space="preserve"> </w:t>
      </w:r>
    </w:p>
    <w:p w14:paraId="0000001C" w14:textId="77777777" w:rsidR="0023696A" w:rsidRDefault="00D8431E">
      <w:pPr>
        <w:pBdr>
          <w:top w:val="nil"/>
          <w:left w:val="nil"/>
          <w:bottom w:val="nil"/>
          <w:right w:val="nil"/>
          <w:between w:val="nil"/>
        </w:pBdr>
        <w:ind w:left="720"/>
        <w:rPr>
          <w:color w:val="000000"/>
        </w:rPr>
      </w:pPr>
      <w:r>
        <w:rPr>
          <w:color w:val="000000"/>
        </w:rPr>
        <w:lastRenderedPageBreak/>
        <w:t xml:space="preserve">“highly valued because of its educational and therapeutic merits since it is a systematic and cooperative rather than a competitive treatment; </w:t>
      </w:r>
      <w:proofErr w:type="gramStart"/>
      <w:r>
        <w:rPr>
          <w:color w:val="000000"/>
        </w:rPr>
        <w:t>therefore</w:t>
      </w:r>
      <w:proofErr w:type="gramEnd"/>
      <w:r>
        <w:rPr>
          <w:color w:val="000000"/>
        </w:rPr>
        <w:t xml:space="preserve"> there is no fear of failure and pressure to win and it can enhance the strengths of the child.” </w:t>
      </w:r>
    </w:p>
    <w:p w14:paraId="0000001E" w14:textId="3DA3E85C" w:rsidR="0023696A" w:rsidRDefault="00D8431E" w:rsidP="009C56CA">
      <w:pPr>
        <w:pBdr>
          <w:top w:val="nil"/>
          <w:left w:val="nil"/>
          <w:bottom w:val="nil"/>
          <w:right w:val="nil"/>
          <w:between w:val="nil"/>
        </w:pBdr>
        <w:ind w:left="1440"/>
        <w:jc w:val="right"/>
        <w:rPr>
          <w:color w:val="000000"/>
        </w:rPr>
      </w:pPr>
      <w:r>
        <w:rPr>
          <w:color w:val="000000"/>
        </w:rPr>
        <w:t>(</w:t>
      </w:r>
      <w:proofErr w:type="spellStart"/>
      <w:r>
        <w:rPr>
          <w:color w:val="000000"/>
        </w:rPr>
        <w:t>Kejan</w:t>
      </w:r>
      <w:r>
        <w:rPr>
          <w:color w:val="000000"/>
        </w:rPr>
        <w:t>i</w:t>
      </w:r>
      <w:proofErr w:type="spellEnd"/>
      <w:r>
        <w:rPr>
          <w:color w:val="000000"/>
        </w:rPr>
        <w:t xml:space="preserve"> and </w:t>
      </w:r>
      <w:proofErr w:type="spellStart"/>
      <w:r>
        <w:rPr>
          <w:color w:val="000000"/>
        </w:rPr>
        <w:t>Raeisi</w:t>
      </w:r>
      <w:proofErr w:type="spellEnd"/>
      <w:r>
        <w:rPr>
          <w:color w:val="000000"/>
        </w:rPr>
        <w:t xml:space="preserve">, 2020) </w:t>
      </w:r>
    </w:p>
    <w:p w14:paraId="0000001F" w14:textId="77777777" w:rsidR="0023696A" w:rsidRDefault="00D8431E">
      <w:pPr>
        <w:pBdr>
          <w:top w:val="nil"/>
          <w:left w:val="nil"/>
          <w:bottom w:val="nil"/>
          <w:right w:val="nil"/>
          <w:between w:val="nil"/>
        </w:pBdr>
        <w:spacing w:before="240"/>
        <w:rPr>
          <w:color w:val="000000"/>
        </w:rPr>
      </w:pPr>
      <w:r>
        <w:rPr>
          <w:color w:val="000000"/>
        </w:rPr>
        <w:t>The quote above supports the view that drama techniques such as storytelling invites a positive atmosphere for people to work through their problems without judgement or anxiety</w:t>
      </w:r>
      <w:r>
        <w:t xml:space="preserve"> </w:t>
      </w:r>
      <w:r>
        <w:rPr>
          <w:color w:val="000000"/>
        </w:rPr>
        <w:t xml:space="preserve">(Quinn, 2005).              </w:t>
      </w:r>
      <w:r>
        <w:rPr>
          <w:color w:val="000000"/>
        </w:rPr>
        <w:tab/>
        <w:t xml:space="preserve">                          </w:t>
      </w:r>
      <w:r>
        <w:rPr>
          <w:color w:val="000000"/>
        </w:rPr>
        <w:t xml:space="preserve">                                         </w:t>
      </w:r>
    </w:p>
    <w:p w14:paraId="00000020" w14:textId="77777777" w:rsidR="0023696A" w:rsidRDefault="00D8431E">
      <w:pPr>
        <w:pBdr>
          <w:top w:val="nil"/>
          <w:left w:val="nil"/>
          <w:bottom w:val="nil"/>
          <w:right w:val="nil"/>
          <w:between w:val="nil"/>
        </w:pBdr>
        <w:spacing w:before="240"/>
      </w:pPr>
      <w:r>
        <w:rPr>
          <w:color w:val="000000"/>
        </w:rPr>
        <w:t>In their book “</w:t>
      </w:r>
      <w:proofErr w:type="spellStart"/>
      <w:r>
        <w:rPr>
          <w:color w:val="000000"/>
        </w:rPr>
        <w:t>Storymaking</w:t>
      </w:r>
      <w:proofErr w:type="spellEnd"/>
      <w:r>
        <w:rPr>
          <w:color w:val="000000"/>
        </w:rPr>
        <w:t xml:space="preserve"> in education and therapy” </w:t>
      </w:r>
      <w:proofErr w:type="spellStart"/>
      <w:r>
        <w:rPr>
          <w:color w:val="000000"/>
        </w:rPr>
        <w:t>Alida</w:t>
      </w:r>
      <w:proofErr w:type="spellEnd"/>
      <w:r>
        <w:rPr>
          <w:color w:val="000000"/>
        </w:rPr>
        <w:t xml:space="preserve"> </w:t>
      </w:r>
      <w:proofErr w:type="spellStart"/>
      <w:r>
        <w:rPr>
          <w:color w:val="000000"/>
        </w:rPr>
        <w:t>Gersie</w:t>
      </w:r>
      <w:proofErr w:type="spellEnd"/>
      <w:r>
        <w:rPr>
          <w:color w:val="000000"/>
        </w:rPr>
        <w:t xml:space="preserve"> and Nancy King (1990) describe how storytelling heightens self-awareness by exploring </w:t>
      </w:r>
      <w:proofErr w:type="spellStart"/>
      <w:r>
        <w:rPr>
          <w:color w:val="000000"/>
        </w:rPr>
        <w:t>storymaking</w:t>
      </w:r>
      <w:proofErr w:type="spellEnd"/>
      <w:r>
        <w:rPr>
          <w:color w:val="000000"/>
        </w:rPr>
        <w:t xml:space="preserve"> through different creative outlets such as drama.</w:t>
      </w:r>
    </w:p>
    <w:p w14:paraId="00000021" w14:textId="77777777" w:rsidR="0023696A" w:rsidRDefault="00D8431E">
      <w:pPr>
        <w:pBdr>
          <w:top w:val="nil"/>
          <w:left w:val="nil"/>
          <w:bottom w:val="nil"/>
          <w:right w:val="nil"/>
          <w:between w:val="nil"/>
        </w:pBdr>
        <w:spacing w:before="240"/>
        <w:rPr>
          <w:color w:val="000000"/>
        </w:rPr>
      </w:pPr>
      <w:proofErr w:type="spellStart"/>
      <w:r>
        <w:rPr>
          <w:color w:val="000000"/>
        </w:rPr>
        <w:t>Gersie</w:t>
      </w:r>
      <w:proofErr w:type="spellEnd"/>
      <w:r>
        <w:rPr>
          <w:color w:val="000000"/>
        </w:rPr>
        <w:t xml:space="preserve"> and King also state,</w:t>
      </w:r>
    </w:p>
    <w:p w14:paraId="00000022" w14:textId="77777777" w:rsidR="0023696A" w:rsidRDefault="00D8431E">
      <w:pPr>
        <w:pBdr>
          <w:top w:val="nil"/>
          <w:left w:val="nil"/>
          <w:bottom w:val="nil"/>
          <w:right w:val="nil"/>
          <w:between w:val="nil"/>
        </w:pBdr>
        <w:spacing w:before="240"/>
        <w:rPr>
          <w:color w:val="000000"/>
        </w:rPr>
      </w:pPr>
      <w:r>
        <w:rPr>
          <w:color w:val="000000"/>
        </w:rPr>
        <w:t xml:space="preserve"> </w:t>
      </w:r>
    </w:p>
    <w:p w14:paraId="00000023" w14:textId="77777777" w:rsidR="0023696A" w:rsidRDefault="00D8431E">
      <w:pPr>
        <w:pBdr>
          <w:top w:val="nil"/>
          <w:left w:val="nil"/>
          <w:bottom w:val="nil"/>
          <w:right w:val="nil"/>
          <w:between w:val="nil"/>
        </w:pBdr>
        <w:ind w:left="720"/>
        <w:rPr>
          <w:color w:val="000000"/>
        </w:rPr>
      </w:pPr>
      <w:r>
        <w:rPr>
          <w:color w:val="000000"/>
        </w:rPr>
        <w:t xml:space="preserve">“By allowing the myth to resonate within us, stimulating our personal expressive abilities, we are enabled to learn to connect our personal experience to the experiences of </w:t>
      </w:r>
      <w:proofErr w:type="gramStart"/>
      <w:r>
        <w:rPr>
          <w:color w:val="000000"/>
        </w:rPr>
        <w:t>the human race</w:t>
      </w:r>
      <w:proofErr w:type="gramEnd"/>
      <w:r>
        <w:rPr>
          <w:color w:val="000000"/>
        </w:rPr>
        <w:t>. We become active witnesses to the pas</w:t>
      </w:r>
      <w:r>
        <w:rPr>
          <w:color w:val="000000"/>
        </w:rPr>
        <w:t>t- realizing our present- transforming our future.”</w:t>
      </w:r>
    </w:p>
    <w:p w14:paraId="00000024" w14:textId="77777777" w:rsidR="0023696A" w:rsidRDefault="00D8431E">
      <w:pPr>
        <w:pBdr>
          <w:top w:val="nil"/>
          <w:left w:val="nil"/>
          <w:bottom w:val="nil"/>
          <w:right w:val="nil"/>
          <w:between w:val="nil"/>
        </w:pBdr>
        <w:ind w:left="6480"/>
        <w:rPr>
          <w:color w:val="000000"/>
        </w:rPr>
      </w:pPr>
      <w:r>
        <w:rPr>
          <w:color w:val="000000"/>
        </w:rPr>
        <w:t>(</w:t>
      </w:r>
      <w:proofErr w:type="spellStart"/>
      <w:r>
        <w:rPr>
          <w:color w:val="000000"/>
        </w:rPr>
        <w:t>Gersie</w:t>
      </w:r>
      <w:proofErr w:type="spellEnd"/>
      <w:r>
        <w:rPr>
          <w:color w:val="000000"/>
        </w:rPr>
        <w:t xml:space="preserve"> and King, p.24)</w:t>
      </w:r>
    </w:p>
    <w:p w14:paraId="00000025" w14:textId="77777777" w:rsidR="0023696A" w:rsidRDefault="00D8431E">
      <w:pPr>
        <w:pBdr>
          <w:top w:val="nil"/>
          <w:left w:val="nil"/>
          <w:bottom w:val="nil"/>
          <w:right w:val="nil"/>
          <w:between w:val="nil"/>
        </w:pBdr>
        <w:ind w:left="720"/>
        <w:jc w:val="right"/>
        <w:rPr>
          <w:color w:val="000000"/>
        </w:rPr>
      </w:pPr>
      <w:r>
        <w:rPr>
          <w:color w:val="000000"/>
        </w:rPr>
        <w:t xml:space="preserve">  </w:t>
      </w:r>
    </w:p>
    <w:p w14:paraId="00000026" w14:textId="77777777" w:rsidR="0023696A" w:rsidRDefault="00D8431E">
      <w:pPr>
        <w:pBdr>
          <w:top w:val="nil"/>
          <w:left w:val="nil"/>
          <w:bottom w:val="nil"/>
          <w:right w:val="nil"/>
          <w:between w:val="nil"/>
        </w:pBdr>
        <w:spacing w:before="240"/>
        <w:rPr>
          <w:color w:val="000000"/>
        </w:rPr>
      </w:pPr>
      <w:r>
        <w:rPr>
          <w:color w:val="000000"/>
        </w:rPr>
        <w:t xml:space="preserve">This quote </w:t>
      </w:r>
      <w:r>
        <w:t xml:space="preserve">highlights </w:t>
      </w:r>
      <w:r>
        <w:rPr>
          <w:color w:val="000000"/>
        </w:rPr>
        <w:t xml:space="preserve">that using </w:t>
      </w:r>
      <w:proofErr w:type="spellStart"/>
      <w:r>
        <w:rPr>
          <w:color w:val="000000"/>
        </w:rPr>
        <w:t>storymaking</w:t>
      </w:r>
      <w:proofErr w:type="spellEnd"/>
      <w:r>
        <w:rPr>
          <w:color w:val="000000"/>
        </w:rPr>
        <w:t xml:space="preserve"> and storytelling to explore different situations and actions</w:t>
      </w:r>
      <w:r>
        <w:t xml:space="preserve">, </w:t>
      </w:r>
      <w:r>
        <w:rPr>
          <w:color w:val="000000"/>
        </w:rPr>
        <w:t xml:space="preserve">can be an effective tool used with girls with ADHD. This is </w:t>
      </w:r>
      <w:r>
        <w:t>because</w:t>
      </w:r>
      <w:r>
        <w:rPr>
          <w:color w:val="000000"/>
        </w:rPr>
        <w:t xml:space="preserve"> using stories and fables eliminate the directness of a workshop by using characters going through simil</w:t>
      </w:r>
      <w:r>
        <w:rPr>
          <w:color w:val="000000"/>
        </w:rPr>
        <w:t xml:space="preserve">ar problems to the participants, rather than the participants themselves. This allows the </w:t>
      </w:r>
      <w:r>
        <w:t>individual</w:t>
      </w:r>
      <w:r>
        <w:rPr>
          <w:color w:val="000000"/>
        </w:rPr>
        <w:t xml:space="preserve"> to feel safe while exploring the different outcomes that could create a positive change in the lives of the character and directly relate it to their own l</w:t>
      </w:r>
      <w:r>
        <w:rPr>
          <w:color w:val="000000"/>
        </w:rPr>
        <w:t xml:space="preserve">ives, by </w:t>
      </w:r>
      <w:r>
        <w:t>viewing</w:t>
      </w:r>
      <w:r>
        <w:rPr>
          <w:color w:val="000000"/>
        </w:rPr>
        <w:t xml:space="preserve"> the situation objectively.</w:t>
      </w:r>
    </w:p>
    <w:p w14:paraId="00000027" w14:textId="77777777" w:rsidR="0023696A" w:rsidRDefault="00D8431E">
      <w:pPr>
        <w:pBdr>
          <w:top w:val="nil"/>
          <w:left w:val="nil"/>
          <w:bottom w:val="nil"/>
          <w:right w:val="nil"/>
          <w:between w:val="nil"/>
        </w:pBdr>
        <w:ind w:left="720"/>
      </w:pPr>
      <w:r>
        <w:rPr>
          <w:color w:val="000000"/>
        </w:rPr>
        <w:t xml:space="preserve"> </w:t>
      </w:r>
    </w:p>
    <w:p w14:paraId="00000028" w14:textId="77777777" w:rsidR="0023696A" w:rsidRDefault="00D8431E">
      <w:pPr>
        <w:pBdr>
          <w:top w:val="nil"/>
          <w:left w:val="nil"/>
          <w:bottom w:val="nil"/>
          <w:right w:val="nil"/>
          <w:between w:val="nil"/>
        </w:pBdr>
        <w:rPr>
          <w:color w:val="000000"/>
        </w:rPr>
      </w:pPr>
      <w:r>
        <w:rPr>
          <w:color w:val="000000"/>
        </w:rPr>
        <w:t xml:space="preserve">It </w:t>
      </w:r>
      <w:r>
        <w:t xml:space="preserve">is acknowledged </w:t>
      </w:r>
      <w:r>
        <w:rPr>
          <w:color w:val="000000"/>
        </w:rPr>
        <w:t xml:space="preserve">that people who have ADHD are more creative, although there are different studies that argue this case. This has been evidenced in </w:t>
      </w:r>
      <w:proofErr w:type="spellStart"/>
      <w:r>
        <w:rPr>
          <w:color w:val="000000"/>
        </w:rPr>
        <w:t>Rucklidge</w:t>
      </w:r>
      <w:proofErr w:type="spellEnd"/>
      <w:r>
        <w:rPr>
          <w:color w:val="000000"/>
        </w:rPr>
        <w:t xml:space="preserve"> and Healey’s study (2008) which explored “The relationship between ADHD and creativity”. </w:t>
      </w:r>
      <w:r>
        <w:t>They</w:t>
      </w:r>
      <w:r>
        <w:rPr>
          <w:color w:val="000000"/>
        </w:rPr>
        <w:t xml:space="preserve"> state </w:t>
      </w:r>
      <w:r>
        <w:t>literature supp</w:t>
      </w:r>
      <w:r>
        <w:t>orts</w:t>
      </w:r>
      <w:r>
        <w:rPr>
          <w:color w:val="000000"/>
        </w:rPr>
        <w:t xml:space="preserve"> a relationship between ADHD and creativity, although the research is never cited and therefore cannot be determined as solid evidence. </w:t>
      </w:r>
      <w:r>
        <w:t xml:space="preserve">Additionally, </w:t>
      </w:r>
      <w:r>
        <w:rPr>
          <w:color w:val="000000"/>
        </w:rPr>
        <w:t xml:space="preserve">Shaw and Brown (1991) highlight creativity as a </w:t>
      </w:r>
      <w:proofErr w:type="gramStart"/>
      <w:r>
        <w:rPr>
          <w:color w:val="000000"/>
        </w:rPr>
        <w:t>bi-product</w:t>
      </w:r>
      <w:proofErr w:type="gramEnd"/>
      <w:r>
        <w:rPr>
          <w:color w:val="000000"/>
        </w:rPr>
        <w:t xml:space="preserve"> of ADHD rather than increasing creativity i</w:t>
      </w:r>
      <w:r>
        <w:rPr>
          <w:color w:val="000000"/>
        </w:rPr>
        <w:t>n its own right.</w:t>
      </w:r>
    </w:p>
    <w:p w14:paraId="0000002A" w14:textId="4A53C8F3" w:rsidR="0023696A" w:rsidRDefault="00D8431E" w:rsidP="009C56CA">
      <w:pPr>
        <w:pBdr>
          <w:top w:val="nil"/>
          <w:left w:val="nil"/>
          <w:bottom w:val="nil"/>
          <w:right w:val="nil"/>
          <w:between w:val="nil"/>
        </w:pBdr>
        <w:spacing w:before="240"/>
        <w:ind w:left="720"/>
        <w:rPr>
          <w:color w:val="000000"/>
        </w:rPr>
      </w:pPr>
      <w:r>
        <w:rPr>
          <w:color w:val="000000"/>
        </w:rPr>
        <w:t xml:space="preserve"> </w:t>
      </w:r>
      <w:r>
        <w:rPr>
          <w:color w:val="000000"/>
        </w:rPr>
        <w:t xml:space="preserve">“They found that children with ADHD used more imagery in problem solving than did normal control </w:t>
      </w:r>
      <w:proofErr w:type="gramStart"/>
      <w:r>
        <w:rPr>
          <w:color w:val="000000"/>
        </w:rPr>
        <w:t>children, and</w:t>
      </w:r>
      <w:proofErr w:type="gramEnd"/>
      <w:r>
        <w:rPr>
          <w:color w:val="000000"/>
        </w:rPr>
        <w:t xml:space="preserve"> attained much higher scores on the figural creativity test than did controls. They suggested that the children with ADHD might</w:t>
      </w:r>
      <w:r>
        <w:rPr>
          <w:color w:val="000000"/>
        </w:rPr>
        <w:t xml:space="preserve"> generate novel or unusual ideas (i.e., show creativity) as a function of the different knowledge bases that they have acquired through their less focused interactions with their environment.”</w:t>
      </w:r>
    </w:p>
    <w:p w14:paraId="0000002B" w14:textId="77777777" w:rsidR="0023696A" w:rsidRDefault="00D8431E">
      <w:pPr>
        <w:pBdr>
          <w:top w:val="nil"/>
          <w:left w:val="nil"/>
          <w:bottom w:val="nil"/>
          <w:right w:val="nil"/>
          <w:between w:val="nil"/>
        </w:pBdr>
        <w:ind w:left="1440"/>
        <w:jc w:val="right"/>
        <w:rPr>
          <w:color w:val="000000"/>
        </w:rPr>
      </w:pPr>
      <w:r>
        <w:rPr>
          <w:color w:val="000000"/>
        </w:rPr>
        <w:t xml:space="preserve"> </w:t>
      </w:r>
    </w:p>
    <w:p w14:paraId="0000002C" w14:textId="77777777" w:rsidR="0023696A" w:rsidRDefault="00D8431E">
      <w:pPr>
        <w:pBdr>
          <w:top w:val="nil"/>
          <w:left w:val="nil"/>
          <w:bottom w:val="nil"/>
          <w:right w:val="nil"/>
          <w:between w:val="nil"/>
        </w:pBdr>
        <w:ind w:left="720"/>
        <w:jc w:val="right"/>
        <w:rPr>
          <w:color w:val="000000"/>
        </w:rPr>
      </w:pPr>
      <w:r>
        <w:rPr>
          <w:color w:val="000000"/>
        </w:rPr>
        <w:t xml:space="preserve">(Healey and </w:t>
      </w:r>
      <w:proofErr w:type="spellStart"/>
      <w:r>
        <w:rPr>
          <w:color w:val="000000"/>
        </w:rPr>
        <w:t>Rucklidge</w:t>
      </w:r>
      <w:proofErr w:type="spellEnd"/>
      <w:r>
        <w:rPr>
          <w:color w:val="000000"/>
        </w:rPr>
        <w:t>, 2008)</w:t>
      </w:r>
    </w:p>
    <w:p w14:paraId="0000002D" w14:textId="77777777" w:rsidR="0023696A" w:rsidRDefault="00D8431E">
      <w:pPr>
        <w:pBdr>
          <w:top w:val="nil"/>
          <w:left w:val="nil"/>
          <w:bottom w:val="nil"/>
          <w:right w:val="nil"/>
          <w:between w:val="nil"/>
        </w:pBdr>
        <w:ind w:left="720"/>
        <w:jc w:val="right"/>
        <w:rPr>
          <w:color w:val="000000"/>
        </w:rPr>
      </w:pPr>
      <w:r>
        <w:rPr>
          <w:color w:val="000000"/>
        </w:rPr>
        <w:t xml:space="preserve"> </w:t>
      </w:r>
    </w:p>
    <w:p w14:paraId="0000002E" w14:textId="77777777" w:rsidR="0023696A" w:rsidRDefault="00D8431E">
      <w:pPr>
        <w:pBdr>
          <w:top w:val="nil"/>
          <w:left w:val="nil"/>
          <w:bottom w:val="nil"/>
          <w:right w:val="nil"/>
          <w:between w:val="nil"/>
        </w:pBdr>
        <w:spacing w:before="240"/>
        <w:rPr>
          <w:color w:val="000000"/>
        </w:rPr>
      </w:pPr>
      <w:r>
        <w:rPr>
          <w:color w:val="000000"/>
        </w:rPr>
        <w:lastRenderedPageBreak/>
        <w:t xml:space="preserve"> </w:t>
      </w:r>
    </w:p>
    <w:p w14:paraId="0000002F" w14:textId="77777777" w:rsidR="0023696A" w:rsidRDefault="00D8431E">
      <w:pPr>
        <w:pBdr>
          <w:top w:val="nil"/>
          <w:left w:val="nil"/>
          <w:bottom w:val="nil"/>
          <w:right w:val="nil"/>
          <w:between w:val="nil"/>
        </w:pBdr>
        <w:spacing w:before="240"/>
        <w:rPr>
          <w:color w:val="000000"/>
        </w:rPr>
      </w:pPr>
      <w:r>
        <w:rPr>
          <w:color w:val="000000"/>
        </w:rPr>
        <w:t xml:space="preserve">This quote suggests that being unusually creative is not a symptom of ADHD but instead, allows the brain to think of other, more stimulating ways of working. Therefore, using drama as a form of learning or teaching could create a positive atmosphere where </w:t>
      </w:r>
      <w:r>
        <w:rPr>
          <w:color w:val="000000"/>
        </w:rPr>
        <w:t>ADHD children are able to learn in a more effective way.</w:t>
      </w:r>
    </w:p>
    <w:p w14:paraId="00000030" w14:textId="77777777" w:rsidR="0023696A" w:rsidRDefault="00D8431E">
      <w:pPr>
        <w:pBdr>
          <w:top w:val="nil"/>
          <w:left w:val="nil"/>
          <w:bottom w:val="nil"/>
          <w:right w:val="nil"/>
          <w:between w:val="nil"/>
        </w:pBdr>
        <w:spacing w:before="240"/>
        <w:rPr>
          <w:color w:val="000000"/>
        </w:rPr>
      </w:pPr>
      <w:r>
        <w:rPr>
          <w:color w:val="000000"/>
        </w:rPr>
        <w:t xml:space="preserve"> </w:t>
      </w:r>
    </w:p>
    <w:p w14:paraId="48243E86" w14:textId="77777777" w:rsidR="009C56CA" w:rsidRDefault="00D8431E">
      <w:pPr>
        <w:pBdr>
          <w:top w:val="nil"/>
          <w:left w:val="nil"/>
          <w:bottom w:val="nil"/>
          <w:right w:val="nil"/>
          <w:between w:val="nil"/>
        </w:pBdr>
        <w:spacing w:before="240"/>
        <w:rPr>
          <w:color w:val="000000"/>
        </w:rPr>
      </w:pPr>
      <w:r>
        <w:t>E</w:t>
      </w:r>
      <w:r>
        <w:rPr>
          <w:color w:val="000000"/>
        </w:rPr>
        <w:t>arlier research conducted on ADHD was</w:t>
      </w:r>
      <w:r>
        <w:t xml:space="preserve"> gendered towards males</w:t>
      </w:r>
      <w:r>
        <w:rPr>
          <w:color w:val="000000"/>
        </w:rPr>
        <w:t>, it has since been proven that girls are less hyperactive and instead, “manifest as hyper talkativeness or emotional reactivity” (Quinn</w:t>
      </w:r>
      <w:r>
        <w:rPr>
          <w:color w:val="000000"/>
        </w:rPr>
        <w:t>, 2005). This is backed up by research by Chang who conducted “A Study of the Application of the Drama Therapy on ADHD Students’ Social Abilities at the Resource Class of the Elementary school” (Chang, 2006). The only female participant was described by he</w:t>
      </w:r>
      <w:r>
        <w:rPr>
          <w:color w:val="000000"/>
        </w:rPr>
        <w:t>r classmates as “talkative and speaks loudly”. The participant also had many emotional issues</w:t>
      </w:r>
      <w:r w:rsidR="009C56CA">
        <w:rPr>
          <w:color w:val="000000"/>
        </w:rPr>
        <w:t xml:space="preserve"> </w:t>
      </w:r>
      <w:r>
        <w:rPr>
          <w:color w:val="000000"/>
        </w:rPr>
        <w:t xml:space="preserve">and was known to harm herself to make her classmates feel sympathetic. As a </w:t>
      </w:r>
      <w:r>
        <w:t xml:space="preserve">result, </w:t>
      </w:r>
      <w:r>
        <w:rPr>
          <w:color w:val="000000"/>
        </w:rPr>
        <w:t>the drama leader used mask work so that the participant could express feelin</w:t>
      </w:r>
      <w:r>
        <w:rPr>
          <w:color w:val="000000"/>
        </w:rPr>
        <w:t xml:space="preserve">gs that may not be appropriate for a classroom, in a controlled and </w:t>
      </w:r>
      <w:proofErr w:type="spellStart"/>
      <w:r>
        <w:rPr>
          <w:color w:val="000000"/>
        </w:rPr>
        <w:t>non-judgemental</w:t>
      </w:r>
      <w:proofErr w:type="spellEnd"/>
      <w:r>
        <w:rPr>
          <w:color w:val="000000"/>
        </w:rPr>
        <w:t xml:space="preserve"> space (Chang, 2006).</w:t>
      </w:r>
      <w:r w:rsidR="009C56CA">
        <w:rPr>
          <w:color w:val="000000"/>
        </w:rPr>
        <w:t xml:space="preserve"> </w:t>
      </w:r>
    </w:p>
    <w:p w14:paraId="00000032" w14:textId="54EDF6DC" w:rsidR="0023696A" w:rsidRPr="009C56CA" w:rsidRDefault="00D8431E">
      <w:pPr>
        <w:pBdr>
          <w:top w:val="nil"/>
          <w:left w:val="nil"/>
          <w:bottom w:val="nil"/>
          <w:right w:val="nil"/>
          <w:between w:val="nil"/>
        </w:pBdr>
        <w:spacing w:before="240"/>
        <w:rPr>
          <w:color w:val="000000"/>
        </w:rPr>
      </w:pPr>
      <w:r>
        <w:rPr>
          <w:color w:val="000000"/>
        </w:rPr>
        <w:t>As described in Chang’s study, many girls use masking to hide their ADHD symptoms</w:t>
      </w:r>
      <w:r>
        <w:t xml:space="preserve">. </w:t>
      </w:r>
      <w:r>
        <w:rPr>
          <w:color w:val="000000"/>
        </w:rPr>
        <w:t xml:space="preserve">From the research above I can speculate that mask work </w:t>
      </w:r>
      <w:r>
        <w:t>is</w:t>
      </w:r>
      <w:r>
        <w:rPr>
          <w:color w:val="000000"/>
        </w:rPr>
        <w:t xml:space="preserve"> an effecti</w:t>
      </w:r>
      <w:r>
        <w:rPr>
          <w:color w:val="000000"/>
        </w:rPr>
        <w:t>ve tool while supporting people who feel vulnerable when expressing their inner emotions. This is because mask work can give participants the freedom to show the world the different ‘masks’ that the</w:t>
      </w:r>
      <w:r>
        <w:t xml:space="preserve">y </w:t>
      </w:r>
      <w:r>
        <w:rPr>
          <w:color w:val="000000"/>
        </w:rPr>
        <w:t>wear through their lives.</w:t>
      </w:r>
      <w:r>
        <w:t xml:space="preserve"> Both Quinn and Chang describe </w:t>
      </w:r>
      <w:r>
        <w:t>the way that girls manifest ADHD differently from males, this then creates the problem of not knowing how to support the participants.</w:t>
      </w:r>
    </w:p>
    <w:p w14:paraId="00000033" w14:textId="77777777" w:rsidR="0023696A" w:rsidRDefault="00D8431E">
      <w:pPr>
        <w:pBdr>
          <w:top w:val="nil"/>
          <w:left w:val="nil"/>
          <w:bottom w:val="nil"/>
          <w:right w:val="nil"/>
          <w:between w:val="nil"/>
        </w:pBdr>
        <w:spacing w:before="240"/>
        <w:rPr>
          <w:color w:val="000000"/>
        </w:rPr>
      </w:pPr>
      <w:r>
        <w:rPr>
          <w:color w:val="000000"/>
        </w:rPr>
        <w:t>Geese Theatre Company describe the work of masks as, “a metaphor for the ‘front’ we present to others, with our private t</w:t>
      </w:r>
      <w:r>
        <w:rPr>
          <w:color w:val="000000"/>
        </w:rPr>
        <w:t xml:space="preserve">houghts and feelings underneath”. The use of the well-known theatre phrase, “lifting of the mask” can be used to understand the deeper and more personal feelings that may be the underlying reason for outward </w:t>
      </w:r>
      <w:proofErr w:type="spellStart"/>
      <w:r>
        <w:rPr>
          <w:color w:val="000000"/>
        </w:rPr>
        <w:t>behaviour</w:t>
      </w:r>
      <w:proofErr w:type="spellEnd"/>
      <w:r>
        <w:rPr>
          <w:color w:val="000000"/>
        </w:rPr>
        <w:t xml:space="preserve"> (Geese Theatre Company, 2002). Therefo</w:t>
      </w:r>
      <w:r>
        <w:rPr>
          <w:color w:val="000000"/>
        </w:rPr>
        <w:t xml:space="preserve">re, mask work would </w:t>
      </w:r>
      <w:r>
        <w:t>be highly</w:t>
      </w:r>
      <w:r>
        <w:rPr>
          <w:color w:val="000000"/>
        </w:rPr>
        <w:t xml:space="preserve"> useful for girls with ADHD when working on their emotional reactivity. </w:t>
      </w:r>
    </w:p>
    <w:p w14:paraId="00000034" w14:textId="77777777" w:rsidR="0023696A" w:rsidRDefault="00D8431E">
      <w:pPr>
        <w:pBdr>
          <w:top w:val="nil"/>
          <w:left w:val="nil"/>
          <w:bottom w:val="nil"/>
          <w:right w:val="nil"/>
          <w:between w:val="nil"/>
        </w:pBdr>
        <w:spacing w:before="240"/>
      </w:pPr>
      <w:r>
        <w:rPr>
          <w:color w:val="000000"/>
        </w:rPr>
        <w:t xml:space="preserve">One of the main symptoms of ADHD is the lack of ability to focus and concentrate, this can be due to over or under stimulation </w:t>
      </w:r>
      <w:r>
        <w:t>as</w:t>
      </w:r>
      <w:r>
        <w:rPr>
          <w:color w:val="000000"/>
        </w:rPr>
        <w:t xml:space="preserve"> the person feels their s</w:t>
      </w:r>
      <w:r>
        <w:rPr>
          <w:color w:val="000000"/>
        </w:rPr>
        <w:t>enses are not working at their full potential. Augusto Boal (1992) states that, “In the body’s battle with the world, the senses suffer” and this is especially relevant for girls who struggle with ADHD. Boal describes how games and exercises “de-</w:t>
      </w:r>
      <w:proofErr w:type="spellStart"/>
      <w:r>
        <w:rPr>
          <w:color w:val="000000"/>
        </w:rPr>
        <w:t>specialise</w:t>
      </w:r>
      <w:proofErr w:type="spellEnd"/>
      <w:r>
        <w:rPr>
          <w:color w:val="000000"/>
        </w:rPr>
        <w:t xml:space="preserve">” our world, re-learning each sense </w:t>
      </w:r>
      <w:proofErr w:type="gramStart"/>
      <w:r>
        <w:rPr>
          <w:color w:val="000000"/>
        </w:rPr>
        <w:t>in order for</w:t>
      </w:r>
      <w:proofErr w:type="gramEnd"/>
      <w:r>
        <w:rPr>
          <w:color w:val="000000"/>
        </w:rPr>
        <w:t xml:space="preserve"> these to once again work together. This can work exceptionally well with people who cannot focus for extended periods of time, as long </w:t>
      </w:r>
      <w:r>
        <w:t>sessions</w:t>
      </w:r>
      <w:r>
        <w:rPr>
          <w:color w:val="000000"/>
        </w:rPr>
        <w:t xml:space="preserve"> </w:t>
      </w:r>
      <w:r>
        <w:t>can make</w:t>
      </w:r>
      <w:r>
        <w:rPr>
          <w:color w:val="000000"/>
        </w:rPr>
        <w:t xml:space="preserve"> it hard to s</w:t>
      </w:r>
      <w:r>
        <w:t xml:space="preserve">tay </w:t>
      </w:r>
      <w:r>
        <w:rPr>
          <w:color w:val="000000"/>
        </w:rPr>
        <w:t>focused, whereas short games can ensur</w:t>
      </w:r>
      <w:r>
        <w:rPr>
          <w:color w:val="000000"/>
        </w:rPr>
        <w:t xml:space="preserve">e that the mind is stimulated to </w:t>
      </w:r>
      <w:r>
        <w:t xml:space="preserve">aid </w:t>
      </w:r>
      <w:r>
        <w:rPr>
          <w:color w:val="000000"/>
        </w:rPr>
        <w:t xml:space="preserve">concentration. This </w:t>
      </w:r>
      <w:r>
        <w:t xml:space="preserve">is </w:t>
      </w:r>
      <w:r>
        <w:rPr>
          <w:color w:val="000000"/>
        </w:rPr>
        <w:t xml:space="preserve">useful for grounding work, as it reconnects the body to the mind </w:t>
      </w:r>
      <w:r>
        <w:t xml:space="preserve">thus </w:t>
      </w:r>
      <w:r>
        <w:rPr>
          <w:color w:val="000000"/>
        </w:rPr>
        <w:t>aids in eliminating anxiety which is symptomatic of girls with ADHD.</w:t>
      </w:r>
      <w:r>
        <w:t xml:space="preserve"> </w:t>
      </w:r>
      <w:r>
        <w:rPr>
          <w:color w:val="000000"/>
        </w:rPr>
        <w:t>Another term that Boal uses is ‘</w:t>
      </w:r>
      <w:proofErr w:type="spellStart"/>
      <w:r>
        <w:rPr>
          <w:color w:val="000000"/>
        </w:rPr>
        <w:t>Metaxis</w:t>
      </w:r>
      <w:proofErr w:type="spellEnd"/>
      <w:r>
        <w:rPr>
          <w:color w:val="000000"/>
        </w:rPr>
        <w:t>’, this is where t</w:t>
      </w:r>
      <w:r>
        <w:rPr>
          <w:color w:val="000000"/>
        </w:rPr>
        <w:t xml:space="preserve">he participant is “belonging to two worlds at the same time, the world of reality and the world of fiction” (Boal, 1997). Boal gives the example of using this in image work, which translates from the </w:t>
      </w:r>
      <w:r>
        <w:t>participants' own</w:t>
      </w:r>
      <w:r>
        <w:rPr>
          <w:color w:val="000000"/>
        </w:rPr>
        <w:t xml:space="preserve"> </w:t>
      </w:r>
      <w:r>
        <w:rPr>
          <w:color w:val="000000"/>
        </w:rPr>
        <w:lastRenderedPageBreak/>
        <w:t xml:space="preserve">reality. </w:t>
      </w:r>
      <w:r>
        <w:t>B</w:t>
      </w:r>
      <w:r>
        <w:rPr>
          <w:color w:val="000000"/>
        </w:rPr>
        <w:t xml:space="preserve">reaking away from the image </w:t>
      </w:r>
      <w:r>
        <w:rPr>
          <w:color w:val="000000"/>
        </w:rPr>
        <w:t xml:space="preserve">in which a person is oppressed, will give the participant the strength to </w:t>
      </w:r>
      <w:r>
        <w:t xml:space="preserve">shatter </w:t>
      </w:r>
      <w:r>
        <w:rPr>
          <w:color w:val="000000"/>
        </w:rPr>
        <w:t>the oppression in their real lives.</w:t>
      </w:r>
      <w:r>
        <w:t xml:space="preserve"> </w:t>
      </w:r>
      <w:r>
        <w:rPr>
          <w:color w:val="000000"/>
        </w:rPr>
        <w:t>Within a workshop environment, the group could create an image in which their learning difference acts as a form of oppression, we could t</w:t>
      </w:r>
      <w:r>
        <w:rPr>
          <w:color w:val="000000"/>
        </w:rPr>
        <w:t xml:space="preserve">hen re-work the image in a way so the participants can feel that their ADHD </w:t>
      </w:r>
      <w:r>
        <w:t>is no longer their oppressor.</w:t>
      </w:r>
    </w:p>
    <w:p w14:paraId="00000035" w14:textId="77777777" w:rsidR="0023696A" w:rsidRDefault="00D8431E">
      <w:pPr>
        <w:pBdr>
          <w:top w:val="nil"/>
          <w:left w:val="nil"/>
          <w:bottom w:val="nil"/>
          <w:right w:val="nil"/>
          <w:between w:val="nil"/>
        </w:pBdr>
        <w:spacing w:before="240"/>
        <w:rPr>
          <w:color w:val="000000"/>
        </w:rPr>
      </w:pPr>
      <w:r>
        <w:rPr>
          <w:color w:val="000000"/>
        </w:rPr>
        <w:t>In the series of drama workshops</w:t>
      </w:r>
      <w:r>
        <w:t xml:space="preserve">, </w:t>
      </w:r>
      <w:r>
        <w:rPr>
          <w:color w:val="000000"/>
        </w:rPr>
        <w:t xml:space="preserve">I will ensure that roleplay, storytelling, image work and mask work will be used. From my research these techniques </w:t>
      </w:r>
      <w:r>
        <w:rPr>
          <w:color w:val="000000"/>
        </w:rPr>
        <w:t>appear to be the most useful and potentially transformative when working with girls with ADHD.</w:t>
      </w:r>
    </w:p>
    <w:p w14:paraId="00000036" w14:textId="77777777" w:rsidR="0023696A" w:rsidRDefault="00D8431E">
      <w:pPr>
        <w:pBdr>
          <w:top w:val="nil"/>
          <w:left w:val="nil"/>
          <w:bottom w:val="nil"/>
          <w:right w:val="nil"/>
          <w:between w:val="nil"/>
        </w:pBdr>
        <w:ind w:left="720"/>
        <w:rPr>
          <w:color w:val="000000"/>
        </w:rPr>
      </w:pPr>
      <w:r>
        <w:rPr>
          <w:color w:val="000000"/>
        </w:rPr>
        <w:t xml:space="preserve"> </w:t>
      </w:r>
    </w:p>
    <w:p w14:paraId="00000037" w14:textId="77777777" w:rsidR="0023696A" w:rsidRDefault="00D8431E">
      <w:pPr>
        <w:pBdr>
          <w:top w:val="nil"/>
          <w:left w:val="nil"/>
          <w:bottom w:val="nil"/>
          <w:right w:val="nil"/>
          <w:between w:val="nil"/>
        </w:pBdr>
        <w:spacing w:before="240"/>
        <w:rPr>
          <w:color w:val="000000"/>
        </w:rPr>
      </w:pPr>
      <w:r>
        <w:rPr>
          <w:color w:val="000000"/>
        </w:rPr>
        <w:t>Role-play could be used to aid in eliminating stress and anxiety by giving people the ability to try new approaches</w:t>
      </w:r>
      <w:r>
        <w:t xml:space="preserve">, </w:t>
      </w:r>
      <w:r>
        <w:rPr>
          <w:color w:val="000000"/>
        </w:rPr>
        <w:t>without fear of consequence. I would use t</w:t>
      </w:r>
      <w:r>
        <w:rPr>
          <w:color w:val="000000"/>
        </w:rPr>
        <w:t>his technique to explore emotional regulation, roleplaying situations in which the participants feel that they could better manage their emotions</w:t>
      </w:r>
      <w:r>
        <w:t>,</w:t>
      </w:r>
      <w:r>
        <w:rPr>
          <w:color w:val="000000"/>
        </w:rPr>
        <w:t xml:space="preserve"> achiev</w:t>
      </w:r>
      <w:r>
        <w:t>ing a</w:t>
      </w:r>
      <w:r>
        <w:rPr>
          <w:color w:val="000000"/>
        </w:rPr>
        <w:t xml:space="preserve"> more positive outcome. </w:t>
      </w:r>
    </w:p>
    <w:p w14:paraId="00000038" w14:textId="7F2D8070" w:rsidR="0023696A" w:rsidRDefault="00D8431E">
      <w:pPr>
        <w:pBdr>
          <w:top w:val="nil"/>
          <w:left w:val="nil"/>
          <w:bottom w:val="nil"/>
          <w:right w:val="nil"/>
          <w:between w:val="nil"/>
        </w:pBdr>
        <w:spacing w:before="240"/>
        <w:rPr>
          <w:color w:val="000000"/>
        </w:rPr>
      </w:pPr>
      <w:r>
        <w:rPr>
          <w:color w:val="000000"/>
        </w:rPr>
        <w:t>Storytelling can also give participants the safe space to try new approaches to their real lives. Storytelling uses imagined stories which relate to the participant, giving people a way of distancing themselves and being able to give an objective view of s</w:t>
      </w:r>
      <w:r>
        <w:rPr>
          <w:color w:val="000000"/>
        </w:rPr>
        <w:t xml:space="preserve">ituations. This is because when in difficult situations, it can be hard to see </w:t>
      </w:r>
      <w:r w:rsidR="009C56CA">
        <w:rPr>
          <w:color w:val="000000"/>
        </w:rPr>
        <w:t>all</w:t>
      </w:r>
      <w:r>
        <w:rPr>
          <w:color w:val="000000"/>
        </w:rPr>
        <w:t xml:space="preserve"> the options available due to </w:t>
      </w:r>
      <w:proofErr w:type="spellStart"/>
      <w:r>
        <w:t>personalisation</w:t>
      </w:r>
      <w:proofErr w:type="spellEnd"/>
      <w:r>
        <w:t xml:space="preserve">, </w:t>
      </w:r>
      <w:r>
        <w:rPr>
          <w:color w:val="000000"/>
        </w:rPr>
        <w:t xml:space="preserve">storytelling gives </w:t>
      </w:r>
      <w:r>
        <w:t xml:space="preserve">people </w:t>
      </w:r>
      <w:r>
        <w:rPr>
          <w:color w:val="000000"/>
        </w:rPr>
        <w:t xml:space="preserve">the ability to </w:t>
      </w:r>
      <w:r>
        <w:t>distance</w:t>
      </w:r>
      <w:r>
        <w:rPr>
          <w:color w:val="000000"/>
        </w:rPr>
        <w:t xml:space="preserve"> and see solutions which the participants may have been</w:t>
      </w:r>
      <w:r>
        <w:t xml:space="preserve"> previously un</w:t>
      </w:r>
      <w:r>
        <w:rPr>
          <w:color w:val="000000"/>
        </w:rPr>
        <w:t>aware.</w:t>
      </w:r>
      <w:r>
        <w:rPr>
          <w:color w:val="000000"/>
        </w:rPr>
        <w:t xml:space="preserve"> </w:t>
      </w:r>
      <w:r>
        <w:t>This method explores</w:t>
      </w:r>
      <w:r>
        <w:rPr>
          <w:color w:val="000000"/>
        </w:rPr>
        <w:t xml:space="preserve"> the individual struggles of the participants, creating fantasy stories in which they can distance themselves but still work on their difficulties.</w:t>
      </w:r>
    </w:p>
    <w:p w14:paraId="00000039" w14:textId="77777777" w:rsidR="0023696A" w:rsidRDefault="00D8431E">
      <w:pPr>
        <w:pBdr>
          <w:top w:val="nil"/>
          <w:left w:val="nil"/>
          <w:bottom w:val="nil"/>
          <w:right w:val="nil"/>
          <w:between w:val="nil"/>
        </w:pBdr>
        <w:spacing w:before="240"/>
        <w:rPr>
          <w:color w:val="000000"/>
        </w:rPr>
      </w:pPr>
      <w:r>
        <w:rPr>
          <w:color w:val="000000"/>
        </w:rPr>
        <w:t>Image work will be used to increase the participants</w:t>
      </w:r>
      <w:r>
        <w:t>’</w:t>
      </w:r>
      <w:r>
        <w:rPr>
          <w:color w:val="000000"/>
        </w:rPr>
        <w:t xml:space="preserve"> level of knowledge of situations</w:t>
      </w:r>
      <w:r>
        <w:t>,</w:t>
      </w:r>
      <w:r>
        <w:t xml:space="preserve"> </w:t>
      </w:r>
      <w:r>
        <w:rPr>
          <w:color w:val="000000"/>
        </w:rPr>
        <w:t>growing self-awareness on a deeper level</w:t>
      </w:r>
      <w:r>
        <w:t>,</w:t>
      </w:r>
      <w:r>
        <w:rPr>
          <w:color w:val="000000"/>
        </w:rPr>
        <w:t xml:space="preserve"> </w:t>
      </w:r>
      <w:r>
        <w:t>expanding</w:t>
      </w:r>
      <w:r>
        <w:rPr>
          <w:color w:val="000000"/>
        </w:rPr>
        <w:t xml:space="preserve"> their understanding of different situations and </w:t>
      </w:r>
      <w:r>
        <w:t>finding</w:t>
      </w:r>
      <w:r>
        <w:rPr>
          <w:color w:val="000000"/>
        </w:rPr>
        <w:t xml:space="preserve"> solutions. Therefore, giv</w:t>
      </w:r>
      <w:r>
        <w:t>ing</w:t>
      </w:r>
      <w:r>
        <w:rPr>
          <w:color w:val="000000"/>
        </w:rPr>
        <w:t xml:space="preserve"> participants the ability to accumulate strength to transport into their reality, in order to break free from their oppressions. This will be used in the introductory workshop, creating images and exploring how ADHD affects their lives.</w:t>
      </w:r>
    </w:p>
    <w:p w14:paraId="0000003B" w14:textId="0FA53A5B" w:rsidR="0023696A" w:rsidRDefault="00D8431E">
      <w:pPr>
        <w:pBdr>
          <w:top w:val="nil"/>
          <w:left w:val="nil"/>
          <w:bottom w:val="nil"/>
          <w:right w:val="nil"/>
          <w:between w:val="nil"/>
        </w:pBdr>
        <w:spacing w:before="240"/>
      </w:pPr>
      <w:r>
        <w:rPr>
          <w:color w:val="000000"/>
        </w:rPr>
        <w:t>Mask work will be a</w:t>
      </w:r>
      <w:r>
        <w:rPr>
          <w:color w:val="000000"/>
        </w:rPr>
        <w:t xml:space="preserve"> useful tool as it will aid in connecting the</w:t>
      </w:r>
      <w:r>
        <w:t xml:space="preserve"> participants</w:t>
      </w:r>
      <w:r>
        <w:rPr>
          <w:color w:val="000000"/>
        </w:rPr>
        <w:t xml:space="preserve"> to their deeper feelings, improving their relationship and validating these feelings. This will be effective for decreasing the number of outbursts a girl with ADHD will have, </w:t>
      </w:r>
      <w:r>
        <w:t xml:space="preserve">they </w:t>
      </w:r>
      <w:r>
        <w:rPr>
          <w:color w:val="000000"/>
        </w:rPr>
        <w:t xml:space="preserve">will now </w:t>
      </w:r>
      <w:proofErr w:type="spellStart"/>
      <w:r>
        <w:rPr>
          <w:color w:val="000000"/>
        </w:rPr>
        <w:t>recogni</w:t>
      </w:r>
      <w:r>
        <w:rPr>
          <w:color w:val="000000"/>
        </w:rPr>
        <w:t>se</w:t>
      </w:r>
      <w:proofErr w:type="spellEnd"/>
      <w:r>
        <w:rPr>
          <w:color w:val="000000"/>
        </w:rPr>
        <w:t xml:space="preserve"> the triggers and reasoning behind the outburst, allowing </w:t>
      </w:r>
      <w:r>
        <w:t>them</w:t>
      </w:r>
      <w:r>
        <w:rPr>
          <w:color w:val="000000"/>
        </w:rPr>
        <w:t xml:space="preserve"> to solve the problem using a healthy coping mechanism. </w:t>
      </w:r>
      <w:r>
        <w:t xml:space="preserve"> Additionally, mask work would be used </w:t>
      </w:r>
      <w:r>
        <w:rPr>
          <w:color w:val="000000"/>
        </w:rPr>
        <w:t>when working on emotional regulation</w:t>
      </w:r>
      <w:r>
        <w:t xml:space="preserve">, </w:t>
      </w:r>
      <w:r>
        <w:rPr>
          <w:color w:val="000000"/>
        </w:rPr>
        <w:t xml:space="preserve">to </w:t>
      </w:r>
      <w:r>
        <w:t>clarify</w:t>
      </w:r>
      <w:r>
        <w:rPr>
          <w:color w:val="000000"/>
        </w:rPr>
        <w:t xml:space="preserve"> why the participants may feel the need to ‘mask’</w:t>
      </w:r>
      <w:r>
        <w:rPr>
          <w:color w:val="000000"/>
        </w:rPr>
        <w:t xml:space="preserve">. As </w:t>
      </w:r>
      <w:r>
        <w:t>this topic would</w:t>
      </w:r>
      <w:r>
        <w:rPr>
          <w:color w:val="000000"/>
        </w:rPr>
        <w:t xml:space="preserve"> need to be </w:t>
      </w:r>
      <w:r>
        <w:t xml:space="preserve">investigated in depth, more than one workshop would need to be conducted. Unfortunately, this was not possible with this project, so I would use masks to further the work on emotional regulation, if the opportunity arose.  </w:t>
      </w:r>
      <w:bookmarkStart w:id="0" w:name="_GoBack"/>
      <w:bookmarkEnd w:id="0"/>
    </w:p>
    <w:p w14:paraId="0000003C" w14:textId="77777777" w:rsidR="0023696A" w:rsidRDefault="00D8431E">
      <w:pPr>
        <w:pBdr>
          <w:top w:val="nil"/>
          <w:left w:val="nil"/>
          <w:bottom w:val="nil"/>
          <w:right w:val="nil"/>
          <w:between w:val="nil"/>
        </w:pBdr>
        <w:spacing w:before="240"/>
        <w:rPr>
          <w:color w:val="000000"/>
        </w:rPr>
      </w:pPr>
      <w:r>
        <w:rPr>
          <w:color w:val="000000"/>
        </w:rPr>
        <w:t>From the research above, drama to support girls with ADHD creates healthy coping mechanisms and can be an effective tool. This is because drama allows someone with ADHD to express thoughts, feelings and anxieties through the techniques that have been pre</w:t>
      </w:r>
      <w:r>
        <w:rPr>
          <w:color w:val="000000"/>
        </w:rPr>
        <w:t xml:space="preserve">viously </w:t>
      </w:r>
      <w:r>
        <w:rPr>
          <w:color w:val="000000"/>
        </w:rPr>
        <w:lastRenderedPageBreak/>
        <w:t xml:space="preserve">discussed. Drama can be used to explore ways to overcome problems and encourages the participant to be more expressive and limit </w:t>
      </w:r>
      <w:proofErr w:type="spellStart"/>
      <w:r>
        <w:rPr>
          <w:color w:val="000000"/>
        </w:rPr>
        <w:t>internalisation</w:t>
      </w:r>
      <w:proofErr w:type="spellEnd"/>
      <w:r>
        <w:rPr>
          <w:color w:val="000000"/>
        </w:rPr>
        <w:t>.</w:t>
      </w:r>
    </w:p>
    <w:p w14:paraId="0000003D" w14:textId="77777777" w:rsidR="0023696A" w:rsidRDefault="00D8431E">
      <w:pPr>
        <w:pBdr>
          <w:top w:val="nil"/>
          <w:left w:val="nil"/>
          <w:bottom w:val="nil"/>
          <w:right w:val="nil"/>
          <w:between w:val="nil"/>
        </w:pBdr>
        <w:spacing w:before="240" w:after="240"/>
        <w:rPr>
          <w:color w:val="000000"/>
        </w:rPr>
      </w:pPr>
      <w:r>
        <w:rPr>
          <w:color w:val="000000"/>
        </w:rPr>
        <w:t xml:space="preserve"> </w:t>
      </w:r>
    </w:p>
    <w:p w14:paraId="0000003E" w14:textId="77777777" w:rsidR="0023696A" w:rsidRDefault="00D8431E">
      <w:pPr>
        <w:pBdr>
          <w:top w:val="nil"/>
          <w:left w:val="nil"/>
          <w:bottom w:val="nil"/>
          <w:right w:val="nil"/>
          <w:between w:val="nil"/>
        </w:pBdr>
        <w:spacing w:before="240" w:after="240"/>
      </w:pPr>
      <w:r>
        <w:rPr>
          <w:b/>
          <w:u w:val="single"/>
        </w:rPr>
        <w:t>Bibliography</w:t>
      </w:r>
    </w:p>
    <w:p w14:paraId="0000003F" w14:textId="77777777" w:rsidR="0023696A" w:rsidRDefault="00D8431E">
      <w:pPr>
        <w:spacing w:before="240" w:after="240"/>
      </w:pPr>
      <w:r>
        <w:t xml:space="preserve">ADHD Europe (2020) </w:t>
      </w:r>
      <w:r>
        <w:rPr>
          <w:i/>
        </w:rPr>
        <w:t xml:space="preserve">Comorbid Disorders and Coexisting Difficulties. </w:t>
      </w:r>
      <w:r>
        <w:t xml:space="preserve">Available at: </w:t>
      </w:r>
      <w:hyperlink r:id="rId6">
        <w:r>
          <w:rPr>
            <w:color w:val="1155CC"/>
            <w:u w:val="single"/>
          </w:rPr>
          <w:t>https://www.adhdeurope.eu/information/articles/comorbid-disorders-and-coexisting-difficulties/</w:t>
        </w:r>
      </w:hyperlink>
      <w:r>
        <w:t xml:space="preserve"> (Accessed: 13th March 2020)</w:t>
      </w:r>
    </w:p>
    <w:p w14:paraId="00000040" w14:textId="77777777" w:rsidR="0023696A" w:rsidRDefault="00D8431E">
      <w:pPr>
        <w:spacing w:before="240" w:after="240"/>
      </w:pPr>
      <w:r>
        <w:t>AADD-UK (2017) Comorbidit</w:t>
      </w:r>
      <w:r>
        <w:t xml:space="preserve">ies. Available at: </w:t>
      </w:r>
      <w:hyperlink r:id="rId7">
        <w:r>
          <w:rPr>
            <w:color w:val="1155CC"/>
            <w:u w:val="single"/>
          </w:rPr>
          <w:t>https://aadduk.org/symptoms-diagnosis-treatment/comorbidities/</w:t>
        </w:r>
      </w:hyperlink>
      <w:r>
        <w:t xml:space="preserve"> (Accessed: 13th March 2020) </w:t>
      </w:r>
    </w:p>
    <w:p w14:paraId="00000041" w14:textId="77777777" w:rsidR="0023696A" w:rsidRDefault="00D8431E">
      <w:pPr>
        <w:spacing w:before="240" w:after="240"/>
      </w:pPr>
      <w:r>
        <w:t xml:space="preserve"> Alexander, T. (2004)</w:t>
      </w:r>
      <w:r>
        <w:rPr>
          <w:i/>
        </w:rPr>
        <w:t xml:space="preserve"> Dance, Drama and Performance and Attentio</w:t>
      </w:r>
      <w:r>
        <w:rPr>
          <w:i/>
        </w:rPr>
        <w:t xml:space="preserve">n Deficit Hyperactivity Disorder (ADHD). </w:t>
      </w:r>
      <w:r>
        <w:t xml:space="preserve">Available at: </w:t>
      </w:r>
      <w:hyperlink r:id="rId8">
        <w:r>
          <w:rPr>
            <w:color w:val="1155CC"/>
            <w:u w:val="single"/>
          </w:rPr>
          <w:t>https://scips.worc.ac.uk/subjects-and-disabilities/dance-ddp_adhd/</w:t>
        </w:r>
      </w:hyperlink>
      <w:r>
        <w:t xml:space="preserve"> (Accessed: 4th April 2020) </w:t>
      </w:r>
    </w:p>
    <w:p w14:paraId="00000042" w14:textId="77777777" w:rsidR="0023696A" w:rsidRDefault="00D8431E">
      <w:pPr>
        <w:spacing w:before="240" w:after="240"/>
      </w:pPr>
      <w:r>
        <w:t xml:space="preserve">Archer, T and </w:t>
      </w:r>
      <w:proofErr w:type="spellStart"/>
      <w:r>
        <w:t>Kostrz</w:t>
      </w:r>
      <w:r>
        <w:t>ewa</w:t>
      </w:r>
      <w:proofErr w:type="spellEnd"/>
      <w:r>
        <w:t xml:space="preserve">, R. M. (2011) Physical Exercise Alleviates ADHD Symptoms: Regional Deficits and Development Trajectory. </w:t>
      </w:r>
      <w:r>
        <w:rPr>
          <w:i/>
          <w:color w:val="333333"/>
          <w:shd w:val="clear" w:color="auto" w:fill="FCFCFC"/>
        </w:rPr>
        <w:t xml:space="preserve">Neurotoxicity Research </w:t>
      </w:r>
      <w:r>
        <w:rPr>
          <w:color w:val="333333"/>
          <w:shd w:val="clear" w:color="auto" w:fill="FCFCFC"/>
        </w:rPr>
        <w:t xml:space="preserve">[online].  </w:t>
      </w:r>
      <w:r>
        <w:rPr>
          <w:b/>
          <w:color w:val="333333"/>
          <w:shd w:val="clear" w:color="auto" w:fill="FCFCFC"/>
        </w:rPr>
        <w:t>21</w:t>
      </w:r>
      <w:r>
        <w:rPr>
          <w:color w:val="333333"/>
          <w:shd w:val="clear" w:color="auto" w:fill="FCFCFC"/>
        </w:rPr>
        <w:t>(2), pp.195-209. Available from:</w:t>
      </w:r>
      <w:hyperlink r:id="rId9">
        <w:r>
          <w:rPr>
            <w:color w:val="333333"/>
            <w:u w:val="single"/>
            <w:shd w:val="clear" w:color="auto" w:fill="FCFCFC"/>
          </w:rPr>
          <w:t xml:space="preserve"> </w:t>
        </w:r>
      </w:hyperlink>
      <w:hyperlink r:id="rId10">
        <w:r>
          <w:rPr>
            <w:color w:val="0061A9"/>
            <w:u w:val="single"/>
            <w:shd w:val="clear" w:color="auto" w:fill="FCFCFC"/>
          </w:rPr>
          <w:t>https://doi.org/10.1007/s12640-011-9260-0</w:t>
        </w:r>
      </w:hyperlink>
      <w:r>
        <w:t xml:space="preserve"> [Accessed: 28th  April 2020]</w:t>
      </w:r>
    </w:p>
    <w:p w14:paraId="00000043" w14:textId="77777777" w:rsidR="0023696A" w:rsidRDefault="00D8431E">
      <w:pPr>
        <w:spacing w:before="240" w:after="240"/>
      </w:pPr>
      <w:proofErr w:type="spellStart"/>
      <w:r>
        <w:t>Baim</w:t>
      </w:r>
      <w:proofErr w:type="spellEnd"/>
      <w:r>
        <w:t xml:space="preserve">, C., Brookes, S. and </w:t>
      </w:r>
      <w:proofErr w:type="spellStart"/>
      <w:r>
        <w:t>Mountford</w:t>
      </w:r>
      <w:proofErr w:type="spellEnd"/>
      <w:r>
        <w:t xml:space="preserve">, A. (Eds.) (2002) </w:t>
      </w:r>
      <w:r>
        <w:rPr>
          <w:i/>
        </w:rPr>
        <w:t>The Geese Theatre Handbook: Drama with Offenders and People at Risk</w:t>
      </w:r>
      <w:r>
        <w:t>. Hoo</w:t>
      </w:r>
      <w:r>
        <w:t>k: Waterside Press.</w:t>
      </w:r>
    </w:p>
    <w:p w14:paraId="427BF842" w14:textId="77777777" w:rsidR="00824A9C" w:rsidRDefault="00D8431E" w:rsidP="00824A9C">
      <w:pPr>
        <w:spacing w:before="240" w:after="240"/>
      </w:pPr>
      <w:proofErr w:type="spellStart"/>
      <w:r>
        <w:t>Bauermeister</w:t>
      </w:r>
      <w:proofErr w:type="spellEnd"/>
      <w:r>
        <w:t xml:space="preserve">, J.J., </w:t>
      </w:r>
      <w:proofErr w:type="spellStart"/>
      <w:r>
        <w:t>Shrout</w:t>
      </w:r>
      <w:proofErr w:type="spellEnd"/>
      <w:r>
        <w:t>. P.E., Chávez, L., Rubio-</w:t>
      </w:r>
      <w:proofErr w:type="spellStart"/>
      <w:r>
        <w:t>Stipec</w:t>
      </w:r>
      <w:proofErr w:type="spellEnd"/>
      <w:r>
        <w:t xml:space="preserve">, M., Ramírez,  R., Padilla, L., Anderson, A., García, P and </w:t>
      </w:r>
      <w:proofErr w:type="spellStart"/>
      <w:r>
        <w:t>Canino</w:t>
      </w:r>
      <w:proofErr w:type="spellEnd"/>
      <w:r>
        <w:t>, G. (2007) ‘ADHD and gender: are risks and sequela of ADHD the same for boys and girls?’, The Journal of Child</w:t>
      </w:r>
      <w:r>
        <w:t xml:space="preserve"> Psychology and Psychiatry, 48(8),pp. 831–839. DOI:10.1111/j.1469-7610.</w:t>
      </w:r>
      <w:proofErr w:type="gramStart"/>
      <w:r>
        <w:t>2007.01750.x</w:t>
      </w:r>
      <w:proofErr w:type="gramEnd"/>
    </w:p>
    <w:p w14:paraId="3B2C8AFC" w14:textId="027E4DD1" w:rsidR="00824A9C" w:rsidRDefault="00D8431E" w:rsidP="00824A9C">
      <w:pPr>
        <w:spacing w:before="240" w:after="240"/>
      </w:pPr>
      <w:r>
        <w:t xml:space="preserve">Boal, </w:t>
      </w:r>
      <w:proofErr w:type="gramStart"/>
      <w:r>
        <w:t>A.(</w:t>
      </w:r>
      <w:proofErr w:type="gramEnd"/>
      <w:r>
        <w:t xml:space="preserve">1992) </w:t>
      </w:r>
      <w:r>
        <w:rPr>
          <w:i/>
        </w:rPr>
        <w:t xml:space="preserve">Games for actors and </w:t>
      </w:r>
      <w:proofErr w:type="spellStart"/>
      <w:r>
        <w:rPr>
          <w:i/>
        </w:rPr>
        <w:t>non actors</w:t>
      </w:r>
      <w:proofErr w:type="spellEnd"/>
      <w:r>
        <w:t xml:space="preserve">. London, New </w:t>
      </w:r>
      <w:proofErr w:type="spellStart"/>
      <w:proofErr w:type="gramStart"/>
      <w:r>
        <w:t>York:Routledge</w:t>
      </w:r>
      <w:proofErr w:type="spellEnd"/>
      <w:proofErr w:type="gramEnd"/>
      <w:r>
        <w:t>.</w:t>
      </w:r>
    </w:p>
    <w:p w14:paraId="00000047" w14:textId="77777777" w:rsidR="0023696A" w:rsidRDefault="00D8431E">
      <w:r>
        <w:t>Chang, W. (2006) ‘A Study of the Application of the Drama Therapy on ADHD Students’ Social Abil</w:t>
      </w:r>
      <w:r>
        <w:t>ities at the Resource Class of the Elementary School’</w:t>
      </w:r>
      <w:r>
        <w:rPr>
          <w:i/>
        </w:rPr>
        <w:t xml:space="preserve"> International Journal of Arts Education, </w:t>
      </w:r>
      <w:r>
        <w:t>pp.36-64.</w:t>
      </w:r>
      <w:r>
        <w:rPr>
          <w:i/>
        </w:rPr>
        <w:t xml:space="preserve"> </w:t>
      </w:r>
      <w:r>
        <w:t>Available at:</w:t>
      </w:r>
    </w:p>
    <w:p w14:paraId="026E226C" w14:textId="77777777" w:rsidR="00824A9C" w:rsidRDefault="00D8431E">
      <w:hyperlink r:id="rId11">
        <w:r>
          <w:rPr>
            <w:color w:val="0000FF"/>
            <w:u w:val="single"/>
          </w:rPr>
          <w:t>https://ed.arte.gov.tw/uploadfile/peri</w:t>
        </w:r>
        <w:r>
          <w:rPr>
            <w:color w:val="0000FF"/>
            <w:u w:val="single"/>
          </w:rPr>
          <w:t>odical/1518_arts_education42_00360064.pdf</w:t>
        </w:r>
      </w:hyperlink>
      <w:r>
        <w:t xml:space="preserve"> </w:t>
      </w:r>
    </w:p>
    <w:p w14:paraId="00000048" w14:textId="0759285D" w:rsidR="0023696A" w:rsidRDefault="00824A9C">
      <w:r>
        <w:t>(</w:t>
      </w:r>
      <w:r w:rsidR="00D8431E">
        <w:t>Accessed: 26th April 2020)</w:t>
      </w:r>
    </w:p>
    <w:p w14:paraId="00000049" w14:textId="77777777" w:rsidR="0023696A" w:rsidRDefault="0023696A"/>
    <w:p w14:paraId="0000004A" w14:textId="77777777" w:rsidR="0023696A" w:rsidRDefault="00D8431E">
      <w:pPr>
        <w:spacing w:line="331" w:lineRule="auto"/>
      </w:pPr>
      <w:proofErr w:type="spellStart"/>
      <w:r>
        <w:t>Gersie</w:t>
      </w:r>
      <w:proofErr w:type="spellEnd"/>
      <w:r>
        <w:t xml:space="preserve">, A, King, N. (1990) </w:t>
      </w:r>
      <w:proofErr w:type="spellStart"/>
      <w:r>
        <w:rPr>
          <w:i/>
        </w:rPr>
        <w:t>Storymaking</w:t>
      </w:r>
      <w:proofErr w:type="spellEnd"/>
      <w:r>
        <w:rPr>
          <w:i/>
        </w:rPr>
        <w:t xml:space="preserve"> in education and therapy</w:t>
      </w:r>
      <w:r>
        <w:t xml:space="preserve">. London: Jessica Kingsley Publishers LTD, Sweden: Stockholm institute of educational press. </w:t>
      </w:r>
    </w:p>
    <w:p w14:paraId="0000004B" w14:textId="77777777" w:rsidR="0023696A" w:rsidRDefault="00D8431E">
      <w:pPr>
        <w:spacing w:before="240" w:after="240"/>
      </w:pPr>
      <w:proofErr w:type="spellStart"/>
      <w:r>
        <w:t>Gould.J</w:t>
      </w:r>
      <w:proofErr w:type="spellEnd"/>
      <w:r>
        <w:t xml:space="preserve"> and </w:t>
      </w:r>
      <w:proofErr w:type="spellStart"/>
      <w:r>
        <w:t>Smith.J.A</w:t>
      </w:r>
      <w:proofErr w:type="spellEnd"/>
      <w:r>
        <w:t xml:space="preserve">. (2017) </w:t>
      </w:r>
      <w:r>
        <w:rPr>
          <w:i/>
        </w:rPr>
        <w:t xml:space="preserve">Missed or </w:t>
      </w:r>
      <w:proofErr w:type="gramStart"/>
      <w:r>
        <w:rPr>
          <w:i/>
        </w:rPr>
        <w:t>Mis-diagnosis</w:t>
      </w:r>
      <w:proofErr w:type="gramEnd"/>
      <w:r>
        <w:rPr>
          <w:i/>
        </w:rPr>
        <w:t xml:space="preserve">...Girls and Women on the autism spectrum. </w:t>
      </w:r>
      <w:r>
        <w:t xml:space="preserve">Available at: </w:t>
      </w:r>
      <w:hyperlink r:id="rId12">
        <w:r>
          <w:rPr>
            <w:color w:val="1155CC"/>
            <w:u w:val="single"/>
          </w:rPr>
          <w:t>https://network.autism.org.uk/sites/</w:t>
        </w:r>
        <w:r>
          <w:rPr>
            <w:color w:val="1155CC"/>
            <w:u w:val="single"/>
          </w:rPr>
          <w:t>default/files/ckfinder/files/Missed%20or%20misdiagnosis%2C%20girls%20and%20women%20on%20the%20autism%20spectrum%2C%20diagnosis%2C%</w:t>
        </w:r>
        <w:r>
          <w:rPr>
            <w:color w:val="1155CC"/>
            <w:u w:val="single"/>
          </w:rPr>
          <w:lastRenderedPageBreak/>
          <w:t>20education%20and%20support_%20Dr%20Judith%20Gould%20and%20Jacqui%20Ashton%20Smith.pdf</w:t>
        </w:r>
      </w:hyperlink>
      <w:r>
        <w:t xml:space="preserve"> (Accessed: 20th April 2020)</w:t>
      </w:r>
    </w:p>
    <w:p w14:paraId="0000004C" w14:textId="77777777" w:rsidR="0023696A" w:rsidRDefault="00D8431E">
      <w:proofErr w:type="spellStart"/>
      <w:r>
        <w:t>Gould.J</w:t>
      </w:r>
      <w:proofErr w:type="spellEnd"/>
      <w:r>
        <w:t>. (2</w:t>
      </w:r>
      <w:r>
        <w:t xml:space="preserve">017) ‘Towards understanding the under-recognition of girls and women on the autism spectrum’, </w:t>
      </w:r>
      <w:r>
        <w:rPr>
          <w:i/>
        </w:rPr>
        <w:t xml:space="preserve">Autism. </w:t>
      </w:r>
      <w:r>
        <w:t xml:space="preserve">21(6), pp. 703-705. DOI: </w:t>
      </w:r>
      <w:hyperlink r:id="rId13">
        <w:r>
          <w:rPr>
            <w:color w:val="006ACC"/>
            <w:highlight w:val="white"/>
            <w:u w:val="single"/>
          </w:rPr>
          <w:t>https://doi.org/10.1177/1362361317706174</w:t>
        </w:r>
      </w:hyperlink>
    </w:p>
    <w:p w14:paraId="0000004D" w14:textId="77777777" w:rsidR="0023696A" w:rsidRDefault="00D8431E">
      <w:pPr>
        <w:spacing w:before="240" w:after="240" w:line="331" w:lineRule="auto"/>
        <w:rPr>
          <w:sz w:val="24"/>
          <w:szCs w:val="24"/>
        </w:rPr>
      </w:pPr>
      <w:r>
        <w:t xml:space="preserve">Healey, D. M. and </w:t>
      </w:r>
      <w:proofErr w:type="spellStart"/>
      <w:r>
        <w:t>Rucklidg</w:t>
      </w:r>
      <w:r>
        <w:t>e</w:t>
      </w:r>
      <w:proofErr w:type="spellEnd"/>
      <w:r>
        <w:t xml:space="preserve">, J. J. (2008) ‘The relationship between ADHD and creativity’, </w:t>
      </w:r>
      <w:r>
        <w:rPr>
          <w:i/>
        </w:rPr>
        <w:t xml:space="preserve">The ADHD Report. </w:t>
      </w:r>
      <w:r>
        <w:t>16(3), pp.1-6. DOI: 10.1521/adhd.2008.16.3.1.</w:t>
      </w:r>
    </w:p>
    <w:p w14:paraId="0000004E" w14:textId="77777777" w:rsidR="0023696A" w:rsidRDefault="00D8431E">
      <w:pPr>
        <w:spacing w:line="331" w:lineRule="auto"/>
      </w:pPr>
      <w:r>
        <w:rPr>
          <w:sz w:val="24"/>
          <w:szCs w:val="24"/>
        </w:rPr>
        <w:t xml:space="preserve">Hinshaw, S.P. (2015) </w:t>
      </w:r>
      <w:r>
        <w:t xml:space="preserve">Self-Harm as a Developmental Outcome in Girls with ADHD: Clinical Significance and Underlying Mechanisms. </w:t>
      </w:r>
      <w:r>
        <w:rPr>
          <w:i/>
        </w:rPr>
        <w:t>Th</w:t>
      </w:r>
      <w:r>
        <w:rPr>
          <w:i/>
        </w:rPr>
        <w:t>e ADHD Report</w:t>
      </w:r>
      <w:r>
        <w:t xml:space="preserve"> [online]. 23(6) pp.1-6. Available from:</w:t>
      </w:r>
      <w:hyperlink r:id="rId14">
        <w:r>
          <w:t xml:space="preserve"> </w:t>
        </w:r>
      </w:hyperlink>
      <w:hyperlink r:id="rId15">
        <w:r>
          <w:rPr>
            <w:color w:val="1155CC"/>
            <w:u w:val="single"/>
          </w:rPr>
          <w:t>https://guilfordjournals.com/doi/pdf/10.</w:t>
        </w:r>
        <w:r>
          <w:rPr>
            <w:color w:val="1155CC"/>
            <w:u w:val="single"/>
          </w:rPr>
          <w:t>1521/adhd.2015.23.6.1</w:t>
        </w:r>
      </w:hyperlink>
      <w:r>
        <w:t xml:space="preserve"> (Accessed 18th April 2020)</w:t>
      </w:r>
    </w:p>
    <w:p w14:paraId="0000004F" w14:textId="77777777" w:rsidR="0023696A" w:rsidRDefault="00D8431E">
      <w:pPr>
        <w:spacing w:before="240" w:after="240" w:line="331" w:lineRule="auto"/>
      </w:pPr>
      <w:r>
        <w:t xml:space="preserve">Hijinx. (2020) About Us. </w:t>
      </w:r>
      <w:r>
        <w:rPr>
          <w:i/>
        </w:rPr>
        <w:t>Hijinx</w:t>
      </w:r>
      <w:r>
        <w:t xml:space="preserve"> [online]. Available from:</w:t>
      </w:r>
      <w:hyperlink r:id="rId16">
        <w:r>
          <w:t xml:space="preserve"> </w:t>
        </w:r>
      </w:hyperlink>
      <w:hyperlink r:id="rId17">
        <w:r>
          <w:rPr>
            <w:color w:val="1155CC"/>
            <w:u w:val="single"/>
          </w:rPr>
          <w:t>http://www.hijinx.org.uk/about-us/</w:t>
        </w:r>
      </w:hyperlink>
      <w:r>
        <w:t xml:space="preserve"> [Accessed:18</w:t>
      </w:r>
      <w:r>
        <w:rPr>
          <w:vertAlign w:val="superscript"/>
        </w:rPr>
        <w:t>th</w:t>
      </w:r>
      <w:r>
        <w:t xml:space="preserve"> April 2020]</w:t>
      </w:r>
    </w:p>
    <w:p w14:paraId="00000050" w14:textId="77777777" w:rsidR="0023696A" w:rsidRDefault="00D8431E">
      <w:pPr>
        <w:spacing w:line="331" w:lineRule="auto"/>
      </w:pPr>
      <w:r>
        <w:t>Jacobson, R. (2020)</w:t>
      </w:r>
      <w:r>
        <w:rPr>
          <w:i/>
        </w:rPr>
        <w:t xml:space="preserve"> How Girls with ADHD are different</w:t>
      </w:r>
      <w:r>
        <w:t xml:space="preserve">. Available at: </w:t>
      </w:r>
      <w:hyperlink r:id="rId18">
        <w:r>
          <w:rPr>
            <w:color w:val="1155CC"/>
            <w:u w:val="single"/>
          </w:rPr>
          <w:t>https://childmind.org/article/how-girls-with-adhd-are-different/</w:t>
        </w:r>
      </w:hyperlink>
      <w:r>
        <w:t xml:space="preserve"> (Accessed: 13th March 2020)</w:t>
      </w:r>
    </w:p>
    <w:p w14:paraId="00000051" w14:textId="77777777" w:rsidR="0023696A" w:rsidRDefault="0023696A">
      <w:pPr>
        <w:spacing w:line="331" w:lineRule="auto"/>
      </w:pPr>
    </w:p>
    <w:p w14:paraId="00000052" w14:textId="77777777" w:rsidR="0023696A" w:rsidRDefault="00D8431E">
      <w:pPr>
        <w:spacing w:line="331" w:lineRule="auto"/>
      </w:pPr>
      <w:r>
        <w:t xml:space="preserve">Jacobson, R. (2020) </w:t>
      </w:r>
      <w:r>
        <w:rPr>
          <w:i/>
        </w:rPr>
        <w:t xml:space="preserve">How to help girls with ADHD. </w:t>
      </w:r>
      <w:r>
        <w:t xml:space="preserve">Available at: </w:t>
      </w:r>
      <w:hyperlink r:id="rId19">
        <w:r>
          <w:rPr>
            <w:color w:val="1155CC"/>
            <w:u w:val="single"/>
          </w:rPr>
          <w:t>https://ch</w:t>
        </w:r>
        <w:r>
          <w:rPr>
            <w:color w:val="1155CC"/>
            <w:u w:val="single"/>
          </w:rPr>
          <w:t>ildmind.org/article/how-to-help-girls-with-adhd/</w:t>
        </w:r>
      </w:hyperlink>
      <w:r>
        <w:t xml:space="preserve"> (Accessed: 13th March 2020) </w:t>
      </w:r>
    </w:p>
    <w:p w14:paraId="00000053" w14:textId="77777777" w:rsidR="0023696A" w:rsidRDefault="00D8431E">
      <w:pPr>
        <w:spacing w:before="240" w:after="240"/>
      </w:pPr>
      <w:proofErr w:type="spellStart"/>
      <w:r>
        <w:t>Kejani</w:t>
      </w:r>
      <w:proofErr w:type="spellEnd"/>
      <w:r>
        <w:t xml:space="preserve">, M. and </w:t>
      </w:r>
      <w:proofErr w:type="spellStart"/>
      <w:r>
        <w:t>Raeisi</w:t>
      </w:r>
      <w:proofErr w:type="spellEnd"/>
      <w:r>
        <w:t xml:space="preserve">, Z. (2020) ‘The effect of drama therapy on working memory and its components in primary school children with ADHD’, </w:t>
      </w:r>
      <w:r>
        <w:rPr>
          <w:i/>
        </w:rPr>
        <w:t>Current Psychology</w:t>
      </w:r>
      <w:r>
        <w:t xml:space="preserve">. pp.1-10. </w:t>
      </w:r>
      <w:proofErr w:type="spellStart"/>
      <w:r>
        <w:t>DOI:</w:t>
      </w:r>
      <w:hyperlink r:id="rId20">
        <w:r>
          <w:rPr>
            <w:color w:val="1155CC"/>
            <w:u w:val="single"/>
          </w:rPr>
          <w:t>https</w:t>
        </w:r>
        <w:proofErr w:type="spellEnd"/>
        <w:r>
          <w:rPr>
            <w:color w:val="1155CC"/>
            <w:u w:val="single"/>
          </w:rPr>
          <w:t>://doi.org/10.1007/s12144-019-00564-8</w:t>
        </w:r>
      </w:hyperlink>
    </w:p>
    <w:p w14:paraId="00000054" w14:textId="77777777" w:rsidR="0023696A" w:rsidRDefault="00D8431E">
      <w:pPr>
        <w:spacing w:before="240" w:after="240"/>
        <w:rPr>
          <w:shd w:val="clear" w:color="auto" w:fill="FF9900"/>
        </w:rPr>
      </w:pPr>
      <w:hyperlink r:id="rId21">
        <w:r>
          <w:t>Leitner</w:t>
        </w:r>
      </w:hyperlink>
      <w:r>
        <w:t>, Y. (2014) ‘The Co-Occurrence o</w:t>
      </w:r>
      <w:r>
        <w:t xml:space="preserve">f Autism and Attention Deficit Hyperactivity Disorder in Children – What Do We Know?’ </w:t>
      </w:r>
      <w:r>
        <w:rPr>
          <w:i/>
        </w:rPr>
        <w:t>Frontiers in Human Neuroscience</w:t>
      </w:r>
      <w:r>
        <w:t>, 8, pp.268 DOI:10.3389/fnhum.2014.00268</w:t>
      </w:r>
    </w:p>
    <w:p w14:paraId="00000055" w14:textId="77777777" w:rsidR="0023696A" w:rsidRDefault="00D8431E">
      <w:pPr>
        <w:spacing w:before="240" w:after="240"/>
      </w:pPr>
      <w:r>
        <w:t xml:space="preserve">Monika, S. (2011) </w:t>
      </w:r>
      <w:r>
        <w:rPr>
          <w:i/>
        </w:rPr>
        <w:t>A social competence intervention program using drama therapy and how it can impr</w:t>
      </w:r>
      <w:r>
        <w:rPr>
          <w:i/>
        </w:rPr>
        <w:t>ove peer relations among children with Attention-Deficit Hyperactivity Disorder. Unpublished Graduate Projects</w:t>
      </w:r>
      <w:r>
        <w:t xml:space="preserve"> (non-thesis). Canada: Concordia University. Available </w:t>
      </w:r>
      <w:proofErr w:type="spellStart"/>
      <w:r>
        <w:t>at:</w:t>
      </w:r>
      <w:hyperlink r:id="rId22">
        <w:r>
          <w:rPr>
            <w:color w:val="1155CC"/>
            <w:u w:val="single"/>
          </w:rPr>
          <w:t>https</w:t>
        </w:r>
        <w:proofErr w:type="spellEnd"/>
        <w:r>
          <w:rPr>
            <w:color w:val="1155CC"/>
            <w:u w:val="single"/>
          </w:rPr>
          <w:t>://spectrum.library</w:t>
        </w:r>
        <w:r>
          <w:rPr>
            <w:color w:val="1155CC"/>
            <w:u w:val="single"/>
          </w:rPr>
          <w:t>.concordia.ca/35800/</w:t>
        </w:r>
      </w:hyperlink>
      <w:r>
        <w:t xml:space="preserve"> (Accessed: 28th April 2020)</w:t>
      </w:r>
    </w:p>
    <w:p w14:paraId="00000056" w14:textId="77777777" w:rsidR="0023696A" w:rsidRDefault="00D8431E">
      <w:pPr>
        <w:spacing w:before="240" w:after="240"/>
        <w:rPr>
          <w:shd w:val="clear" w:color="auto" w:fill="FF9900"/>
        </w:rPr>
      </w:pPr>
      <w:r>
        <w:t xml:space="preserve">Neelands, J. (1990) </w:t>
      </w:r>
      <w:r>
        <w:rPr>
          <w:i/>
        </w:rPr>
        <w:t xml:space="preserve">Structuring Drama Work. </w:t>
      </w:r>
      <w:r>
        <w:t xml:space="preserve">Cambridge: Cambridge University Press. </w:t>
      </w:r>
    </w:p>
    <w:p w14:paraId="00000057" w14:textId="77777777" w:rsidR="0023696A" w:rsidRDefault="00D8431E">
      <w:pPr>
        <w:spacing w:before="240" w:after="240"/>
      </w:pPr>
      <w:r>
        <w:t xml:space="preserve">NHS (2018) </w:t>
      </w:r>
      <w:r>
        <w:rPr>
          <w:i/>
        </w:rPr>
        <w:t>Attention Deficit Hyperactivity Disorder (ADHD</w:t>
      </w:r>
      <w:r>
        <w:t xml:space="preserve">). Available at: </w:t>
      </w:r>
      <w:hyperlink r:id="rId23">
        <w:r>
          <w:rPr>
            <w:color w:val="1155CC"/>
            <w:u w:val="single"/>
          </w:rPr>
          <w:t>https://www.nhs.uk/conditions/attention-deficit-hyperactivity-disorder-adhd/</w:t>
        </w:r>
      </w:hyperlink>
      <w:r>
        <w:t xml:space="preserve"> (Accessed: 13th March 2020)</w:t>
      </w:r>
    </w:p>
    <w:p w14:paraId="00000058" w14:textId="77777777" w:rsidR="0023696A" w:rsidRDefault="00D8431E">
      <w:pPr>
        <w:spacing w:before="240" w:after="240"/>
      </w:pPr>
      <w:r>
        <w:t>Quinn, P.O (2005) ‘Treating adolescent girls and women with ADHD: Gender-specific issues’, Current psych</w:t>
      </w:r>
      <w:r>
        <w:t>ology, 61(5), pp.579-586. DOI:10.1002/jclp.20121</w:t>
      </w:r>
    </w:p>
    <w:p w14:paraId="00000059" w14:textId="77777777" w:rsidR="0023696A" w:rsidRDefault="00D8431E">
      <w:pPr>
        <w:spacing w:before="240" w:after="240"/>
        <w:rPr>
          <w:shd w:val="clear" w:color="auto" w:fill="FF9900"/>
        </w:rPr>
      </w:pPr>
      <w:r>
        <w:lastRenderedPageBreak/>
        <w:t xml:space="preserve">Taking flight. (2020) What We Do. </w:t>
      </w:r>
      <w:r>
        <w:rPr>
          <w:i/>
        </w:rPr>
        <w:t xml:space="preserve">Taking Flight </w:t>
      </w:r>
      <w:r>
        <w:t>[online]. Available from:</w:t>
      </w:r>
      <w:hyperlink r:id="rId24">
        <w:r>
          <w:t xml:space="preserve"> </w:t>
        </w:r>
      </w:hyperlink>
      <w:hyperlink r:id="rId25">
        <w:r>
          <w:rPr>
            <w:color w:val="1155CC"/>
            <w:u w:val="single"/>
          </w:rPr>
          <w:t>https://www.takingflighttheatre.org.uk/what-we-do/</w:t>
        </w:r>
      </w:hyperlink>
      <w:r>
        <w:t xml:space="preserve"> (Accessed: 18</w:t>
      </w:r>
      <w:r>
        <w:rPr>
          <w:vertAlign w:val="superscript"/>
        </w:rPr>
        <w:t>th</w:t>
      </w:r>
      <w:r>
        <w:t xml:space="preserve"> April 2020)</w:t>
      </w:r>
    </w:p>
    <w:p w14:paraId="0000005A" w14:textId="77777777" w:rsidR="0023696A" w:rsidRDefault="00D8431E">
      <w:pPr>
        <w:spacing w:before="240" w:after="240"/>
      </w:pPr>
      <w:r>
        <w:t xml:space="preserve">Understood.org (2020) </w:t>
      </w:r>
      <w:r>
        <w:rPr>
          <w:i/>
        </w:rPr>
        <w:t>ADHD in girls: What you need to know.</w:t>
      </w:r>
      <w:r>
        <w:t xml:space="preserve"> Available at: </w:t>
      </w:r>
      <w:hyperlink r:id="rId26">
        <w:r>
          <w:rPr>
            <w:color w:val="1155CC"/>
            <w:u w:val="single"/>
          </w:rPr>
          <w:t>https://www.understood.org/en/learning-thinking-differences/child-learning-disabilities/add-adhd/adhd-in-girls</w:t>
        </w:r>
      </w:hyperlink>
      <w:r>
        <w:t xml:space="preserve"> (Accessed: 15th A</w:t>
      </w:r>
      <w:r>
        <w:t>pril 2020)</w:t>
      </w:r>
    </w:p>
    <w:p w14:paraId="0000005B" w14:textId="77777777" w:rsidR="0023696A" w:rsidRDefault="00D8431E">
      <w:pPr>
        <w:spacing w:before="240" w:after="240"/>
      </w:pPr>
      <w:r>
        <w:t xml:space="preserve">Van Der Water, M., McAvoy, M. and Hunt, </w:t>
      </w:r>
      <w:proofErr w:type="gramStart"/>
      <w:r>
        <w:t>K.(</w:t>
      </w:r>
      <w:proofErr w:type="gramEnd"/>
      <w:r>
        <w:t xml:space="preserve">2015) </w:t>
      </w:r>
      <w:r>
        <w:rPr>
          <w:i/>
        </w:rPr>
        <w:t>Drama &amp; Education: Performative Methodologies for Teaching and Learning.</w:t>
      </w:r>
      <w:r>
        <w:t xml:space="preserve"> London: Routledge</w:t>
      </w:r>
      <w:r>
        <w:rPr>
          <w:rFonts w:ascii="Times New Roman" w:eastAsia="Times New Roman" w:hAnsi="Times New Roman" w:cs="Times New Roman"/>
          <w:sz w:val="24"/>
          <w:szCs w:val="24"/>
        </w:rPr>
        <w:t xml:space="preserve"> </w:t>
      </w:r>
    </w:p>
    <w:p w14:paraId="0000005C" w14:textId="77777777" w:rsidR="0023696A" w:rsidRDefault="00D8431E">
      <w:pPr>
        <w:spacing w:before="240" w:after="240"/>
      </w:pPr>
      <w:proofErr w:type="spellStart"/>
      <w:r>
        <w:t>Oxfordshire</w:t>
      </w:r>
      <w:proofErr w:type="spellEnd"/>
      <w:r>
        <w:t xml:space="preserve"> County Council. (</w:t>
      </w:r>
      <w:proofErr w:type="spellStart"/>
      <w:r>
        <w:t>n.d</w:t>
      </w:r>
      <w:proofErr w:type="spellEnd"/>
      <w:r>
        <w:t xml:space="preserve">) </w:t>
      </w:r>
      <w:proofErr w:type="spellStart"/>
      <w:r>
        <w:rPr>
          <w:i/>
        </w:rPr>
        <w:t>Oxfordshire</w:t>
      </w:r>
      <w:proofErr w:type="spellEnd"/>
      <w:r>
        <w:rPr>
          <w:i/>
        </w:rPr>
        <w:t xml:space="preserve"> protocol for the identification and assessment of pupils w</w:t>
      </w:r>
      <w:r>
        <w:rPr>
          <w:i/>
        </w:rPr>
        <w:t>ith Attention Deficit and Hyperactivity Disorder (ADHD): Attention Deficit and Hyperactivity Disorder (ADHD) Strategies for teachers in schools (KS3/KS4</w:t>
      </w:r>
      <w:r>
        <w:t xml:space="preserve">). Available at: </w:t>
      </w:r>
      <w:hyperlink r:id="rId27">
        <w:r>
          <w:rPr>
            <w:color w:val="1155CC"/>
            <w:u w:val="single"/>
          </w:rPr>
          <w:t>http://schools.oxfordshire.gov.uk/cms/sites/schools/files/folders/folders/documents/SEN/guidance/ADHD/StrategiesforSchools%28KeyStage3_4%29.pdf</w:t>
        </w:r>
      </w:hyperlink>
      <w:r>
        <w:t xml:space="preserve"> (Accessed:28th April 2020)</w:t>
      </w:r>
    </w:p>
    <w:p w14:paraId="0000005D" w14:textId="77777777" w:rsidR="0023696A" w:rsidRDefault="0023696A"/>
    <w:p w14:paraId="0000005E" w14:textId="77777777" w:rsidR="0023696A" w:rsidRDefault="0023696A">
      <w:pPr>
        <w:spacing w:before="240" w:after="240"/>
      </w:pPr>
    </w:p>
    <w:p w14:paraId="0000005F" w14:textId="77777777" w:rsidR="0023696A" w:rsidRDefault="0023696A"/>
    <w:p w14:paraId="00000060" w14:textId="77777777" w:rsidR="0023696A" w:rsidRDefault="0023696A">
      <w:pPr>
        <w:pBdr>
          <w:top w:val="nil"/>
          <w:left w:val="nil"/>
          <w:bottom w:val="nil"/>
          <w:right w:val="nil"/>
          <w:between w:val="nil"/>
        </w:pBdr>
        <w:spacing w:line="240" w:lineRule="auto"/>
        <w:rPr>
          <w:color w:val="000000"/>
        </w:rPr>
      </w:pPr>
    </w:p>
    <w:p w14:paraId="00000061" w14:textId="77777777" w:rsidR="0023696A" w:rsidRDefault="0023696A">
      <w:pPr>
        <w:pBdr>
          <w:top w:val="nil"/>
          <w:left w:val="nil"/>
          <w:bottom w:val="nil"/>
          <w:right w:val="nil"/>
          <w:between w:val="nil"/>
        </w:pBdr>
        <w:spacing w:before="240" w:after="240"/>
        <w:rPr>
          <w:color w:val="1155CC"/>
          <w:u w:val="single"/>
        </w:rPr>
      </w:pPr>
    </w:p>
    <w:p w14:paraId="00000062" w14:textId="77777777" w:rsidR="0023696A" w:rsidRDefault="00D8431E">
      <w:pPr>
        <w:pBdr>
          <w:top w:val="nil"/>
          <w:left w:val="nil"/>
          <w:bottom w:val="nil"/>
          <w:right w:val="nil"/>
          <w:between w:val="nil"/>
        </w:pBdr>
        <w:spacing w:before="240" w:after="240"/>
        <w:rPr>
          <w:color w:val="1155CC"/>
          <w:u w:val="single"/>
        </w:rPr>
      </w:pPr>
      <w:r>
        <w:rPr>
          <w:color w:val="1155CC"/>
          <w:u w:val="single"/>
        </w:rPr>
        <w:t xml:space="preserve"> </w:t>
      </w:r>
    </w:p>
    <w:p w14:paraId="00000063" w14:textId="77777777" w:rsidR="0023696A" w:rsidRDefault="00D8431E">
      <w:pPr>
        <w:pBdr>
          <w:top w:val="nil"/>
          <w:left w:val="nil"/>
          <w:bottom w:val="nil"/>
          <w:right w:val="nil"/>
          <w:between w:val="nil"/>
        </w:pBdr>
        <w:spacing w:before="240" w:after="24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00000064" w14:textId="77777777" w:rsidR="0023696A" w:rsidRDefault="00D8431E">
      <w:pPr>
        <w:pBdr>
          <w:top w:val="nil"/>
          <w:left w:val="nil"/>
          <w:bottom w:val="nil"/>
          <w:right w:val="nil"/>
          <w:between w:val="nil"/>
        </w:pBdr>
        <w:spacing w:before="240" w:after="240"/>
        <w:rPr>
          <w:color w:val="000000"/>
        </w:rPr>
      </w:pPr>
      <w:r>
        <w:rPr>
          <w:color w:val="000000"/>
        </w:rPr>
        <w:t xml:space="preserve"> </w:t>
      </w:r>
    </w:p>
    <w:p w14:paraId="00000065" w14:textId="77777777" w:rsidR="0023696A" w:rsidRDefault="0023696A">
      <w:pPr>
        <w:pBdr>
          <w:top w:val="nil"/>
          <w:left w:val="nil"/>
          <w:bottom w:val="nil"/>
          <w:right w:val="nil"/>
          <w:between w:val="nil"/>
        </w:pBdr>
        <w:rPr>
          <w:color w:val="000000"/>
        </w:rPr>
      </w:pPr>
    </w:p>
    <w:sectPr w:rsidR="0023696A">
      <w:head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28E192" w14:textId="77777777" w:rsidR="00D8431E" w:rsidRDefault="00D8431E">
      <w:pPr>
        <w:spacing w:line="240" w:lineRule="auto"/>
      </w:pPr>
      <w:r>
        <w:separator/>
      </w:r>
    </w:p>
  </w:endnote>
  <w:endnote w:type="continuationSeparator" w:id="0">
    <w:p w14:paraId="756F9AF7" w14:textId="77777777" w:rsidR="00D8431E" w:rsidRDefault="00D843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85799" w14:textId="77777777" w:rsidR="00D8431E" w:rsidRDefault="00D8431E">
      <w:pPr>
        <w:spacing w:line="240" w:lineRule="auto"/>
      </w:pPr>
      <w:r>
        <w:separator/>
      </w:r>
    </w:p>
  </w:footnote>
  <w:footnote w:type="continuationSeparator" w:id="0">
    <w:p w14:paraId="49AE1D70" w14:textId="77777777" w:rsidR="00D8431E" w:rsidRDefault="00D8431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66" w14:textId="2459B413" w:rsidR="0023696A" w:rsidRDefault="0005563A">
    <w:r>
      <w:ptab w:relativeTo="margin" w:alignment="right" w:leader="none"/>
    </w:r>
    <w:r>
      <w:t>Ffion Weston (1706523)</w:t>
    </w:r>
  </w:p>
  <w:p w14:paraId="5B73F576" w14:textId="77777777" w:rsidR="0005563A" w:rsidRDefault="0005563A"/>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96A"/>
    <w:rsid w:val="0005563A"/>
    <w:rsid w:val="000F6157"/>
    <w:rsid w:val="0023696A"/>
    <w:rsid w:val="002D2090"/>
    <w:rsid w:val="006150E9"/>
    <w:rsid w:val="007F499D"/>
    <w:rsid w:val="00824A9C"/>
    <w:rsid w:val="009C56CA"/>
    <w:rsid w:val="00D03961"/>
    <w:rsid w:val="00D84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7E88C"/>
  <w15:docId w15:val="{C201218D-CC1D-47C9-AEDD-27FBD45D5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uiPriority w:val="11"/>
    <w:qFormat/>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05563A"/>
    <w:pPr>
      <w:tabs>
        <w:tab w:val="center" w:pos="4513"/>
        <w:tab w:val="right" w:pos="9026"/>
      </w:tabs>
      <w:spacing w:line="240" w:lineRule="auto"/>
    </w:pPr>
  </w:style>
  <w:style w:type="character" w:customStyle="1" w:styleId="HeaderChar">
    <w:name w:val="Header Char"/>
    <w:basedOn w:val="DefaultParagraphFont"/>
    <w:link w:val="Header"/>
    <w:uiPriority w:val="99"/>
    <w:rsid w:val="0005563A"/>
  </w:style>
  <w:style w:type="paragraph" w:styleId="Footer">
    <w:name w:val="footer"/>
    <w:basedOn w:val="Normal"/>
    <w:link w:val="FooterChar"/>
    <w:uiPriority w:val="99"/>
    <w:unhideWhenUsed/>
    <w:rsid w:val="0005563A"/>
    <w:pPr>
      <w:tabs>
        <w:tab w:val="center" w:pos="4513"/>
        <w:tab w:val="right" w:pos="9026"/>
      </w:tabs>
      <w:spacing w:line="240" w:lineRule="auto"/>
    </w:pPr>
  </w:style>
  <w:style w:type="character" w:customStyle="1" w:styleId="FooterChar">
    <w:name w:val="Footer Char"/>
    <w:basedOn w:val="DefaultParagraphFont"/>
    <w:link w:val="Footer"/>
    <w:uiPriority w:val="99"/>
    <w:rsid w:val="000556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scips.worc.ac.uk/subjects-and-disabilities/dance-ddp_adhd/" TargetMode="External"/><Relationship Id="rId13" Type="http://schemas.openxmlformats.org/officeDocument/2006/relationships/hyperlink" Target="https://doi.org/10.1177%2F1362361317706174" TargetMode="External"/><Relationship Id="rId18" Type="http://schemas.openxmlformats.org/officeDocument/2006/relationships/hyperlink" Target="https://childmind.org/article/how-girls-with-adhd-are-different/" TargetMode="External"/><Relationship Id="rId26" Type="http://schemas.openxmlformats.org/officeDocument/2006/relationships/hyperlink" Target="https://www.understood.org/en/learning-thinking-differences/child-learning-disabilities/add-adhd/adhd-in-girls" TargetMode="External"/><Relationship Id="rId3" Type="http://schemas.openxmlformats.org/officeDocument/2006/relationships/webSettings" Target="webSettings.xml"/><Relationship Id="rId21" Type="http://schemas.openxmlformats.org/officeDocument/2006/relationships/hyperlink" Target="https://www.ncbi.nlm.nih.gov/pubmed/?term=Leitner%20Y%5BAuthor%5D&amp;cauthor=true&amp;cauthor_uid=24808851" TargetMode="External"/><Relationship Id="rId7" Type="http://schemas.openxmlformats.org/officeDocument/2006/relationships/hyperlink" Target="https://aadduk.org/symptoms-diagnosis-treatment/comorbidities/" TargetMode="External"/><Relationship Id="rId12" Type="http://schemas.openxmlformats.org/officeDocument/2006/relationships/hyperlink" Target="https://network.autism.org.uk/sites/default/files/ckfinder/files/Missed%20or%20misdiagnosis%2C%20girls%20and%20women%20on%20the%20autism%20spectrum%2C%20diagnosis%2C%20education%20and%20support_%20Dr%20Judith%20Gould%20and%20Jacqui%20Ashton%20Smith.pdf" TargetMode="External"/><Relationship Id="rId17" Type="http://schemas.openxmlformats.org/officeDocument/2006/relationships/hyperlink" Target="http://www.hijinx.org.uk/about-us/" TargetMode="External"/><Relationship Id="rId25" Type="http://schemas.openxmlformats.org/officeDocument/2006/relationships/hyperlink" Target="https://www.takingflighttheatre.org.uk/what-we-do/" TargetMode="External"/><Relationship Id="rId2" Type="http://schemas.openxmlformats.org/officeDocument/2006/relationships/settings" Target="settings.xml"/><Relationship Id="rId16" Type="http://schemas.openxmlformats.org/officeDocument/2006/relationships/hyperlink" Target="http://www.hijinx.org.uk/about-us/" TargetMode="External"/><Relationship Id="rId20" Type="http://schemas.openxmlformats.org/officeDocument/2006/relationships/hyperlink" Target="https://doi.org/10.1007/s12144-019-00564-8"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dhdeurope.eu/information/articles/comorbid-disorders-and-coexisting-difficulties/" TargetMode="External"/><Relationship Id="rId11" Type="http://schemas.openxmlformats.org/officeDocument/2006/relationships/hyperlink" Target="https://ed.arte.gov.tw/uploadfile/periodical/1518_arts_education42_00360064.pdf" TargetMode="External"/><Relationship Id="rId24" Type="http://schemas.openxmlformats.org/officeDocument/2006/relationships/hyperlink" Target="https://www.takingflighttheatre.org.uk/what-we-do/" TargetMode="External"/><Relationship Id="rId5" Type="http://schemas.openxmlformats.org/officeDocument/2006/relationships/endnotes" Target="endnotes.xml"/><Relationship Id="rId15" Type="http://schemas.openxmlformats.org/officeDocument/2006/relationships/hyperlink" Target="https://guilfordjournals.com/doi/pdf/10.1521/adhd.2015.23.6.1" TargetMode="External"/><Relationship Id="rId23" Type="http://schemas.openxmlformats.org/officeDocument/2006/relationships/hyperlink" Target="https://www.nhs.uk/conditions/attention-deficit-hyperactivity-disorder-adhd/" TargetMode="External"/><Relationship Id="rId28" Type="http://schemas.openxmlformats.org/officeDocument/2006/relationships/header" Target="header1.xml"/><Relationship Id="rId10" Type="http://schemas.openxmlformats.org/officeDocument/2006/relationships/hyperlink" Target="https://doi.org/10.1007/s12640-011-9260-0" TargetMode="External"/><Relationship Id="rId19" Type="http://schemas.openxmlformats.org/officeDocument/2006/relationships/hyperlink" Target="https://childmind.org/article/how-to-help-girls-with-adhd/" TargetMode="External"/><Relationship Id="rId4" Type="http://schemas.openxmlformats.org/officeDocument/2006/relationships/footnotes" Target="footnotes.xml"/><Relationship Id="rId9" Type="http://schemas.openxmlformats.org/officeDocument/2006/relationships/hyperlink" Target="https://doi.org/10.1007/s12640-011-9260-0" TargetMode="External"/><Relationship Id="rId14" Type="http://schemas.openxmlformats.org/officeDocument/2006/relationships/hyperlink" Target="https://guilfordjournals.com/doi/pdf/10.1521/adhd.2015.23.6.1" TargetMode="External"/><Relationship Id="rId22" Type="http://schemas.openxmlformats.org/officeDocument/2006/relationships/hyperlink" Target="https://spectrum.library.concordia.ca/35800/" TargetMode="External"/><Relationship Id="rId27" Type="http://schemas.openxmlformats.org/officeDocument/2006/relationships/hyperlink" Target="http://schools.oxfordshire.gov.uk/cms/sites/schools/files/folders/folders/documents/SEN/guidance/ADHD/StrategiesforSchools%28KeyStage3_4%29.pdf"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3211</Words>
  <Characters>18304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Gethin Weston</cp:lastModifiedBy>
  <cp:revision>2</cp:revision>
  <dcterms:created xsi:type="dcterms:W3CDTF">2020-05-27T13:59:00Z</dcterms:created>
  <dcterms:modified xsi:type="dcterms:W3CDTF">2020-05-27T13:59:00Z</dcterms:modified>
</cp:coreProperties>
</file>