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pPr>
      <w:r>
        <w:drawing>
          <wp:inline distT="0" distB="0" distL="114300" distR="114300">
            <wp:extent cx="1889760" cy="9067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1889760" cy="906780"/>
                    </a:xfrm>
                    <a:prstGeom prst="rect">
                      <a:avLst/>
                    </a:prstGeom>
                    <a:noFill/>
                    <a:ln>
                      <a:noFill/>
                    </a:ln>
                  </pic:spPr>
                </pic:pic>
              </a:graphicData>
            </a:graphic>
          </wp:inline>
        </w:drawing>
      </w:r>
    </w:p>
    <w:p>
      <w:pPr>
        <w:spacing w:line="480" w:lineRule="auto"/>
      </w:pPr>
    </w:p>
    <w:p>
      <w:pPr>
        <w:spacing w:line="480" w:lineRule="auto"/>
      </w:pPr>
    </w:p>
    <w:p>
      <w:pPr>
        <w:spacing w:line="480" w:lineRule="auto"/>
      </w:pPr>
    </w:p>
    <w:p>
      <w:pPr>
        <w:spacing w:line="480" w:lineRule="auto"/>
        <w:jc w:val="center"/>
      </w:pPr>
      <w:r>
        <w:t>Intercultural Communication: Focus on Morocco</w:t>
      </w:r>
    </w:p>
    <w:p>
      <w:pPr>
        <w:spacing w:line="480" w:lineRule="auto"/>
        <w:jc w:val="center"/>
        <w:rPr>
          <w:rFonts w:hint="default" w:eastAsia="宋体"/>
          <w:lang w:val="en-US" w:eastAsia="zh-CN"/>
        </w:rPr>
      </w:pPr>
      <w:r>
        <w:t>By</w:t>
      </w:r>
      <w:r>
        <w:rPr>
          <w:rFonts w:hint="eastAsia" w:eastAsia="宋体"/>
          <w:lang w:val="en-US" w:eastAsia="zh-CN"/>
        </w:rPr>
        <w:t xml:space="preserve"> TianChang Tan</w:t>
      </w:r>
    </w:p>
    <w:p>
      <w:pPr>
        <w:spacing w:line="480" w:lineRule="auto"/>
        <w:jc w:val="center"/>
      </w:pPr>
    </w:p>
    <w:p>
      <w:pPr>
        <w:spacing w:line="480" w:lineRule="auto"/>
        <w:jc w:val="center"/>
      </w:pPr>
    </w:p>
    <w:p>
      <w:pPr>
        <w:spacing w:line="480" w:lineRule="auto"/>
        <w:jc w:val="center"/>
      </w:pPr>
    </w:p>
    <w:p>
      <w:pPr>
        <w:spacing w:line="480" w:lineRule="auto"/>
        <w:jc w:val="center"/>
      </w:pPr>
      <w:r>
        <w:t xml:space="preserve">The Name of the Class </w:t>
      </w:r>
    </w:p>
    <w:p>
      <w:pPr>
        <w:spacing w:line="480" w:lineRule="auto"/>
        <w:jc w:val="center"/>
        <w:rPr>
          <w:rFonts w:hint="default" w:eastAsia="宋体"/>
          <w:lang w:val="en-US" w:eastAsia="zh-CN"/>
        </w:rPr>
      </w:pPr>
      <w:r>
        <w:rPr>
          <w:rFonts w:hint="eastAsia" w:eastAsia="宋体"/>
          <w:lang w:val="en-US" w:eastAsia="zh-CN"/>
        </w:rPr>
        <w:t>International Business Communication (BMBM6021)</w:t>
      </w:r>
    </w:p>
    <w:p>
      <w:pPr>
        <w:bidi w:val="0"/>
        <w:jc w:val="center"/>
        <w:rPr>
          <w:rFonts w:hint="default"/>
        </w:rPr>
      </w:pPr>
      <w:r>
        <w:rPr>
          <w:rFonts w:hint="default"/>
        </w:rPr>
        <w:t>University of Wales Trinity Saint David</w:t>
      </w:r>
    </w:p>
    <w:p>
      <w:pPr>
        <w:bidi w:val="0"/>
        <w:jc w:val="center"/>
        <w:rPr>
          <w:rFonts w:hint="default"/>
        </w:rPr>
      </w:pPr>
    </w:p>
    <w:p>
      <w:pPr>
        <w:spacing w:line="480" w:lineRule="auto"/>
        <w:jc w:val="center"/>
        <w:rPr>
          <w:rFonts w:hint="default" w:eastAsia="宋体"/>
          <w:lang w:val="en-US" w:eastAsia="zh-CN"/>
        </w:rPr>
      </w:pPr>
      <w:r>
        <w:rPr>
          <w:rFonts w:hint="eastAsia" w:eastAsia="宋体"/>
          <w:lang w:val="en-US" w:eastAsia="zh-CN"/>
        </w:rPr>
        <w:t>2022.1.7</w:t>
      </w:r>
    </w:p>
    <w:p>
      <w:pPr>
        <w:spacing w:line="480" w:lineRule="auto"/>
        <w:jc w:val="center"/>
      </w:pPr>
    </w:p>
    <w:p>
      <w:pPr>
        <w:spacing w:line="480" w:lineRule="auto"/>
        <w:jc w:val="center"/>
      </w:pPr>
    </w:p>
    <w:p>
      <w:pPr>
        <w:spacing w:line="480" w:lineRule="auto"/>
        <w:jc w:val="center"/>
      </w:pPr>
    </w:p>
    <w:p>
      <w:pPr>
        <w:spacing w:line="480" w:lineRule="auto"/>
        <w:ind w:firstLine="480" w:firstLineChars="200"/>
      </w:pPr>
      <w:bookmarkStart w:id="0" w:name="_GoBack"/>
      <w:bookmarkEnd w:id="0"/>
      <w:r>
        <w:t xml:space="preserve">Morocco is a constitutional monarchy in North Africa. It has coasts on the Atlantic Ocean and the Mediterranean Sea. Experts assert that most Moroccans, almost 80% in some estimates, have Berber origins. The rest are Arab, African, European, and Jewish by descent. 99% of the citizens are Muslims. These demographic realities are an indication that a company from England would have to adjust its communication strategies if it wants to succeed in Morocco. The cultural differences between Morocco and England demand a deliberate inter-cultural communication strategy. At the center of the strategy should be an understanding of the intercultural theories and the local cultural dynamics.  </w:t>
      </w:r>
    </w:p>
    <w:p>
      <w:pPr>
        <w:spacing w:line="480" w:lineRule="auto"/>
        <w:jc w:val="center"/>
      </w:pPr>
      <w:r>
        <w:t>What is Intercultural Communication?</w:t>
      </w:r>
    </w:p>
    <w:p>
      <w:pPr>
        <w:spacing w:line="480" w:lineRule="auto"/>
        <w:ind w:firstLine="720"/>
      </w:pPr>
      <w:r>
        <w:t>Intercultural communication is best defined as the interaction between members of different cultures or sub-cultures with the aim of creating a shared understanding of a message (Suen &amp; Suen, 2019). This rather simplistic definition encompasses the basics of the concept but is by no means a comprehensive definition of it. In its entirety, the concept involves understanding the factors involved in crafting messages and then sending and receiving them across cultures (Bauman &amp; Shcherbina, 2018). In fact, the term is used in different contexts by different people. However, the key variables remain the same in all of the definitions. The individuals interacting with each other have to be from different cultures and their goal has to include the generation of a shared meaning.</w:t>
      </w:r>
    </w:p>
    <w:p>
      <w:pPr>
        <w:spacing w:line="480" w:lineRule="auto"/>
        <w:jc w:val="center"/>
      </w:pPr>
      <w:r>
        <w:t>Importance of Intercultural Communication</w:t>
      </w:r>
    </w:p>
    <w:p>
      <w:pPr>
        <w:spacing w:line="480" w:lineRule="auto"/>
        <w:ind w:firstLine="720"/>
      </w:pPr>
      <w:r>
        <w:t>At a personal level, the study and appreciation of intercultural communication allow one to look at his or her biases. It creates room for an individual to recognize the reasons why he or she chooses to frame, send, and receive messages in a certain way (Ferri, 2018). In the process, one is able to see how his or her biases might enhance or retard communication with others from different cultures (Guo, 2019). The result should be an objective process through which one improves his or her ability to communicate.</w:t>
      </w:r>
    </w:p>
    <w:p>
      <w:pPr>
        <w:spacing w:line="480" w:lineRule="auto"/>
        <w:ind w:firstLine="720"/>
      </w:pPr>
      <w:r>
        <w:t>At the societal and communal level, the concept of intercultural communication is essential for inter-communal harmony. People are much less likely to be in conflict if they understand each other. That understanding always comes from communication with each other. A community, whether corporate or organic, will be able to foster positive relationships with others only if it recognizes the reality of cultural differences in the formatting, sending, and receipt of messages. Understanding the concept increases a community’s capacity to develop shared meanings with the entities with which it shares a locality, space, or goal.</w:t>
      </w:r>
    </w:p>
    <w:p>
      <w:pPr>
        <w:spacing w:line="480" w:lineRule="auto"/>
        <w:ind w:firstLine="720"/>
      </w:pPr>
      <w:r>
        <w:t>Both of these elements congregate when it comes to the development of a company whose operations entail the interaction of people from more than one culture. At the personal level, an appreciation of intercultural communication will allow leaders in particular to create an environment in which companies can communicate across cultures (Reiter &amp; Downing, 2020). Leaders will only invest time and resources in a concept for which they have a proper understanding (Klyukanov, 2020). The result will be a company that allows internal and external stakeholders to communicate effectively with each other regardless of their cultural backgrounds.</w:t>
      </w:r>
    </w:p>
    <w:p>
      <w:pPr>
        <w:spacing w:line="480" w:lineRule="auto"/>
        <w:ind w:firstLine="720"/>
      </w:pPr>
      <w:r>
        <w:t>At the same time, knowledge and appreciation of the efficacy of intercultural communication are critical elements of brand building. A company should be able to not only communicate across cultures but must also retain the capacity to listen across cultures (Vu, 2019). It must possess enough cultural competence to understand its clients and other stakeholders beyond cultural boundaries (Noel, Yashima, &amp; Zhang, 2020). It is only by understanding one’s biases and how intercultural communication works that a company can create a brand that communicates the same ideas to people from different cultures. One cannot engage in effective branding if he or she does not have a proper understanding of the value and efficacy of intercultural communication.</w:t>
      </w:r>
    </w:p>
    <w:p>
      <w:pPr>
        <w:spacing w:line="480" w:lineRule="auto"/>
        <w:jc w:val="center"/>
      </w:pPr>
      <w:r>
        <w:t>Theories of Intercultural Communication</w:t>
      </w:r>
    </w:p>
    <w:p>
      <w:pPr>
        <w:spacing w:line="480" w:lineRule="auto"/>
        <w:ind w:firstLine="720"/>
      </w:pPr>
      <w:r>
        <w:t>Convergence Theory stands out as one of the most important theories in intercultural communication. It asserts that when different cultures interact, they inevitably find factors that they have in common. The more they know about each other, the more they realize that they are not so different after all (Kozlova, 2020). The idea is that people from different cultures are similar in many ways but their separation ensures that they focus on their differences (Valeri, 2021). Intercultural communication allows these cultures to get close enough to each other for the members to identify the similarities between them.</w:t>
      </w:r>
    </w:p>
    <w:p>
      <w:pPr>
        <w:spacing w:line="480" w:lineRule="auto"/>
        <w:ind w:firstLine="720"/>
      </w:pPr>
      <w:r>
        <w:t>There is also Cultural Accommodation Theory which states that when two individuals from different cultures are communicating, one of them will modify his or her communication approach to accommodate the other (Bindra, Parameswar, &amp; Dhir, 2019). The said individual, or organization, can modify the sending and receipt process. For example, a person who regularly interrupts his peers might keep interruptions to a minimum when he or she is interacting with someone from a culture where interruptions are taken as signs of disrespect. Instead of converging on a point of commonality, one of the individuals or entities decides to accommodate the other’s preferences and approaches.</w:t>
      </w:r>
    </w:p>
    <w:p>
      <w:pPr>
        <w:spacing w:line="480" w:lineRule="auto"/>
        <w:ind w:firstLine="720"/>
      </w:pPr>
      <w:r>
        <w:t>Cultural Adaptation Theory, on its part, asserts that human beings will tend to adapt to the cultural dictates of a dominant culture. People from minority cultures will often find that those from mainstream ones will want to retain their practices. Since members of mainstream society do not necessarily need to adapt to the cultural minority’s inclinations, it is often the latter who change. Cultural adaptation is deliberate and involves the study of the dominant society’s framing, sending, and receiving practices. One adapts to the cultural dictates of the dominant society so that he or she can survive in the said society.</w:t>
      </w:r>
    </w:p>
    <w:p>
      <w:pPr>
        <w:spacing w:line="480" w:lineRule="auto"/>
        <w:ind w:firstLine="720"/>
      </w:pPr>
      <w:r>
        <w:t>Cultural Fusion theory is almost the polar opposite of the Cultural Adaptation Theory. Instead of the minor culture adapting to the mainstream one, it continues to leech its cultural elements into it (Luck &amp; Swartz [b], 2020). Members of the dominant culture slowly but surely adopt the elements of the minor one. A good example is the use of Afro-British slang in mainstream communication. The community is a minority in Britain but it manages to influence the manner in which many members of mainstream societies communicate. Cultural fusion only works when the minor culture is different and coherent enough to set itself apart from the mainstream one.</w:t>
      </w:r>
    </w:p>
    <w:p>
      <w:pPr>
        <w:spacing w:line="480" w:lineRule="auto"/>
        <w:jc w:val="center"/>
      </w:pPr>
      <w:r>
        <w:t>Application in General</w:t>
      </w:r>
    </w:p>
    <w:p>
      <w:pPr>
        <w:spacing w:line="480" w:lineRule="auto"/>
        <w:ind w:firstLine="720"/>
      </w:pPr>
      <w:r>
        <w:t>A company wishing to communicate effectively with a multicultural clientele needs to understand the value of all of these theories because they do serve their purpose in different situations. For example, Convergence Theory is excellent when communicating to a society whose constituent cultures have interacted for quite a while. For instance, city dwellers might come from different cultures but a similar environment will result in convergence. A company that understands this will use convergent language with which all residents of the city can relate. The theory will help it understand what points of commonality to focus on.</w:t>
      </w:r>
    </w:p>
    <w:p>
      <w:pPr>
        <w:spacing w:line="480" w:lineRule="auto"/>
        <w:ind w:firstLine="720"/>
      </w:pPr>
      <w:r>
        <w:t>Cultural Accommodation works best when one is moving into a new area or operating in an area where the public and clientele do not share a culture with him or her. The company or individual has to adjust the style of communication if it is to work. For instance, British companies often have to adjust their symbology when marketing in the Middle East because of differences in the manner in which hand gestures like the “OK” sign are used. One learns how the locals communicate and then adjust his or her style accordingly if he or she wants to communicate effectively.</w:t>
      </w:r>
    </w:p>
    <w:p>
      <w:pPr>
        <w:spacing w:line="480" w:lineRule="auto"/>
        <w:ind w:firstLine="720"/>
      </w:pPr>
      <w:r>
        <w:t>Companies that have to operate in cultures that are distinctively different from their parent culture also have to adapt to their target culture. While it is critical to retain an identity, sometimes it is best to communicate one’s closeness and congruence with the target culture (Halualani, 2018). A good example is a manner in which Coca-Cola’s Indian division has immersed itself in the local market. It uses Indian slogans, Bollywood celebrities, and Indian slang in its campaigns as it tries to reduce its identity as a foreign company (Luck &amp; Swartz, 2018). This theory is especially valuable for companies operating in markets where the clients display a significant amount of cultural pride.</w:t>
      </w:r>
    </w:p>
    <w:p>
      <w:pPr>
        <w:spacing w:line="480" w:lineRule="auto"/>
        <w:ind w:firstLine="720"/>
      </w:pPr>
      <w:r>
        <w:t>Companies operating in urbanized societies have to understand Cultural Fusion Theory if they are to succeed in creating a common messaging for the members of that market. It is worth noting that a number of companies have been accused of cultural appropriation after trying too hard to use urban slang. Others have ended up using outdated words and phrases thus making the brand look and sound stale and out of touch (Satuna, 2019). Effective communicators know that they have to retain currency and relevance when they are dealing with cultural fusion in the market.</w:t>
      </w:r>
    </w:p>
    <w:p>
      <w:pPr>
        <w:spacing w:line="480" w:lineRule="auto"/>
        <w:jc w:val="center"/>
      </w:pPr>
      <w:r>
        <w:t>Application to Morocco</w:t>
      </w:r>
    </w:p>
    <w:p>
      <w:pPr>
        <w:spacing w:line="480" w:lineRule="auto"/>
        <w:ind w:firstLine="720"/>
      </w:pPr>
      <w:r>
        <w:t>Perhaps the most significant cultural issue in Morocco for business people coming from England is religion and one needs a proper understanding of Cultural Adaption Theory to survive on this aspect. While the residents of Morocco’s urban areas are relatively exposed to Western culture, the whole society is quite conservative (Jamali &amp; Hossary, 2019). A company coming into the market has to adapt its operations to the dictates of Islamic norms and regulations. Liberalization means that many of these norms and regulations are not actually laws but the people do take them seriously (Maliki, Housni, &amp; Biad, 2019). Any deviation from the expectations will result in a company losing brand value.</w:t>
      </w:r>
    </w:p>
    <w:p>
      <w:pPr>
        <w:spacing w:line="480" w:lineRule="auto"/>
        <w:ind w:firstLine="720"/>
      </w:pPr>
      <w:r>
        <w:t>At the same time, managers should note that Moroccan society tends to be quite conservative even in the absence of Islam (Szobonya &amp; Roche, 2021). The country’s residents, especially rural and older ones, have an evolving but still present suspicion of Western culture (Benattabou, 2020). A company that comes into the market has to ensure that it does not look like its wants to drive cultural change. It should be careful to display respect for the local norms if it wants to communicate effectively with the locals. Cultural Adaptation theory is quite apt in this regard too.</w:t>
      </w:r>
    </w:p>
    <w:p>
      <w:pPr>
        <w:spacing w:line="480" w:lineRule="auto"/>
        <w:ind w:firstLine="720"/>
      </w:pPr>
      <w:r>
        <w:t>That said, managers and planners should realize that Moroccan society is not exactly homogenous. The main communities in Morocco are Berbers, Arabs, and Africans. There are also relatively large Jewish and Mediterranean communities in the country (Metwalli &amp; Demello, 2020). Though these entities share a national culture, they also have distinct languages, norms, and communication realities. A company in this country should find out whether or not cultural fusion has occurred and to what degree it has united the population. The fact that members of the various cultures tend to create relatively distinct communities makes communication that much more complicated. One has to find a way to communicate with these distinct groups.</w:t>
      </w:r>
    </w:p>
    <w:p>
      <w:pPr>
        <w:spacing w:line="480" w:lineRule="auto"/>
        <w:ind w:firstLine="720"/>
      </w:pPr>
      <w:r>
        <w:t>Businesspeople from England will find many opportunities for cultural convergence when it comes to the nation’s political structure and the people’s approach to it. Just like England, Morocco has a monarchy that is now largely ceremonial. While the people crave democracy, the monarchy also enjoys a great deal of respect for the monarchy (Scherle, Pillmayer, &amp; Braun, 2020). Businesspeople from England will appreciate the fact that the people tend to like their monarch. It is possible to use the King as a unifying factor in marketing (El-Bassiouny et al., 2020). The cultural convergence opportunities offered by the existence of monarchs in both nations are quite extensive.</w:t>
      </w:r>
    </w:p>
    <w:p>
      <w:pPr>
        <w:spacing w:line="480" w:lineRule="auto"/>
        <w:jc w:val="center"/>
      </w:pPr>
      <w:r>
        <w:t>Challenges Associated with Intercultural Communication</w:t>
      </w:r>
    </w:p>
    <w:p>
      <w:pPr>
        <w:spacing w:line="480" w:lineRule="auto"/>
        <w:ind w:firstLine="720"/>
      </w:pPr>
      <w:r>
        <w:t>One of the main challenges associated with intercultural communication is the need to generate a balance between effective cultural communication and the retainer of brand identity. Many British companies have an element of British culture in their identity. In some cases, the connection to English culture gives a company a competitive advantage. Losing the distinct elements reduce the company’s ability to communicate its brand essence to the community. On the other hand, an inability to adjust might communicate contempt for the local culture and lead to communication failures. It is not easy to find the right balance.</w:t>
      </w:r>
    </w:p>
    <w:p>
      <w:pPr>
        <w:spacing w:line="480" w:lineRule="auto"/>
        <w:ind w:firstLine="720"/>
      </w:pPr>
      <w:r>
        <w:t>There is also the fact that it costs time and money to gain a proper understanding of a target culture. The culture in Morocco is different enough to demand an extensive research effort. The fact that societies grow and develop also means that the investment in research has to be constant. Many companies are struggling to operate with restricted budgets as the Covid-19 pandemic continues to affect profitability. Many firms will not have enough funds to run a proper research process (Hes &amp; Švecová, 2021). Unfortunately for them, they do not really have a choice in the matter. They have to find ways to understand the culture if they are to understand.</w:t>
      </w:r>
    </w:p>
    <w:p>
      <w:pPr>
        <w:spacing w:line="480" w:lineRule="auto"/>
        <w:ind w:firstLine="720"/>
      </w:pPr>
      <w:r>
        <w:t>Finally, there is also the fact that culture is dynamic and companies have to adapt to changing realities. For instance, Morocco’s young people are relatively more Westernized than their older peers. On the other hand, they still display an elevated level of nationalism and cultural pride (Taiebine &amp; Doukkali, 2018). While the constant communities are still relatively distinct, communities in urban areas are becoming more culturally diverse than they have ever been before (Jamali et al., 2020). The result is a culture that is evolving and which, in turn, presents challenges to foreign companies.</w:t>
      </w:r>
    </w:p>
    <w:p>
      <w:pPr>
        <w:spacing w:line="480" w:lineRule="auto"/>
        <w:jc w:val="center"/>
      </w:pPr>
      <w:r>
        <w:t>Why it is Important to Recognize the Challenges</w:t>
      </w:r>
    </w:p>
    <w:p>
      <w:pPr>
        <w:spacing w:line="480" w:lineRule="auto"/>
        <w:ind w:firstLine="720"/>
      </w:pPr>
      <w:r>
        <w:t>It is not possible to solve a problem unless one admits that a problem exists and needs solving (Velikorossov et al., 2020). This is the primary reason why businesses have to identify and recognize the challenges they face. In this case, a company will not invest in effective intercultural communication capabilities if it does not believe that there are challenges to overcome (Kim &amp; McKay-Semmler, 2018). At the same time, it will not allocate enough resources to the challenges if it refuses to recognize them. The recognition of challenges is the first step in dealing with them.</w:t>
      </w:r>
    </w:p>
    <w:p>
      <w:pPr>
        <w:spacing w:line="480" w:lineRule="auto"/>
        <w:jc w:val="center"/>
      </w:pPr>
      <w:r>
        <w:t>Recommendations</w:t>
      </w:r>
    </w:p>
    <w:p>
      <w:pPr>
        <w:spacing w:line="480" w:lineRule="auto"/>
        <w:ind w:firstLine="720"/>
      </w:pPr>
      <w:r>
        <w:t>Surviving and thriving in the Moroccan market will require extensive investment in research. As mentioned, the national culture in that country is not static. A smart company will put in place a system that collects and analyzes accurate, current, and relevant data on the cultural reality in a target country (Ansoff et al., 2018). The investment should be deliberate, targeted, and sustainable (Zakaria, Yusof, &amp; Muton, 2020). It also has to be based on a genuine desire to understand Moroccan culture as it is and not the imposition of an external understanding of the country and its people. British companies have no choice but to invest in the process.</w:t>
      </w:r>
    </w:p>
    <w:p>
      <w:pPr>
        <w:spacing w:line="480" w:lineRule="auto"/>
        <w:ind w:firstLine="720"/>
      </w:pPr>
      <w:r>
        <w:t>It will also be prudent for companies from England to consider the level of cultural fusion inherent in Moroccan society. African, Arab, European, and Jewish cultures have influenced the country’s people for centuries. At the moment, there exist large communities in Morocco which practice these cultures. Their elements are visible in various aspects of mainstream Moroccan culture including its pop music and urban slang. Understanding the level of cultural fusion present in a society will allow companies to craft a universally-appealing and yet current message (Rothaermel, 2018). An understanding of cultural fusion will create the right environment for the firm to communicate effectively with a large audience.</w:t>
      </w:r>
    </w:p>
    <w:p>
      <w:pPr>
        <w:spacing w:line="480" w:lineRule="auto"/>
        <w:jc w:val="center"/>
      </w:pPr>
      <w:r>
        <w:t>Conclusion</w:t>
      </w:r>
    </w:p>
    <w:p>
      <w:pPr>
        <w:spacing w:line="480" w:lineRule="auto"/>
        <w:ind w:firstLine="720"/>
      </w:pPr>
      <w:r>
        <w:t xml:space="preserve">Intercultural communication is the practice of communication across cultures in a manner that creates shared meaning. When individuals or entities from different cultures or sub-cultures interact, communication only happens if they can agree on a shared meaning. Operating in Morocco will demand an understanding of the local environment and theories of intercultural communication including Cultural Convergence Theory and Cultural Fusion Theory. For instance, the company can use its understanding of Cultural Adaptation Theory to craft a brand that has a specific cultural appeal to Moroccans. In the end, the primary goal is to develop an understanding of one’s cultural biases and then deal with them.    </w:t>
      </w:r>
    </w:p>
    <w:p>
      <w:pPr>
        <w:spacing w:line="480" w:lineRule="auto"/>
        <w:jc w:val="center"/>
      </w:pPr>
    </w:p>
    <w:p>
      <w:pPr>
        <w:spacing w:line="480" w:lineRule="auto"/>
        <w:jc w:val="center"/>
      </w:pPr>
    </w:p>
    <w:p>
      <w:pPr>
        <w:spacing w:line="480" w:lineRule="auto"/>
        <w:jc w:val="center"/>
      </w:pPr>
    </w:p>
    <w:p>
      <w:pPr>
        <w:spacing w:line="480" w:lineRule="auto"/>
        <w:jc w:val="center"/>
      </w:pPr>
      <w:r>
        <w:t>References</w:t>
      </w:r>
    </w:p>
    <w:p>
      <w:pPr>
        <w:spacing w:line="480" w:lineRule="auto"/>
        <w:ind w:left="720" w:hanging="720"/>
      </w:pPr>
      <w:r>
        <w:t>Ansoff, H.I., Kipley, D., Lewis, A.O., Helm-Stevens, R. and Ansoff, R., 2018. </w:t>
      </w:r>
      <w:r>
        <w:rPr>
          <w:i/>
          <w:iCs/>
        </w:rPr>
        <w:t>Implanting strategic management</w:t>
      </w:r>
      <w:r>
        <w:t>. Springer.</w:t>
      </w:r>
    </w:p>
    <w:p>
      <w:pPr>
        <w:spacing w:line="480" w:lineRule="auto"/>
        <w:ind w:left="720" w:hanging="720"/>
      </w:pPr>
      <w:r>
        <w:t>Bauman, A. A., &amp; Shcherbina, N. V. (2018). Millennials, technology, and cross-cultural communication. </w:t>
      </w:r>
      <w:r>
        <w:rPr>
          <w:i/>
          <w:iCs/>
        </w:rPr>
        <w:t>Journal of Higher Education Theory and Practice</w:t>
      </w:r>
      <w:r>
        <w:t>, </w:t>
      </w:r>
      <w:r>
        <w:rPr>
          <w:i/>
          <w:iCs/>
        </w:rPr>
        <w:t>18</w:t>
      </w:r>
      <w:r>
        <w:t>(3), 75-85.</w:t>
      </w:r>
    </w:p>
    <w:p>
      <w:pPr>
        <w:spacing w:line="480" w:lineRule="auto"/>
        <w:ind w:left="720" w:hanging="720"/>
      </w:pPr>
      <w:r>
        <w:t>Benattabou, D., 2020. On the Teaching and Learning of Culture-Loaded Words: The Case of Moroccan EFL Learners. </w:t>
      </w:r>
      <w:r>
        <w:rPr>
          <w:i/>
          <w:iCs/>
        </w:rPr>
        <w:t>International Journal of Linguistics and Translation Studies</w:t>
      </w:r>
      <w:r>
        <w:t>, </w:t>
      </w:r>
      <w:r>
        <w:rPr>
          <w:i/>
          <w:iCs/>
        </w:rPr>
        <w:t>1</w:t>
      </w:r>
      <w:r>
        <w:t>(3), pp.1-19.</w:t>
      </w:r>
    </w:p>
    <w:p>
      <w:pPr>
        <w:spacing w:line="480" w:lineRule="auto"/>
        <w:ind w:left="720" w:hanging="720"/>
      </w:pPr>
      <w:r>
        <w:t>Bindra, S., Parameswar, N. and Dhir, S., 2019. Strategic management: The evolution of the field. </w:t>
      </w:r>
      <w:r>
        <w:rPr>
          <w:i/>
          <w:iCs/>
        </w:rPr>
        <w:t>Strategic Change</w:t>
      </w:r>
      <w:r>
        <w:t>, </w:t>
      </w:r>
      <w:r>
        <w:rPr>
          <w:i/>
          <w:iCs/>
        </w:rPr>
        <w:t>28</w:t>
      </w:r>
      <w:r>
        <w:t>(6), pp.469-478.</w:t>
      </w:r>
    </w:p>
    <w:p>
      <w:pPr>
        <w:spacing w:line="480" w:lineRule="auto"/>
        <w:ind w:left="720" w:hanging="720"/>
      </w:pPr>
      <w:r>
        <w:t>El-Bassiouny, N., El-Bassiouny, D., Mohamed, E.K. and Basuony, M.A. eds., 2020. </w:t>
      </w:r>
      <w:r>
        <w:rPr>
          <w:i/>
          <w:iCs/>
        </w:rPr>
        <w:t>Ethics, CSR and Sustainability (ECSRS) Education in the Middle East and North Africa (MENA) Region: Conceptualization, Contextualization, and Empirical Evidence</w:t>
      </w:r>
      <w:r>
        <w:t>. Routledge.</w:t>
      </w:r>
    </w:p>
    <w:p>
      <w:pPr>
        <w:spacing w:line="480" w:lineRule="auto"/>
        <w:ind w:left="720" w:hanging="720"/>
      </w:pPr>
      <w:r>
        <w:t>Ferri, G., 2018. </w:t>
      </w:r>
      <w:r>
        <w:rPr>
          <w:i/>
          <w:iCs/>
        </w:rPr>
        <w:t>Intercultural communication: Critical approaches and future challenges</w:t>
      </w:r>
      <w:r>
        <w:t>. Springer.</w:t>
      </w:r>
    </w:p>
    <w:p>
      <w:pPr>
        <w:spacing w:line="480" w:lineRule="auto"/>
        <w:ind w:left="720" w:hanging="720"/>
      </w:pPr>
      <w:r>
        <w:t>Guo, Q., 2019. Competency in globalization and intercultural communication. </w:t>
      </w:r>
      <w:r>
        <w:rPr>
          <w:i/>
          <w:iCs/>
        </w:rPr>
        <w:t>The Wiley Handbook of Global Workplace Learning</w:t>
      </w:r>
      <w:r>
        <w:t>, pp.277-299.</w:t>
      </w:r>
    </w:p>
    <w:p>
      <w:pPr>
        <w:spacing w:line="480" w:lineRule="auto"/>
        <w:ind w:left="720" w:hanging="720"/>
      </w:pPr>
      <w:r>
        <w:t>Halualani, R.T., 2018. Demarcating the “critical” in critical intercultural communication studies. </w:t>
      </w:r>
      <w:r>
        <w:rPr>
          <w:i/>
          <w:iCs/>
        </w:rPr>
        <w:t>Critical intercultural communication pedagogy</w:t>
      </w:r>
      <w:r>
        <w:t>, pp.3-9.</w:t>
      </w:r>
    </w:p>
    <w:p>
      <w:pPr>
        <w:spacing w:line="480" w:lineRule="auto"/>
        <w:ind w:left="720" w:hanging="720"/>
      </w:pPr>
      <w:r>
        <w:t>Hes, A. and Švecová, M., 2021. The effects of globalization and the sharing economy on the intercultural communication of the young generation. In </w:t>
      </w:r>
      <w:r>
        <w:rPr>
          <w:i/>
          <w:iCs/>
        </w:rPr>
        <w:t>SHS Web of Conferences</w:t>
      </w:r>
      <w:r>
        <w:t> (Vol. 92). EDP Sciences.</w:t>
      </w:r>
    </w:p>
    <w:p>
      <w:pPr>
        <w:spacing w:line="480" w:lineRule="auto"/>
        <w:ind w:left="720" w:hanging="720"/>
      </w:pPr>
      <w:r>
        <w:t>Jamali, D. and Hossary, M., 2019. CSR logics in the Middle East. In </w:t>
      </w:r>
      <w:r>
        <w:rPr>
          <w:i/>
          <w:iCs/>
        </w:rPr>
        <w:t>Practising CSR in the Middle East</w:t>
      </w:r>
      <w:r>
        <w:t> (pp. 53-80). Palgrave Macmillan, Cham.</w:t>
      </w:r>
    </w:p>
    <w:p>
      <w:pPr>
        <w:spacing w:line="480" w:lineRule="auto"/>
        <w:ind w:left="720" w:hanging="720"/>
      </w:pPr>
      <w:r>
        <w:t>Jamali, D., Jain, T., Samara, G. and Zoghbi, E., 2020. How institutions affect CSR practices in the Middle East and North Africa: A critical review. </w:t>
      </w:r>
      <w:r>
        <w:rPr>
          <w:i/>
          <w:iCs/>
        </w:rPr>
        <w:t>Journal of World Business</w:t>
      </w:r>
      <w:r>
        <w:t>, </w:t>
      </w:r>
      <w:r>
        <w:rPr>
          <w:i/>
          <w:iCs/>
        </w:rPr>
        <w:t>55</w:t>
      </w:r>
      <w:r>
        <w:t>(5), p.101127.</w:t>
      </w:r>
    </w:p>
    <w:p>
      <w:pPr>
        <w:spacing w:line="480" w:lineRule="auto"/>
        <w:ind w:left="720" w:hanging="720"/>
      </w:pPr>
      <w:r>
        <w:t>Kim, Y.Y. and McKay-Semmler, K. eds., 2018. </w:t>
      </w:r>
      <w:r>
        <w:rPr>
          <w:i/>
          <w:iCs/>
        </w:rPr>
        <w:t>The international encyclopedia of intercultural communication</w:t>
      </w:r>
      <w:r>
        <w:t>. Chichester: Wiley Blackwell.</w:t>
      </w:r>
    </w:p>
    <w:p>
      <w:pPr>
        <w:spacing w:line="480" w:lineRule="auto"/>
        <w:ind w:left="720" w:hanging="720"/>
      </w:pPr>
      <w:r>
        <w:t>Klyukanov, I.E., 2020. </w:t>
      </w:r>
      <w:r>
        <w:rPr>
          <w:i/>
          <w:iCs/>
        </w:rPr>
        <w:t>Principles of intercultural communication</w:t>
      </w:r>
      <w:r>
        <w:t>. Routledge.</w:t>
      </w:r>
    </w:p>
    <w:p>
      <w:pPr>
        <w:spacing w:line="480" w:lineRule="auto"/>
        <w:ind w:left="720" w:hanging="720"/>
      </w:pPr>
      <w:r>
        <w:t>Kozlova, T., 2020, March. Efficiency of Business and Intercultural Communication: Multilingual Advertising Discourse. In </w:t>
      </w:r>
      <w:r>
        <w:rPr>
          <w:i/>
          <w:iCs/>
        </w:rPr>
        <w:t>III International Scientific Congress Society of Ambient Intelligence 2020 (ISC-SAI 2020)</w:t>
      </w:r>
      <w:r>
        <w:t> (pp. 272-278). Atlantis Press.</w:t>
      </w:r>
    </w:p>
    <w:p>
      <w:pPr>
        <w:spacing w:line="480" w:lineRule="auto"/>
        <w:ind w:left="720" w:hanging="720"/>
      </w:pPr>
      <w:r>
        <w:t>Luck, S.L. and Swartz, S., 2018. What's in a Word? Findings from Experiential Group Intercultural Communication Projects. </w:t>
      </w:r>
      <w:r>
        <w:rPr>
          <w:i/>
          <w:iCs/>
        </w:rPr>
        <w:t>Business Communication Research and Practice</w:t>
      </w:r>
      <w:r>
        <w:t>, </w:t>
      </w:r>
      <w:r>
        <w:rPr>
          <w:i/>
          <w:iCs/>
        </w:rPr>
        <w:t>1</w:t>
      </w:r>
      <w:r>
        <w:t>(2), pp.90-94.</w:t>
      </w:r>
    </w:p>
    <w:p>
      <w:pPr>
        <w:spacing w:line="480" w:lineRule="auto"/>
        <w:ind w:left="720" w:hanging="720"/>
      </w:pPr>
      <w:r>
        <w:t>Luck, S.L. and Swartz, S., 2020. The Textbook Didn’t Mention That: An Intercultural Experiential Exercise in Business Communication. </w:t>
      </w:r>
      <w:r>
        <w:rPr>
          <w:i/>
          <w:iCs/>
        </w:rPr>
        <w:t>Management Teaching Review</w:t>
      </w:r>
      <w:r>
        <w:t>, </w:t>
      </w:r>
      <w:r>
        <w:rPr>
          <w:i/>
          <w:iCs/>
        </w:rPr>
        <w:t>5</w:t>
      </w:r>
      <w:r>
        <w:t>(3), pp.231-245.</w:t>
      </w:r>
    </w:p>
    <w:p>
      <w:pPr>
        <w:spacing w:line="480" w:lineRule="auto"/>
        <w:ind w:left="720" w:hanging="720"/>
      </w:pPr>
      <w:r>
        <w:t>Maliki, S., Housni, H. and Biad, T., 2019. The Impact of Cultural Value Systems on Cross-Cultural Communication Success or Failure. </w:t>
      </w:r>
      <w:r>
        <w:rPr>
          <w:i/>
          <w:iCs/>
        </w:rPr>
        <w:t>International Journal of Innovation and Research in Educational Sciences</w:t>
      </w:r>
      <w:r>
        <w:t>, </w:t>
      </w:r>
      <w:r>
        <w:rPr>
          <w:i/>
          <w:iCs/>
        </w:rPr>
        <w:t>6</w:t>
      </w:r>
      <w:r>
        <w:t>(3), pp.459-473.</w:t>
      </w:r>
    </w:p>
    <w:p>
      <w:pPr>
        <w:spacing w:line="480" w:lineRule="auto"/>
        <w:ind w:left="720" w:hanging="720"/>
      </w:pPr>
      <w:r>
        <w:t>Metwalli, A.M. and Demello, J.P., 2020. The next merger and acquisition hot spot in the Middle East (2009–2018): An Update. </w:t>
      </w:r>
      <w:r>
        <w:rPr>
          <w:i/>
          <w:iCs/>
        </w:rPr>
        <w:t>Journal of Corporate Accounting &amp; Finance</w:t>
      </w:r>
      <w:r>
        <w:t>, </w:t>
      </w:r>
      <w:r>
        <w:rPr>
          <w:i/>
          <w:iCs/>
        </w:rPr>
        <w:t>31</w:t>
      </w:r>
      <w:r>
        <w:t>(3), pp.20-31.</w:t>
      </w:r>
    </w:p>
    <w:p>
      <w:pPr>
        <w:spacing w:line="480" w:lineRule="auto"/>
        <w:ind w:left="720" w:hanging="720"/>
      </w:pPr>
      <w:r>
        <w:t>Noels, K.A., Yashima, T. and Zhang, R., 2020. Language, identity, and intercultural communication. In </w:t>
      </w:r>
      <w:r>
        <w:rPr>
          <w:i/>
          <w:iCs/>
        </w:rPr>
        <w:t>The Routledge handbook of language and intercultural communication</w:t>
      </w:r>
      <w:r>
        <w:t> (pp. 55-69). Routledge.</w:t>
      </w:r>
    </w:p>
    <w:p>
      <w:pPr>
        <w:spacing w:line="480" w:lineRule="auto"/>
        <w:ind w:left="720" w:hanging="720"/>
      </w:pPr>
      <w:r>
        <w:t>Reiter, R.M. and Downing, R.H., 2020. Intercultural communication in a globalized world. In </w:t>
      </w:r>
      <w:r>
        <w:rPr>
          <w:i/>
          <w:iCs/>
        </w:rPr>
        <w:t>The Routledge Handbook of Spanish Pragmatics</w:t>
      </w:r>
      <w:r>
        <w:t> (pp. 305-320). Routledge.</w:t>
      </w:r>
    </w:p>
    <w:p>
      <w:pPr>
        <w:spacing w:line="480" w:lineRule="auto"/>
        <w:ind w:left="720" w:hanging="720"/>
      </w:pPr>
      <w:r>
        <w:t>Rothaermel, F.T., 2018. </w:t>
      </w:r>
      <w:r>
        <w:rPr>
          <w:i/>
          <w:iCs/>
        </w:rPr>
        <w:t>Strategic management: concepts</w:t>
      </w:r>
      <w:r>
        <w:t> (Vol. 2). Dubuque, IA: McGraw-Hill Education.</w:t>
      </w:r>
    </w:p>
    <w:p>
      <w:pPr>
        <w:spacing w:line="480" w:lineRule="auto"/>
        <w:ind w:left="720" w:hanging="720"/>
      </w:pPr>
      <w:r>
        <w:t>Satuna, R.K., 2019. Intercultural Communication: Social attributes, Promoting Components, Impacts and Challenges. </w:t>
      </w:r>
      <w:r>
        <w:rPr>
          <w:i/>
          <w:iCs/>
        </w:rPr>
        <w:t>Dev Sanskriti Interdisciplinary International Journal</w:t>
      </w:r>
      <w:r>
        <w:t>, </w:t>
      </w:r>
      <w:r>
        <w:rPr>
          <w:i/>
          <w:iCs/>
        </w:rPr>
        <w:t>14</w:t>
      </w:r>
      <w:r>
        <w:t>, pp.40-44.</w:t>
      </w:r>
    </w:p>
    <w:p>
      <w:pPr>
        <w:spacing w:line="480" w:lineRule="auto"/>
        <w:ind w:left="720" w:hanging="720"/>
      </w:pPr>
      <w:r>
        <w:t>Scherle, N., Pillmayer, M. and Braun, G., 2020. The Impacts of Neoliberal Tourism Development in the Arab World with Specific Reference to Morocco and Jordan. </w:t>
      </w:r>
      <w:r>
        <w:rPr>
          <w:i/>
          <w:iCs/>
        </w:rPr>
        <w:t>Zeitschrift für Tourismuswissenschaft</w:t>
      </w:r>
      <w:r>
        <w:t>, </w:t>
      </w:r>
      <w:r>
        <w:rPr>
          <w:i/>
          <w:iCs/>
        </w:rPr>
        <w:t>12</w:t>
      </w:r>
      <w:r>
        <w:t>(2), pp.184-205.</w:t>
      </w:r>
    </w:p>
    <w:p>
      <w:pPr>
        <w:spacing w:line="480" w:lineRule="auto"/>
        <w:ind w:left="720" w:hanging="720"/>
      </w:pPr>
      <w:r>
        <w:t>Suen, E. and Suen, B.A., 2019. </w:t>
      </w:r>
      <w:r>
        <w:rPr>
          <w:i/>
          <w:iCs/>
        </w:rPr>
        <w:t>Intercultural Communication: A Canadian Perspective</w:t>
      </w:r>
      <w:r>
        <w:t>. Canadian Scholars.</w:t>
      </w:r>
    </w:p>
    <w:p>
      <w:pPr>
        <w:spacing w:line="480" w:lineRule="auto"/>
        <w:ind w:left="720" w:hanging="720"/>
      </w:pPr>
      <w:r>
        <w:t>Szobonya, P. and Roche, C., 2021. Intercultural youth: the global generation and virtual exchange. </w:t>
      </w:r>
      <w:r>
        <w:rPr>
          <w:i/>
          <w:iCs/>
        </w:rPr>
        <w:t>Virtual exchange: towards digital equity in internationalisation</w:t>
      </w:r>
      <w:r>
        <w:t>, pp.17-28.</w:t>
      </w:r>
    </w:p>
    <w:p>
      <w:pPr>
        <w:spacing w:line="480" w:lineRule="auto"/>
        <w:ind w:left="720" w:hanging="720"/>
      </w:pPr>
      <w:r>
        <w:t>Taiebine, M. and Doukkali, A., 2018. Reflection in the Implementation of Intercultural Communication Skills in Speech and Language Pathology Classes in Morocco. </w:t>
      </w:r>
      <w:r>
        <w:rPr>
          <w:i/>
          <w:iCs/>
        </w:rPr>
        <w:t>American Journal of Educational Science</w:t>
      </w:r>
      <w:r>
        <w:t>, </w:t>
      </w:r>
      <w:r>
        <w:rPr>
          <w:i/>
          <w:iCs/>
        </w:rPr>
        <w:t>4</w:t>
      </w:r>
      <w:r>
        <w:t>(4), pp.122-126.</w:t>
      </w:r>
    </w:p>
    <w:p>
      <w:pPr>
        <w:spacing w:line="480" w:lineRule="auto"/>
        <w:ind w:left="720" w:hanging="720"/>
      </w:pPr>
      <w:r>
        <w:t>Valeri, M., 2021. </w:t>
      </w:r>
      <w:r>
        <w:rPr>
          <w:i/>
          <w:iCs/>
        </w:rPr>
        <w:t>Organizational Studies: Implications for the Strategic Management</w:t>
      </w:r>
      <w:r>
        <w:t>. Springer Nature.</w:t>
      </w:r>
    </w:p>
    <w:p>
      <w:pPr>
        <w:spacing w:line="480" w:lineRule="auto"/>
        <w:ind w:left="720" w:hanging="720"/>
      </w:pPr>
      <w:r>
        <w:t>Velikorossov, V.V., Genkin, E.V., Balakhanova, D.K., Sidorov, M.N., Maksimov, M.I., Sulimova, E.A. and Loshkov, B.D., 2020. Strategic management.</w:t>
      </w:r>
    </w:p>
    <w:p>
      <w:pPr>
        <w:spacing w:line="480" w:lineRule="auto"/>
        <w:ind w:left="720" w:hanging="720"/>
      </w:pPr>
      <w:r>
        <w:t>Vu, T.N., 2019. Theoretical Constructs and Practical Strategies for Intercultural Communication. </w:t>
      </w:r>
      <w:r>
        <w:rPr>
          <w:i/>
          <w:iCs/>
        </w:rPr>
        <w:t>Journal of Curriculum Studies Research</w:t>
      </w:r>
      <w:r>
        <w:t>, </w:t>
      </w:r>
      <w:r>
        <w:rPr>
          <w:i/>
          <w:iCs/>
        </w:rPr>
        <w:t>1</w:t>
      </w:r>
      <w:r>
        <w:t>(1), pp.43-53.</w:t>
      </w:r>
    </w:p>
    <w:p>
      <w:pPr>
        <w:spacing w:line="480" w:lineRule="auto"/>
        <w:ind w:left="720" w:hanging="720"/>
      </w:pPr>
      <w:r>
        <w:t>Zakaria, N., Yusof, S.A.M. and Muton, N.A.R., 2020. It is certainly a different manner!: Working in global virtual teams with divergent intercultural communication styles. In </w:t>
      </w:r>
      <w:r>
        <w:rPr>
          <w:i/>
          <w:iCs/>
        </w:rPr>
        <w:t>Cultural factors and performance in 21st century businesses</w:t>
      </w:r>
      <w:r>
        <w:t> (pp. 68-89). IGI Global.</w:t>
      </w:r>
    </w:p>
    <w:p>
      <w:pPr>
        <w:spacing w:line="480" w:lineRule="auto"/>
      </w:pPr>
      <w:r>
        <w:t xml:space="preserve">   </w: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fldChar w:fldCharType="begin"/>
    </w:r>
    <w:r>
      <w:instrText xml:space="preserve"> PAGE   \* MERGEFORMAT </w:instrText>
    </w:r>
    <w:r>
      <w:fldChar w:fldCharType="separate"/>
    </w:r>
    <w:r>
      <w:t>14</w:t>
    </w:r>
    <w:r>
      <w:fldChar w:fldCharType="end"/>
    </w:r>
  </w:p>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8475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Calibri" w:cs="宋体"/>
      <w:sz w:val="24"/>
      <w:szCs w:val="24"/>
      <w:lang w:val="en-US" w:eastAsia="en-US" w:bidi="ar-SA"/>
    </w:rPr>
  </w:style>
  <w:style w:type="character" w:default="1" w:styleId="5">
    <w:name w:val="Default Paragraph Font"/>
    <w:uiPriority w:val="1"/>
  </w:style>
  <w:style w:type="table" w:default="1" w:styleId="4">
    <w:name w:val="Normal Table"/>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680"/>
        <w:tab w:val="right" w:pos="9360"/>
      </w:tabs>
      <w:spacing w:after="0" w:line="240" w:lineRule="auto"/>
    </w:pPr>
  </w:style>
  <w:style w:type="paragraph" w:styleId="3">
    <w:name w:val="header"/>
    <w:basedOn w:val="1"/>
    <w:link w:val="6"/>
    <w:qFormat/>
    <w:uiPriority w:val="99"/>
    <w:pPr>
      <w:tabs>
        <w:tab w:val="center" w:pos="4680"/>
        <w:tab w:val="right" w:pos="9360"/>
      </w:tabs>
      <w:spacing w:after="0" w:line="240" w:lineRule="auto"/>
    </w:pPr>
  </w:style>
  <w:style w:type="character" w:customStyle="1" w:styleId="6">
    <w:name w:val="Header Char_78cf9454-9189-4864-b189-475acd7681f2"/>
    <w:basedOn w:val="5"/>
    <w:link w:val="3"/>
    <w:qFormat/>
    <w:uiPriority w:val="99"/>
  </w:style>
  <w:style w:type="character" w:customStyle="1" w:styleId="7">
    <w:name w:val="Footer Char_c20b3f61-3b7e-4a8f-bad3-ba65edd23e2f"/>
    <w:basedOn w:val="5"/>
    <w:link w:val="2"/>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3311</Words>
  <Characters>18531</Characters>
  <Paragraphs>87</Paragraphs>
  <TotalTime>251</TotalTime>
  <ScaleCrop>false</ScaleCrop>
  <LinksUpToDate>false</LinksUpToDate>
  <CharactersWithSpaces>21781</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2022-01-07T15:00:00Z</dcterms:created>
  <dc:creator>Windows User</dc:creator>
  <cp:lastModifiedBy>驳壳枪</cp:lastModifiedBy>
  <dcterms:modified xsi:type="dcterms:W3CDTF">2022-01-07T21:17:55Z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C9380839D2804621B5F1DF0791B79DC9</vt:lpwstr>
  </property>
  <property fmtid="{D5CDD505-2E9C-101B-9397-08002B2CF9AE}" pid="3" name="KSOProductBuildVer">
    <vt:lpwstr>2052-11.1.0.11194</vt:lpwstr>
  </property>
</Properties>
</file>