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59F62" w14:textId="77777777" w:rsidR="003E5CDE" w:rsidRPr="006A61C2" w:rsidRDefault="003E5CDE" w:rsidP="006A61C2"/>
    <w:p w14:paraId="482E4F17" w14:textId="77777777" w:rsidR="00C34B31" w:rsidRPr="006A61C2" w:rsidRDefault="00C34B31" w:rsidP="006A61C2">
      <w:r w:rsidRPr="006A61C2">
        <w:rPr>
          <w:noProof/>
        </w:rPr>
        <w:drawing>
          <wp:inline distT="0" distB="0" distL="85723" distR="85723" wp14:anchorId="233F7BED" wp14:editId="5581E8F8">
            <wp:extent cx="2650417" cy="969560"/>
            <wp:effectExtent l="0" t="0" r="0" b="0"/>
            <wp:docPr id="420514022" name="Picture 42051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9"/>
                    <a:stretch>
                      <a:fillRect/>
                    </a:stretch>
                  </pic:blipFill>
                  <pic:spPr>
                    <a:xfrm>
                      <a:off x="0" y="0"/>
                      <a:ext cx="2650417" cy="969560"/>
                    </a:xfrm>
                    <a:prstGeom prst="rect">
                      <a:avLst/>
                    </a:prstGeom>
                    <a:noFill/>
                    <a:ln w="12700" cap="flat" cmpd="sng">
                      <a:noFill/>
                      <a:prstDash val="solid"/>
                      <a:miter/>
                    </a:ln>
                  </pic:spPr>
                </pic:pic>
              </a:graphicData>
            </a:graphic>
          </wp:inline>
        </w:drawing>
      </w:r>
    </w:p>
    <w:p w14:paraId="339CFE12" w14:textId="77777777" w:rsidR="00C34B31" w:rsidRPr="006A61C2" w:rsidRDefault="00C34B31" w:rsidP="006A61C2"/>
    <w:p w14:paraId="28CBD4C7" w14:textId="77777777" w:rsidR="00C34B31" w:rsidRPr="006A61C2" w:rsidRDefault="00C34B31" w:rsidP="006A61C2"/>
    <w:p w14:paraId="2EAEA0C6" w14:textId="77777777" w:rsidR="00C34B31" w:rsidRPr="006A61C2" w:rsidRDefault="00C34B31" w:rsidP="006A61C2"/>
    <w:p w14:paraId="7C5A9488" w14:textId="77777777" w:rsidR="00C34B31" w:rsidRPr="006A61C2" w:rsidRDefault="00C34B31" w:rsidP="006A61C2"/>
    <w:p w14:paraId="3A0125FC" w14:textId="77777777" w:rsidR="00C34B31" w:rsidRPr="006A61C2" w:rsidRDefault="00C34B31" w:rsidP="006A61C2"/>
    <w:p w14:paraId="591B02B2" w14:textId="77777777" w:rsidR="00C34B31" w:rsidRPr="006A61C2" w:rsidRDefault="00C34B31" w:rsidP="006A61C2"/>
    <w:p w14:paraId="4F3C2DF1" w14:textId="3A7C9135" w:rsidR="00917B2B" w:rsidRPr="006A61C2" w:rsidRDefault="009813FD" w:rsidP="006A61C2">
      <w:pPr>
        <w:rPr>
          <w:b/>
          <w:bCs/>
        </w:rPr>
      </w:pPr>
      <w:r w:rsidRPr="006A61C2">
        <w:rPr>
          <w:b/>
          <w:bCs/>
        </w:rPr>
        <w:t>PRACTICE-BASED</w:t>
      </w:r>
      <w:r w:rsidR="008F1200" w:rsidRPr="006A61C2">
        <w:rPr>
          <w:b/>
          <w:bCs/>
        </w:rPr>
        <w:t xml:space="preserve"> RESEARCH</w:t>
      </w:r>
      <w:r w:rsidR="00917B2B" w:rsidRPr="006A61C2">
        <w:rPr>
          <w:b/>
          <w:bCs/>
        </w:rPr>
        <w:t xml:space="preserve"> </w:t>
      </w:r>
    </w:p>
    <w:p w14:paraId="7C4351CF" w14:textId="620AB12E" w:rsidR="00C34B31" w:rsidRPr="006A61C2" w:rsidRDefault="00917B2B" w:rsidP="006A61C2">
      <w:pPr>
        <w:rPr>
          <w:b/>
          <w:bCs/>
        </w:rPr>
      </w:pPr>
      <w:r w:rsidRPr="006A61C2">
        <w:rPr>
          <w:b/>
          <w:bCs/>
        </w:rPr>
        <w:t xml:space="preserve"> </w:t>
      </w:r>
      <w:r w:rsidR="00C34B31" w:rsidRPr="006A61C2">
        <w:rPr>
          <w:b/>
          <w:bCs/>
        </w:rPr>
        <w:t>ASSESSMENT 2</w:t>
      </w:r>
    </w:p>
    <w:p w14:paraId="3DA668A9" w14:textId="328A2A96" w:rsidR="00C34B31" w:rsidRPr="006A61C2" w:rsidRDefault="009813FD" w:rsidP="006A61C2">
      <w:pPr>
        <w:rPr>
          <w:b/>
          <w:bCs/>
        </w:rPr>
      </w:pPr>
      <w:r w:rsidRPr="006A61C2">
        <w:rPr>
          <w:b/>
          <w:bCs/>
        </w:rPr>
        <w:t>COMPONENT</w:t>
      </w:r>
      <w:r w:rsidR="008F1200" w:rsidRPr="006A61C2">
        <w:rPr>
          <w:b/>
          <w:bCs/>
        </w:rPr>
        <w:t xml:space="preserve"> 2 WRITTEN </w:t>
      </w:r>
      <w:r w:rsidR="00C34B31" w:rsidRPr="006A61C2">
        <w:rPr>
          <w:b/>
          <w:bCs/>
        </w:rPr>
        <w:t>REPORT</w:t>
      </w:r>
    </w:p>
    <w:p w14:paraId="3409FBFA" w14:textId="77777777" w:rsidR="00C34B31" w:rsidRPr="006A61C2" w:rsidRDefault="00C34B31" w:rsidP="006A61C2"/>
    <w:p w14:paraId="7E1484D3" w14:textId="77777777" w:rsidR="00C34B31" w:rsidRPr="006A61C2" w:rsidRDefault="00C34B31" w:rsidP="006A61C2"/>
    <w:p w14:paraId="74389F24" w14:textId="77777777" w:rsidR="00C34B31" w:rsidRPr="006A61C2" w:rsidRDefault="00C34B31" w:rsidP="006A61C2"/>
    <w:p w14:paraId="3B3E1819" w14:textId="77777777" w:rsidR="00C34B31" w:rsidRPr="006A61C2" w:rsidRDefault="00C34B31" w:rsidP="006A61C2"/>
    <w:p w14:paraId="582F3FD6" w14:textId="77777777" w:rsidR="00C34B31" w:rsidRPr="006A61C2" w:rsidRDefault="00C34B31" w:rsidP="006A61C2"/>
    <w:p w14:paraId="27B0DCE5" w14:textId="2C30F8AF" w:rsidR="00C34B31" w:rsidRPr="006A61C2" w:rsidRDefault="00F9427A" w:rsidP="006A61C2">
      <w:r w:rsidRPr="006A61C2">
        <w:t>Program</w:t>
      </w:r>
      <w:r w:rsidR="00C34B31" w:rsidRPr="006A61C2">
        <w:t>: MSc Public Health and Social Care in Practice</w:t>
      </w:r>
      <w:r w:rsidR="008F1200" w:rsidRPr="006A61C2">
        <w:t xml:space="preserve"> Term-2</w:t>
      </w:r>
    </w:p>
    <w:p w14:paraId="47170319" w14:textId="5382E2F4" w:rsidR="00C34B31" w:rsidRPr="006A61C2" w:rsidRDefault="00C34B31" w:rsidP="006A61C2">
      <w:r w:rsidRPr="006A61C2">
        <w:t xml:space="preserve">Module name: </w:t>
      </w:r>
      <w:r w:rsidR="00C40B18">
        <w:t>practice-based research</w:t>
      </w:r>
    </w:p>
    <w:p w14:paraId="58DEC1FA" w14:textId="78E4E81E" w:rsidR="00C34B31" w:rsidRPr="006A61C2" w:rsidRDefault="00C34B31" w:rsidP="006A61C2">
      <w:r w:rsidRPr="006A61C2">
        <w:t>Module code:</w:t>
      </w:r>
      <w:r w:rsidR="00C40B18">
        <w:t xml:space="preserve"> LCHHS7001</w:t>
      </w:r>
    </w:p>
    <w:p w14:paraId="74C4833C" w14:textId="7D03DFF0" w:rsidR="00C34B31" w:rsidRPr="006A61C2" w:rsidRDefault="00C34B31" w:rsidP="006A61C2">
      <w:r w:rsidRPr="006A61C2">
        <w:t xml:space="preserve">Student name: </w:t>
      </w:r>
      <w:r w:rsidR="00C40B18">
        <w:t>YAGNESHKUMAR NANDLAL PUMBHADIYA</w:t>
      </w:r>
    </w:p>
    <w:p w14:paraId="31EB98D2" w14:textId="0F9F5992" w:rsidR="00C34B31" w:rsidRPr="006A61C2" w:rsidRDefault="00C34B31" w:rsidP="006A61C2">
      <w:r w:rsidRPr="006A61C2">
        <w:t xml:space="preserve">Student ID: </w:t>
      </w:r>
      <w:r w:rsidR="00C40B18">
        <w:t>2308088</w:t>
      </w:r>
    </w:p>
    <w:p w14:paraId="36528C3A" w14:textId="14DC05CD" w:rsidR="00C34B31" w:rsidRPr="006A61C2" w:rsidRDefault="00C34B31" w:rsidP="006A61C2">
      <w:r w:rsidRPr="006A61C2">
        <w:t xml:space="preserve">Lecturer: </w:t>
      </w:r>
      <w:r w:rsidR="00C40B18">
        <w:t>DR DIOLA BIJIHOUT</w:t>
      </w:r>
    </w:p>
    <w:p w14:paraId="2A3BF653" w14:textId="77777777" w:rsidR="00CF40AC" w:rsidRPr="006A61C2" w:rsidRDefault="00CF40AC" w:rsidP="006A61C2"/>
    <w:p w14:paraId="2966A9EA" w14:textId="77777777" w:rsidR="00CF40AC" w:rsidRPr="006A61C2" w:rsidRDefault="00CF40AC" w:rsidP="006A61C2"/>
    <w:p w14:paraId="7BFBC623" w14:textId="77777777" w:rsidR="00CF40AC" w:rsidRPr="006A61C2" w:rsidRDefault="00CF40AC" w:rsidP="006A61C2"/>
    <w:p w14:paraId="1B007830" w14:textId="77777777" w:rsidR="00CF40AC" w:rsidRPr="006A61C2" w:rsidRDefault="00CF40AC" w:rsidP="006A61C2"/>
    <w:p w14:paraId="1A2458BD" w14:textId="77777777" w:rsidR="00BE4FB6" w:rsidRPr="006A61C2" w:rsidRDefault="00BE4FB6" w:rsidP="006A61C2"/>
    <w:p w14:paraId="12B79DE4" w14:textId="77777777" w:rsidR="00BE4FB6" w:rsidRPr="006A61C2" w:rsidRDefault="00BE4FB6" w:rsidP="006A61C2"/>
    <w:p w14:paraId="55685E86" w14:textId="77777777" w:rsidR="00BE4FB6" w:rsidRPr="006A61C2" w:rsidRDefault="00BE4FB6" w:rsidP="006A61C2"/>
    <w:p w14:paraId="1783C6D6" w14:textId="77777777" w:rsidR="00BE4FB6" w:rsidRPr="006A61C2" w:rsidRDefault="00BE4FB6" w:rsidP="006A61C2"/>
    <w:p w14:paraId="39DAE0E8" w14:textId="6A39F8CD" w:rsidR="00CF40AC" w:rsidRPr="004A15F6" w:rsidRDefault="00CF40AC" w:rsidP="004A15F6">
      <w:pPr>
        <w:pStyle w:val="TOC1"/>
      </w:pPr>
      <w:r w:rsidRPr="004A15F6">
        <w:lastRenderedPageBreak/>
        <w:t xml:space="preserve">TABLE OF </w:t>
      </w:r>
      <w:r w:rsidR="00F600C6" w:rsidRPr="004A15F6">
        <w:t>CONTENTS</w:t>
      </w:r>
    </w:p>
    <w:p w14:paraId="6FC767B7" w14:textId="77777777" w:rsidR="00CF40AC" w:rsidRPr="006A61C2" w:rsidRDefault="00CF40AC" w:rsidP="004A15F6">
      <w:pPr>
        <w:pStyle w:val="TOC1"/>
      </w:pPr>
    </w:p>
    <w:p w14:paraId="55E0EE3D" w14:textId="7ECB1D84" w:rsidR="004A15F6" w:rsidRPr="004A15F6" w:rsidRDefault="00CF40AC" w:rsidP="004A15F6">
      <w:pPr>
        <w:pStyle w:val="TOC1"/>
        <w:rPr>
          <w:rFonts w:eastAsiaTheme="minorEastAsia"/>
          <w:noProof/>
          <w:kern w:val="2"/>
          <w:lang w:val="en-IN" w:bidi="gu-IN"/>
          <w14:ligatures w14:val="standardContextual"/>
        </w:rPr>
      </w:pPr>
      <w:r w:rsidRPr="004A15F6">
        <w:fldChar w:fldCharType="begin"/>
      </w:r>
      <w:r w:rsidRPr="004A15F6">
        <w:instrText xml:space="preserve"> TOC \o "1-3" \h \z \u </w:instrText>
      </w:r>
      <w:r w:rsidRPr="004A15F6">
        <w:fldChar w:fldCharType="separate"/>
      </w:r>
      <w:hyperlink w:anchor="_Toc164032645" w:history="1">
        <w:r w:rsidR="004A15F6" w:rsidRPr="004A15F6">
          <w:rPr>
            <w:rStyle w:val="Hyperlink"/>
            <w:b w:val="0"/>
            <w:bCs w:val="0"/>
            <w:noProof/>
            <w:sz w:val="22"/>
            <w:szCs w:val="22"/>
          </w:rPr>
          <w:t>INTRODUCTION / LITERATURE BASED BACKGROUND</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_Toc164032645 \h </w:instrText>
        </w:r>
        <w:r w:rsidR="004A15F6" w:rsidRPr="004A15F6">
          <w:rPr>
            <w:noProof/>
            <w:webHidden/>
          </w:rPr>
        </w:r>
        <w:r w:rsidR="004A15F6" w:rsidRPr="004A15F6">
          <w:rPr>
            <w:noProof/>
            <w:webHidden/>
          </w:rPr>
          <w:fldChar w:fldCharType="separate"/>
        </w:r>
        <w:r w:rsidR="004A15F6" w:rsidRPr="004A15F6">
          <w:rPr>
            <w:noProof/>
            <w:webHidden/>
          </w:rPr>
          <w:t>4</w:t>
        </w:r>
        <w:r w:rsidR="004A15F6" w:rsidRPr="004A15F6">
          <w:rPr>
            <w:noProof/>
            <w:webHidden/>
          </w:rPr>
          <w:fldChar w:fldCharType="end"/>
        </w:r>
      </w:hyperlink>
    </w:p>
    <w:p w14:paraId="31206E15" w14:textId="69E0F540" w:rsidR="004A15F6" w:rsidRPr="004A15F6" w:rsidRDefault="00000000" w:rsidP="004A15F6">
      <w:pPr>
        <w:pStyle w:val="TOC1"/>
        <w:rPr>
          <w:rFonts w:eastAsiaTheme="minorEastAsia"/>
          <w:noProof/>
          <w:kern w:val="2"/>
          <w:lang w:val="en-IN" w:bidi="gu-IN"/>
          <w14:ligatures w14:val="standardContextual"/>
        </w:rPr>
      </w:pPr>
      <w:hyperlink w:anchor="_Toc164032646" w:history="1">
        <w:r w:rsidR="004A15F6" w:rsidRPr="004A15F6">
          <w:rPr>
            <w:rStyle w:val="Hyperlink"/>
            <w:b w:val="0"/>
            <w:bCs w:val="0"/>
            <w:noProof/>
            <w:sz w:val="22"/>
            <w:szCs w:val="22"/>
          </w:rPr>
          <w:t>AIM AND OBJECTIVE OF STUDY</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_Toc164032646 \h </w:instrText>
        </w:r>
        <w:r w:rsidR="004A15F6" w:rsidRPr="004A15F6">
          <w:rPr>
            <w:noProof/>
            <w:webHidden/>
          </w:rPr>
        </w:r>
        <w:r w:rsidR="004A15F6" w:rsidRPr="004A15F6">
          <w:rPr>
            <w:noProof/>
            <w:webHidden/>
          </w:rPr>
          <w:fldChar w:fldCharType="separate"/>
        </w:r>
        <w:r w:rsidR="004A15F6" w:rsidRPr="004A15F6">
          <w:rPr>
            <w:noProof/>
            <w:webHidden/>
          </w:rPr>
          <w:t>5</w:t>
        </w:r>
        <w:r w:rsidR="004A15F6" w:rsidRPr="004A15F6">
          <w:rPr>
            <w:noProof/>
            <w:webHidden/>
          </w:rPr>
          <w:fldChar w:fldCharType="end"/>
        </w:r>
      </w:hyperlink>
    </w:p>
    <w:p w14:paraId="442BEB5A" w14:textId="3A9CDF87" w:rsidR="004A15F6" w:rsidRPr="004A15F6" w:rsidRDefault="00000000" w:rsidP="004A15F6">
      <w:pPr>
        <w:pStyle w:val="TOC1"/>
        <w:rPr>
          <w:rFonts w:eastAsiaTheme="minorEastAsia"/>
          <w:noProof/>
          <w:kern w:val="2"/>
          <w:lang w:val="en-IN" w:bidi="gu-IN"/>
          <w14:ligatures w14:val="standardContextual"/>
        </w:rPr>
      </w:pPr>
      <w:hyperlink w:anchor="_Toc164032647" w:history="1">
        <w:r w:rsidR="004A15F6" w:rsidRPr="004A15F6">
          <w:rPr>
            <w:rStyle w:val="Hyperlink"/>
            <w:b w:val="0"/>
            <w:bCs w:val="0"/>
            <w:noProof/>
            <w:sz w:val="22"/>
            <w:szCs w:val="22"/>
          </w:rPr>
          <w:t>OVERVIEW</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_Toc164032647 \h </w:instrText>
        </w:r>
        <w:r w:rsidR="004A15F6" w:rsidRPr="004A15F6">
          <w:rPr>
            <w:noProof/>
            <w:webHidden/>
          </w:rPr>
        </w:r>
        <w:r w:rsidR="004A15F6" w:rsidRPr="004A15F6">
          <w:rPr>
            <w:noProof/>
            <w:webHidden/>
          </w:rPr>
          <w:fldChar w:fldCharType="separate"/>
        </w:r>
        <w:r w:rsidR="004A15F6" w:rsidRPr="004A15F6">
          <w:rPr>
            <w:noProof/>
            <w:webHidden/>
          </w:rPr>
          <w:t>5</w:t>
        </w:r>
        <w:r w:rsidR="004A15F6" w:rsidRPr="004A15F6">
          <w:rPr>
            <w:noProof/>
            <w:webHidden/>
          </w:rPr>
          <w:fldChar w:fldCharType="end"/>
        </w:r>
      </w:hyperlink>
    </w:p>
    <w:p w14:paraId="63F0BFB9" w14:textId="398B3B1D" w:rsidR="004A15F6" w:rsidRPr="004A15F6" w:rsidRDefault="00000000" w:rsidP="004A15F6">
      <w:pPr>
        <w:pStyle w:val="TOC1"/>
        <w:rPr>
          <w:rFonts w:eastAsiaTheme="minorEastAsia"/>
          <w:noProof/>
          <w:kern w:val="2"/>
          <w:lang w:val="en-IN" w:bidi="gu-IN"/>
          <w14:ligatures w14:val="standardContextual"/>
        </w:rPr>
      </w:pPr>
      <w:hyperlink w:anchor="_Toc164032648" w:history="1">
        <w:r w:rsidR="004A15F6" w:rsidRPr="004A15F6">
          <w:rPr>
            <w:rStyle w:val="Hyperlink"/>
            <w:b w:val="0"/>
            <w:bCs w:val="0"/>
            <w:noProof/>
            <w:sz w:val="22"/>
            <w:szCs w:val="22"/>
          </w:rPr>
          <w:t>RATIONAL</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_Toc164032648 \h </w:instrText>
        </w:r>
        <w:r w:rsidR="004A15F6" w:rsidRPr="004A15F6">
          <w:rPr>
            <w:noProof/>
            <w:webHidden/>
          </w:rPr>
        </w:r>
        <w:r w:rsidR="004A15F6" w:rsidRPr="004A15F6">
          <w:rPr>
            <w:noProof/>
            <w:webHidden/>
          </w:rPr>
          <w:fldChar w:fldCharType="separate"/>
        </w:r>
        <w:r w:rsidR="004A15F6" w:rsidRPr="004A15F6">
          <w:rPr>
            <w:noProof/>
            <w:webHidden/>
          </w:rPr>
          <w:t>6</w:t>
        </w:r>
        <w:r w:rsidR="004A15F6" w:rsidRPr="004A15F6">
          <w:rPr>
            <w:noProof/>
            <w:webHidden/>
          </w:rPr>
          <w:fldChar w:fldCharType="end"/>
        </w:r>
      </w:hyperlink>
    </w:p>
    <w:p w14:paraId="25F808DB" w14:textId="66442F30" w:rsidR="004A15F6" w:rsidRPr="004A15F6" w:rsidRDefault="00000000" w:rsidP="004A15F6">
      <w:pPr>
        <w:pStyle w:val="TOC1"/>
        <w:rPr>
          <w:rFonts w:eastAsiaTheme="minorEastAsia"/>
          <w:noProof/>
          <w:kern w:val="2"/>
          <w:lang w:val="en-IN" w:bidi="gu-IN"/>
          <w14:ligatures w14:val="standardContextual"/>
        </w:rPr>
      </w:pPr>
      <w:hyperlink w:anchor="_Toc164032649" w:history="1">
        <w:r w:rsidR="004A15F6" w:rsidRPr="004A15F6">
          <w:rPr>
            <w:rStyle w:val="Hyperlink"/>
            <w:b w:val="0"/>
            <w:bCs w:val="0"/>
            <w:noProof/>
            <w:sz w:val="22"/>
            <w:szCs w:val="22"/>
          </w:rPr>
          <w:t>RESEARCH QUESTION</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_Toc164032649 \h </w:instrText>
        </w:r>
        <w:r w:rsidR="004A15F6" w:rsidRPr="004A15F6">
          <w:rPr>
            <w:noProof/>
            <w:webHidden/>
          </w:rPr>
        </w:r>
        <w:r w:rsidR="004A15F6" w:rsidRPr="004A15F6">
          <w:rPr>
            <w:noProof/>
            <w:webHidden/>
          </w:rPr>
          <w:fldChar w:fldCharType="separate"/>
        </w:r>
        <w:r w:rsidR="004A15F6" w:rsidRPr="004A15F6">
          <w:rPr>
            <w:noProof/>
            <w:webHidden/>
          </w:rPr>
          <w:t>6</w:t>
        </w:r>
        <w:r w:rsidR="004A15F6" w:rsidRPr="004A15F6">
          <w:rPr>
            <w:noProof/>
            <w:webHidden/>
          </w:rPr>
          <w:fldChar w:fldCharType="end"/>
        </w:r>
      </w:hyperlink>
    </w:p>
    <w:p w14:paraId="37787B92" w14:textId="0315502B" w:rsidR="004A15F6" w:rsidRPr="004A15F6" w:rsidRDefault="00000000" w:rsidP="004A15F6">
      <w:pPr>
        <w:pStyle w:val="TOC1"/>
        <w:rPr>
          <w:rFonts w:eastAsiaTheme="minorEastAsia"/>
          <w:noProof/>
          <w:kern w:val="2"/>
          <w:lang w:val="en-IN" w:bidi="gu-IN"/>
          <w14:ligatures w14:val="standardContextual"/>
        </w:rPr>
      </w:pPr>
      <w:hyperlink w:anchor="_Toc164032650" w:history="1">
        <w:r w:rsidR="004A15F6" w:rsidRPr="004A15F6">
          <w:rPr>
            <w:rStyle w:val="Hyperlink"/>
            <w:b w:val="0"/>
            <w:bCs w:val="0"/>
            <w:noProof/>
            <w:sz w:val="22"/>
            <w:szCs w:val="22"/>
          </w:rPr>
          <w:t>RESEARCH METHODOLOGY</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_Toc164032650 \h </w:instrText>
        </w:r>
        <w:r w:rsidR="004A15F6" w:rsidRPr="004A15F6">
          <w:rPr>
            <w:noProof/>
            <w:webHidden/>
          </w:rPr>
        </w:r>
        <w:r w:rsidR="004A15F6" w:rsidRPr="004A15F6">
          <w:rPr>
            <w:noProof/>
            <w:webHidden/>
          </w:rPr>
          <w:fldChar w:fldCharType="separate"/>
        </w:r>
        <w:r w:rsidR="004A15F6" w:rsidRPr="004A15F6">
          <w:rPr>
            <w:noProof/>
            <w:webHidden/>
          </w:rPr>
          <w:t>6</w:t>
        </w:r>
        <w:r w:rsidR="004A15F6" w:rsidRPr="004A15F6">
          <w:rPr>
            <w:noProof/>
            <w:webHidden/>
          </w:rPr>
          <w:fldChar w:fldCharType="end"/>
        </w:r>
      </w:hyperlink>
    </w:p>
    <w:p w14:paraId="24296ADB" w14:textId="3089311C" w:rsidR="004A15F6" w:rsidRPr="004A15F6" w:rsidRDefault="00000000">
      <w:pPr>
        <w:pStyle w:val="TOC2"/>
        <w:tabs>
          <w:tab w:val="right" w:leader="dot" w:pos="9350"/>
        </w:tabs>
        <w:rPr>
          <w:rFonts w:ascii="Arial" w:eastAsiaTheme="minorEastAsia" w:hAnsi="Arial" w:cs="Arial"/>
          <w:smallCaps w:val="0"/>
          <w:noProof/>
          <w:kern w:val="2"/>
          <w:sz w:val="22"/>
          <w:szCs w:val="22"/>
          <w:lang w:val="en-IN" w:bidi="gu-IN"/>
          <w14:ligatures w14:val="standardContextual"/>
        </w:rPr>
      </w:pPr>
      <w:hyperlink w:anchor="_Toc164032651" w:history="1">
        <w:r w:rsidR="004A15F6" w:rsidRPr="004A15F6">
          <w:rPr>
            <w:rStyle w:val="Hyperlink"/>
            <w:rFonts w:ascii="Arial" w:hAnsi="Arial" w:cs="Arial"/>
            <w:noProof/>
            <w:sz w:val="22"/>
            <w:szCs w:val="22"/>
          </w:rPr>
          <w:t>RECRUITMENT:</w:t>
        </w:r>
        <w:r w:rsidR="004A15F6" w:rsidRPr="004A15F6">
          <w:rPr>
            <w:rFonts w:ascii="Arial" w:hAnsi="Arial" w:cs="Arial"/>
            <w:noProof/>
            <w:webHidden/>
            <w:sz w:val="22"/>
            <w:szCs w:val="22"/>
          </w:rPr>
          <w:tab/>
        </w:r>
        <w:r w:rsidR="004A15F6" w:rsidRPr="004A15F6">
          <w:rPr>
            <w:rFonts w:ascii="Arial" w:hAnsi="Arial" w:cs="Arial"/>
            <w:noProof/>
            <w:webHidden/>
            <w:sz w:val="22"/>
            <w:szCs w:val="22"/>
          </w:rPr>
          <w:fldChar w:fldCharType="begin"/>
        </w:r>
        <w:r w:rsidR="004A15F6" w:rsidRPr="004A15F6">
          <w:rPr>
            <w:rFonts w:ascii="Arial" w:hAnsi="Arial" w:cs="Arial"/>
            <w:noProof/>
            <w:webHidden/>
            <w:sz w:val="22"/>
            <w:szCs w:val="22"/>
          </w:rPr>
          <w:instrText xml:space="preserve"> PAGEREF _Toc164032651 \h </w:instrText>
        </w:r>
        <w:r w:rsidR="004A15F6" w:rsidRPr="004A15F6">
          <w:rPr>
            <w:rFonts w:ascii="Arial" w:hAnsi="Arial" w:cs="Arial"/>
            <w:noProof/>
            <w:webHidden/>
            <w:sz w:val="22"/>
            <w:szCs w:val="22"/>
          </w:rPr>
        </w:r>
        <w:r w:rsidR="004A15F6" w:rsidRPr="004A15F6">
          <w:rPr>
            <w:rFonts w:ascii="Arial" w:hAnsi="Arial" w:cs="Arial"/>
            <w:noProof/>
            <w:webHidden/>
            <w:sz w:val="22"/>
            <w:szCs w:val="22"/>
          </w:rPr>
          <w:fldChar w:fldCharType="separate"/>
        </w:r>
        <w:r w:rsidR="004A15F6" w:rsidRPr="004A15F6">
          <w:rPr>
            <w:rFonts w:ascii="Arial" w:hAnsi="Arial" w:cs="Arial"/>
            <w:noProof/>
            <w:webHidden/>
            <w:sz w:val="22"/>
            <w:szCs w:val="22"/>
          </w:rPr>
          <w:t>7</w:t>
        </w:r>
        <w:r w:rsidR="004A15F6" w:rsidRPr="004A15F6">
          <w:rPr>
            <w:rFonts w:ascii="Arial" w:hAnsi="Arial" w:cs="Arial"/>
            <w:noProof/>
            <w:webHidden/>
            <w:sz w:val="22"/>
            <w:szCs w:val="22"/>
          </w:rPr>
          <w:fldChar w:fldCharType="end"/>
        </w:r>
      </w:hyperlink>
    </w:p>
    <w:p w14:paraId="63F50CBA" w14:textId="279A9377" w:rsidR="004A15F6" w:rsidRPr="004A15F6" w:rsidRDefault="00000000">
      <w:pPr>
        <w:pStyle w:val="TOC2"/>
        <w:tabs>
          <w:tab w:val="right" w:leader="dot" w:pos="9350"/>
        </w:tabs>
        <w:rPr>
          <w:rFonts w:ascii="Arial" w:eastAsiaTheme="minorEastAsia" w:hAnsi="Arial" w:cs="Arial"/>
          <w:smallCaps w:val="0"/>
          <w:noProof/>
          <w:kern w:val="2"/>
          <w:sz w:val="22"/>
          <w:szCs w:val="22"/>
          <w:lang w:val="en-IN" w:bidi="gu-IN"/>
          <w14:ligatures w14:val="standardContextual"/>
        </w:rPr>
      </w:pPr>
      <w:hyperlink w:anchor="_Toc164032652" w:history="1">
        <w:r w:rsidR="004A15F6" w:rsidRPr="004A15F6">
          <w:rPr>
            <w:rStyle w:val="Hyperlink"/>
            <w:rFonts w:ascii="Arial" w:hAnsi="Arial" w:cs="Arial"/>
            <w:noProof/>
            <w:sz w:val="22"/>
            <w:szCs w:val="22"/>
          </w:rPr>
          <w:t>PARTICIPANTS:</w:t>
        </w:r>
        <w:r w:rsidR="004A15F6" w:rsidRPr="004A15F6">
          <w:rPr>
            <w:rFonts w:ascii="Arial" w:hAnsi="Arial" w:cs="Arial"/>
            <w:noProof/>
            <w:webHidden/>
            <w:sz w:val="22"/>
            <w:szCs w:val="22"/>
          </w:rPr>
          <w:tab/>
        </w:r>
        <w:r w:rsidR="004A15F6" w:rsidRPr="004A15F6">
          <w:rPr>
            <w:rFonts w:ascii="Arial" w:hAnsi="Arial" w:cs="Arial"/>
            <w:noProof/>
            <w:webHidden/>
            <w:sz w:val="22"/>
            <w:szCs w:val="22"/>
          </w:rPr>
          <w:fldChar w:fldCharType="begin"/>
        </w:r>
        <w:r w:rsidR="004A15F6" w:rsidRPr="004A15F6">
          <w:rPr>
            <w:rFonts w:ascii="Arial" w:hAnsi="Arial" w:cs="Arial"/>
            <w:noProof/>
            <w:webHidden/>
            <w:sz w:val="22"/>
            <w:szCs w:val="22"/>
          </w:rPr>
          <w:instrText xml:space="preserve"> PAGEREF _Toc164032652 \h </w:instrText>
        </w:r>
        <w:r w:rsidR="004A15F6" w:rsidRPr="004A15F6">
          <w:rPr>
            <w:rFonts w:ascii="Arial" w:hAnsi="Arial" w:cs="Arial"/>
            <w:noProof/>
            <w:webHidden/>
            <w:sz w:val="22"/>
            <w:szCs w:val="22"/>
          </w:rPr>
        </w:r>
        <w:r w:rsidR="004A15F6" w:rsidRPr="004A15F6">
          <w:rPr>
            <w:rFonts w:ascii="Arial" w:hAnsi="Arial" w:cs="Arial"/>
            <w:noProof/>
            <w:webHidden/>
            <w:sz w:val="22"/>
            <w:szCs w:val="22"/>
          </w:rPr>
          <w:fldChar w:fldCharType="separate"/>
        </w:r>
        <w:r w:rsidR="004A15F6" w:rsidRPr="004A15F6">
          <w:rPr>
            <w:rFonts w:ascii="Arial" w:hAnsi="Arial" w:cs="Arial"/>
            <w:noProof/>
            <w:webHidden/>
            <w:sz w:val="22"/>
            <w:szCs w:val="22"/>
          </w:rPr>
          <w:t>7</w:t>
        </w:r>
        <w:r w:rsidR="004A15F6" w:rsidRPr="004A15F6">
          <w:rPr>
            <w:rFonts w:ascii="Arial" w:hAnsi="Arial" w:cs="Arial"/>
            <w:noProof/>
            <w:webHidden/>
            <w:sz w:val="22"/>
            <w:szCs w:val="22"/>
          </w:rPr>
          <w:fldChar w:fldCharType="end"/>
        </w:r>
      </w:hyperlink>
    </w:p>
    <w:p w14:paraId="4AF62C1D" w14:textId="69712B43" w:rsidR="004A15F6" w:rsidRPr="004A15F6" w:rsidRDefault="00000000">
      <w:pPr>
        <w:pStyle w:val="TOC2"/>
        <w:tabs>
          <w:tab w:val="right" w:leader="dot" w:pos="9350"/>
        </w:tabs>
        <w:rPr>
          <w:rFonts w:ascii="Arial" w:eastAsiaTheme="minorEastAsia" w:hAnsi="Arial" w:cs="Arial"/>
          <w:smallCaps w:val="0"/>
          <w:noProof/>
          <w:kern w:val="2"/>
          <w:sz w:val="22"/>
          <w:szCs w:val="22"/>
          <w:lang w:val="en-IN" w:bidi="gu-IN"/>
          <w14:ligatures w14:val="standardContextual"/>
        </w:rPr>
      </w:pPr>
      <w:hyperlink w:anchor="_Toc164032653" w:history="1">
        <w:r w:rsidR="004A15F6" w:rsidRPr="004A15F6">
          <w:rPr>
            <w:rStyle w:val="Hyperlink"/>
            <w:rFonts w:ascii="Arial" w:hAnsi="Arial" w:cs="Arial"/>
            <w:noProof/>
            <w:sz w:val="22"/>
            <w:szCs w:val="22"/>
          </w:rPr>
          <w:t>DATA COLLECTION:</w:t>
        </w:r>
        <w:r w:rsidR="004A15F6" w:rsidRPr="004A15F6">
          <w:rPr>
            <w:rFonts w:ascii="Arial" w:hAnsi="Arial" w:cs="Arial"/>
            <w:noProof/>
            <w:webHidden/>
            <w:sz w:val="22"/>
            <w:szCs w:val="22"/>
          </w:rPr>
          <w:tab/>
        </w:r>
        <w:r w:rsidR="004A15F6" w:rsidRPr="004A15F6">
          <w:rPr>
            <w:rFonts w:ascii="Arial" w:hAnsi="Arial" w:cs="Arial"/>
            <w:noProof/>
            <w:webHidden/>
            <w:sz w:val="22"/>
            <w:szCs w:val="22"/>
          </w:rPr>
          <w:fldChar w:fldCharType="begin"/>
        </w:r>
        <w:r w:rsidR="004A15F6" w:rsidRPr="004A15F6">
          <w:rPr>
            <w:rFonts w:ascii="Arial" w:hAnsi="Arial" w:cs="Arial"/>
            <w:noProof/>
            <w:webHidden/>
            <w:sz w:val="22"/>
            <w:szCs w:val="22"/>
          </w:rPr>
          <w:instrText xml:space="preserve"> PAGEREF _Toc164032653 \h </w:instrText>
        </w:r>
        <w:r w:rsidR="004A15F6" w:rsidRPr="004A15F6">
          <w:rPr>
            <w:rFonts w:ascii="Arial" w:hAnsi="Arial" w:cs="Arial"/>
            <w:noProof/>
            <w:webHidden/>
            <w:sz w:val="22"/>
            <w:szCs w:val="22"/>
          </w:rPr>
        </w:r>
        <w:r w:rsidR="004A15F6" w:rsidRPr="004A15F6">
          <w:rPr>
            <w:rFonts w:ascii="Arial" w:hAnsi="Arial" w:cs="Arial"/>
            <w:noProof/>
            <w:webHidden/>
            <w:sz w:val="22"/>
            <w:szCs w:val="22"/>
          </w:rPr>
          <w:fldChar w:fldCharType="separate"/>
        </w:r>
        <w:r w:rsidR="004A15F6" w:rsidRPr="004A15F6">
          <w:rPr>
            <w:rFonts w:ascii="Arial" w:hAnsi="Arial" w:cs="Arial"/>
            <w:noProof/>
            <w:webHidden/>
            <w:sz w:val="22"/>
            <w:szCs w:val="22"/>
          </w:rPr>
          <w:t>7</w:t>
        </w:r>
        <w:r w:rsidR="004A15F6" w:rsidRPr="004A15F6">
          <w:rPr>
            <w:rFonts w:ascii="Arial" w:hAnsi="Arial" w:cs="Arial"/>
            <w:noProof/>
            <w:webHidden/>
            <w:sz w:val="22"/>
            <w:szCs w:val="22"/>
          </w:rPr>
          <w:fldChar w:fldCharType="end"/>
        </w:r>
      </w:hyperlink>
    </w:p>
    <w:p w14:paraId="610727A1" w14:textId="7CEF3D3D" w:rsidR="004A15F6" w:rsidRPr="004A15F6" w:rsidRDefault="00000000" w:rsidP="004A15F6">
      <w:pPr>
        <w:pStyle w:val="TOC1"/>
        <w:rPr>
          <w:rFonts w:eastAsiaTheme="minorEastAsia"/>
          <w:noProof/>
          <w:kern w:val="2"/>
          <w:lang w:val="en-IN" w:bidi="gu-IN"/>
          <w14:ligatures w14:val="standardContextual"/>
        </w:rPr>
      </w:pPr>
      <w:hyperlink w:anchor="_Toc164032654" w:history="1">
        <w:r w:rsidR="004A15F6" w:rsidRPr="004A15F6">
          <w:rPr>
            <w:rStyle w:val="Hyperlink"/>
            <w:b w:val="0"/>
            <w:bCs w:val="0"/>
            <w:noProof/>
            <w:sz w:val="22"/>
            <w:szCs w:val="22"/>
          </w:rPr>
          <w:t>THEMATIC ANALYSIS</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_Toc164032654 \h </w:instrText>
        </w:r>
        <w:r w:rsidR="004A15F6" w:rsidRPr="004A15F6">
          <w:rPr>
            <w:noProof/>
            <w:webHidden/>
          </w:rPr>
        </w:r>
        <w:r w:rsidR="004A15F6" w:rsidRPr="004A15F6">
          <w:rPr>
            <w:noProof/>
            <w:webHidden/>
          </w:rPr>
          <w:fldChar w:fldCharType="separate"/>
        </w:r>
        <w:r w:rsidR="004A15F6" w:rsidRPr="004A15F6">
          <w:rPr>
            <w:noProof/>
            <w:webHidden/>
          </w:rPr>
          <w:t>8</w:t>
        </w:r>
        <w:r w:rsidR="004A15F6" w:rsidRPr="004A15F6">
          <w:rPr>
            <w:noProof/>
            <w:webHidden/>
          </w:rPr>
          <w:fldChar w:fldCharType="end"/>
        </w:r>
      </w:hyperlink>
    </w:p>
    <w:p w14:paraId="6A88362F" w14:textId="30933EE2" w:rsidR="004A15F6" w:rsidRPr="004A15F6" w:rsidRDefault="00000000">
      <w:pPr>
        <w:pStyle w:val="TOC2"/>
        <w:tabs>
          <w:tab w:val="right" w:leader="dot" w:pos="9350"/>
        </w:tabs>
        <w:rPr>
          <w:rFonts w:ascii="Arial" w:eastAsiaTheme="minorEastAsia" w:hAnsi="Arial" w:cs="Arial"/>
          <w:smallCaps w:val="0"/>
          <w:noProof/>
          <w:kern w:val="2"/>
          <w:sz w:val="22"/>
          <w:szCs w:val="22"/>
          <w:lang w:val="en-IN" w:bidi="gu-IN"/>
          <w14:ligatures w14:val="standardContextual"/>
        </w:rPr>
      </w:pPr>
      <w:hyperlink w:anchor="_Toc164032655" w:history="1">
        <w:r w:rsidR="004A15F6" w:rsidRPr="004A15F6">
          <w:rPr>
            <w:rStyle w:val="Hyperlink"/>
            <w:rFonts w:ascii="Arial" w:hAnsi="Arial" w:cs="Arial"/>
            <w:noProof/>
            <w:sz w:val="22"/>
            <w:szCs w:val="22"/>
          </w:rPr>
          <w:t>Strengths of thematic analysis:</w:t>
        </w:r>
        <w:r w:rsidR="004A15F6" w:rsidRPr="004A15F6">
          <w:rPr>
            <w:rFonts w:ascii="Arial" w:hAnsi="Arial" w:cs="Arial"/>
            <w:noProof/>
            <w:webHidden/>
            <w:sz w:val="22"/>
            <w:szCs w:val="22"/>
          </w:rPr>
          <w:tab/>
        </w:r>
        <w:r w:rsidR="004A15F6" w:rsidRPr="004A15F6">
          <w:rPr>
            <w:rFonts w:ascii="Arial" w:hAnsi="Arial" w:cs="Arial"/>
            <w:noProof/>
            <w:webHidden/>
            <w:sz w:val="22"/>
            <w:szCs w:val="22"/>
          </w:rPr>
          <w:fldChar w:fldCharType="begin"/>
        </w:r>
        <w:r w:rsidR="004A15F6" w:rsidRPr="004A15F6">
          <w:rPr>
            <w:rFonts w:ascii="Arial" w:hAnsi="Arial" w:cs="Arial"/>
            <w:noProof/>
            <w:webHidden/>
            <w:sz w:val="22"/>
            <w:szCs w:val="22"/>
          </w:rPr>
          <w:instrText xml:space="preserve"> PAGEREF _Toc164032655 \h </w:instrText>
        </w:r>
        <w:r w:rsidR="004A15F6" w:rsidRPr="004A15F6">
          <w:rPr>
            <w:rFonts w:ascii="Arial" w:hAnsi="Arial" w:cs="Arial"/>
            <w:noProof/>
            <w:webHidden/>
            <w:sz w:val="22"/>
            <w:szCs w:val="22"/>
          </w:rPr>
        </w:r>
        <w:r w:rsidR="004A15F6" w:rsidRPr="004A15F6">
          <w:rPr>
            <w:rFonts w:ascii="Arial" w:hAnsi="Arial" w:cs="Arial"/>
            <w:noProof/>
            <w:webHidden/>
            <w:sz w:val="22"/>
            <w:szCs w:val="22"/>
          </w:rPr>
          <w:fldChar w:fldCharType="separate"/>
        </w:r>
        <w:r w:rsidR="004A15F6" w:rsidRPr="004A15F6">
          <w:rPr>
            <w:rFonts w:ascii="Arial" w:hAnsi="Arial" w:cs="Arial"/>
            <w:noProof/>
            <w:webHidden/>
            <w:sz w:val="22"/>
            <w:szCs w:val="22"/>
          </w:rPr>
          <w:t>9</w:t>
        </w:r>
        <w:r w:rsidR="004A15F6" w:rsidRPr="004A15F6">
          <w:rPr>
            <w:rFonts w:ascii="Arial" w:hAnsi="Arial" w:cs="Arial"/>
            <w:noProof/>
            <w:webHidden/>
            <w:sz w:val="22"/>
            <w:szCs w:val="22"/>
          </w:rPr>
          <w:fldChar w:fldCharType="end"/>
        </w:r>
      </w:hyperlink>
    </w:p>
    <w:p w14:paraId="06939C18" w14:textId="079E99D7" w:rsidR="004A15F6" w:rsidRPr="004A15F6" w:rsidRDefault="00000000">
      <w:pPr>
        <w:pStyle w:val="TOC2"/>
        <w:tabs>
          <w:tab w:val="right" w:leader="dot" w:pos="9350"/>
        </w:tabs>
        <w:rPr>
          <w:rFonts w:ascii="Arial" w:eastAsiaTheme="minorEastAsia" w:hAnsi="Arial" w:cs="Arial"/>
          <w:smallCaps w:val="0"/>
          <w:noProof/>
          <w:kern w:val="2"/>
          <w:sz w:val="22"/>
          <w:szCs w:val="22"/>
          <w:lang w:val="en-IN" w:bidi="gu-IN"/>
          <w14:ligatures w14:val="standardContextual"/>
        </w:rPr>
      </w:pPr>
      <w:hyperlink w:anchor="_Toc164032656" w:history="1">
        <w:r w:rsidR="004A15F6" w:rsidRPr="004A15F6">
          <w:rPr>
            <w:rStyle w:val="Hyperlink"/>
            <w:rFonts w:ascii="Arial" w:hAnsi="Arial" w:cs="Arial"/>
            <w:noProof/>
            <w:sz w:val="22"/>
            <w:szCs w:val="22"/>
          </w:rPr>
          <w:t>Limitations of thematic analysis:</w:t>
        </w:r>
        <w:r w:rsidR="004A15F6" w:rsidRPr="004A15F6">
          <w:rPr>
            <w:rFonts w:ascii="Arial" w:hAnsi="Arial" w:cs="Arial"/>
            <w:noProof/>
            <w:webHidden/>
            <w:sz w:val="22"/>
            <w:szCs w:val="22"/>
          </w:rPr>
          <w:tab/>
        </w:r>
        <w:r w:rsidR="004A15F6" w:rsidRPr="004A15F6">
          <w:rPr>
            <w:rFonts w:ascii="Arial" w:hAnsi="Arial" w:cs="Arial"/>
            <w:noProof/>
            <w:webHidden/>
            <w:sz w:val="22"/>
            <w:szCs w:val="22"/>
          </w:rPr>
          <w:fldChar w:fldCharType="begin"/>
        </w:r>
        <w:r w:rsidR="004A15F6" w:rsidRPr="004A15F6">
          <w:rPr>
            <w:rFonts w:ascii="Arial" w:hAnsi="Arial" w:cs="Arial"/>
            <w:noProof/>
            <w:webHidden/>
            <w:sz w:val="22"/>
            <w:szCs w:val="22"/>
          </w:rPr>
          <w:instrText xml:space="preserve"> PAGEREF _Toc164032656 \h </w:instrText>
        </w:r>
        <w:r w:rsidR="004A15F6" w:rsidRPr="004A15F6">
          <w:rPr>
            <w:rFonts w:ascii="Arial" w:hAnsi="Arial" w:cs="Arial"/>
            <w:noProof/>
            <w:webHidden/>
            <w:sz w:val="22"/>
            <w:szCs w:val="22"/>
          </w:rPr>
        </w:r>
        <w:r w:rsidR="004A15F6" w:rsidRPr="004A15F6">
          <w:rPr>
            <w:rFonts w:ascii="Arial" w:hAnsi="Arial" w:cs="Arial"/>
            <w:noProof/>
            <w:webHidden/>
            <w:sz w:val="22"/>
            <w:szCs w:val="22"/>
          </w:rPr>
          <w:fldChar w:fldCharType="separate"/>
        </w:r>
        <w:r w:rsidR="004A15F6" w:rsidRPr="004A15F6">
          <w:rPr>
            <w:rFonts w:ascii="Arial" w:hAnsi="Arial" w:cs="Arial"/>
            <w:noProof/>
            <w:webHidden/>
            <w:sz w:val="22"/>
            <w:szCs w:val="22"/>
          </w:rPr>
          <w:t>9</w:t>
        </w:r>
        <w:r w:rsidR="004A15F6" w:rsidRPr="004A15F6">
          <w:rPr>
            <w:rFonts w:ascii="Arial" w:hAnsi="Arial" w:cs="Arial"/>
            <w:noProof/>
            <w:webHidden/>
            <w:sz w:val="22"/>
            <w:szCs w:val="22"/>
          </w:rPr>
          <w:fldChar w:fldCharType="end"/>
        </w:r>
      </w:hyperlink>
    </w:p>
    <w:p w14:paraId="67D7F139" w14:textId="39526EC1" w:rsidR="004A15F6" w:rsidRPr="004A15F6" w:rsidRDefault="00000000" w:rsidP="004A15F6">
      <w:pPr>
        <w:pStyle w:val="TOC1"/>
        <w:rPr>
          <w:rFonts w:eastAsiaTheme="minorEastAsia"/>
          <w:noProof/>
          <w:kern w:val="2"/>
          <w:lang w:val="en-IN" w:bidi="gu-IN"/>
          <w14:ligatures w14:val="standardContextual"/>
        </w:rPr>
      </w:pPr>
      <w:hyperlink w:anchor="_Toc164032657" w:history="1">
        <w:r w:rsidR="004A15F6" w:rsidRPr="004A15F6">
          <w:rPr>
            <w:rStyle w:val="Hyperlink"/>
            <w:b w:val="0"/>
            <w:bCs w:val="0"/>
            <w:noProof/>
            <w:sz w:val="22"/>
            <w:szCs w:val="22"/>
          </w:rPr>
          <w:t>ETHICAL CONSIDERATION</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_Toc164032657 \h </w:instrText>
        </w:r>
        <w:r w:rsidR="004A15F6" w:rsidRPr="004A15F6">
          <w:rPr>
            <w:noProof/>
            <w:webHidden/>
          </w:rPr>
        </w:r>
        <w:r w:rsidR="004A15F6" w:rsidRPr="004A15F6">
          <w:rPr>
            <w:noProof/>
            <w:webHidden/>
          </w:rPr>
          <w:fldChar w:fldCharType="separate"/>
        </w:r>
        <w:r w:rsidR="004A15F6" w:rsidRPr="004A15F6">
          <w:rPr>
            <w:noProof/>
            <w:webHidden/>
          </w:rPr>
          <w:t>10</w:t>
        </w:r>
        <w:r w:rsidR="004A15F6" w:rsidRPr="004A15F6">
          <w:rPr>
            <w:noProof/>
            <w:webHidden/>
          </w:rPr>
          <w:fldChar w:fldCharType="end"/>
        </w:r>
      </w:hyperlink>
    </w:p>
    <w:p w14:paraId="624E13DD" w14:textId="3A813339" w:rsidR="004A15F6" w:rsidRPr="004A15F6" w:rsidRDefault="00000000" w:rsidP="004A15F6">
      <w:pPr>
        <w:pStyle w:val="TOC1"/>
        <w:rPr>
          <w:rFonts w:eastAsiaTheme="minorEastAsia"/>
          <w:noProof/>
          <w:kern w:val="2"/>
          <w:lang w:val="en-IN" w:bidi="gu-IN"/>
          <w14:ligatures w14:val="standardContextual"/>
        </w:rPr>
      </w:pPr>
      <w:hyperlink w:anchor="_Toc164032658" w:history="1">
        <w:r w:rsidR="004A15F6" w:rsidRPr="004A15F6">
          <w:rPr>
            <w:rStyle w:val="Hyperlink"/>
            <w:b w:val="0"/>
            <w:bCs w:val="0"/>
            <w:noProof/>
            <w:sz w:val="22"/>
            <w:szCs w:val="22"/>
          </w:rPr>
          <w:t>RESULTS</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_Toc164032658 \h </w:instrText>
        </w:r>
        <w:r w:rsidR="004A15F6" w:rsidRPr="004A15F6">
          <w:rPr>
            <w:noProof/>
            <w:webHidden/>
          </w:rPr>
        </w:r>
        <w:r w:rsidR="004A15F6" w:rsidRPr="004A15F6">
          <w:rPr>
            <w:noProof/>
            <w:webHidden/>
          </w:rPr>
          <w:fldChar w:fldCharType="separate"/>
        </w:r>
        <w:r w:rsidR="004A15F6" w:rsidRPr="004A15F6">
          <w:rPr>
            <w:noProof/>
            <w:webHidden/>
          </w:rPr>
          <w:t>10</w:t>
        </w:r>
        <w:r w:rsidR="004A15F6" w:rsidRPr="004A15F6">
          <w:rPr>
            <w:noProof/>
            <w:webHidden/>
          </w:rPr>
          <w:fldChar w:fldCharType="end"/>
        </w:r>
      </w:hyperlink>
    </w:p>
    <w:p w14:paraId="685CDE4C" w14:textId="1335C3AA" w:rsidR="004A15F6" w:rsidRPr="004A15F6" w:rsidRDefault="00000000" w:rsidP="004A15F6">
      <w:pPr>
        <w:pStyle w:val="TOC1"/>
        <w:rPr>
          <w:rFonts w:eastAsiaTheme="minorEastAsia"/>
          <w:noProof/>
          <w:kern w:val="2"/>
          <w:lang w:val="en-IN" w:bidi="gu-IN"/>
          <w14:ligatures w14:val="standardContextual"/>
        </w:rPr>
      </w:pPr>
      <w:hyperlink w:anchor="_Toc164032659" w:history="1">
        <w:r w:rsidR="004A15F6" w:rsidRPr="004A15F6">
          <w:rPr>
            <w:rStyle w:val="Hyperlink"/>
            <w:b w:val="0"/>
            <w:bCs w:val="0"/>
            <w:noProof/>
            <w:sz w:val="22"/>
            <w:szCs w:val="22"/>
          </w:rPr>
          <w:t>DISCUSSION</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_Toc164032659 \h </w:instrText>
        </w:r>
        <w:r w:rsidR="004A15F6" w:rsidRPr="004A15F6">
          <w:rPr>
            <w:noProof/>
            <w:webHidden/>
          </w:rPr>
        </w:r>
        <w:r w:rsidR="004A15F6" w:rsidRPr="004A15F6">
          <w:rPr>
            <w:noProof/>
            <w:webHidden/>
          </w:rPr>
          <w:fldChar w:fldCharType="separate"/>
        </w:r>
        <w:r w:rsidR="004A15F6" w:rsidRPr="004A15F6">
          <w:rPr>
            <w:noProof/>
            <w:webHidden/>
          </w:rPr>
          <w:t>11</w:t>
        </w:r>
        <w:r w:rsidR="004A15F6" w:rsidRPr="004A15F6">
          <w:rPr>
            <w:noProof/>
            <w:webHidden/>
          </w:rPr>
          <w:fldChar w:fldCharType="end"/>
        </w:r>
      </w:hyperlink>
    </w:p>
    <w:p w14:paraId="4DC901B8" w14:textId="1C8DD83B" w:rsidR="004A15F6" w:rsidRPr="004A15F6" w:rsidRDefault="00000000" w:rsidP="004A15F6">
      <w:pPr>
        <w:pStyle w:val="TOC1"/>
        <w:rPr>
          <w:rFonts w:eastAsiaTheme="minorEastAsia"/>
          <w:noProof/>
          <w:kern w:val="2"/>
          <w:lang w:val="en-IN" w:bidi="gu-IN"/>
          <w14:ligatures w14:val="standardContextual"/>
        </w:rPr>
      </w:pPr>
      <w:hyperlink w:anchor="_Toc164032660" w:history="1">
        <w:r w:rsidR="004A15F6" w:rsidRPr="004A15F6">
          <w:rPr>
            <w:rStyle w:val="Hyperlink"/>
            <w:b w:val="0"/>
            <w:bCs w:val="0"/>
            <w:noProof/>
            <w:sz w:val="22"/>
            <w:szCs w:val="22"/>
          </w:rPr>
          <w:t>RECOMMENDATIONS</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_Toc164032660 \h </w:instrText>
        </w:r>
        <w:r w:rsidR="004A15F6" w:rsidRPr="004A15F6">
          <w:rPr>
            <w:noProof/>
            <w:webHidden/>
          </w:rPr>
        </w:r>
        <w:r w:rsidR="004A15F6" w:rsidRPr="004A15F6">
          <w:rPr>
            <w:noProof/>
            <w:webHidden/>
          </w:rPr>
          <w:fldChar w:fldCharType="separate"/>
        </w:r>
        <w:r w:rsidR="004A15F6" w:rsidRPr="004A15F6">
          <w:rPr>
            <w:noProof/>
            <w:webHidden/>
          </w:rPr>
          <w:t>12</w:t>
        </w:r>
        <w:r w:rsidR="004A15F6" w:rsidRPr="004A15F6">
          <w:rPr>
            <w:noProof/>
            <w:webHidden/>
          </w:rPr>
          <w:fldChar w:fldCharType="end"/>
        </w:r>
      </w:hyperlink>
    </w:p>
    <w:p w14:paraId="3353D034" w14:textId="34A6AB08" w:rsidR="004A15F6" w:rsidRPr="004A15F6" w:rsidRDefault="00000000" w:rsidP="004A15F6">
      <w:pPr>
        <w:pStyle w:val="TOC1"/>
        <w:rPr>
          <w:rFonts w:eastAsiaTheme="minorEastAsia"/>
          <w:noProof/>
          <w:kern w:val="2"/>
          <w:lang w:val="en-IN" w:bidi="gu-IN"/>
          <w14:ligatures w14:val="standardContextual"/>
        </w:rPr>
      </w:pPr>
      <w:hyperlink w:anchor="_Toc164032661" w:history="1">
        <w:r w:rsidR="004A15F6" w:rsidRPr="004A15F6">
          <w:rPr>
            <w:rStyle w:val="Hyperlink"/>
            <w:b w:val="0"/>
            <w:bCs w:val="0"/>
            <w:noProof/>
            <w:sz w:val="22"/>
            <w:szCs w:val="22"/>
          </w:rPr>
          <w:t>CONCLUSION</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_Toc164032661 \h </w:instrText>
        </w:r>
        <w:r w:rsidR="004A15F6" w:rsidRPr="004A15F6">
          <w:rPr>
            <w:noProof/>
            <w:webHidden/>
          </w:rPr>
        </w:r>
        <w:r w:rsidR="004A15F6" w:rsidRPr="004A15F6">
          <w:rPr>
            <w:noProof/>
            <w:webHidden/>
          </w:rPr>
          <w:fldChar w:fldCharType="separate"/>
        </w:r>
        <w:r w:rsidR="004A15F6" w:rsidRPr="004A15F6">
          <w:rPr>
            <w:noProof/>
            <w:webHidden/>
          </w:rPr>
          <w:t>13</w:t>
        </w:r>
        <w:r w:rsidR="004A15F6" w:rsidRPr="004A15F6">
          <w:rPr>
            <w:noProof/>
            <w:webHidden/>
          </w:rPr>
          <w:fldChar w:fldCharType="end"/>
        </w:r>
      </w:hyperlink>
    </w:p>
    <w:p w14:paraId="316724FF" w14:textId="570458BB" w:rsidR="004A15F6" w:rsidRPr="004A15F6" w:rsidRDefault="00000000" w:rsidP="004A15F6">
      <w:pPr>
        <w:pStyle w:val="TOC1"/>
        <w:rPr>
          <w:rFonts w:eastAsiaTheme="minorEastAsia"/>
          <w:noProof/>
          <w:kern w:val="2"/>
          <w:lang w:val="en-IN" w:bidi="gu-IN"/>
          <w14:ligatures w14:val="standardContextual"/>
        </w:rPr>
      </w:pPr>
      <w:hyperlink w:anchor="_Toc164032662" w:history="1">
        <w:r w:rsidR="004A15F6" w:rsidRPr="004A15F6">
          <w:rPr>
            <w:rStyle w:val="Hyperlink"/>
            <w:b w:val="0"/>
            <w:bCs w:val="0"/>
            <w:noProof/>
            <w:sz w:val="22"/>
            <w:szCs w:val="22"/>
          </w:rPr>
          <w:t>REFERENCES</w:t>
        </w:r>
        <w:r w:rsidR="004A15F6" w:rsidRPr="004A15F6">
          <w:rPr>
            <w:noProof/>
            <w:webHidden/>
          </w:rPr>
          <w:tab/>
        </w:r>
        <w:r w:rsidR="004A15F6" w:rsidRPr="004A15F6">
          <w:rPr>
            <w:noProof/>
            <w:webHidden/>
          </w:rPr>
          <w:fldChar w:fldCharType="begin"/>
        </w:r>
        <w:r w:rsidR="004A15F6" w:rsidRPr="004A15F6">
          <w:rPr>
            <w:noProof/>
            <w:webHidden/>
          </w:rPr>
          <w:instrText xml:space="preserve"> PAGEREF _Toc164032662 \h </w:instrText>
        </w:r>
        <w:r w:rsidR="004A15F6" w:rsidRPr="004A15F6">
          <w:rPr>
            <w:noProof/>
            <w:webHidden/>
          </w:rPr>
        </w:r>
        <w:r w:rsidR="004A15F6" w:rsidRPr="004A15F6">
          <w:rPr>
            <w:noProof/>
            <w:webHidden/>
          </w:rPr>
          <w:fldChar w:fldCharType="separate"/>
        </w:r>
        <w:r w:rsidR="004A15F6" w:rsidRPr="004A15F6">
          <w:rPr>
            <w:noProof/>
            <w:webHidden/>
          </w:rPr>
          <w:t>14</w:t>
        </w:r>
        <w:r w:rsidR="004A15F6" w:rsidRPr="004A15F6">
          <w:rPr>
            <w:noProof/>
            <w:webHidden/>
          </w:rPr>
          <w:fldChar w:fldCharType="end"/>
        </w:r>
      </w:hyperlink>
    </w:p>
    <w:p w14:paraId="17DA620B" w14:textId="5D0316C3" w:rsidR="00C34B31" w:rsidRPr="004A15F6" w:rsidRDefault="00CF40AC" w:rsidP="006A61C2">
      <w:r w:rsidRPr="004A15F6">
        <w:fldChar w:fldCharType="end"/>
      </w:r>
    </w:p>
    <w:p w14:paraId="796E380D" w14:textId="77777777" w:rsidR="001D34D6" w:rsidRPr="006A61C2" w:rsidRDefault="001D34D6" w:rsidP="006A61C2"/>
    <w:p w14:paraId="2278655F" w14:textId="77777777" w:rsidR="001D34D6" w:rsidRPr="006A61C2" w:rsidRDefault="001D34D6" w:rsidP="006A61C2"/>
    <w:p w14:paraId="4173FCBF" w14:textId="77777777" w:rsidR="001D34D6" w:rsidRPr="006A61C2" w:rsidRDefault="001D34D6" w:rsidP="006A61C2"/>
    <w:p w14:paraId="29FA1697" w14:textId="77777777" w:rsidR="001D34D6" w:rsidRPr="006A61C2" w:rsidRDefault="001D34D6" w:rsidP="006A61C2"/>
    <w:p w14:paraId="3905C146" w14:textId="77777777" w:rsidR="001D34D6" w:rsidRPr="006A61C2" w:rsidRDefault="001D34D6" w:rsidP="006A61C2"/>
    <w:p w14:paraId="126DB114" w14:textId="2CD46715" w:rsidR="003E5CDE" w:rsidRPr="006A61C2" w:rsidRDefault="00D33811" w:rsidP="006A61C2">
      <w:pPr>
        <w:rPr>
          <w:b/>
          <w:bCs/>
        </w:rPr>
      </w:pPr>
      <w:r w:rsidRPr="006A61C2">
        <w:br w:type="page"/>
      </w:r>
    </w:p>
    <w:p w14:paraId="10DBBE7D" w14:textId="19846D57" w:rsidR="001D34D6" w:rsidRPr="006629CB" w:rsidRDefault="001D34D6" w:rsidP="006629CB">
      <w:pPr>
        <w:jc w:val="center"/>
        <w:rPr>
          <w:b/>
          <w:bCs/>
          <w:sz w:val="24"/>
          <w:szCs w:val="24"/>
        </w:rPr>
      </w:pPr>
      <w:bookmarkStart w:id="0" w:name="_Toc143511007"/>
      <w:r w:rsidRPr="006629CB">
        <w:rPr>
          <w:b/>
          <w:bCs/>
          <w:sz w:val="24"/>
          <w:szCs w:val="24"/>
        </w:rPr>
        <w:lastRenderedPageBreak/>
        <w:t>Exploring the Factors Influencing Professional Behavior of Postgraduate PHSC Students in a Public University</w:t>
      </w:r>
      <w:r w:rsidR="00DA22D0">
        <w:rPr>
          <w:b/>
          <w:bCs/>
          <w:sz w:val="24"/>
          <w:szCs w:val="24"/>
        </w:rPr>
        <w:t>.</w:t>
      </w:r>
    </w:p>
    <w:p w14:paraId="4E41474E" w14:textId="159BFCEF" w:rsidR="002839A2" w:rsidRPr="006A61C2" w:rsidRDefault="00D33811" w:rsidP="006A61C2">
      <w:pPr>
        <w:pStyle w:val="Heading1"/>
        <w:rPr>
          <w:sz w:val="22"/>
          <w:szCs w:val="22"/>
        </w:rPr>
      </w:pPr>
      <w:bookmarkStart w:id="1" w:name="_Toc164032645"/>
      <w:r w:rsidRPr="006A61C2">
        <w:rPr>
          <w:sz w:val="22"/>
          <w:szCs w:val="22"/>
        </w:rPr>
        <w:t>I</w:t>
      </w:r>
      <w:bookmarkEnd w:id="0"/>
      <w:r w:rsidR="006114FB" w:rsidRPr="006A61C2">
        <w:rPr>
          <w:sz w:val="22"/>
          <w:szCs w:val="22"/>
        </w:rPr>
        <w:t>NTRODUCTION / LITERATURE BASED BACKGROUND</w:t>
      </w:r>
      <w:bookmarkEnd w:id="1"/>
      <w:r w:rsidR="006114FB" w:rsidRPr="006A61C2">
        <w:rPr>
          <w:sz w:val="22"/>
          <w:szCs w:val="22"/>
        </w:rPr>
        <w:t xml:space="preserve"> </w:t>
      </w:r>
    </w:p>
    <w:p w14:paraId="197D6946" w14:textId="4586B255" w:rsidR="006A02F3" w:rsidRDefault="006A02F3" w:rsidP="006A61C2">
      <w:r w:rsidRPr="006A61C2">
        <w:t>In the landscape of higher education, particularly within the realm of Public Health and Social Care (PHSC), understanding and fostering professional behavior among postgraduate students is paramount. Professional behavior encompasses a range of attributes including integrity, ethical conduct, effective communication, and collaboration, which are essential for success in academic and professional settings</w:t>
      </w:r>
      <w:r w:rsidR="00474516" w:rsidRPr="006A61C2">
        <w:t xml:space="preserve"> (</w:t>
      </w:r>
      <w:r w:rsidR="00474516" w:rsidRPr="006A61C2">
        <w:rPr>
          <w:shd w:val="clear" w:color="auto" w:fill="FFFFFF"/>
        </w:rPr>
        <w:t>Fitzgerald, 2020)</w:t>
      </w:r>
      <w:r w:rsidRPr="006A61C2">
        <w:t>. As such, investigating the factors that influence the development and manifestation of professional behavior among postgraduate PHSC students in a public university setting is crucial for promoting a culture of professionalism and excellence.</w:t>
      </w:r>
    </w:p>
    <w:p w14:paraId="1514ADD4" w14:textId="77777777" w:rsidR="00E40C4E" w:rsidRPr="006A61C2" w:rsidRDefault="00E40C4E" w:rsidP="006A61C2"/>
    <w:p w14:paraId="3D861AA5" w14:textId="3FD02E29" w:rsidR="006A02F3" w:rsidRDefault="006A02F3" w:rsidP="006A61C2">
      <w:r w:rsidRPr="006A61C2">
        <w:t xml:space="preserve">Literature in the field underscores the multifaceted nature of professional behavior and its significance in shaping the future of healthcare and social services. </w:t>
      </w:r>
      <w:r w:rsidR="004722B5" w:rsidRPr="006A61C2">
        <w:t xml:space="preserve">According to </w:t>
      </w:r>
      <w:r w:rsidR="004722B5" w:rsidRPr="006A61C2">
        <w:rPr>
          <w:shd w:val="clear" w:color="auto" w:fill="FFFFFF"/>
        </w:rPr>
        <w:t>Hansmann et al, (2020)</w:t>
      </w:r>
      <w:r w:rsidR="007E2D15" w:rsidRPr="006A61C2">
        <w:rPr>
          <w:shd w:val="clear" w:color="auto" w:fill="FFFFFF"/>
        </w:rPr>
        <w:t xml:space="preserve">, a </w:t>
      </w:r>
      <w:r w:rsidR="007E2D15" w:rsidRPr="006A61C2">
        <w:t>s</w:t>
      </w:r>
      <w:r w:rsidRPr="006A61C2">
        <w:t>tud</w:t>
      </w:r>
      <w:r w:rsidR="007E2D15" w:rsidRPr="006A61C2">
        <w:t>y</w:t>
      </w:r>
      <w:r w:rsidRPr="006A61C2">
        <w:t xml:space="preserve"> </w:t>
      </w:r>
      <w:r w:rsidR="007E2D15" w:rsidRPr="006A61C2">
        <w:t>has</w:t>
      </w:r>
      <w:r w:rsidRPr="006A61C2">
        <w:t xml:space="preserve"> identified various determinants that impact professional behavior, ranging from individual characteristics to institutional and contextual factors. For instance, personal values, beliefs, and attitudes play a pivotal role in shaping an individual's professional conduct. Additionally, the influence of role models, mentors, and peers cannot be overstated in shaping students' perceptions and behaviors </w:t>
      </w:r>
      <w:r w:rsidR="00F9427A" w:rsidRPr="006A61C2">
        <w:t>toward</w:t>
      </w:r>
      <w:r w:rsidRPr="006A61C2">
        <w:t xml:space="preserve"> professionalism</w:t>
      </w:r>
      <w:r w:rsidR="007E2D15" w:rsidRPr="006A61C2">
        <w:t xml:space="preserve"> (</w:t>
      </w:r>
      <w:r w:rsidR="007E2D15" w:rsidRPr="006A61C2">
        <w:rPr>
          <w:shd w:val="clear" w:color="auto" w:fill="FFFFFF"/>
        </w:rPr>
        <w:t>Hansmann et al, 2020)</w:t>
      </w:r>
      <w:r w:rsidRPr="006A61C2">
        <w:t>.</w:t>
      </w:r>
      <w:r w:rsidR="00E40C4E">
        <w:t xml:space="preserve"> </w:t>
      </w:r>
      <w:r w:rsidRPr="006A61C2">
        <w:t>Moreover, the organizational culture and climate within academic institutions significantly influence the professional behavior of students. Factors such as institutional policies, curriculum design, and the presence of supportive learning environments all contribute to the cultivation of professional values and behaviors among students</w:t>
      </w:r>
      <w:r w:rsidR="002F0B06" w:rsidRPr="006A61C2">
        <w:t xml:space="preserve"> (</w:t>
      </w:r>
      <w:r w:rsidR="002F0B06" w:rsidRPr="006A61C2">
        <w:rPr>
          <w:shd w:val="clear" w:color="auto" w:fill="FFFFFF"/>
        </w:rPr>
        <w:t>Akanji et al, 2020)</w:t>
      </w:r>
      <w:r w:rsidRPr="006A61C2">
        <w:t xml:space="preserve">. Furthermore, societal norms, cultural backgrounds, and </w:t>
      </w:r>
      <w:r w:rsidR="00F9427A" w:rsidRPr="006A61C2">
        <w:t>socioeconomic</w:t>
      </w:r>
      <w:r w:rsidRPr="006A61C2">
        <w:t xml:space="preserve"> factors may also influence students' professional attitudes and behaviors, adding complexity to the understanding of this phenomenon</w:t>
      </w:r>
      <w:r w:rsidR="00F16B21" w:rsidRPr="006A61C2">
        <w:t xml:space="preserve"> (Su et al, 2021)</w:t>
      </w:r>
      <w:r w:rsidRPr="006A61C2">
        <w:t>.</w:t>
      </w:r>
    </w:p>
    <w:p w14:paraId="7C33B097" w14:textId="77777777" w:rsidR="00E40C4E" w:rsidRPr="006A61C2" w:rsidRDefault="00E40C4E" w:rsidP="006A61C2"/>
    <w:p w14:paraId="5481A3E2" w14:textId="205112BC" w:rsidR="006A02F3" w:rsidRPr="005028F3" w:rsidRDefault="006A02F3" w:rsidP="006A61C2">
      <w:r w:rsidRPr="006A61C2">
        <w:t>However, despite the growing body of literature on professional behavior in healthcare and social care fields, there remains a gap in understanding the specific factors that influence postgraduate PHSC students' professional behavior within the context of public universities. Therefore, this study aims to address this gap by conducting focus group discussions with postgraduate PHSC students to explore the factors influencing their professional behavior. By gaining insights directly from the students themselves, this research seeks to uncover the nuanced interplay of individual, interpersonal, and institutional factors that shape professional behavior in this population</w:t>
      </w:r>
      <w:r w:rsidR="00F407C9" w:rsidRPr="006A61C2">
        <w:t xml:space="preserve"> (</w:t>
      </w:r>
      <w:r w:rsidR="00F407C9" w:rsidRPr="006A61C2">
        <w:rPr>
          <w:shd w:val="clear" w:color="auto" w:fill="FFFFFF"/>
        </w:rPr>
        <w:t xml:space="preserve">Akanji </w:t>
      </w:r>
      <w:r w:rsidR="00F407C9" w:rsidRPr="006A61C2">
        <w:rPr>
          <w:shd w:val="clear" w:color="auto" w:fill="FFFFFF"/>
        </w:rPr>
        <w:lastRenderedPageBreak/>
        <w:t>et al, 2020)</w:t>
      </w:r>
      <w:r w:rsidRPr="006A61C2">
        <w:t>.</w:t>
      </w:r>
      <w:r w:rsidR="00E40C4E">
        <w:t xml:space="preserve"> </w:t>
      </w:r>
      <w:r w:rsidRPr="006A61C2">
        <w:t>Through a comprehensive analysis of the findings, this study endeavors to provide valuable recommendations for educational institutions, policymakers, and stakeholders to enhance the development of professional behavior among postgraduate PHSC students, ultimately contributing to the delivery of high-quality and ethically sound healthcare and social services.</w:t>
      </w:r>
    </w:p>
    <w:p w14:paraId="6A938962" w14:textId="3CE3E540" w:rsidR="00CE7293" w:rsidRPr="005028F3" w:rsidRDefault="00776D91" w:rsidP="005028F3">
      <w:pPr>
        <w:pStyle w:val="Heading1"/>
        <w:rPr>
          <w:sz w:val="22"/>
          <w:szCs w:val="22"/>
        </w:rPr>
      </w:pPr>
      <w:bookmarkStart w:id="2" w:name="_Toc164032646"/>
      <w:r w:rsidRPr="005028F3">
        <w:rPr>
          <w:sz w:val="22"/>
          <w:szCs w:val="22"/>
        </w:rPr>
        <w:t xml:space="preserve">AIM </w:t>
      </w:r>
      <w:r w:rsidR="006A02F3" w:rsidRPr="005028F3">
        <w:rPr>
          <w:sz w:val="22"/>
          <w:szCs w:val="22"/>
        </w:rPr>
        <w:t xml:space="preserve">AND OBJECTIVE </w:t>
      </w:r>
      <w:r w:rsidRPr="005028F3">
        <w:rPr>
          <w:sz w:val="22"/>
          <w:szCs w:val="22"/>
        </w:rPr>
        <w:t>OF STUDY</w:t>
      </w:r>
      <w:bookmarkEnd w:id="2"/>
    </w:p>
    <w:p w14:paraId="74BE0060" w14:textId="520EF9A1" w:rsidR="00986BAD" w:rsidRPr="006A61C2" w:rsidRDefault="00986BAD" w:rsidP="006A61C2">
      <w:r w:rsidRPr="006A61C2">
        <w:t>To investigate the factors influencing the professional behavior of postgraduate PHSC (Public Health and Social Care) students in a public university setting through focus group discussions</w:t>
      </w:r>
      <w:r w:rsidR="00AC52BC" w:rsidRPr="006A61C2">
        <w:t xml:space="preserve"> (</w:t>
      </w:r>
      <w:r w:rsidR="00AC52BC" w:rsidRPr="006A61C2">
        <w:rPr>
          <w:shd w:val="clear" w:color="auto" w:fill="FFFFFF"/>
        </w:rPr>
        <w:t>Wijk et al, 2019)</w:t>
      </w:r>
      <w:r w:rsidRPr="006A61C2">
        <w:t>.</w:t>
      </w:r>
    </w:p>
    <w:p w14:paraId="43030E20" w14:textId="2D26B521" w:rsidR="00986BAD" w:rsidRPr="006A61C2" w:rsidRDefault="00986BAD" w:rsidP="006A61C2">
      <w:pPr>
        <w:rPr>
          <w:b/>
          <w:bCs/>
        </w:rPr>
      </w:pPr>
      <w:r w:rsidRPr="006A61C2">
        <w:rPr>
          <w:b/>
          <w:bCs/>
        </w:rPr>
        <w:t>Objectives:</w:t>
      </w:r>
    </w:p>
    <w:p w14:paraId="6741C38E" w14:textId="6453CC76" w:rsidR="00986BAD" w:rsidRPr="006A61C2" w:rsidRDefault="00986BAD" w:rsidP="006A61C2">
      <w:pPr>
        <w:pStyle w:val="ListParagraph"/>
        <w:numPr>
          <w:ilvl w:val="0"/>
          <w:numId w:val="13"/>
        </w:numPr>
      </w:pPr>
      <w:r w:rsidRPr="006A61C2">
        <w:t>To identify the individual-level factors that influence the professional behavior of postgraduate PHSC students, including personal values, beliefs, and attitudes</w:t>
      </w:r>
      <w:r w:rsidR="004014FC" w:rsidRPr="006A61C2">
        <w:t xml:space="preserve"> (</w:t>
      </w:r>
      <w:r w:rsidR="004014FC" w:rsidRPr="006A61C2">
        <w:rPr>
          <w:shd w:val="clear" w:color="auto" w:fill="FFFFFF"/>
        </w:rPr>
        <w:t>Li, Murad, and Ashraf</w:t>
      </w:r>
      <w:r w:rsidR="005C7A10" w:rsidRPr="006A61C2">
        <w:rPr>
          <w:shd w:val="clear" w:color="auto" w:fill="FFFFFF"/>
        </w:rPr>
        <w:t>,</w:t>
      </w:r>
      <w:r w:rsidR="004014FC" w:rsidRPr="006A61C2">
        <w:rPr>
          <w:shd w:val="clear" w:color="auto" w:fill="FFFFFF"/>
        </w:rPr>
        <w:t xml:space="preserve"> 2023)</w:t>
      </w:r>
      <w:r w:rsidRPr="006A61C2">
        <w:t>.</w:t>
      </w:r>
    </w:p>
    <w:p w14:paraId="60F807EF" w14:textId="48EB61DE" w:rsidR="00986BAD" w:rsidRPr="006A61C2" w:rsidRDefault="00986BAD" w:rsidP="006A61C2">
      <w:pPr>
        <w:pStyle w:val="ListParagraph"/>
        <w:numPr>
          <w:ilvl w:val="0"/>
          <w:numId w:val="13"/>
        </w:numPr>
      </w:pPr>
      <w:r w:rsidRPr="006A61C2">
        <w:t>To explore the influence of interpersonal factors, such as role models, mentors, and peers, on the professional behavior of postgraduate PHSC students</w:t>
      </w:r>
      <w:r w:rsidR="001707CF" w:rsidRPr="006A61C2">
        <w:t xml:space="preserve"> (</w:t>
      </w:r>
      <w:r w:rsidR="001707CF" w:rsidRPr="006A61C2">
        <w:rPr>
          <w:shd w:val="clear" w:color="auto" w:fill="FFFFFF"/>
        </w:rPr>
        <w:t>Khushk et al, 2023)</w:t>
      </w:r>
      <w:r w:rsidRPr="006A61C2">
        <w:t>.</w:t>
      </w:r>
    </w:p>
    <w:p w14:paraId="014450FD" w14:textId="23B28FB9" w:rsidR="00776D91" w:rsidRPr="006A61C2" w:rsidRDefault="00986BAD" w:rsidP="006A61C2">
      <w:pPr>
        <w:pStyle w:val="ListParagraph"/>
        <w:numPr>
          <w:ilvl w:val="0"/>
          <w:numId w:val="13"/>
        </w:numPr>
      </w:pPr>
      <w:r w:rsidRPr="006A61C2">
        <w:t>To examine the institutional and contextual factors within the public university environment that shape the professional behavior of postgraduate PHSC students, including organizational culture, policies, and curriculum design</w:t>
      </w:r>
      <w:r w:rsidR="00317AD7" w:rsidRPr="006A61C2">
        <w:t xml:space="preserve"> (</w:t>
      </w:r>
      <w:r w:rsidR="00317AD7" w:rsidRPr="006A61C2">
        <w:rPr>
          <w:shd w:val="clear" w:color="auto" w:fill="FFFFFF"/>
        </w:rPr>
        <w:t>Quecano et al, 2024)</w:t>
      </w:r>
      <w:r w:rsidR="009E54EC" w:rsidRPr="006A61C2">
        <w:t>.</w:t>
      </w:r>
    </w:p>
    <w:p w14:paraId="1FD4DA1C" w14:textId="52751288" w:rsidR="003E5CDE" w:rsidRPr="006A61C2" w:rsidRDefault="00D33811" w:rsidP="006A61C2">
      <w:pPr>
        <w:pStyle w:val="Heading1"/>
        <w:rPr>
          <w:sz w:val="22"/>
          <w:szCs w:val="22"/>
        </w:rPr>
      </w:pPr>
      <w:bookmarkStart w:id="3" w:name="_Toc143511012"/>
      <w:bookmarkStart w:id="4" w:name="_Toc164032647"/>
      <w:r w:rsidRPr="006A61C2">
        <w:rPr>
          <w:sz w:val="22"/>
          <w:szCs w:val="22"/>
        </w:rPr>
        <w:t>O</w:t>
      </w:r>
      <w:bookmarkEnd w:id="3"/>
      <w:r w:rsidR="005C516E" w:rsidRPr="006A61C2">
        <w:rPr>
          <w:sz w:val="22"/>
          <w:szCs w:val="22"/>
        </w:rPr>
        <w:t>VERVIEW</w:t>
      </w:r>
      <w:bookmarkEnd w:id="4"/>
    </w:p>
    <w:p w14:paraId="02A0AB37" w14:textId="6E3C86B3" w:rsidR="005C516E" w:rsidRPr="006A61C2" w:rsidRDefault="00986BAD" w:rsidP="006A61C2">
      <w:r w:rsidRPr="006A61C2">
        <w:t xml:space="preserve">In the subsequent sections, we delve into existing literature concerning professional behavior, particularly within postgraduate education and the specialized domain of Public Health and Social Care (PHSC). Following this, we elucidate the methodology employed in our research, elucidating the rationale behind our choice of focus group discussions and outlining our data collection process. Subsequently, we present our findings derived from these discussions, accentuating key themes </w:t>
      </w:r>
      <w:r w:rsidR="00F9427A" w:rsidRPr="006A61C2">
        <w:t xml:space="preserve">and </w:t>
      </w:r>
      <w:r w:rsidRPr="006A61C2">
        <w:t>elucidating the influencers of professional behavior among postgraduate PHSC students. We then undertake an in-depth analysis of these findings, interlinking them with existing research and providing comprehensive insights. Finally, we conclude by summarizing our discoveries, discussing their practical implications, proposing avenues for future research, and offering recommendations to advance the discourse on fostering professional behavior among postgraduate PHSC students in public university settings</w:t>
      </w:r>
      <w:r w:rsidR="005C516E" w:rsidRPr="006A61C2">
        <w:t>.</w:t>
      </w:r>
    </w:p>
    <w:p w14:paraId="249A2A56" w14:textId="56BAD146" w:rsidR="003E5CDE" w:rsidRPr="006A61C2" w:rsidRDefault="006C2996" w:rsidP="006A61C2">
      <w:pPr>
        <w:pStyle w:val="Heading1"/>
        <w:rPr>
          <w:sz w:val="22"/>
          <w:szCs w:val="22"/>
        </w:rPr>
      </w:pPr>
      <w:bookmarkStart w:id="5" w:name="_Toc143511018"/>
      <w:bookmarkStart w:id="6" w:name="_Toc164032648"/>
      <w:r w:rsidRPr="006A61C2">
        <w:rPr>
          <w:sz w:val="22"/>
          <w:szCs w:val="22"/>
        </w:rPr>
        <w:lastRenderedPageBreak/>
        <w:t>RATIONAL</w:t>
      </w:r>
      <w:bookmarkEnd w:id="5"/>
      <w:bookmarkEnd w:id="6"/>
      <w:r w:rsidR="00D33811" w:rsidRPr="006A61C2">
        <w:rPr>
          <w:sz w:val="22"/>
          <w:szCs w:val="22"/>
        </w:rPr>
        <w:t xml:space="preserve"> </w:t>
      </w:r>
    </w:p>
    <w:p w14:paraId="4643A2B5" w14:textId="1FF80FA7" w:rsidR="006C2996" w:rsidRPr="006A61C2" w:rsidRDefault="00A068C6" w:rsidP="006A61C2">
      <w:r w:rsidRPr="006A61C2">
        <w:t>Understanding the factors that influence professional behavior among postgraduate PHSC students is essential for fostering a culture of excellence and integrity in academic and professional settings</w:t>
      </w:r>
      <w:r w:rsidR="005F6CF7" w:rsidRPr="006A61C2">
        <w:t xml:space="preserve"> (</w:t>
      </w:r>
      <w:r w:rsidR="005F6CF7" w:rsidRPr="006A61C2">
        <w:rPr>
          <w:shd w:val="clear" w:color="auto" w:fill="FFFFFF"/>
        </w:rPr>
        <w:t>Priyadarshini et al, 2022)</w:t>
      </w:r>
      <w:r w:rsidRPr="006A61C2">
        <w:t>. By conducting focus group discussions, we can gain rich insights directly from students themselves, allowing for a comprehensive exploration of the nuanced interplay of individual, interpersonal, and institutional factors shaping professional behavior. Identifying these factors will not only contribute to the body of knowledge in this area but also provide valuable guidance for educational institutions, policymakers, and stakeholders in designing interventions to enhance the development of professional behavior among postgraduate PHSC students</w:t>
      </w:r>
      <w:r w:rsidR="00BD7E22" w:rsidRPr="006A61C2">
        <w:t xml:space="preserve"> (</w:t>
      </w:r>
      <w:r w:rsidR="00BD7E22" w:rsidRPr="006A61C2">
        <w:rPr>
          <w:shd w:val="clear" w:color="auto" w:fill="FFFFFF"/>
        </w:rPr>
        <w:t>Priyadarshini et al, 2022)</w:t>
      </w:r>
      <w:r w:rsidR="006C2996" w:rsidRPr="006A61C2">
        <w:t>.</w:t>
      </w:r>
    </w:p>
    <w:p w14:paraId="45AB33EB" w14:textId="72728838" w:rsidR="003E5CDE" w:rsidRPr="006A61C2" w:rsidRDefault="007D751E" w:rsidP="006A61C2">
      <w:pPr>
        <w:pStyle w:val="Heading1"/>
        <w:rPr>
          <w:sz w:val="22"/>
          <w:szCs w:val="22"/>
        </w:rPr>
      </w:pPr>
      <w:bookmarkStart w:id="7" w:name="_Toc164032649"/>
      <w:r w:rsidRPr="006A61C2">
        <w:rPr>
          <w:sz w:val="22"/>
          <w:szCs w:val="22"/>
        </w:rPr>
        <w:t>RESEARCH QUESTION</w:t>
      </w:r>
      <w:bookmarkEnd w:id="7"/>
    </w:p>
    <w:p w14:paraId="5D9C5A92" w14:textId="2AF57F2A" w:rsidR="00446D40" w:rsidRPr="006A61C2" w:rsidRDefault="009D7EB1" w:rsidP="006A61C2">
      <w:bookmarkStart w:id="8" w:name="_Toc143511021"/>
      <w:r w:rsidRPr="006A61C2">
        <w:t>What are the key factors influencing the professional behavior of postgraduate PHSC students in a public university setting, and how do individual, interpersonal, and institutional factors interact to shape their professional conduct?</w:t>
      </w:r>
    </w:p>
    <w:p w14:paraId="71847989" w14:textId="2B6FAB79" w:rsidR="00A11F4F" w:rsidRPr="006A61C2" w:rsidRDefault="00D149EB" w:rsidP="006A61C2">
      <w:pPr>
        <w:pStyle w:val="Heading1"/>
        <w:rPr>
          <w:sz w:val="22"/>
          <w:szCs w:val="22"/>
        </w:rPr>
      </w:pPr>
      <w:bookmarkStart w:id="9" w:name="_Toc164032650"/>
      <w:bookmarkEnd w:id="8"/>
      <w:r w:rsidRPr="006A61C2">
        <w:rPr>
          <w:sz w:val="22"/>
          <w:szCs w:val="22"/>
        </w:rPr>
        <w:t xml:space="preserve">RESEARCH </w:t>
      </w:r>
      <w:r w:rsidR="009D7EB1" w:rsidRPr="006A61C2">
        <w:rPr>
          <w:sz w:val="22"/>
          <w:szCs w:val="22"/>
        </w:rPr>
        <w:t>METHODOLOGY</w:t>
      </w:r>
      <w:bookmarkEnd w:id="9"/>
    </w:p>
    <w:p w14:paraId="28EBBA64" w14:textId="3939B81A" w:rsidR="0052749B" w:rsidRDefault="0052749B" w:rsidP="006A61C2">
      <w:r w:rsidRPr="006A61C2">
        <w:t>For this study, conducted at the University of Wales Trinity Saint David in London, focus group discussions were chosen as the primary research methodology to explore the factors influencing the professional behavior of postgraduate PHSC students</w:t>
      </w:r>
      <w:r w:rsidR="003221C6" w:rsidRPr="006A61C2">
        <w:t xml:space="preserve"> (</w:t>
      </w:r>
      <w:r w:rsidR="003221C6" w:rsidRPr="006A61C2">
        <w:rPr>
          <w:shd w:val="clear" w:color="auto" w:fill="FFFFFF"/>
        </w:rPr>
        <w:t>Søraa et al, 2023)</w:t>
      </w:r>
      <w:r w:rsidRPr="006A61C2">
        <w:t>. Qualitative methods, including focus group discussions, were selected due to their effectiveness in capturing the nuanced perspectives and experiences of participants in exploring complex phenomena such as professional behavior</w:t>
      </w:r>
      <w:r w:rsidR="003221C6" w:rsidRPr="006A61C2">
        <w:t xml:space="preserve"> (</w:t>
      </w:r>
      <w:r w:rsidR="003221C6" w:rsidRPr="006A61C2">
        <w:rPr>
          <w:shd w:val="clear" w:color="auto" w:fill="FFFFFF"/>
        </w:rPr>
        <w:t>Søraa et al, 2023</w:t>
      </w:r>
      <w:r w:rsidR="007A6E95" w:rsidRPr="006A61C2">
        <w:rPr>
          <w:shd w:val="clear" w:color="auto" w:fill="FFFFFF"/>
        </w:rPr>
        <w:t>; Chen et al, 2023</w:t>
      </w:r>
      <w:r w:rsidR="003221C6" w:rsidRPr="006A61C2">
        <w:rPr>
          <w:shd w:val="clear" w:color="auto" w:fill="FFFFFF"/>
        </w:rPr>
        <w:t>)</w:t>
      </w:r>
      <w:r w:rsidRPr="006A61C2">
        <w:t>.</w:t>
      </w:r>
      <w:r w:rsidR="000B5171">
        <w:t xml:space="preserve"> </w:t>
      </w:r>
      <w:r w:rsidRPr="006A61C2">
        <w:t>The University of Wales Trinity Saint David was selected as the research site due to its diverse student population and reputation for excellence in PHSC education. Additionally, its location in London provided access to a rich pool of postgraduate PHSC students from various cultural and socio-economic backgrounds, ensuring a comprehensive exploration of factors influencing professional behavior.</w:t>
      </w:r>
    </w:p>
    <w:p w14:paraId="3EAB08F6" w14:textId="77777777" w:rsidR="000B5171" w:rsidRPr="006A61C2" w:rsidRDefault="000B5171" w:rsidP="006A61C2"/>
    <w:p w14:paraId="31E3B217" w14:textId="4D269572" w:rsidR="004254CE" w:rsidRPr="006A61C2" w:rsidRDefault="0052749B" w:rsidP="006A61C2">
      <w:r w:rsidRPr="006A61C2">
        <w:t>Qualitative methods, particularly focus group discussions, were deemed appropriate for this study as they facilitate interactive discussions among participants, allowing for the exploration of diverse viewpoints and the emergence of rich, detailed insights</w:t>
      </w:r>
      <w:r w:rsidR="00FB185B" w:rsidRPr="006A61C2">
        <w:t xml:space="preserve"> (</w:t>
      </w:r>
      <w:r w:rsidR="00FB185B" w:rsidRPr="006A61C2">
        <w:rPr>
          <w:shd w:val="clear" w:color="auto" w:fill="FFFFFF"/>
        </w:rPr>
        <w:t>Listiowati et al, 2023</w:t>
      </w:r>
      <w:r w:rsidR="00FE18A3" w:rsidRPr="006A61C2">
        <w:rPr>
          <w:shd w:val="clear" w:color="auto" w:fill="FFFFFF"/>
        </w:rPr>
        <w:t>; Sheng et al, 2023</w:t>
      </w:r>
      <w:r w:rsidR="00FB185B" w:rsidRPr="006A61C2">
        <w:rPr>
          <w:shd w:val="clear" w:color="auto" w:fill="FFFFFF"/>
        </w:rPr>
        <w:t>)</w:t>
      </w:r>
      <w:r w:rsidRPr="006A61C2">
        <w:t xml:space="preserve">. This methodological approach enables a deeper understanding of the complex interplay of individual, interpersonal, and institutional factors influencing professional behavior among </w:t>
      </w:r>
      <w:r w:rsidRPr="006A61C2">
        <w:lastRenderedPageBreak/>
        <w:t>postgraduate PHSC students</w:t>
      </w:r>
      <w:r w:rsidR="004F4AF5" w:rsidRPr="006A61C2">
        <w:t xml:space="preserve"> (</w:t>
      </w:r>
      <w:r w:rsidR="004F4AF5" w:rsidRPr="006A61C2">
        <w:rPr>
          <w:shd w:val="clear" w:color="auto" w:fill="FFFFFF"/>
        </w:rPr>
        <w:t>Listiowati et al, 2023)</w:t>
      </w:r>
      <w:r w:rsidRPr="006A61C2">
        <w:t>.</w:t>
      </w:r>
      <w:r w:rsidR="000B5171">
        <w:t xml:space="preserve"> </w:t>
      </w:r>
      <w:r w:rsidRPr="006A61C2">
        <w:t>Furthermore, qualitative methods align with the exploratory nature of the study, allowing for flexibility in data collection and analysis to capture the multifaceted nature of professional behavior</w:t>
      </w:r>
      <w:r w:rsidR="00F13F2C" w:rsidRPr="006A61C2">
        <w:t xml:space="preserve"> (</w:t>
      </w:r>
      <w:r w:rsidR="00F13F2C" w:rsidRPr="006A61C2">
        <w:rPr>
          <w:shd w:val="clear" w:color="auto" w:fill="FFFFFF"/>
        </w:rPr>
        <w:t>Sheng et al, 2023)</w:t>
      </w:r>
      <w:r w:rsidRPr="006A61C2">
        <w:t>. By employing focus group discussions at the University of Wales Trinity Saint David, this research endeavors to provide valuable insights into the factors shaping professional behavior among postgraduate PHSC students, contributing to the advancement of knowledge in the field and informing practical interventions to enhance professionalism in academic and professional settings.</w:t>
      </w:r>
    </w:p>
    <w:p w14:paraId="096B64F2" w14:textId="77777777" w:rsidR="00A452C2" w:rsidRPr="006A61C2" w:rsidRDefault="00D05DE9" w:rsidP="005028F3">
      <w:pPr>
        <w:pStyle w:val="Heading2"/>
      </w:pPr>
      <w:bookmarkStart w:id="10" w:name="_Toc164032651"/>
      <w:r w:rsidRPr="006A61C2">
        <w:t>RECRUITMENT:</w:t>
      </w:r>
      <w:bookmarkEnd w:id="10"/>
    </w:p>
    <w:p w14:paraId="70FAD51A" w14:textId="003143CB" w:rsidR="00DA41D0" w:rsidRPr="006A61C2" w:rsidRDefault="0097622E" w:rsidP="006A61C2">
      <w:r w:rsidRPr="006A61C2">
        <w:t>The recruitment process for this study was conducted at the University of Wales Trinity Saint David in London, focusing on postgraduate PHSC (Public Health and Social Care) students. The convenience sampling method was chosen due to its practicality and accessibility, as it allowed for the selection of participants based on their availability and willingness to participate</w:t>
      </w:r>
      <w:r w:rsidR="00D75291" w:rsidRPr="006A61C2">
        <w:t xml:space="preserve"> (</w:t>
      </w:r>
      <w:r w:rsidR="00D75291" w:rsidRPr="006A61C2">
        <w:rPr>
          <w:shd w:val="clear" w:color="auto" w:fill="FFFFFF"/>
        </w:rPr>
        <w:t>Valerio et al, 2016</w:t>
      </w:r>
      <w:r w:rsidR="005E1775" w:rsidRPr="006A61C2">
        <w:rPr>
          <w:shd w:val="clear" w:color="auto" w:fill="FFFFFF"/>
        </w:rPr>
        <w:t>; Nyumba et al, 2018</w:t>
      </w:r>
      <w:r w:rsidR="00D75291" w:rsidRPr="006A61C2">
        <w:rPr>
          <w:shd w:val="clear" w:color="auto" w:fill="FFFFFF"/>
        </w:rPr>
        <w:t>)</w:t>
      </w:r>
      <w:r w:rsidRPr="006A61C2">
        <w:t>. Convenience sampling was deemed appropriate for this study as it facilitated the recruitment of postgraduate PHSC students within the university setting, ensuring a manageable and feasible approach to gathering data. Given the busy schedules and academic commitments of postgraduate students, convenience sampling enabled us to reach out to those who were readily accessible and likely to engage in the focus group discussions</w:t>
      </w:r>
      <w:r w:rsidR="005E1775" w:rsidRPr="006A61C2">
        <w:t xml:space="preserve"> (</w:t>
      </w:r>
      <w:r w:rsidR="005E1775" w:rsidRPr="006A61C2">
        <w:rPr>
          <w:shd w:val="clear" w:color="auto" w:fill="FFFFFF"/>
        </w:rPr>
        <w:t>Valerio et al, 2016; Nyumba et al, 2018)</w:t>
      </w:r>
      <w:r w:rsidRPr="006A61C2">
        <w:t>. Moreover, by conducting the study within the University of Wales Trinity Saint David in London, we aimed to capture insights from a cohort of students immersed in the academic and social environment of a public university, thus enhancing the relevance and applicability of our findings to similar settings</w:t>
      </w:r>
      <w:r w:rsidR="00EB037C" w:rsidRPr="006A61C2">
        <w:t xml:space="preserve"> (</w:t>
      </w:r>
      <w:r w:rsidR="00EB037C" w:rsidRPr="006A61C2">
        <w:rPr>
          <w:shd w:val="clear" w:color="auto" w:fill="FFFFFF"/>
        </w:rPr>
        <w:t>Valerio et al, 2016; Nyumba et al, 2018)</w:t>
      </w:r>
      <w:r w:rsidR="0059297E" w:rsidRPr="006A61C2">
        <w:t>.</w:t>
      </w:r>
      <w:r w:rsidR="00A452C2" w:rsidRPr="006A61C2">
        <w:t xml:space="preserve"> </w:t>
      </w:r>
    </w:p>
    <w:p w14:paraId="67396ADA" w14:textId="2B63BF7C" w:rsidR="008169AB" w:rsidRPr="006A61C2" w:rsidRDefault="008169AB" w:rsidP="007C37F2">
      <w:pPr>
        <w:pStyle w:val="Heading2"/>
      </w:pPr>
      <w:bookmarkStart w:id="11" w:name="_Toc164032652"/>
      <w:r w:rsidRPr="006A61C2">
        <w:t>PARTICIPANTS:</w:t>
      </w:r>
      <w:bookmarkEnd w:id="11"/>
    </w:p>
    <w:p w14:paraId="3826C5F2" w14:textId="01531DC1" w:rsidR="008475CA" w:rsidRPr="006A61C2" w:rsidRDefault="00DC1DE0" w:rsidP="006A61C2">
      <w:r w:rsidRPr="006A61C2">
        <w:t>Four postgraduate PHSC students from the University of Wales Trinity Saint David in London were recruited to participate in the focus group discussions</w:t>
      </w:r>
      <w:r w:rsidR="00F923A8" w:rsidRPr="006A61C2">
        <w:t>.</w:t>
      </w:r>
    </w:p>
    <w:p w14:paraId="761BFE0E" w14:textId="63F6A1BE" w:rsidR="008169AB" w:rsidRPr="006A61C2" w:rsidRDefault="008169AB" w:rsidP="007C37F2">
      <w:pPr>
        <w:pStyle w:val="Heading2"/>
      </w:pPr>
      <w:bookmarkStart w:id="12" w:name="_Toc164032653"/>
      <w:r w:rsidRPr="006A61C2">
        <w:t>DATA COLLECTION:</w:t>
      </w:r>
      <w:bookmarkEnd w:id="12"/>
    </w:p>
    <w:p w14:paraId="57A65936" w14:textId="0C04D134" w:rsidR="00496AF1" w:rsidRPr="006A61C2" w:rsidRDefault="007C06EF" w:rsidP="006A61C2">
      <w:r w:rsidRPr="006A61C2">
        <w:t>The data collection process involved engaging with postgraduate PHSC students from the University of Wales Trinity Saint David in London. Four participants were recruited for the focus group discussion. A chairperson facilitated the meeting, which took place in Salisbury House, Room S</w:t>
      </w:r>
      <w:r w:rsidR="00F639A9" w:rsidRPr="006A61C2">
        <w:t>H</w:t>
      </w:r>
      <w:r w:rsidRPr="006A61C2">
        <w:t>3. The session lasted for one hour. During the meeting, a questionnaire covering open-ended and semi-structured questions related to the topic was utilized to guide the discussion</w:t>
      </w:r>
      <w:r w:rsidR="00ED239D" w:rsidRPr="006A61C2">
        <w:t xml:space="preserve"> </w:t>
      </w:r>
      <w:r w:rsidR="00ED239D" w:rsidRPr="006A61C2">
        <w:lastRenderedPageBreak/>
        <w:t>(</w:t>
      </w:r>
      <w:r w:rsidR="00ED239D" w:rsidRPr="006A61C2">
        <w:rPr>
          <w:shd w:val="clear" w:color="auto" w:fill="FFFFFF"/>
        </w:rPr>
        <w:t>Yulianti, and Sulistyawati, 2021)</w:t>
      </w:r>
      <w:r w:rsidRPr="006A61C2">
        <w:t>. Participants were encouraged to share their perspectives and experiences regarding the factors influencing their professional behavior as postgraduate PHSC students. The aim was to gather comprehensive insights into the individual, interpersonal, and institutional factors shaping professional conduct in this academic context</w:t>
      </w:r>
      <w:r w:rsidR="00AF38EF" w:rsidRPr="006A61C2">
        <w:t xml:space="preserve"> (</w:t>
      </w:r>
      <w:r w:rsidR="00AF38EF" w:rsidRPr="006A61C2">
        <w:rPr>
          <w:shd w:val="clear" w:color="auto" w:fill="FFFFFF"/>
        </w:rPr>
        <w:t>Yulianti, and Sulistyawati, 2021)</w:t>
      </w:r>
      <w:r w:rsidR="004E7CA6" w:rsidRPr="006A61C2">
        <w:rPr>
          <w:shd w:val="clear" w:color="auto" w:fill="FFFFFF"/>
        </w:rPr>
        <w:t>.</w:t>
      </w:r>
    </w:p>
    <w:p w14:paraId="489582D1" w14:textId="1268A8B2" w:rsidR="007807EE" w:rsidRPr="006A61C2" w:rsidRDefault="008475CA" w:rsidP="006A61C2">
      <w:pPr>
        <w:pStyle w:val="Heading1"/>
        <w:rPr>
          <w:sz w:val="22"/>
          <w:szCs w:val="22"/>
        </w:rPr>
      </w:pPr>
      <w:bookmarkStart w:id="13" w:name="_Toc164032654"/>
      <w:r w:rsidRPr="006A61C2">
        <w:rPr>
          <w:sz w:val="22"/>
          <w:szCs w:val="22"/>
        </w:rPr>
        <w:t>THEMATIC ANALYSIS</w:t>
      </w:r>
      <w:bookmarkEnd w:id="13"/>
    </w:p>
    <w:p w14:paraId="39031E8B" w14:textId="32099251" w:rsidR="008C27CA" w:rsidRPr="006A61C2" w:rsidRDefault="008C27CA" w:rsidP="006A61C2">
      <w:r w:rsidRPr="006A61C2">
        <w:t>Thematic analysis is a qualitative research method that aims to identify patterns, themes, and meanings within a dataset</w:t>
      </w:r>
      <w:r w:rsidR="00C648A0" w:rsidRPr="006A61C2">
        <w:t xml:space="preserve"> (</w:t>
      </w:r>
      <w:r w:rsidR="00C648A0" w:rsidRPr="006A61C2">
        <w:rPr>
          <w:shd w:val="clear" w:color="auto" w:fill="FFFFFF"/>
        </w:rPr>
        <w:t>Byrne, 2022)</w:t>
      </w:r>
      <w:r w:rsidRPr="006A61C2">
        <w:t xml:space="preserve">. In the context of our study exploring the factors influencing professional behavior among postgraduate PHSC students in a public university setting, </w:t>
      </w:r>
      <w:r w:rsidR="00F9427A" w:rsidRPr="006A61C2">
        <w:t xml:space="preserve">the </w:t>
      </w:r>
      <w:r w:rsidRPr="006A61C2">
        <w:t xml:space="preserve">thematic analysis serves as a robust approach to </w:t>
      </w:r>
      <w:r w:rsidR="005E2261" w:rsidRPr="006A61C2">
        <w:t>distill</w:t>
      </w:r>
      <w:r w:rsidRPr="006A61C2">
        <w:t xml:space="preserve"> and interpret the rich insights garnered from focus group discussions</w:t>
      </w:r>
      <w:r w:rsidR="005E2261" w:rsidRPr="006A61C2">
        <w:t xml:space="preserve"> (</w:t>
      </w:r>
      <w:r w:rsidR="005E2261" w:rsidRPr="006A61C2">
        <w:rPr>
          <w:shd w:val="clear" w:color="auto" w:fill="FFFFFF"/>
        </w:rPr>
        <w:t>Byrne, 2022</w:t>
      </w:r>
      <w:r w:rsidR="009A4C2F" w:rsidRPr="006A61C2">
        <w:rPr>
          <w:shd w:val="clear" w:color="auto" w:fill="FFFFFF"/>
        </w:rPr>
        <w:t>; Braun, Clarke, and Hayfield, 2022</w:t>
      </w:r>
      <w:r w:rsidR="005E2261" w:rsidRPr="006A61C2">
        <w:rPr>
          <w:shd w:val="clear" w:color="auto" w:fill="FFFFFF"/>
        </w:rPr>
        <w:t>)</w:t>
      </w:r>
      <w:r w:rsidRPr="006A61C2">
        <w:t>.</w:t>
      </w:r>
    </w:p>
    <w:p w14:paraId="47B79AEE" w14:textId="77777777" w:rsidR="008C27CA" w:rsidRPr="006A61C2" w:rsidRDefault="008C27CA" w:rsidP="006A61C2">
      <w:pPr>
        <w:ind w:left="360"/>
      </w:pPr>
    </w:p>
    <w:p w14:paraId="15C3E320" w14:textId="1AD6BE62" w:rsidR="008C27CA" w:rsidRPr="006A61C2" w:rsidRDefault="008C27CA" w:rsidP="006A61C2">
      <w:r w:rsidRPr="006A61C2">
        <w:t>Through thematic analysis, we seek to uncover recurrent themes and underlying factors that emerge from the discussions, shedding light on the multifaceted nature of professional behavior in this specific demographic</w:t>
      </w:r>
      <w:r w:rsidR="00946EB4" w:rsidRPr="006A61C2">
        <w:t xml:space="preserve"> (</w:t>
      </w:r>
      <w:r w:rsidR="00946EB4" w:rsidRPr="006A61C2">
        <w:rPr>
          <w:shd w:val="clear" w:color="auto" w:fill="FFFFFF"/>
        </w:rPr>
        <w:t>Braun, Clarke, and Hayfield, 2022)</w:t>
      </w:r>
      <w:r w:rsidRPr="006A61C2">
        <w:t>. By systematically analyzing the data, we aim to discern commonalities and variations in participants' perspectives, allowing us to construct a comprehensive understanding of the influences shaping professional conduct among postgraduate PHSC students</w:t>
      </w:r>
      <w:r w:rsidR="00826963" w:rsidRPr="006A61C2">
        <w:t xml:space="preserve"> (</w:t>
      </w:r>
      <w:r w:rsidR="00826963" w:rsidRPr="006A61C2">
        <w:rPr>
          <w:shd w:val="clear" w:color="auto" w:fill="FFFFFF"/>
        </w:rPr>
        <w:t>Braun, Clarke, and Hayfield, 2022)</w:t>
      </w:r>
      <w:r w:rsidRPr="006A61C2">
        <w:t>.</w:t>
      </w:r>
      <w:r w:rsidR="007C37F2">
        <w:t xml:space="preserve"> </w:t>
      </w:r>
      <w:r w:rsidRPr="006A61C2">
        <w:t>Moreover, thematic analysis enables us to explore the complexity and interconnectedness of various factors, including individual attributes, interpersonal dynamics, and institutional contexts. By organizing the data into coherent themes, we can elucidate the nuanced relationships between these factors and their implications for professional development and practice</w:t>
      </w:r>
      <w:r w:rsidR="004E182E" w:rsidRPr="006A61C2">
        <w:t xml:space="preserve"> (</w:t>
      </w:r>
      <w:r w:rsidR="004E182E" w:rsidRPr="006A61C2">
        <w:rPr>
          <w:shd w:val="clear" w:color="auto" w:fill="FFFFFF"/>
        </w:rPr>
        <w:t>Braun, Clarke, and Hayfield, 2022</w:t>
      </w:r>
      <w:r w:rsidR="00DE2E0E" w:rsidRPr="006A61C2">
        <w:rPr>
          <w:shd w:val="clear" w:color="auto" w:fill="FFFFFF"/>
        </w:rPr>
        <w:t>; Squires, 2023</w:t>
      </w:r>
      <w:r w:rsidR="004E182E" w:rsidRPr="006A61C2">
        <w:rPr>
          <w:shd w:val="clear" w:color="auto" w:fill="FFFFFF"/>
        </w:rPr>
        <w:t>)</w:t>
      </w:r>
      <w:r w:rsidRPr="006A61C2">
        <w:t>.</w:t>
      </w:r>
    </w:p>
    <w:p w14:paraId="16ED0B62" w14:textId="77777777" w:rsidR="008C27CA" w:rsidRPr="006A61C2" w:rsidRDefault="008C27CA" w:rsidP="006A61C2">
      <w:pPr>
        <w:ind w:left="360"/>
      </w:pPr>
    </w:p>
    <w:p w14:paraId="4A07295D" w14:textId="296E92AC" w:rsidR="002B42FC" w:rsidRPr="006A61C2" w:rsidRDefault="008C27CA" w:rsidP="006A61C2">
      <w:pPr>
        <w:rPr>
          <w:b/>
          <w:bCs/>
        </w:rPr>
      </w:pPr>
      <w:r w:rsidRPr="006A61C2">
        <w:t>In this thematic analysis, we endeavor to provide a structured and insightful interpretation of the focus group discussions, illuminating key insights and implications for promoting professionalism among postgraduate PHSC students in public university settings</w:t>
      </w:r>
      <w:r w:rsidR="00744FDC" w:rsidRPr="006A61C2">
        <w:t xml:space="preserve"> (</w:t>
      </w:r>
      <w:r w:rsidR="00744FDC" w:rsidRPr="006A61C2">
        <w:rPr>
          <w:shd w:val="clear" w:color="auto" w:fill="FFFFFF"/>
        </w:rPr>
        <w:t>Squires, 2023)</w:t>
      </w:r>
      <w:r w:rsidRPr="006A61C2">
        <w:t>. Through rigorous analysis and interpretation, we aim to contribute to the advancement of knowledge in this critical area of study, fostering a deeper understanding of the factors shaping professional behavior in the realm of PHSC education.</w:t>
      </w:r>
    </w:p>
    <w:p w14:paraId="4D43FE82" w14:textId="77777777" w:rsidR="007807EE" w:rsidRPr="006A61C2" w:rsidRDefault="007807EE" w:rsidP="006A61C2">
      <w:pPr>
        <w:rPr>
          <w:b/>
          <w:bCs/>
        </w:rPr>
      </w:pPr>
    </w:p>
    <w:p w14:paraId="287BED13" w14:textId="28689D50" w:rsidR="007D0C40" w:rsidRPr="006A61C2" w:rsidRDefault="007D0C40" w:rsidP="00BA35A2">
      <w:pPr>
        <w:pStyle w:val="Heading2"/>
      </w:pPr>
      <w:bookmarkStart w:id="14" w:name="_Toc164032655"/>
      <w:r w:rsidRPr="006A61C2">
        <w:lastRenderedPageBreak/>
        <w:t>Strengths of thematic analysis:</w:t>
      </w:r>
      <w:bookmarkEnd w:id="14"/>
    </w:p>
    <w:p w14:paraId="7FBA80D5" w14:textId="3D79324A" w:rsidR="008C27CA" w:rsidRPr="006A61C2" w:rsidRDefault="008C27CA" w:rsidP="006A61C2">
      <w:r w:rsidRPr="006A61C2">
        <w:t>Flexibility: Thematic analysis offers a flexible approach that can be tailored to suit the specific research question and dataset. Researchers have the freedom to adapt the analysis process to the unique characteristics of their data, allowing for a nuanced exploration of themes and patterns</w:t>
      </w:r>
      <w:r w:rsidR="00B97DA2" w:rsidRPr="006A61C2">
        <w:t xml:space="preserve"> (</w:t>
      </w:r>
      <w:r w:rsidR="00B97DA2" w:rsidRPr="006A61C2">
        <w:rPr>
          <w:shd w:val="clear" w:color="auto" w:fill="FFFFFF"/>
        </w:rPr>
        <w:t>Terry et al, 2017</w:t>
      </w:r>
      <w:r w:rsidR="000D116E" w:rsidRPr="006A61C2">
        <w:rPr>
          <w:shd w:val="clear" w:color="auto" w:fill="FFFFFF"/>
        </w:rPr>
        <w:t>; Salm et al, 2021</w:t>
      </w:r>
      <w:r w:rsidR="00B97DA2" w:rsidRPr="006A61C2">
        <w:rPr>
          <w:shd w:val="clear" w:color="auto" w:fill="FFFFFF"/>
        </w:rPr>
        <w:t>)</w:t>
      </w:r>
      <w:r w:rsidRPr="006A61C2">
        <w:t>.</w:t>
      </w:r>
    </w:p>
    <w:p w14:paraId="30ED66B6" w14:textId="75EC066E" w:rsidR="008C27CA" w:rsidRPr="006A61C2" w:rsidRDefault="008C27CA" w:rsidP="006A61C2">
      <w:r w:rsidRPr="006A61C2">
        <w:t>In-depth Understanding: Thematic analysis facilitates a detailed exploration of the data, enabling researchers to uncover underlying meanings and nuances within the dataset. By delving into the complexities of participants' perspectives, researchers can gain a comprehensive understanding of the phenomenon under investigation</w:t>
      </w:r>
      <w:r w:rsidR="00F550B2" w:rsidRPr="006A61C2">
        <w:t xml:space="preserve"> (</w:t>
      </w:r>
      <w:r w:rsidR="00F550B2" w:rsidRPr="006A61C2">
        <w:rPr>
          <w:shd w:val="clear" w:color="auto" w:fill="FFFFFF"/>
        </w:rPr>
        <w:t>Kiger, and Varpio, 2020)</w:t>
      </w:r>
      <w:r w:rsidRPr="006A61C2">
        <w:t>.</w:t>
      </w:r>
    </w:p>
    <w:p w14:paraId="1E8A2D5C" w14:textId="79780970" w:rsidR="008C27CA" w:rsidRPr="006A61C2" w:rsidRDefault="008C27CA" w:rsidP="006A61C2">
      <w:r w:rsidRPr="006A61C2">
        <w:t>Transparency: Thematic analysis promotes transparency in the research process by providing a clear and systematic approach to data analysis. Researchers document their analytical decisions and justify the emergence of themes, enhancing the credibility and trustworthiness of the findings</w:t>
      </w:r>
      <w:r w:rsidR="001A0F36" w:rsidRPr="006A61C2">
        <w:t xml:space="preserve"> (</w:t>
      </w:r>
      <w:r w:rsidR="001A0F36" w:rsidRPr="006A61C2">
        <w:rPr>
          <w:shd w:val="clear" w:color="auto" w:fill="FFFFFF"/>
        </w:rPr>
        <w:t>Terry et al, 2017</w:t>
      </w:r>
      <w:r w:rsidR="004136C1" w:rsidRPr="006A61C2">
        <w:rPr>
          <w:shd w:val="clear" w:color="auto" w:fill="FFFFFF"/>
        </w:rPr>
        <w:t>; Abbasi and Beigi, 2015</w:t>
      </w:r>
      <w:r w:rsidR="001A0F36" w:rsidRPr="006A61C2">
        <w:rPr>
          <w:shd w:val="clear" w:color="auto" w:fill="FFFFFF"/>
        </w:rPr>
        <w:t>)</w:t>
      </w:r>
      <w:r w:rsidRPr="006A61C2">
        <w:t>.</w:t>
      </w:r>
    </w:p>
    <w:p w14:paraId="150ACA2A" w14:textId="4C3A96C4" w:rsidR="000C78FC" w:rsidRPr="006A61C2" w:rsidRDefault="008C27CA" w:rsidP="006A61C2">
      <w:r w:rsidRPr="006A61C2">
        <w:t>Accessibility: Thematic analysis is accessible to researchers across various disciplines and levels of expertise. Its straightforward methodology and emphasis on interpretation make it an approachable method for both novice and experienced researchers</w:t>
      </w:r>
      <w:r w:rsidR="00233F96" w:rsidRPr="006A61C2">
        <w:t xml:space="preserve"> (</w:t>
      </w:r>
      <w:r w:rsidR="00233F96" w:rsidRPr="006A61C2">
        <w:rPr>
          <w:shd w:val="clear" w:color="auto" w:fill="FFFFFF"/>
        </w:rPr>
        <w:t>Kiger, and Varpio, 2020</w:t>
      </w:r>
      <w:r w:rsidR="000D116E" w:rsidRPr="006A61C2">
        <w:rPr>
          <w:shd w:val="clear" w:color="auto" w:fill="FFFFFF"/>
        </w:rPr>
        <w:t>; Salm et al, 2021</w:t>
      </w:r>
      <w:r w:rsidR="00233F96" w:rsidRPr="006A61C2">
        <w:rPr>
          <w:shd w:val="clear" w:color="auto" w:fill="FFFFFF"/>
        </w:rPr>
        <w:t>)</w:t>
      </w:r>
      <w:r w:rsidRPr="006A61C2">
        <w:t>.</w:t>
      </w:r>
    </w:p>
    <w:p w14:paraId="68B726FE" w14:textId="331DB794" w:rsidR="007D0C40" w:rsidRPr="006A61C2" w:rsidRDefault="007D0C40" w:rsidP="00BA35A2">
      <w:pPr>
        <w:pStyle w:val="Heading2"/>
      </w:pPr>
      <w:bookmarkStart w:id="15" w:name="_Toc164032656"/>
      <w:r w:rsidRPr="006A61C2">
        <w:t>Limitations of thematic analysis:</w:t>
      </w:r>
      <w:bookmarkEnd w:id="15"/>
    </w:p>
    <w:p w14:paraId="68C6DF00" w14:textId="77BB1C4D" w:rsidR="001C2924" w:rsidRPr="006A61C2" w:rsidRDefault="001C2924" w:rsidP="006A61C2">
      <w:r w:rsidRPr="006A61C2">
        <w:t>Subjectivity: Thematic analysis involves interpretation, which introduces the potential for researcher bias. The identification and interpretation of themes may be influenced by researchers' preconceptions, experiences, and theoretical perspectives, leading to subjective interpretations of the data</w:t>
      </w:r>
      <w:r w:rsidR="00112B30" w:rsidRPr="006A61C2">
        <w:t xml:space="preserve"> (</w:t>
      </w:r>
      <w:r w:rsidR="00112B30" w:rsidRPr="006A61C2">
        <w:rPr>
          <w:shd w:val="clear" w:color="auto" w:fill="FFFFFF"/>
        </w:rPr>
        <w:t>Kiger, and Varpio, 2020</w:t>
      </w:r>
      <w:r w:rsidR="00823650" w:rsidRPr="006A61C2">
        <w:rPr>
          <w:shd w:val="clear" w:color="auto" w:fill="FFFFFF"/>
        </w:rPr>
        <w:t>; Abbasi and Beigi, 2015</w:t>
      </w:r>
      <w:r w:rsidR="00112B30" w:rsidRPr="006A61C2">
        <w:rPr>
          <w:shd w:val="clear" w:color="auto" w:fill="FFFFFF"/>
        </w:rPr>
        <w:t>)</w:t>
      </w:r>
      <w:r w:rsidRPr="006A61C2">
        <w:t>.</w:t>
      </w:r>
    </w:p>
    <w:p w14:paraId="3065E6E1" w14:textId="6CD47950" w:rsidR="001C2924" w:rsidRPr="006A61C2" w:rsidRDefault="001C2924" w:rsidP="006A61C2">
      <w:r w:rsidRPr="006A61C2">
        <w:t>Reductionism: Thematic analysis may oversimplify complex phenomena by reducing them into discrete themes. This reductionist approach can overlook the interconnectedness and nuances within the data, limiting the depth of understanding</w:t>
      </w:r>
      <w:r w:rsidR="001A0F36" w:rsidRPr="006A61C2">
        <w:t xml:space="preserve"> (</w:t>
      </w:r>
      <w:r w:rsidR="001A0F36" w:rsidRPr="006A61C2">
        <w:rPr>
          <w:shd w:val="clear" w:color="auto" w:fill="FFFFFF"/>
        </w:rPr>
        <w:t>Terry et al, 2017</w:t>
      </w:r>
      <w:r w:rsidR="000D116E" w:rsidRPr="006A61C2">
        <w:rPr>
          <w:shd w:val="clear" w:color="auto" w:fill="FFFFFF"/>
        </w:rPr>
        <w:t>; Salm et al, 2021</w:t>
      </w:r>
      <w:r w:rsidR="001A0F36" w:rsidRPr="006A61C2">
        <w:rPr>
          <w:shd w:val="clear" w:color="auto" w:fill="FFFFFF"/>
        </w:rPr>
        <w:t>)</w:t>
      </w:r>
      <w:r w:rsidRPr="006A61C2">
        <w:t>.</w:t>
      </w:r>
    </w:p>
    <w:p w14:paraId="50572472" w14:textId="52248D83" w:rsidR="001C2924" w:rsidRPr="006A61C2" w:rsidRDefault="001C2924" w:rsidP="006A61C2">
      <w:r w:rsidRPr="006A61C2">
        <w:t>Time-Intensive: Thematic analysis can be time-consuming, particularly during the coding and theme development stages. The iterative process of reviewing, coding, and refining themes requires careful attention to detail and may require a significant investment of time and resources</w:t>
      </w:r>
      <w:r w:rsidR="00112B30" w:rsidRPr="006A61C2">
        <w:t xml:space="preserve"> (</w:t>
      </w:r>
      <w:r w:rsidR="00112B30" w:rsidRPr="006A61C2">
        <w:rPr>
          <w:shd w:val="clear" w:color="auto" w:fill="FFFFFF"/>
        </w:rPr>
        <w:t>Kiger, and Varpio, 2020</w:t>
      </w:r>
      <w:r w:rsidR="00EF299D" w:rsidRPr="006A61C2">
        <w:rPr>
          <w:shd w:val="clear" w:color="auto" w:fill="FFFFFF"/>
        </w:rPr>
        <w:t>; Salm et al, 2021</w:t>
      </w:r>
      <w:r w:rsidR="00112B30" w:rsidRPr="006A61C2">
        <w:rPr>
          <w:shd w:val="clear" w:color="auto" w:fill="FFFFFF"/>
        </w:rPr>
        <w:t>)</w:t>
      </w:r>
      <w:r w:rsidRPr="006A61C2">
        <w:t>.</w:t>
      </w:r>
    </w:p>
    <w:p w14:paraId="189B8B09" w14:textId="6AFF9053" w:rsidR="007D0C40" w:rsidRPr="006A61C2" w:rsidRDefault="001C2924" w:rsidP="006A61C2">
      <w:pPr>
        <w:rPr>
          <w:b/>
          <w:bCs/>
        </w:rPr>
      </w:pPr>
      <w:r w:rsidRPr="006A61C2">
        <w:t xml:space="preserve">Limited Quantification: Thematic analysis primarily focuses on qualitative data and may lack the quantitative rigor associated with other research methods. As a result, it may be challenging to </w:t>
      </w:r>
      <w:r w:rsidRPr="006A61C2">
        <w:lastRenderedPageBreak/>
        <w:t>quantify the prevalence or significance of themes within the dataset, limiting the generalizability of findings</w:t>
      </w:r>
      <w:r w:rsidR="00112B30" w:rsidRPr="006A61C2">
        <w:t xml:space="preserve"> (</w:t>
      </w:r>
      <w:r w:rsidR="00112B30" w:rsidRPr="006A61C2">
        <w:rPr>
          <w:shd w:val="clear" w:color="auto" w:fill="FFFFFF"/>
        </w:rPr>
        <w:t>Kiger, and Varpio, 2020</w:t>
      </w:r>
      <w:r w:rsidR="00823650" w:rsidRPr="006A61C2">
        <w:rPr>
          <w:shd w:val="clear" w:color="auto" w:fill="FFFFFF"/>
        </w:rPr>
        <w:t>; Abbasi and Beigi, 2015</w:t>
      </w:r>
      <w:r w:rsidR="00112B30" w:rsidRPr="006A61C2">
        <w:rPr>
          <w:shd w:val="clear" w:color="auto" w:fill="FFFFFF"/>
        </w:rPr>
        <w:t>)</w:t>
      </w:r>
      <w:r w:rsidRPr="006A61C2">
        <w:t>.</w:t>
      </w:r>
    </w:p>
    <w:p w14:paraId="5EFA2559" w14:textId="77777777" w:rsidR="003F46FB" w:rsidRPr="006A61C2" w:rsidRDefault="003F46FB" w:rsidP="006A61C2">
      <w:pPr>
        <w:pStyle w:val="Heading1"/>
        <w:rPr>
          <w:sz w:val="22"/>
          <w:szCs w:val="22"/>
        </w:rPr>
      </w:pPr>
      <w:bookmarkStart w:id="16" w:name="_Toc164032657"/>
      <w:r w:rsidRPr="006A61C2">
        <w:rPr>
          <w:sz w:val="22"/>
          <w:szCs w:val="22"/>
        </w:rPr>
        <w:t>ETHICAL CONSIDERATION</w:t>
      </w:r>
      <w:bookmarkEnd w:id="16"/>
    </w:p>
    <w:p w14:paraId="1BA5001C" w14:textId="56E3A448" w:rsidR="003F46FB" w:rsidRPr="006A61C2" w:rsidRDefault="00AE599E" w:rsidP="006A61C2">
      <w:pPr>
        <w:rPr>
          <w:lang w:val="en-IN"/>
        </w:rPr>
      </w:pPr>
      <w:r w:rsidRPr="006A61C2">
        <w:t>This study adhered to ethical guidelines and principles to ensure the well-being and confidentiality of participants</w:t>
      </w:r>
      <w:r w:rsidR="0066083A" w:rsidRPr="006A61C2">
        <w:t xml:space="preserve"> (</w:t>
      </w:r>
      <w:r w:rsidR="0066083A" w:rsidRPr="006A61C2">
        <w:rPr>
          <w:shd w:val="clear" w:color="auto" w:fill="FFFFFF"/>
        </w:rPr>
        <w:t>Steffen, 2016; Arifin, 2018)</w:t>
      </w:r>
      <w:r w:rsidRPr="006A61C2">
        <w:t xml:space="preserve">. Informed consent was obtained from all participants </w:t>
      </w:r>
      <w:r w:rsidR="00F9427A" w:rsidRPr="006A61C2">
        <w:t>before</w:t>
      </w:r>
      <w:r w:rsidRPr="006A61C2">
        <w:t xml:space="preserve"> their involvement in the focus group discussions. Participants were assured of their right to withdraw from the study at any point without repercussions</w:t>
      </w:r>
      <w:r w:rsidR="0066083A" w:rsidRPr="006A61C2">
        <w:t xml:space="preserve"> (</w:t>
      </w:r>
      <w:r w:rsidR="0066083A" w:rsidRPr="006A61C2">
        <w:rPr>
          <w:shd w:val="clear" w:color="auto" w:fill="FFFFFF"/>
        </w:rPr>
        <w:t>Arifin, 2018</w:t>
      </w:r>
      <w:r w:rsidR="002D63E3" w:rsidRPr="006A61C2">
        <w:rPr>
          <w:shd w:val="clear" w:color="auto" w:fill="FFFFFF"/>
        </w:rPr>
        <w:t>; Laryeafio, and Ogbewe, 2023</w:t>
      </w:r>
      <w:r w:rsidR="0066083A" w:rsidRPr="006A61C2">
        <w:rPr>
          <w:shd w:val="clear" w:color="auto" w:fill="FFFFFF"/>
        </w:rPr>
        <w:t>)</w:t>
      </w:r>
      <w:r w:rsidRPr="006A61C2">
        <w:t>. Confidentiality and anonymity were maintained throughout data collection, analysis, and reporting. Additionally, measures were implemented to safeguard against any potential harm or discomfort experienced by participants during the discussions</w:t>
      </w:r>
      <w:r w:rsidR="0066083A" w:rsidRPr="006A61C2">
        <w:t xml:space="preserve"> (</w:t>
      </w:r>
      <w:r w:rsidR="0066083A" w:rsidRPr="006A61C2">
        <w:rPr>
          <w:shd w:val="clear" w:color="auto" w:fill="FFFFFF"/>
        </w:rPr>
        <w:t>Laryeafio, and Ogbewe, 2023)</w:t>
      </w:r>
      <w:r w:rsidR="00DC2851" w:rsidRPr="006A61C2">
        <w:t>. All data were securely saved on a personal laptop with password protection to prevent unauthorized access</w:t>
      </w:r>
      <w:r w:rsidR="002D63E3" w:rsidRPr="006A61C2">
        <w:t xml:space="preserve"> (</w:t>
      </w:r>
      <w:r w:rsidR="002D63E3" w:rsidRPr="006A61C2">
        <w:rPr>
          <w:shd w:val="clear" w:color="auto" w:fill="FFFFFF"/>
        </w:rPr>
        <w:t>Arifin, 2018)</w:t>
      </w:r>
      <w:r w:rsidR="00DC2851" w:rsidRPr="006A61C2">
        <w:t xml:space="preserve">.  </w:t>
      </w:r>
    </w:p>
    <w:p w14:paraId="67D878DC" w14:textId="07B80F20" w:rsidR="007D0C40" w:rsidRPr="006A61C2" w:rsidRDefault="003F46FB" w:rsidP="006A61C2">
      <w:pPr>
        <w:pStyle w:val="Heading1"/>
        <w:rPr>
          <w:sz w:val="22"/>
          <w:szCs w:val="22"/>
        </w:rPr>
      </w:pPr>
      <w:bookmarkStart w:id="17" w:name="_Toc164032658"/>
      <w:r w:rsidRPr="006A61C2">
        <w:rPr>
          <w:sz w:val="22"/>
          <w:szCs w:val="22"/>
        </w:rPr>
        <w:t>RESULTS</w:t>
      </w:r>
      <w:bookmarkEnd w:id="17"/>
    </w:p>
    <w:p w14:paraId="17A9384D" w14:textId="44E7421E" w:rsidR="003E5CDE" w:rsidRPr="006A61C2" w:rsidRDefault="00584B68" w:rsidP="006A61C2">
      <w:pPr>
        <w:rPr>
          <w:b/>
          <w:bCs/>
          <w:u w:val="single"/>
        </w:rPr>
      </w:pPr>
      <w:r w:rsidRPr="006A61C2">
        <w:rPr>
          <w:b/>
          <w:bCs/>
          <w:u w:val="single"/>
        </w:rPr>
        <w:t xml:space="preserve">Theme 1: </w:t>
      </w:r>
      <w:r w:rsidR="00B26C0F" w:rsidRPr="006A61C2">
        <w:rPr>
          <w:b/>
          <w:bCs/>
          <w:u w:val="single"/>
        </w:rPr>
        <w:t>Personal values and Beliefs</w:t>
      </w:r>
    </w:p>
    <w:p w14:paraId="34CCC113" w14:textId="5952CB31" w:rsidR="00584B68" w:rsidRPr="006A61C2" w:rsidRDefault="00B26C0F" w:rsidP="006A61C2">
      <w:r w:rsidRPr="006A61C2">
        <w:rPr>
          <w:shd w:val="clear" w:color="auto" w:fill="FFFFFF"/>
        </w:rPr>
        <w:t>Participants highlighted the significant influence of their values and beliefs on their professional behavior. Factors such as integrity, empathy, and commitment to social justice were identified as driving forces shaping their conduct as postgraduate PHSC students</w:t>
      </w:r>
      <w:r w:rsidR="00F223A0" w:rsidRPr="006A61C2">
        <w:t>.</w:t>
      </w:r>
    </w:p>
    <w:p w14:paraId="25F8AFB0" w14:textId="32608418" w:rsidR="00584B68" w:rsidRPr="006A61C2" w:rsidRDefault="003E200F" w:rsidP="006A61C2">
      <w:r w:rsidRPr="006A61C2">
        <w:rPr>
          <w:shd w:val="clear" w:color="auto" w:fill="FFFFFF"/>
        </w:rPr>
        <w:t>"Having a strong sense of ethics drives me to make a positive impact in public health and social care"</w:t>
      </w:r>
      <w:r w:rsidR="00F223A0" w:rsidRPr="006A61C2">
        <w:t xml:space="preserve"> </w:t>
      </w:r>
      <w:r w:rsidR="000C78FC" w:rsidRPr="006A61C2">
        <w:t>(Participant</w:t>
      </w:r>
      <w:r w:rsidR="009F4D20" w:rsidRPr="006A61C2">
        <w:t xml:space="preserve"> </w:t>
      </w:r>
      <w:r w:rsidR="003D4958" w:rsidRPr="006A61C2">
        <w:t>D</w:t>
      </w:r>
      <w:r w:rsidR="000C78FC" w:rsidRPr="006A61C2">
        <w:t>)</w:t>
      </w:r>
    </w:p>
    <w:p w14:paraId="44D49F6A" w14:textId="2A05F0B5" w:rsidR="00584B68" w:rsidRPr="006A61C2" w:rsidRDefault="00584B68" w:rsidP="006A61C2">
      <w:r w:rsidRPr="006A61C2">
        <w:t xml:space="preserve">“Professional </w:t>
      </w:r>
      <w:r w:rsidR="009226FC" w:rsidRPr="006A61C2">
        <w:t>behavior</w:t>
      </w:r>
      <w:r w:rsidRPr="006A61C2">
        <w:t xml:space="preserve"> </w:t>
      </w:r>
      <w:r w:rsidR="009226FC" w:rsidRPr="006A61C2">
        <w:t>means</w:t>
      </w:r>
      <w:r w:rsidR="003E200F" w:rsidRPr="006A61C2">
        <w:t xml:space="preserve"> </w:t>
      </w:r>
      <w:r w:rsidR="003E200F" w:rsidRPr="006A61C2">
        <w:rPr>
          <w:shd w:val="clear" w:color="auto" w:fill="FFFFFF"/>
        </w:rPr>
        <w:t xml:space="preserve">always </w:t>
      </w:r>
      <w:r w:rsidR="00720325" w:rsidRPr="006A61C2">
        <w:rPr>
          <w:shd w:val="clear" w:color="auto" w:fill="FFFFFF"/>
        </w:rPr>
        <w:t>telling</w:t>
      </w:r>
      <w:r w:rsidR="003E200F" w:rsidRPr="006A61C2">
        <w:rPr>
          <w:shd w:val="clear" w:color="auto" w:fill="FFFFFF"/>
        </w:rPr>
        <w:t xml:space="preserve"> the truth and treating others well. Being honest and respectful.</w:t>
      </w:r>
      <w:r w:rsidR="009226FC" w:rsidRPr="006A61C2">
        <w:t>"</w:t>
      </w:r>
      <w:r w:rsidR="000C78FC" w:rsidRPr="006A61C2">
        <w:t xml:space="preserve"> (Participant</w:t>
      </w:r>
      <w:r w:rsidR="009F4D20" w:rsidRPr="006A61C2">
        <w:t xml:space="preserve"> </w:t>
      </w:r>
      <w:r w:rsidR="00457FC0" w:rsidRPr="006A61C2">
        <w:t>A</w:t>
      </w:r>
      <w:r w:rsidR="000C78FC" w:rsidRPr="006A61C2">
        <w:t>)</w:t>
      </w:r>
    </w:p>
    <w:p w14:paraId="745C2B59" w14:textId="4C7728E5" w:rsidR="003E200F" w:rsidRPr="006A61C2" w:rsidRDefault="003E200F" w:rsidP="006A61C2">
      <w:r w:rsidRPr="006A61C2">
        <w:rPr>
          <w:shd w:val="clear" w:color="auto" w:fill="FFFFFF"/>
        </w:rPr>
        <w:t>"My values tell me how to act in university and my job. Integrity is doing the right thing, even when nobody sees."</w:t>
      </w:r>
      <w:r w:rsidRPr="006A61C2">
        <w:t xml:space="preserve"> (Participant B)</w:t>
      </w:r>
    </w:p>
    <w:p w14:paraId="521EA8E1" w14:textId="60FF27B1" w:rsidR="00584B68" w:rsidRPr="006A61C2" w:rsidRDefault="00584B68" w:rsidP="006A61C2">
      <w:pPr>
        <w:rPr>
          <w:b/>
          <w:bCs/>
          <w:u w:val="single"/>
        </w:rPr>
      </w:pPr>
      <w:r w:rsidRPr="006A61C2">
        <w:rPr>
          <w:b/>
          <w:bCs/>
          <w:u w:val="single"/>
        </w:rPr>
        <w:t>Theme 2: P</w:t>
      </w:r>
      <w:r w:rsidR="00281A68" w:rsidRPr="006A61C2">
        <w:rPr>
          <w:b/>
          <w:bCs/>
          <w:u w:val="single"/>
        </w:rPr>
        <w:t>eer and Mentor Influences</w:t>
      </w:r>
    </w:p>
    <w:p w14:paraId="5FE43DAB" w14:textId="11DE31E4" w:rsidR="00584B68" w:rsidRPr="006A61C2" w:rsidRDefault="007D2E2C" w:rsidP="006A61C2">
      <w:r w:rsidRPr="006A61C2">
        <w:rPr>
          <w:shd w:val="clear" w:color="auto" w:fill="FFFFFF"/>
        </w:rPr>
        <w:t>The role of peers and mentors emerged as crucial in shaping participants' professional behavior. Positive peer interactions, supportive mentorship, and collaborative learning environments were identified as influential factors that fostered professionalism among postgraduate PHSC students</w:t>
      </w:r>
      <w:r w:rsidR="00457FC0" w:rsidRPr="006A61C2">
        <w:t>.</w:t>
      </w:r>
    </w:p>
    <w:p w14:paraId="1753AD4F" w14:textId="4DD80F31" w:rsidR="00584B68" w:rsidRPr="006A61C2" w:rsidRDefault="00584B68" w:rsidP="006A61C2">
      <w:r w:rsidRPr="006A61C2">
        <w:t>“</w:t>
      </w:r>
      <w:r w:rsidR="005B5497" w:rsidRPr="006A61C2">
        <w:rPr>
          <w:shd w:val="clear" w:color="auto" w:fill="FFFFFF"/>
        </w:rPr>
        <w:t>My friends and classmates inspire me to act professionally. We support each other and share tips on how to handle challenging situations."</w:t>
      </w:r>
      <w:r w:rsidR="000C78FC" w:rsidRPr="006A61C2">
        <w:t xml:space="preserve"> (Participant</w:t>
      </w:r>
      <w:r w:rsidR="00CB598B" w:rsidRPr="006A61C2">
        <w:t xml:space="preserve"> </w:t>
      </w:r>
      <w:r w:rsidR="005B5497" w:rsidRPr="006A61C2">
        <w:t>C</w:t>
      </w:r>
      <w:r w:rsidR="000C78FC" w:rsidRPr="006A61C2">
        <w:t>)</w:t>
      </w:r>
    </w:p>
    <w:p w14:paraId="13F763D7" w14:textId="1A8A7354" w:rsidR="000C78FC" w:rsidRPr="006A61C2" w:rsidRDefault="005B5497" w:rsidP="006A61C2">
      <w:r w:rsidRPr="006A61C2">
        <w:rPr>
          <w:shd w:val="clear" w:color="auto" w:fill="FFFFFF"/>
        </w:rPr>
        <w:lastRenderedPageBreak/>
        <w:t>"Well. According to me working together with classmates on projects creates a positive atmosphere. We learn from each other and encourage good behavior, which helps us all grow as professionals."</w:t>
      </w:r>
      <w:r w:rsidR="000C78FC" w:rsidRPr="006A61C2">
        <w:t xml:space="preserve"> (Participant</w:t>
      </w:r>
      <w:r w:rsidR="00EC1B16" w:rsidRPr="006A61C2">
        <w:t xml:space="preserve"> </w:t>
      </w:r>
      <w:r w:rsidRPr="006A61C2">
        <w:t>A</w:t>
      </w:r>
      <w:r w:rsidR="000C78FC" w:rsidRPr="006A61C2">
        <w:t>)</w:t>
      </w:r>
    </w:p>
    <w:p w14:paraId="3918C053" w14:textId="2E549094" w:rsidR="00584B68" w:rsidRPr="006A61C2" w:rsidRDefault="00584B68" w:rsidP="006A61C2">
      <w:pPr>
        <w:rPr>
          <w:b/>
          <w:bCs/>
          <w:u w:val="single"/>
        </w:rPr>
      </w:pPr>
      <w:r w:rsidRPr="006A61C2">
        <w:rPr>
          <w:b/>
          <w:bCs/>
          <w:u w:val="single"/>
        </w:rPr>
        <w:t xml:space="preserve">Theme 3: </w:t>
      </w:r>
      <w:r w:rsidR="00281A68" w:rsidRPr="006A61C2">
        <w:rPr>
          <w:b/>
          <w:bCs/>
          <w:u w:val="single"/>
        </w:rPr>
        <w:t>Institutional Support and Environment</w:t>
      </w:r>
    </w:p>
    <w:p w14:paraId="557D0AEB" w14:textId="72D8D7BC" w:rsidR="00584B68" w:rsidRPr="006A61C2" w:rsidRDefault="00281A68" w:rsidP="006A61C2">
      <w:r w:rsidRPr="006A61C2">
        <w:rPr>
          <w:shd w:val="clear" w:color="auto" w:fill="FFFFFF"/>
        </w:rPr>
        <w:t>Participants emphasized the importance of institutional support and the learning environment in shaping their professional behavior. Factors such as clear institutional policies, access to resources, and a supportive academic culture were highlighted as facilitating professionalism and ethical conduct among postgraduate PHSC students</w:t>
      </w:r>
      <w:r w:rsidR="00457FC0" w:rsidRPr="006A61C2">
        <w:t>.</w:t>
      </w:r>
    </w:p>
    <w:p w14:paraId="11B813CF" w14:textId="60BF4FB3" w:rsidR="00584B68" w:rsidRPr="006A61C2" w:rsidRDefault="00584B68" w:rsidP="006A61C2">
      <w:r w:rsidRPr="006A61C2">
        <w:t>“</w:t>
      </w:r>
      <w:r w:rsidR="0057567F" w:rsidRPr="006A61C2">
        <w:t xml:space="preserve">For example, </w:t>
      </w:r>
      <w:r w:rsidR="00281A68" w:rsidRPr="006A61C2">
        <w:rPr>
          <w:shd w:val="clear" w:color="auto" w:fill="FFFFFF"/>
        </w:rPr>
        <w:t>When the university provides the resources we need, like libraries or labs, it makes it easier for us to focus on learning and behaving professionally.</w:t>
      </w:r>
      <w:r w:rsidRPr="006A61C2">
        <w:t>"</w:t>
      </w:r>
      <w:r w:rsidR="000C78FC" w:rsidRPr="006A61C2">
        <w:t xml:space="preserve"> (Participan</w:t>
      </w:r>
      <w:r w:rsidR="00425C24" w:rsidRPr="006A61C2">
        <w:t xml:space="preserve">t </w:t>
      </w:r>
      <w:r w:rsidR="00A15516" w:rsidRPr="006A61C2">
        <w:t>B</w:t>
      </w:r>
      <w:r w:rsidR="000C78FC" w:rsidRPr="006A61C2">
        <w:t>)</w:t>
      </w:r>
    </w:p>
    <w:p w14:paraId="39A059D2" w14:textId="06E04EB5" w:rsidR="00584B68" w:rsidRPr="006A61C2" w:rsidRDefault="00584B68" w:rsidP="006A61C2">
      <w:r w:rsidRPr="006A61C2">
        <w:t>“</w:t>
      </w:r>
      <w:r w:rsidR="0057567F" w:rsidRPr="006A61C2">
        <w:t xml:space="preserve">I think </w:t>
      </w:r>
      <w:r w:rsidR="0057567F" w:rsidRPr="006A61C2">
        <w:rPr>
          <w:shd w:val="clear" w:color="auto" w:fill="FFFFFF"/>
        </w:rPr>
        <w:t>h</w:t>
      </w:r>
      <w:r w:rsidR="00281A68" w:rsidRPr="006A61C2">
        <w:rPr>
          <w:shd w:val="clear" w:color="auto" w:fill="FFFFFF"/>
        </w:rPr>
        <w:t>aving clear rules and guidelines from the university helps us know what's expected, making it easier to act professionally</w:t>
      </w:r>
      <w:r w:rsidRPr="006A61C2">
        <w:t>"</w:t>
      </w:r>
      <w:r w:rsidR="000C78FC" w:rsidRPr="006A61C2">
        <w:t xml:space="preserve"> (Participant</w:t>
      </w:r>
      <w:r w:rsidR="009E593F" w:rsidRPr="006A61C2">
        <w:t xml:space="preserve"> </w:t>
      </w:r>
      <w:r w:rsidR="00201BAA" w:rsidRPr="006A61C2">
        <w:t>D</w:t>
      </w:r>
      <w:r w:rsidR="000C78FC" w:rsidRPr="006A61C2">
        <w:t>)</w:t>
      </w:r>
    </w:p>
    <w:p w14:paraId="76AC774F" w14:textId="00547264" w:rsidR="00EC10A9" w:rsidRPr="006A61C2" w:rsidRDefault="00281A68" w:rsidP="006A61C2">
      <w:r w:rsidRPr="006A61C2">
        <w:t>“</w:t>
      </w:r>
      <w:r w:rsidR="0057567F" w:rsidRPr="006A61C2">
        <w:t xml:space="preserve">According to me </w:t>
      </w:r>
      <w:r w:rsidR="0057567F" w:rsidRPr="006A61C2">
        <w:rPr>
          <w:shd w:val="clear" w:color="auto" w:fill="FFFFFF"/>
        </w:rPr>
        <w:t>s</w:t>
      </w:r>
      <w:r w:rsidRPr="006A61C2">
        <w:rPr>
          <w:shd w:val="clear" w:color="auto" w:fill="FFFFFF"/>
        </w:rPr>
        <w:t>upport from the university and teachers motivates us to excel and behave ethically in our studies and careers.</w:t>
      </w:r>
      <w:r w:rsidRPr="006A61C2">
        <w:t>" (Participant C)</w:t>
      </w:r>
    </w:p>
    <w:p w14:paraId="573A5CF7" w14:textId="43D7D7EB" w:rsidR="00AD2461" w:rsidRPr="006A61C2" w:rsidRDefault="00AD2461" w:rsidP="006A61C2">
      <w:pPr>
        <w:pStyle w:val="Heading1"/>
        <w:rPr>
          <w:sz w:val="22"/>
          <w:szCs w:val="22"/>
        </w:rPr>
      </w:pPr>
      <w:bookmarkStart w:id="18" w:name="_Toc164032659"/>
      <w:r w:rsidRPr="006A61C2">
        <w:rPr>
          <w:sz w:val="22"/>
          <w:szCs w:val="22"/>
        </w:rPr>
        <w:t>DISCUSSION</w:t>
      </w:r>
      <w:bookmarkEnd w:id="18"/>
    </w:p>
    <w:p w14:paraId="459EE645" w14:textId="718E847F" w:rsidR="00B968E8" w:rsidRPr="006A61C2" w:rsidRDefault="00B968E8" w:rsidP="006A61C2">
      <w:pPr>
        <w:rPr>
          <w:rFonts w:eastAsia="Times New Roman"/>
        </w:rPr>
      </w:pPr>
      <w:r w:rsidRPr="006A61C2">
        <w:rPr>
          <w:rFonts w:eastAsia="Times New Roman"/>
        </w:rPr>
        <w:t>In the discussion section, the research findings highlight the pivotal role of personal values and beliefs in driving professional behavior among postgraduate PHSC students. Participants' emphasis on integrity and commitment to social justice underscores the intrinsic motivation that underpins ethical conduct</w:t>
      </w:r>
      <w:r w:rsidR="00E27E3D" w:rsidRPr="006A61C2">
        <w:rPr>
          <w:rFonts w:eastAsia="Times New Roman"/>
        </w:rPr>
        <w:t xml:space="preserve"> (</w:t>
      </w:r>
      <w:r w:rsidR="00E27E3D" w:rsidRPr="006A61C2">
        <w:rPr>
          <w:shd w:val="clear" w:color="auto" w:fill="FFFFFF"/>
        </w:rPr>
        <w:t>DeMott,</w:t>
      </w:r>
      <w:r w:rsidR="00360F09" w:rsidRPr="006A61C2">
        <w:rPr>
          <w:shd w:val="clear" w:color="auto" w:fill="FFFFFF"/>
        </w:rPr>
        <w:t xml:space="preserve"> </w:t>
      </w:r>
      <w:r w:rsidR="00E27E3D" w:rsidRPr="006A61C2">
        <w:rPr>
          <w:shd w:val="clear" w:color="auto" w:fill="FFFFFF"/>
        </w:rPr>
        <w:t>2020)</w:t>
      </w:r>
      <w:r w:rsidRPr="006A61C2">
        <w:rPr>
          <w:rFonts w:eastAsia="Times New Roman"/>
        </w:rPr>
        <w:t>. This underscores the imperative for educational institutions to foster a values-driven approach to professional development, facilitating students' ethical awareness and moral reasoning. By aligning personal principles with professional conduct, students are better equipped to navigate complex ethical dilemmas and uphold the highest standards of professionalism in their academic and professional endeavors</w:t>
      </w:r>
      <w:r w:rsidR="0000744D" w:rsidRPr="006A61C2">
        <w:rPr>
          <w:rFonts w:eastAsia="Times New Roman"/>
        </w:rPr>
        <w:t xml:space="preserve"> (</w:t>
      </w:r>
      <w:r w:rsidR="0000744D" w:rsidRPr="006A61C2">
        <w:rPr>
          <w:shd w:val="clear" w:color="auto" w:fill="FFFFFF"/>
        </w:rPr>
        <w:t>DeMott, 2020)</w:t>
      </w:r>
      <w:r w:rsidRPr="006A61C2">
        <w:rPr>
          <w:rFonts w:eastAsia="Times New Roman"/>
        </w:rPr>
        <w:t>.</w:t>
      </w:r>
    </w:p>
    <w:p w14:paraId="6306441F" w14:textId="09D0F8D3" w:rsidR="007807EE" w:rsidRPr="006A61C2" w:rsidRDefault="00B968E8" w:rsidP="006A61C2">
      <w:pPr>
        <w:spacing w:before="240"/>
        <w:rPr>
          <w:rFonts w:eastAsia="Times New Roman"/>
        </w:rPr>
      </w:pPr>
      <w:r w:rsidRPr="006A61C2">
        <w:rPr>
          <w:rFonts w:eastAsia="Times New Roman"/>
        </w:rPr>
        <w:t>Moreover, the study underscores the significant influence of peer and mentor interactions on shaping professional behavior. Participants' accounts underscore the importance of supportive peer networks and mentorship in cultivating a collaborative and conducive learning environment</w:t>
      </w:r>
      <w:r w:rsidR="00B773DA" w:rsidRPr="006A61C2">
        <w:rPr>
          <w:rFonts w:eastAsia="Times New Roman"/>
        </w:rPr>
        <w:t xml:space="preserve"> (</w:t>
      </w:r>
      <w:r w:rsidR="00B773DA" w:rsidRPr="006A61C2">
        <w:rPr>
          <w:shd w:val="clear" w:color="auto" w:fill="FFFFFF"/>
        </w:rPr>
        <w:t>Murrell et al, 2021)</w:t>
      </w:r>
      <w:r w:rsidRPr="006A61C2">
        <w:rPr>
          <w:rFonts w:eastAsia="Times New Roman"/>
        </w:rPr>
        <w:t>. This highlights the value of peer support programs and mentorship initiatives in promoting professionalism and facilitating students' professional growth</w:t>
      </w:r>
      <w:r w:rsidR="0089635C" w:rsidRPr="006A61C2">
        <w:rPr>
          <w:rFonts w:eastAsia="Times New Roman"/>
        </w:rPr>
        <w:t xml:space="preserve"> (</w:t>
      </w:r>
      <w:r w:rsidR="0089635C" w:rsidRPr="006A61C2">
        <w:rPr>
          <w:shd w:val="clear" w:color="auto" w:fill="FFFFFF"/>
        </w:rPr>
        <w:t>Murrell et al, 2021)</w:t>
      </w:r>
      <w:r w:rsidRPr="006A61C2">
        <w:rPr>
          <w:rFonts w:eastAsia="Times New Roman"/>
        </w:rPr>
        <w:t>. Additionally, the discussion underscores the critical role of institutional support and the learning environment in shaping professional behavior. Participants' insights underscore the importance of clear institutional policies and access to resources in fostering professionalism among postgraduate PHSC students</w:t>
      </w:r>
      <w:r w:rsidR="00F17E73" w:rsidRPr="006A61C2">
        <w:rPr>
          <w:rFonts w:eastAsia="Times New Roman"/>
        </w:rPr>
        <w:t xml:space="preserve"> (</w:t>
      </w:r>
      <w:r w:rsidR="00F17E73" w:rsidRPr="006A61C2">
        <w:rPr>
          <w:shd w:val="clear" w:color="auto" w:fill="FFFFFF"/>
        </w:rPr>
        <w:t>Takeuchi et al, 2021</w:t>
      </w:r>
      <w:r w:rsidR="00EC4764" w:rsidRPr="006A61C2">
        <w:rPr>
          <w:shd w:val="clear" w:color="auto" w:fill="FFFFFF"/>
        </w:rPr>
        <w:t>; Akhtar et al, 2022</w:t>
      </w:r>
      <w:r w:rsidR="00F17E73" w:rsidRPr="006A61C2">
        <w:rPr>
          <w:shd w:val="clear" w:color="auto" w:fill="FFFFFF"/>
        </w:rPr>
        <w:t>)</w:t>
      </w:r>
      <w:r w:rsidRPr="006A61C2">
        <w:rPr>
          <w:rFonts w:eastAsia="Times New Roman"/>
        </w:rPr>
        <w:t xml:space="preserve">. This underscores the </w:t>
      </w:r>
      <w:r w:rsidRPr="006A61C2">
        <w:rPr>
          <w:rFonts w:eastAsia="Times New Roman"/>
        </w:rPr>
        <w:lastRenderedPageBreak/>
        <w:t>need for educational institutions to prioritize creating a supportive and conducive learning environment characterized by clear guidelines, adequate resources, and supportive faculty, ultimately enhancing students' professional development and contributing to the delivery of high-quality healthcare and social services</w:t>
      </w:r>
      <w:r w:rsidR="005B42B8" w:rsidRPr="006A61C2">
        <w:rPr>
          <w:rFonts w:eastAsia="Times New Roman"/>
        </w:rPr>
        <w:t xml:space="preserve"> (</w:t>
      </w:r>
      <w:r w:rsidR="005B42B8" w:rsidRPr="006A61C2">
        <w:rPr>
          <w:shd w:val="clear" w:color="auto" w:fill="FFFFFF"/>
        </w:rPr>
        <w:t>Takeuchi et al, 2021</w:t>
      </w:r>
      <w:r w:rsidR="000C7AEF" w:rsidRPr="006A61C2">
        <w:rPr>
          <w:shd w:val="clear" w:color="auto" w:fill="FFFFFF"/>
        </w:rPr>
        <w:t>; Akhtar et al, 2022</w:t>
      </w:r>
      <w:r w:rsidR="005B42B8" w:rsidRPr="006A61C2">
        <w:rPr>
          <w:shd w:val="clear" w:color="auto" w:fill="FFFFFF"/>
        </w:rPr>
        <w:t>)</w:t>
      </w:r>
      <w:r w:rsidR="007C0E55" w:rsidRPr="006A61C2">
        <w:rPr>
          <w:rFonts w:eastAsia="Times New Roman"/>
        </w:rPr>
        <w:t>.</w:t>
      </w:r>
    </w:p>
    <w:p w14:paraId="0FDA70AA" w14:textId="7C5901BD" w:rsidR="00643BB6" w:rsidRPr="006A61C2" w:rsidRDefault="007A3CEF" w:rsidP="006A61C2">
      <w:pPr>
        <w:pStyle w:val="Heading1"/>
        <w:rPr>
          <w:sz w:val="22"/>
          <w:szCs w:val="22"/>
        </w:rPr>
      </w:pPr>
      <w:bookmarkStart w:id="19" w:name="_Toc164032660"/>
      <w:r w:rsidRPr="006A61C2">
        <w:rPr>
          <w:sz w:val="22"/>
          <w:szCs w:val="22"/>
        </w:rPr>
        <w:t>RECOMMENDATIONS</w:t>
      </w:r>
      <w:bookmarkEnd w:id="19"/>
      <w:r w:rsidR="00CF35BA" w:rsidRPr="006A61C2">
        <w:rPr>
          <w:sz w:val="22"/>
          <w:szCs w:val="22"/>
        </w:rPr>
        <w:t xml:space="preserve"> </w:t>
      </w:r>
    </w:p>
    <w:p w14:paraId="7F9A1A19" w14:textId="6638F144" w:rsidR="007A3CEF" w:rsidRPr="006A61C2" w:rsidRDefault="007A3CEF" w:rsidP="006A61C2">
      <w:r w:rsidRPr="006A61C2">
        <w:t>Recommendations stemming from the study findings would focus on enhancing professional development initiatives within public university settings for postgraduate PHSC students:</w:t>
      </w:r>
    </w:p>
    <w:p w14:paraId="44CC30E4" w14:textId="55B41CD0" w:rsidR="007A3CEF" w:rsidRPr="006A61C2" w:rsidRDefault="007A3CEF" w:rsidP="006A61C2">
      <w:pPr>
        <w:pStyle w:val="ListParagraph"/>
        <w:numPr>
          <w:ilvl w:val="0"/>
          <w:numId w:val="12"/>
        </w:numPr>
      </w:pPr>
      <w:r w:rsidRPr="006A61C2">
        <w:t>Implement Values-Based Education: Educational institutions should incorporate values-based education into the curriculum, emphasizing the importance of integrity, empathy, and commitment to social justice. This can be achieved through workshops, seminars, and reflective exercises aimed at nurturing students' ethical awareness and moral reasoning</w:t>
      </w:r>
      <w:r w:rsidR="00F243AA" w:rsidRPr="006A61C2">
        <w:t xml:space="preserve"> (</w:t>
      </w:r>
      <w:r w:rsidR="00F243AA" w:rsidRPr="006A61C2">
        <w:rPr>
          <w:shd w:val="clear" w:color="auto" w:fill="FFFFFF"/>
        </w:rPr>
        <w:t>Jefferies et al, 2018</w:t>
      </w:r>
      <w:r w:rsidR="008D409E" w:rsidRPr="006A61C2">
        <w:rPr>
          <w:shd w:val="clear" w:color="auto" w:fill="FFFFFF"/>
        </w:rPr>
        <w:t>; Maiya, and Aithal, 2023</w:t>
      </w:r>
      <w:r w:rsidR="00F243AA" w:rsidRPr="006A61C2">
        <w:rPr>
          <w:shd w:val="clear" w:color="auto" w:fill="FFFFFF"/>
        </w:rPr>
        <w:t>)</w:t>
      </w:r>
      <w:r w:rsidRPr="006A61C2">
        <w:t>.</w:t>
      </w:r>
    </w:p>
    <w:p w14:paraId="0A272F33" w14:textId="7E36905C" w:rsidR="007A3CEF" w:rsidRPr="006A61C2" w:rsidRDefault="007A3CEF" w:rsidP="006A61C2">
      <w:pPr>
        <w:pStyle w:val="ListParagraph"/>
        <w:numPr>
          <w:ilvl w:val="0"/>
          <w:numId w:val="12"/>
        </w:numPr>
      </w:pPr>
      <w:r w:rsidRPr="006A61C2">
        <w:t>Foster Peer Support and Mentorship Programs: Institutions should establish peer support programs and mentorship initiatives to cultivate a collaborative and supportive learning environment. These programs can provide opportunities for students to engage in peer-to-peer learning, receive guidance from experienced mentors, and develop professional networks that facilitate their professional growth and development</w:t>
      </w:r>
      <w:r w:rsidR="004B15F6" w:rsidRPr="006A61C2">
        <w:t xml:space="preserve"> (</w:t>
      </w:r>
      <w:r w:rsidR="004B15F6" w:rsidRPr="006A61C2">
        <w:rPr>
          <w:shd w:val="clear" w:color="auto" w:fill="FFFFFF"/>
        </w:rPr>
        <w:t>Ruparel et al, 2023)</w:t>
      </w:r>
      <w:r w:rsidRPr="006A61C2">
        <w:t>.</w:t>
      </w:r>
    </w:p>
    <w:p w14:paraId="70E61547" w14:textId="711B3B5D" w:rsidR="007A3CEF" w:rsidRPr="006A61C2" w:rsidRDefault="007A3CEF" w:rsidP="006A61C2">
      <w:pPr>
        <w:pStyle w:val="ListParagraph"/>
        <w:numPr>
          <w:ilvl w:val="0"/>
          <w:numId w:val="12"/>
        </w:numPr>
      </w:pPr>
      <w:r w:rsidRPr="006A61C2">
        <w:t>Enhance Institutional Support: Universities should prioritize providing clear institutional policies, access to resources, and supportive faculty to foster professionalism among postgraduate PHSC students. This includes ensuring transparent guidelines for ethical conduct, adequate access to academic resources such as libraries and labs, and opportunities for students to engage with supportive faculty members who can provide mentorship and guidance</w:t>
      </w:r>
      <w:r w:rsidR="004B15F6" w:rsidRPr="006A61C2">
        <w:t xml:space="preserve"> (</w:t>
      </w:r>
      <w:r w:rsidR="004B15F6" w:rsidRPr="006A61C2">
        <w:rPr>
          <w:shd w:val="clear" w:color="auto" w:fill="FFFFFF"/>
        </w:rPr>
        <w:t>Jefferies et al, 2018</w:t>
      </w:r>
      <w:r w:rsidR="0007481C" w:rsidRPr="006A61C2">
        <w:rPr>
          <w:shd w:val="clear" w:color="auto" w:fill="FFFFFF"/>
        </w:rPr>
        <w:t>; Maiya, and Aithal, 2023</w:t>
      </w:r>
      <w:r w:rsidR="004B15F6" w:rsidRPr="006A61C2">
        <w:rPr>
          <w:shd w:val="clear" w:color="auto" w:fill="FFFFFF"/>
        </w:rPr>
        <w:t>)</w:t>
      </w:r>
      <w:r w:rsidRPr="006A61C2">
        <w:t>.</w:t>
      </w:r>
    </w:p>
    <w:p w14:paraId="21DADFB2" w14:textId="71B98898" w:rsidR="007A3CEF" w:rsidRPr="006A61C2" w:rsidRDefault="007A3CEF" w:rsidP="006A61C2">
      <w:pPr>
        <w:pStyle w:val="ListParagraph"/>
        <w:numPr>
          <w:ilvl w:val="0"/>
          <w:numId w:val="12"/>
        </w:numPr>
      </w:pPr>
      <w:r w:rsidRPr="006A61C2">
        <w:t>Promote Interdisciplinary Collaboration: Institutions should encourage interdisciplinary collaboration among postgraduate PHSC students to foster a holistic understanding of healthcare and social care issues. This can be achieved through interdisciplinary coursework, collaborative research projects, and inter-professional learning experiences that promote teamwork and collaboration across disciplines</w:t>
      </w:r>
      <w:r w:rsidR="0007481C" w:rsidRPr="006A61C2">
        <w:t xml:space="preserve"> (</w:t>
      </w:r>
      <w:r w:rsidR="0007481C" w:rsidRPr="006A61C2">
        <w:rPr>
          <w:shd w:val="clear" w:color="auto" w:fill="FFFFFF"/>
        </w:rPr>
        <w:t>Maiya, and Aithal, 2023)</w:t>
      </w:r>
      <w:r w:rsidRPr="006A61C2">
        <w:t>.</w:t>
      </w:r>
    </w:p>
    <w:p w14:paraId="25E2F467" w14:textId="62C4511E" w:rsidR="007807EE" w:rsidRPr="006A61C2" w:rsidRDefault="007A3CEF" w:rsidP="006A61C2">
      <w:pPr>
        <w:pStyle w:val="ListParagraph"/>
        <w:numPr>
          <w:ilvl w:val="0"/>
          <w:numId w:val="12"/>
        </w:numPr>
        <w:rPr>
          <w:rFonts w:eastAsia="Times New Roman"/>
          <w:b/>
          <w:bCs/>
        </w:rPr>
      </w:pPr>
      <w:r w:rsidRPr="006A61C2">
        <w:t>Continuous Professional Development: Educational institutions should provide opportunities for ongoing professional development for postgraduate PHSC students, including workshops, seminars, and conferences focused on relevant topics such as ethical decision-making, communication skills, and leadership development</w:t>
      </w:r>
      <w:r w:rsidR="00CD6009" w:rsidRPr="006A61C2">
        <w:t xml:space="preserve"> (</w:t>
      </w:r>
      <w:r w:rsidR="00CD6009" w:rsidRPr="006A61C2">
        <w:rPr>
          <w:shd w:val="clear" w:color="auto" w:fill="FFFFFF"/>
        </w:rPr>
        <w:t>Rahman, 2023)</w:t>
      </w:r>
      <w:r w:rsidRPr="006A61C2">
        <w:t xml:space="preserve">. This ensures that students remain engaged in lifelong learning and are equipped with the skills and knowledge </w:t>
      </w:r>
      <w:r w:rsidRPr="006A61C2">
        <w:lastRenderedPageBreak/>
        <w:t>necessary to excel in their academic and professional endeavors</w:t>
      </w:r>
      <w:r w:rsidR="00FE7549" w:rsidRPr="006A61C2">
        <w:t xml:space="preserve"> (</w:t>
      </w:r>
      <w:r w:rsidR="00FE7549" w:rsidRPr="006A61C2">
        <w:rPr>
          <w:shd w:val="clear" w:color="auto" w:fill="FFFFFF"/>
        </w:rPr>
        <w:t>Rahman</w:t>
      </w:r>
      <w:r w:rsidR="00CD6009" w:rsidRPr="006A61C2">
        <w:rPr>
          <w:shd w:val="clear" w:color="auto" w:fill="FFFFFF"/>
        </w:rPr>
        <w:t xml:space="preserve">, </w:t>
      </w:r>
      <w:r w:rsidR="00FE7549" w:rsidRPr="006A61C2">
        <w:rPr>
          <w:shd w:val="clear" w:color="auto" w:fill="FFFFFF"/>
        </w:rPr>
        <w:t>2023</w:t>
      </w:r>
      <w:r w:rsidR="00D914DF" w:rsidRPr="006A61C2">
        <w:rPr>
          <w:shd w:val="clear" w:color="auto" w:fill="FFFFFF"/>
        </w:rPr>
        <w:t>; Ruparel et al, 2023</w:t>
      </w:r>
      <w:r w:rsidR="00FE7549" w:rsidRPr="006A61C2">
        <w:rPr>
          <w:shd w:val="clear" w:color="auto" w:fill="FFFFFF"/>
        </w:rPr>
        <w:t>)</w:t>
      </w:r>
      <w:r w:rsidRPr="006A61C2">
        <w:t>.</w:t>
      </w:r>
    </w:p>
    <w:p w14:paraId="182E88B0" w14:textId="2B16847C" w:rsidR="007E1D3E" w:rsidRPr="006A61C2" w:rsidRDefault="007E1D3E" w:rsidP="006A61C2">
      <w:pPr>
        <w:pStyle w:val="Heading1"/>
        <w:rPr>
          <w:sz w:val="22"/>
          <w:szCs w:val="22"/>
        </w:rPr>
      </w:pPr>
      <w:bookmarkStart w:id="20" w:name="_Toc164032661"/>
      <w:r w:rsidRPr="006A61C2">
        <w:rPr>
          <w:sz w:val="22"/>
          <w:szCs w:val="22"/>
        </w:rPr>
        <w:t>CONCLUSION</w:t>
      </w:r>
      <w:bookmarkEnd w:id="20"/>
    </w:p>
    <w:p w14:paraId="3038E2E1" w14:textId="77777777" w:rsidR="00B037FE" w:rsidRPr="006A61C2" w:rsidRDefault="00B037FE" w:rsidP="006A61C2">
      <w:bookmarkStart w:id="21" w:name="_Toc143511026"/>
      <w:r w:rsidRPr="006A61C2">
        <w:t>In conclusion, this study sheds light on the multifaceted nature of professional behavior among postgraduate PHSC students in public university settings. The findings underscore the significant influence of personal values, peer interactions, mentorship, and institutional support on shaping professional conduct. By aligning personal principles with professional behavior and fostering supportive learning environments, educational institutions can enhance the development of professionalism among students. The recommendations provided offer actionable strategies to cultivate a culture of excellence and integrity within academic settings, ultimately contributing to the delivery of high-quality healthcare and social services. Moving forward, continued research and implementation of these recommendations are essential for advancing professional development initiatives and ensuring the preparation of competent and ethical professionals in the field of PHSC.</w:t>
      </w:r>
    </w:p>
    <w:p w14:paraId="177F131C" w14:textId="77777777" w:rsidR="00BE4FB6" w:rsidRDefault="00BE4FB6" w:rsidP="006A61C2"/>
    <w:p w14:paraId="0AB1C798" w14:textId="77777777" w:rsidR="00A47954" w:rsidRDefault="00A47954" w:rsidP="006A61C2"/>
    <w:p w14:paraId="5B535C11" w14:textId="77777777" w:rsidR="00A47954" w:rsidRDefault="00A47954" w:rsidP="006A61C2"/>
    <w:p w14:paraId="1C0ED64B" w14:textId="77777777" w:rsidR="00A47954" w:rsidRDefault="00A47954" w:rsidP="006A61C2"/>
    <w:p w14:paraId="25DCA3DB" w14:textId="77777777" w:rsidR="00A47954" w:rsidRDefault="00A47954" w:rsidP="006A61C2"/>
    <w:p w14:paraId="7A8C06EF" w14:textId="77777777" w:rsidR="00A47954" w:rsidRDefault="00A47954" w:rsidP="006A61C2"/>
    <w:p w14:paraId="4AFDFA6F" w14:textId="77777777" w:rsidR="00A47954" w:rsidRDefault="00A47954" w:rsidP="006A61C2"/>
    <w:p w14:paraId="3DCD9733" w14:textId="77777777" w:rsidR="00A47954" w:rsidRDefault="00A47954" w:rsidP="006A61C2"/>
    <w:p w14:paraId="71783BBA" w14:textId="77777777" w:rsidR="00A47954" w:rsidRDefault="00A47954" w:rsidP="006A61C2"/>
    <w:p w14:paraId="68218A1F" w14:textId="77777777" w:rsidR="00A47954" w:rsidRDefault="00A47954" w:rsidP="006A61C2"/>
    <w:p w14:paraId="09DE162C" w14:textId="77777777" w:rsidR="00A47954" w:rsidRDefault="00A47954" w:rsidP="006A61C2"/>
    <w:p w14:paraId="70F0C23B" w14:textId="77777777" w:rsidR="00A47954" w:rsidRDefault="00A47954" w:rsidP="006A61C2"/>
    <w:p w14:paraId="584F6269" w14:textId="77777777" w:rsidR="00A47954" w:rsidRDefault="00A47954" w:rsidP="006A61C2"/>
    <w:p w14:paraId="7E0694B3" w14:textId="77777777" w:rsidR="00A47954" w:rsidRPr="006A61C2" w:rsidRDefault="00A47954" w:rsidP="006A61C2"/>
    <w:p w14:paraId="66AE8476" w14:textId="77777777" w:rsidR="00BE4FB6" w:rsidRPr="006A61C2" w:rsidRDefault="00BE4FB6" w:rsidP="006A61C2">
      <w:pPr>
        <w:rPr>
          <w:b/>
        </w:rPr>
      </w:pPr>
    </w:p>
    <w:p w14:paraId="527CF666" w14:textId="38B91A76" w:rsidR="003E5CDE" w:rsidRPr="006A61C2" w:rsidRDefault="00D33811" w:rsidP="006A61C2">
      <w:pPr>
        <w:pStyle w:val="Heading1"/>
        <w:rPr>
          <w:sz w:val="22"/>
          <w:szCs w:val="22"/>
        </w:rPr>
      </w:pPr>
      <w:bookmarkStart w:id="22" w:name="_Toc164032662"/>
      <w:r w:rsidRPr="006A61C2">
        <w:rPr>
          <w:sz w:val="22"/>
          <w:szCs w:val="22"/>
        </w:rPr>
        <w:lastRenderedPageBreak/>
        <w:t>R</w:t>
      </w:r>
      <w:bookmarkEnd w:id="21"/>
      <w:r w:rsidR="00CF40AC" w:rsidRPr="006A61C2">
        <w:rPr>
          <w:sz w:val="22"/>
          <w:szCs w:val="22"/>
        </w:rPr>
        <w:t>EFERENCES</w:t>
      </w:r>
      <w:bookmarkEnd w:id="22"/>
      <w:r w:rsidRPr="006A61C2">
        <w:rPr>
          <w:sz w:val="22"/>
          <w:szCs w:val="22"/>
        </w:rPr>
        <w:t xml:space="preserve"> </w:t>
      </w:r>
    </w:p>
    <w:p w14:paraId="0EE194F2" w14:textId="367033AF" w:rsidR="004136C1" w:rsidRPr="006A61C2" w:rsidRDefault="004136C1" w:rsidP="006A61C2">
      <w:pPr>
        <w:rPr>
          <w:shd w:val="clear" w:color="auto" w:fill="FFFFFF"/>
        </w:rPr>
      </w:pPr>
      <w:r w:rsidRPr="006A61C2">
        <w:rPr>
          <w:shd w:val="clear" w:color="auto" w:fill="FFFFFF"/>
        </w:rPr>
        <w:t>ABBASI, P. and BEİGİ, R.D., 2015. Artistic Weakness: A Thematic Analysis of DH Lawrence’s St Mawr. </w:t>
      </w:r>
      <w:r w:rsidRPr="006A61C2">
        <w:rPr>
          <w:i/>
          <w:iCs/>
          <w:shd w:val="clear" w:color="auto" w:fill="FFFFFF"/>
        </w:rPr>
        <w:t>Cumhuriyet Üniversitesi Fen Edebiyat Fakültesi Fen Bilimleri Dergisi</w:t>
      </w:r>
      <w:r w:rsidRPr="006A61C2">
        <w:rPr>
          <w:shd w:val="clear" w:color="auto" w:fill="FFFFFF"/>
        </w:rPr>
        <w:t>, </w:t>
      </w:r>
      <w:r w:rsidRPr="006A61C2">
        <w:rPr>
          <w:i/>
          <w:iCs/>
          <w:shd w:val="clear" w:color="auto" w:fill="FFFFFF"/>
        </w:rPr>
        <w:t>36</w:t>
      </w:r>
      <w:r w:rsidRPr="006A61C2">
        <w:rPr>
          <w:shd w:val="clear" w:color="auto" w:fill="FFFFFF"/>
        </w:rPr>
        <w:t>(3), pp.1972-1981.</w:t>
      </w:r>
    </w:p>
    <w:p w14:paraId="0B1958D7" w14:textId="77777777" w:rsidR="0066083A" w:rsidRPr="006A61C2" w:rsidRDefault="0066083A" w:rsidP="006A61C2">
      <w:pPr>
        <w:rPr>
          <w:shd w:val="clear" w:color="auto" w:fill="FFFFFF"/>
        </w:rPr>
      </w:pPr>
    </w:p>
    <w:p w14:paraId="6B2B3522" w14:textId="1C6E3DC8" w:rsidR="00843569" w:rsidRPr="006A61C2" w:rsidRDefault="00843569" w:rsidP="006A61C2">
      <w:pPr>
        <w:rPr>
          <w:shd w:val="clear" w:color="auto" w:fill="FFFFFF"/>
        </w:rPr>
      </w:pPr>
      <w:r w:rsidRPr="006A61C2">
        <w:rPr>
          <w:shd w:val="clear" w:color="auto" w:fill="FFFFFF"/>
        </w:rPr>
        <w:t xml:space="preserve">Akanji, B., Mordi, C., Ituma, A., Adisa, T.A. and Ajonbadi, H., 2020. The influence of </w:t>
      </w:r>
      <w:r w:rsidR="006A61C2" w:rsidRPr="006A61C2">
        <w:rPr>
          <w:shd w:val="clear" w:color="auto" w:fill="FFFFFF"/>
        </w:rPr>
        <w:t>organizational</w:t>
      </w:r>
      <w:r w:rsidRPr="006A61C2">
        <w:rPr>
          <w:shd w:val="clear" w:color="auto" w:fill="FFFFFF"/>
        </w:rPr>
        <w:t xml:space="preserve"> culture on leadership style in higher education institutions. </w:t>
      </w:r>
      <w:r w:rsidRPr="006A61C2">
        <w:rPr>
          <w:i/>
          <w:iCs/>
          <w:shd w:val="clear" w:color="auto" w:fill="FFFFFF"/>
        </w:rPr>
        <w:t>Personnel Review</w:t>
      </w:r>
      <w:r w:rsidRPr="006A61C2">
        <w:rPr>
          <w:shd w:val="clear" w:color="auto" w:fill="FFFFFF"/>
        </w:rPr>
        <w:t>, </w:t>
      </w:r>
      <w:r w:rsidRPr="006A61C2">
        <w:rPr>
          <w:i/>
          <w:iCs/>
          <w:shd w:val="clear" w:color="auto" w:fill="FFFFFF"/>
        </w:rPr>
        <w:t>49</w:t>
      </w:r>
      <w:r w:rsidRPr="006A61C2">
        <w:rPr>
          <w:shd w:val="clear" w:color="auto" w:fill="FFFFFF"/>
        </w:rPr>
        <w:t>(3), pp.709-732.</w:t>
      </w:r>
    </w:p>
    <w:p w14:paraId="1690891E" w14:textId="77777777" w:rsidR="0066083A" w:rsidRPr="006A61C2" w:rsidRDefault="0066083A" w:rsidP="006A61C2">
      <w:pPr>
        <w:rPr>
          <w:shd w:val="clear" w:color="auto" w:fill="FFFFFF"/>
        </w:rPr>
      </w:pPr>
    </w:p>
    <w:p w14:paraId="500C99D3" w14:textId="3C6FA57E" w:rsidR="0057176F" w:rsidRPr="006A61C2" w:rsidRDefault="0057176F" w:rsidP="006A61C2">
      <w:pPr>
        <w:rPr>
          <w:shd w:val="clear" w:color="auto" w:fill="FFFFFF"/>
        </w:rPr>
      </w:pPr>
      <w:r w:rsidRPr="006A61C2">
        <w:rPr>
          <w:shd w:val="clear" w:color="auto" w:fill="FFFFFF"/>
        </w:rPr>
        <w:t>Akhtar, S., Khan, K.U., Atlas, F. and Irfan, M., 2022. Stimulating student’s pro-environmental behavior in higher education institutions: An ability–motivation–opportunity perspective. </w:t>
      </w:r>
      <w:r w:rsidRPr="006A61C2">
        <w:rPr>
          <w:i/>
          <w:iCs/>
          <w:shd w:val="clear" w:color="auto" w:fill="FFFFFF"/>
        </w:rPr>
        <w:t>Environment, Development and Sustainability</w:t>
      </w:r>
      <w:r w:rsidRPr="006A61C2">
        <w:rPr>
          <w:shd w:val="clear" w:color="auto" w:fill="FFFFFF"/>
        </w:rPr>
        <w:t>, </w:t>
      </w:r>
      <w:r w:rsidRPr="006A61C2">
        <w:rPr>
          <w:i/>
          <w:iCs/>
          <w:shd w:val="clear" w:color="auto" w:fill="FFFFFF"/>
        </w:rPr>
        <w:t>24</w:t>
      </w:r>
      <w:r w:rsidRPr="006A61C2">
        <w:rPr>
          <w:shd w:val="clear" w:color="auto" w:fill="FFFFFF"/>
        </w:rPr>
        <w:t>(3), pp.4128-4149.</w:t>
      </w:r>
    </w:p>
    <w:p w14:paraId="4E0BAD4B" w14:textId="77777777" w:rsidR="0057176F" w:rsidRPr="006A61C2" w:rsidRDefault="0057176F" w:rsidP="006A61C2">
      <w:pPr>
        <w:rPr>
          <w:shd w:val="clear" w:color="auto" w:fill="FFFFFF"/>
        </w:rPr>
      </w:pPr>
    </w:p>
    <w:p w14:paraId="241D77D0" w14:textId="09635780" w:rsidR="004136C1" w:rsidRPr="006A61C2" w:rsidRDefault="0066083A" w:rsidP="006A61C2">
      <w:pPr>
        <w:rPr>
          <w:shd w:val="clear" w:color="auto" w:fill="FFFFFF"/>
        </w:rPr>
      </w:pPr>
      <w:r w:rsidRPr="006A61C2">
        <w:rPr>
          <w:shd w:val="clear" w:color="auto" w:fill="FFFFFF"/>
        </w:rPr>
        <w:t>Arifin, S.R.M., 2018. Ethical considerations in qualitative study. </w:t>
      </w:r>
      <w:r w:rsidRPr="006A61C2">
        <w:rPr>
          <w:i/>
          <w:iCs/>
          <w:shd w:val="clear" w:color="auto" w:fill="FFFFFF"/>
        </w:rPr>
        <w:t xml:space="preserve">International </w:t>
      </w:r>
      <w:r w:rsidR="006A61C2" w:rsidRPr="006A61C2">
        <w:rPr>
          <w:i/>
          <w:iCs/>
          <w:shd w:val="clear" w:color="auto" w:fill="FFFFFF"/>
        </w:rPr>
        <w:t>Journal</w:t>
      </w:r>
      <w:r w:rsidRPr="006A61C2">
        <w:rPr>
          <w:i/>
          <w:iCs/>
          <w:shd w:val="clear" w:color="auto" w:fill="FFFFFF"/>
        </w:rPr>
        <w:t xml:space="preserve"> of care scholars</w:t>
      </w:r>
      <w:r w:rsidRPr="006A61C2">
        <w:rPr>
          <w:shd w:val="clear" w:color="auto" w:fill="FFFFFF"/>
        </w:rPr>
        <w:t>, </w:t>
      </w:r>
      <w:r w:rsidRPr="006A61C2">
        <w:rPr>
          <w:i/>
          <w:iCs/>
          <w:shd w:val="clear" w:color="auto" w:fill="FFFFFF"/>
        </w:rPr>
        <w:t>1</w:t>
      </w:r>
      <w:r w:rsidRPr="006A61C2">
        <w:rPr>
          <w:shd w:val="clear" w:color="auto" w:fill="FFFFFF"/>
        </w:rPr>
        <w:t>(2), pp.30-33.</w:t>
      </w:r>
    </w:p>
    <w:p w14:paraId="34E8F24E" w14:textId="77777777" w:rsidR="006A61C2" w:rsidRPr="006A61C2" w:rsidRDefault="006A61C2" w:rsidP="006A61C2">
      <w:pPr>
        <w:rPr>
          <w:shd w:val="clear" w:color="auto" w:fill="FFFFFF"/>
        </w:rPr>
      </w:pPr>
    </w:p>
    <w:p w14:paraId="3188F1F6" w14:textId="1F75F88F" w:rsidR="009A4C2F" w:rsidRPr="006A61C2" w:rsidRDefault="009A4C2F" w:rsidP="006A61C2">
      <w:pPr>
        <w:rPr>
          <w:shd w:val="clear" w:color="auto" w:fill="FFFFFF"/>
        </w:rPr>
      </w:pPr>
      <w:r w:rsidRPr="006A61C2">
        <w:rPr>
          <w:shd w:val="clear" w:color="auto" w:fill="FFFFFF"/>
        </w:rPr>
        <w:t>Braun, V., Clarke, V. and Hayfield, N., 2022. ‘A starting point for your journey, not a map’: Nikki Hayfield in conversation with Virginia Braun and Victoria Clarke about thematic analysis. </w:t>
      </w:r>
      <w:r w:rsidRPr="006A61C2">
        <w:rPr>
          <w:i/>
          <w:iCs/>
          <w:shd w:val="clear" w:color="auto" w:fill="FFFFFF"/>
        </w:rPr>
        <w:t>Qualitative research in psychology</w:t>
      </w:r>
      <w:r w:rsidRPr="006A61C2">
        <w:rPr>
          <w:shd w:val="clear" w:color="auto" w:fill="FFFFFF"/>
        </w:rPr>
        <w:t>, </w:t>
      </w:r>
      <w:r w:rsidRPr="006A61C2">
        <w:rPr>
          <w:i/>
          <w:iCs/>
          <w:shd w:val="clear" w:color="auto" w:fill="FFFFFF"/>
        </w:rPr>
        <w:t>19</w:t>
      </w:r>
      <w:r w:rsidRPr="006A61C2">
        <w:rPr>
          <w:shd w:val="clear" w:color="auto" w:fill="FFFFFF"/>
        </w:rPr>
        <w:t>(2), pp.424-445.</w:t>
      </w:r>
    </w:p>
    <w:p w14:paraId="64BF04A7" w14:textId="77777777" w:rsidR="004136C1" w:rsidRPr="006A61C2" w:rsidRDefault="004136C1" w:rsidP="006A61C2">
      <w:pPr>
        <w:rPr>
          <w:shd w:val="clear" w:color="auto" w:fill="FFFFFF"/>
        </w:rPr>
      </w:pPr>
    </w:p>
    <w:p w14:paraId="589EB4EA" w14:textId="198A2BCD" w:rsidR="007A6E95" w:rsidRPr="006A61C2" w:rsidRDefault="007A6E95" w:rsidP="006A61C2">
      <w:pPr>
        <w:rPr>
          <w:shd w:val="clear" w:color="auto" w:fill="FFFFFF"/>
        </w:rPr>
      </w:pPr>
      <w:r w:rsidRPr="006A61C2">
        <w:rPr>
          <w:shd w:val="clear" w:color="auto" w:fill="FFFFFF"/>
        </w:rPr>
        <w:t>Chen, S., Wang, R., Xu, N., Zhang, J., Liu, Y., Cong, S., Sun, X., Zhu, Z., Zhou, H., Gu, P. and Zhang, A., 2023. Identification of factors influencing core competence promotion among professional nurses and midwives: a qualitative study using the COM-B model. </w:t>
      </w:r>
      <w:r w:rsidRPr="006A61C2">
        <w:rPr>
          <w:i/>
          <w:iCs/>
          <w:shd w:val="clear" w:color="auto" w:fill="FFFFFF"/>
        </w:rPr>
        <w:t>Nurse Education in Practice</w:t>
      </w:r>
      <w:r w:rsidRPr="006A61C2">
        <w:rPr>
          <w:shd w:val="clear" w:color="auto" w:fill="FFFFFF"/>
        </w:rPr>
        <w:t>, </w:t>
      </w:r>
      <w:r w:rsidRPr="006A61C2">
        <w:rPr>
          <w:i/>
          <w:iCs/>
          <w:shd w:val="clear" w:color="auto" w:fill="FFFFFF"/>
        </w:rPr>
        <w:t>69</w:t>
      </w:r>
      <w:r w:rsidRPr="006A61C2">
        <w:rPr>
          <w:shd w:val="clear" w:color="auto" w:fill="FFFFFF"/>
        </w:rPr>
        <w:t>, p.103619.</w:t>
      </w:r>
    </w:p>
    <w:p w14:paraId="43A60257" w14:textId="76DAC6A4" w:rsidR="006A61C2" w:rsidRPr="006A61C2" w:rsidRDefault="006A61C2" w:rsidP="006A61C2">
      <w:pPr>
        <w:rPr>
          <w:shd w:val="clear" w:color="auto" w:fill="FFFFFF"/>
        </w:rPr>
      </w:pPr>
      <w:r w:rsidRPr="006A61C2">
        <w:rPr>
          <w:shd w:val="clear" w:color="auto" w:fill="FFFFFF"/>
        </w:rPr>
        <w:t>Fitzgerald, A., 2020, July. Professional identity: A concept analysis. In </w:t>
      </w:r>
      <w:r w:rsidRPr="006A61C2">
        <w:rPr>
          <w:i/>
          <w:iCs/>
          <w:shd w:val="clear" w:color="auto" w:fill="FFFFFF"/>
        </w:rPr>
        <w:t>Nursing forum</w:t>
      </w:r>
      <w:r w:rsidRPr="006A61C2">
        <w:rPr>
          <w:shd w:val="clear" w:color="auto" w:fill="FFFFFF"/>
        </w:rPr>
        <w:t> (Vol. 55, No. 3, pp. 447-472).</w:t>
      </w:r>
    </w:p>
    <w:p w14:paraId="361BCDDA" w14:textId="77777777" w:rsidR="004136C1" w:rsidRPr="006A61C2" w:rsidRDefault="004136C1" w:rsidP="006A61C2">
      <w:pPr>
        <w:rPr>
          <w:shd w:val="clear" w:color="auto" w:fill="FFFFFF"/>
        </w:rPr>
      </w:pPr>
    </w:p>
    <w:p w14:paraId="50D22DDE" w14:textId="0F2268D1" w:rsidR="004722B5" w:rsidRPr="006A61C2" w:rsidRDefault="004722B5" w:rsidP="006A61C2">
      <w:pPr>
        <w:rPr>
          <w:shd w:val="clear" w:color="auto" w:fill="FFFFFF"/>
        </w:rPr>
      </w:pPr>
      <w:r w:rsidRPr="006A61C2">
        <w:rPr>
          <w:shd w:val="clear" w:color="auto" w:fill="FFFFFF"/>
        </w:rPr>
        <w:t>Hansmann, R., Laurenti, R., Mehdi, T. and Binder, C.R., 2020. Determinants of pro-environmental behavior: A comparison of university students and staff from diverse faculties at a Swiss University. </w:t>
      </w:r>
      <w:r w:rsidRPr="006A61C2">
        <w:rPr>
          <w:i/>
          <w:iCs/>
          <w:shd w:val="clear" w:color="auto" w:fill="FFFFFF"/>
        </w:rPr>
        <w:t>Journal of Cleaner Production</w:t>
      </w:r>
      <w:r w:rsidRPr="006A61C2">
        <w:rPr>
          <w:shd w:val="clear" w:color="auto" w:fill="FFFFFF"/>
        </w:rPr>
        <w:t>, </w:t>
      </w:r>
      <w:r w:rsidRPr="006A61C2">
        <w:rPr>
          <w:i/>
          <w:iCs/>
          <w:shd w:val="clear" w:color="auto" w:fill="FFFFFF"/>
        </w:rPr>
        <w:t>268</w:t>
      </w:r>
      <w:r w:rsidRPr="006A61C2">
        <w:rPr>
          <w:shd w:val="clear" w:color="auto" w:fill="FFFFFF"/>
        </w:rPr>
        <w:t>, p.121864.</w:t>
      </w:r>
    </w:p>
    <w:p w14:paraId="0A92D0CA" w14:textId="77777777" w:rsidR="004B15F6" w:rsidRPr="006A61C2" w:rsidRDefault="004B15F6" w:rsidP="006A61C2">
      <w:pPr>
        <w:rPr>
          <w:shd w:val="clear" w:color="auto" w:fill="FFFFFF"/>
        </w:rPr>
      </w:pPr>
    </w:p>
    <w:p w14:paraId="3C918488" w14:textId="744684AF" w:rsidR="004B15F6" w:rsidRPr="006A61C2" w:rsidRDefault="004B15F6" w:rsidP="006A61C2">
      <w:pPr>
        <w:rPr>
          <w:shd w:val="clear" w:color="auto" w:fill="FFFFFF"/>
        </w:rPr>
      </w:pPr>
      <w:r w:rsidRPr="006A61C2">
        <w:rPr>
          <w:shd w:val="clear" w:color="auto" w:fill="FFFFFF"/>
        </w:rPr>
        <w:t>Jefferies, D., McNally, S., Roberts, K., Wallace, A., Stunden, A., D'Souza, S. and Glew, P., 2018. The importance of academic literacy for undergraduate nursing students and its relationship to future professional clinical practice: A systematic review. </w:t>
      </w:r>
      <w:r w:rsidRPr="006A61C2">
        <w:rPr>
          <w:i/>
          <w:iCs/>
          <w:shd w:val="clear" w:color="auto" w:fill="FFFFFF"/>
        </w:rPr>
        <w:t>Nurse Education Today</w:t>
      </w:r>
      <w:r w:rsidRPr="006A61C2">
        <w:rPr>
          <w:shd w:val="clear" w:color="auto" w:fill="FFFFFF"/>
        </w:rPr>
        <w:t>, </w:t>
      </w:r>
      <w:r w:rsidRPr="006A61C2">
        <w:rPr>
          <w:i/>
          <w:iCs/>
          <w:shd w:val="clear" w:color="auto" w:fill="FFFFFF"/>
        </w:rPr>
        <w:t>60</w:t>
      </w:r>
      <w:r w:rsidRPr="006A61C2">
        <w:rPr>
          <w:shd w:val="clear" w:color="auto" w:fill="FFFFFF"/>
        </w:rPr>
        <w:t>, pp.84-91.</w:t>
      </w:r>
    </w:p>
    <w:p w14:paraId="30CD5917" w14:textId="77777777" w:rsidR="004136C1" w:rsidRPr="006A61C2" w:rsidRDefault="004136C1" w:rsidP="006A61C2">
      <w:pPr>
        <w:rPr>
          <w:shd w:val="clear" w:color="auto" w:fill="FFFFFF"/>
        </w:rPr>
      </w:pPr>
    </w:p>
    <w:p w14:paraId="3F554997" w14:textId="63B4F950" w:rsidR="001707CF" w:rsidRPr="006A61C2" w:rsidRDefault="001707CF" w:rsidP="006A61C2">
      <w:pPr>
        <w:rPr>
          <w:shd w:val="clear" w:color="auto" w:fill="FFFFFF"/>
        </w:rPr>
      </w:pPr>
      <w:r w:rsidRPr="006A61C2">
        <w:rPr>
          <w:shd w:val="clear" w:color="auto" w:fill="FFFFFF"/>
        </w:rPr>
        <w:lastRenderedPageBreak/>
        <w:t>Khushk, A., Dacholfany, M.I., Abdurohim, D. and Aman, N., 2023. Social learning theory in clinical setting: Connectivism, constructivism, and role modeling approach. </w:t>
      </w:r>
      <w:r w:rsidRPr="006A61C2">
        <w:rPr>
          <w:i/>
          <w:iCs/>
          <w:shd w:val="clear" w:color="auto" w:fill="FFFFFF"/>
        </w:rPr>
        <w:t>Health Economics and Management Review</w:t>
      </w:r>
      <w:r w:rsidRPr="006A61C2">
        <w:rPr>
          <w:shd w:val="clear" w:color="auto" w:fill="FFFFFF"/>
        </w:rPr>
        <w:t>, </w:t>
      </w:r>
      <w:r w:rsidRPr="006A61C2">
        <w:rPr>
          <w:i/>
          <w:iCs/>
          <w:shd w:val="clear" w:color="auto" w:fill="FFFFFF"/>
        </w:rPr>
        <w:t>3</w:t>
      </w:r>
      <w:r w:rsidRPr="006A61C2">
        <w:rPr>
          <w:shd w:val="clear" w:color="auto" w:fill="FFFFFF"/>
        </w:rPr>
        <w:t>, pp.40-50.</w:t>
      </w:r>
    </w:p>
    <w:p w14:paraId="2CD07D01" w14:textId="77777777" w:rsidR="004136C1" w:rsidRPr="006A61C2" w:rsidRDefault="004136C1" w:rsidP="006A61C2">
      <w:pPr>
        <w:rPr>
          <w:shd w:val="clear" w:color="auto" w:fill="FFFFFF"/>
        </w:rPr>
      </w:pPr>
    </w:p>
    <w:p w14:paraId="68519108" w14:textId="50DF97D4" w:rsidR="00470889" w:rsidRPr="006A61C2" w:rsidRDefault="00470889" w:rsidP="006A61C2">
      <w:pPr>
        <w:rPr>
          <w:shd w:val="clear" w:color="auto" w:fill="FFFFFF"/>
        </w:rPr>
      </w:pPr>
      <w:r w:rsidRPr="006A61C2">
        <w:rPr>
          <w:shd w:val="clear" w:color="auto" w:fill="FFFFFF"/>
        </w:rPr>
        <w:t>Kiger, M.E. and Varpio, L., 2020. Thematic analysis of qualitative data: AMEE Guide No. 131. </w:t>
      </w:r>
      <w:r w:rsidRPr="006A61C2">
        <w:rPr>
          <w:i/>
          <w:iCs/>
          <w:shd w:val="clear" w:color="auto" w:fill="FFFFFF"/>
        </w:rPr>
        <w:t>Medical teacher</w:t>
      </w:r>
      <w:r w:rsidRPr="006A61C2">
        <w:rPr>
          <w:shd w:val="clear" w:color="auto" w:fill="FFFFFF"/>
        </w:rPr>
        <w:t>, </w:t>
      </w:r>
      <w:r w:rsidRPr="006A61C2">
        <w:rPr>
          <w:i/>
          <w:iCs/>
          <w:shd w:val="clear" w:color="auto" w:fill="FFFFFF"/>
        </w:rPr>
        <w:t>42</w:t>
      </w:r>
      <w:r w:rsidRPr="006A61C2">
        <w:rPr>
          <w:shd w:val="clear" w:color="auto" w:fill="FFFFFF"/>
        </w:rPr>
        <w:t>(8), pp.846-854.</w:t>
      </w:r>
    </w:p>
    <w:p w14:paraId="386D483B" w14:textId="77777777" w:rsidR="004136C1" w:rsidRPr="006A61C2" w:rsidRDefault="004136C1" w:rsidP="006A61C2">
      <w:pPr>
        <w:rPr>
          <w:shd w:val="clear" w:color="auto" w:fill="FFFFFF"/>
        </w:rPr>
      </w:pPr>
    </w:p>
    <w:p w14:paraId="0E2ED1EE" w14:textId="555852CC" w:rsidR="004014FC" w:rsidRPr="006A61C2" w:rsidRDefault="004014FC" w:rsidP="006A61C2">
      <w:pPr>
        <w:rPr>
          <w:shd w:val="clear" w:color="auto" w:fill="FFFFFF"/>
        </w:rPr>
      </w:pPr>
      <w:r w:rsidRPr="006A61C2">
        <w:rPr>
          <w:shd w:val="clear" w:color="auto" w:fill="FFFFFF"/>
        </w:rPr>
        <w:t>Li, C., Murad, M. and Ashraf, S.F., 2023. The influence of women’s green entrepreneurial intention on green entrepreneurial behavior through university and social support. </w:t>
      </w:r>
      <w:r w:rsidRPr="006A61C2">
        <w:rPr>
          <w:i/>
          <w:iCs/>
          <w:shd w:val="clear" w:color="auto" w:fill="FFFFFF"/>
        </w:rPr>
        <w:t>Sustainability</w:t>
      </w:r>
      <w:r w:rsidRPr="006A61C2">
        <w:rPr>
          <w:shd w:val="clear" w:color="auto" w:fill="FFFFFF"/>
        </w:rPr>
        <w:t>, </w:t>
      </w:r>
      <w:r w:rsidRPr="006A61C2">
        <w:rPr>
          <w:i/>
          <w:iCs/>
          <w:shd w:val="clear" w:color="auto" w:fill="FFFFFF"/>
        </w:rPr>
        <w:t>15</w:t>
      </w:r>
      <w:r w:rsidRPr="006A61C2">
        <w:rPr>
          <w:shd w:val="clear" w:color="auto" w:fill="FFFFFF"/>
        </w:rPr>
        <w:t>(13), p.10123.</w:t>
      </w:r>
    </w:p>
    <w:p w14:paraId="5ED23CFD" w14:textId="77777777" w:rsidR="004136C1" w:rsidRPr="006A61C2" w:rsidRDefault="004136C1" w:rsidP="006A61C2">
      <w:pPr>
        <w:rPr>
          <w:shd w:val="clear" w:color="auto" w:fill="FFFFFF"/>
        </w:rPr>
      </w:pPr>
    </w:p>
    <w:p w14:paraId="5370B95C" w14:textId="5378DD65" w:rsidR="00FB185B" w:rsidRPr="006A61C2" w:rsidRDefault="00FB185B" w:rsidP="006A61C2">
      <w:pPr>
        <w:rPr>
          <w:shd w:val="clear" w:color="auto" w:fill="FFFFFF"/>
        </w:rPr>
      </w:pPr>
      <w:r w:rsidRPr="006A61C2">
        <w:rPr>
          <w:shd w:val="clear" w:color="auto" w:fill="FFFFFF"/>
        </w:rPr>
        <w:t>Listiowati, E., Sjaaf, A.C., Achadi, A., Bachtiar, A., Arini, M., Rosa, E.M. and Pramayanti, Y., 2023. How to engage patients in achieving patient safety: A qualitative study from healthcare professionals’ perspective. </w:t>
      </w:r>
      <w:r w:rsidRPr="006A61C2">
        <w:rPr>
          <w:i/>
          <w:iCs/>
          <w:shd w:val="clear" w:color="auto" w:fill="FFFFFF"/>
        </w:rPr>
        <w:t>Heliyon</w:t>
      </w:r>
      <w:r w:rsidRPr="006A61C2">
        <w:rPr>
          <w:shd w:val="clear" w:color="auto" w:fill="FFFFFF"/>
        </w:rPr>
        <w:t>, </w:t>
      </w:r>
      <w:r w:rsidRPr="006A61C2">
        <w:rPr>
          <w:i/>
          <w:iCs/>
          <w:shd w:val="clear" w:color="auto" w:fill="FFFFFF"/>
        </w:rPr>
        <w:t>9</w:t>
      </w:r>
      <w:r w:rsidRPr="006A61C2">
        <w:rPr>
          <w:shd w:val="clear" w:color="auto" w:fill="FFFFFF"/>
        </w:rPr>
        <w:t>(2).</w:t>
      </w:r>
    </w:p>
    <w:p w14:paraId="4DF99C8F" w14:textId="77777777" w:rsidR="00FE7549" w:rsidRPr="006A61C2" w:rsidRDefault="00FE7549" w:rsidP="006A61C2">
      <w:pPr>
        <w:rPr>
          <w:shd w:val="clear" w:color="auto" w:fill="FFFFFF"/>
        </w:rPr>
      </w:pPr>
    </w:p>
    <w:p w14:paraId="715C090B" w14:textId="2EA182FE" w:rsidR="00FE7549" w:rsidRPr="006A61C2" w:rsidRDefault="00FE7549" w:rsidP="006A61C2">
      <w:pPr>
        <w:rPr>
          <w:shd w:val="clear" w:color="auto" w:fill="FFFFFF"/>
        </w:rPr>
      </w:pPr>
      <w:r w:rsidRPr="006A61C2">
        <w:rPr>
          <w:shd w:val="clear" w:color="auto" w:fill="FFFFFF"/>
        </w:rPr>
        <w:t>Maiya, A.K. and Aithal, P.S., 2023. A Review-based Research Topic Identification on How to Improve the Quality Services of Higher Education Institutions in Academic, Administrative, and Research Areas. </w:t>
      </w:r>
      <w:r w:rsidRPr="006A61C2">
        <w:rPr>
          <w:i/>
          <w:iCs/>
          <w:shd w:val="clear" w:color="auto" w:fill="FFFFFF"/>
        </w:rPr>
        <w:t>Maiya, AK, &amp; Aithal, PS,(2023). A Review based Research Topic Identification on How to Improve the Quality Services of Higher Education Institutions in Academic, Administrative, and Research Areas. International Journal of Management, Technology, and Social Sciences (IJMTS)</w:t>
      </w:r>
      <w:r w:rsidRPr="006A61C2">
        <w:rPr>
          <w:shd w:val="clear" w:color="auto" w:fill="FFFFFF"/>
        </w:rPr>
        <w:t>, </w:t>
      </w:r>
      <w:r w:rsidRPr="006A61C2">
        <w:rPr>
          <w:i/>
          <w:iCs/>
          <w:shd w:val="clear" w:color="auto" w:fill="FFFFFF"/>
        </w:rPr>
        <w:t>8</w:t>
      </w:r>
      <w:r w:rsidRPr="006A61C2">
        <w:rPr>
          <w:shd w:val="clear" w:color="auto" w:fill="FFFFFF"/>
        </w:rPr>
        <w:t>(3), pp.103-153.</w:t>
      </w:r>
    </w:p>
    <w:p w14:paraId="7460EF79" w14:textId="77777777" w:rsidR="00B773DA" w:rsidRPr="006A61C2" w:rsidRDefault="00B773DA" w:rsidP="006A61C2">
      <w:pPr>
        <w:rPr>
          <w:shd w:val="clear" w:color="auto" w:fill="FFFFFF"/>
        </w:rPr>
      </w:pPr>
    </w:p>
    <w:p w14:paraId="55BDBA7C" w14:textId="6DE2D49D" w:rsidR="00B773DA" w:rsidRPr="006A61C2" w:rsidRDefault="00B773DA" w:rsidP="006A61C2">
      <w:pPr>
        <w:rPr>
          <w:shd w:val="clear" w:color="auto" w:fill="FFFFFF"/>
        </w:rPr>
      </w:pPr>
      <w:r w:rsidRPr="006A61C2">
        <w:rPr>
          <w:shd w:val="clear" w:color="auto" w:fill="FFFFFF"/>
        </w:rPr>
        <w:t>Murrell, A.J., Blake-Beard, S. and Porter Jr, D.M., 2021. The importance of peer mentoring, identity work and holding environments: A study of African American leadership development. </w:t>
      </w:r>
      <w:r w:rsidRPr="006A61C2">
        <w:rPr>
          <w:i/>
          <w:iCs/>
          <w:shd w:val="clear" w:color="auto" w:fill="FFFFFF"/>
        </w:rPr>
        <w:t>International journal of environmental research and public health</w:t>
      </w:r>
      <w:r w:rsidRPr="006A61C2">
        <w:rPr>
          <w:shd w:val="clear" w:color="auto" w:fill="FFFFFF"/>
        </w:rPr>
        <w:t>, </w:t>
      </w:r>
      <w:r w:rsidRPr="006A61C2">
        <w:rPr>
          <w:i/>
          <w:iCs/>
          <w:shd w:val="clear" w:color="auto" w:fill="FFFFFF"/>
        </w:rPr>
        <w:t>18</w:t>
      </w:r>
      <w:r w:rsidRPr="006A61C2">
        <w:rPr>
          <w:shd w:val="clear" w:color="auto" w:fill="FFFFFF"/>
        </w:rPr>
        <w:t>(9), p.4920.</w:t>
      </w:r>
    </w:p>
    <w:p w14:paraId="18E55991" w14:textId="77777777" w:rsidR="0066083A" w:rsidRPr="006A61C2" w:rsidRDefault="0066083A" w:rsidP="006A61C2">
      <w:pPr>
        <w:rPr>
          <w:shd w:val="clear" w:color="auto" w:fill="FFFFFF"/>
        </w:rPr>
      </w:pPr>
    </w:p>
    <w:p w14:paraId="580F8815" w14:textId="372864EA" w:rsidR="0066083A" w:rsidRPr="006A61C2" w:rsidRDefault="0066083A" w:rsidP="006A61C2">
      <w:pPr>
        <w:rPr>
          <w:shd w:val="clear" w:color="auto" w:fill="FFFFFF"/>
        </w:rPr>
      </w:pPr>
      <w:r w:rsidRPr="006A61C2">
        <w:rPr>
          <w:shd w:val="clear" w:color="auto" w:fill="FFFFFF"/>
        </w:rPr>
        <w:t>Nii Laryeafio, M. and Ogbewe, O.C., 2023. Ethical consideration dilemma: systematic review of ethics in qualitative data collection through interviews. </w:t>
      </w:r>
      <w:r w:rsidRPr="006A61C2">
        <w:rPr>
          <w:i/>
          <w:iCs/>
          <w:shd w:val="clear" w:color="auto" w:fill="FFFFFF"/>
        </w:rPr>
        <w:t>Journal of Ethics in Entrepreneurship and Technology</w:t>
      </w:r>
      <w:r w:rsidRPr="006A61C2">
        <w:rPr>
          <w:shd w:val="clear" w:color="auto" w:fill="FFFFFF"/>
        </w:rPr>
        <w:t>, </w:t>
      </w:r>
      <w:r w:rsidRPr="006A61C2">
        <w:rPr>
          <w:i/>
          <w:iCs/>
          <w:shd w:val="clear" w:color="auto" w:fill="FFFFFF"/>
        </w:rPr>
        <w:t>3</w:t>
      </w:r>
      <w:r w:rsidRPr="006A61C2">
        <w:rPr>
          <w:shd w:val="clear" w:color="auto" w:fill="FFFFFF"/>
        </w:rPr>
        <w:t>(2), pp.94-110.</w:t>
      </w:r>
    </w:p>
    <w:p w14:paraId="735F651E" w14:textId="77777777" w:rsidR="004136C1" w:rsidRPr="006A61C2" w:rsidRDefault="004136C1" w:rsidP="006A61C2">
      <w:pPr>
        <w:rPr>
          <w:shd w:val="clear" w:color="auto" w:fill="FFFFFF"/>
        </w:rPr>
      </w:pPr>
    </w:p>
    <w:p w14:paraId="155FE462" w14:textId="427A92D2" w:rsidR="005E1775" w:rsidRPr="006A61C2" w:rsidRDefault="005E1775" w:rsidP="006A61C2">
      <w:pPr>
        <w:rPr>
          <w:shd w:val="clear" w:color="auto" w:fill="FFFFFF"/>
        </w:rPr>
      </w:pPr>
      <w:r w:rsidRPr="006A61C2">
        <w:rPr>
          <w:shd w:val="clear" w:color="auto" w:fill="FFFFFF"/>
        </w:rPr>
        <w:t>O. Nyumba, T., Wilson, K., Derrick, C.J. and Mukherjee, N., 2018. The use of focus group discussion methodology: Insights from two decades of application in conservation. </w:t>
      </w:r>
      <w:r w:rsidRPr="006A61C2">
        <w:rPr>
          <w:i/>
          <w:iCs/>
          <w:shd w:val="clear" w:color="auto" w:fill="FFFFFF"/>
        </w:rPr>
        <w:t>Methods in Ecology and evolution</w:t>
      </w:r>
      <w:r w:rsidRPr="006A61C2">
        <w:rPr>
          <w:shd w:val="clear" w:color="auto" w:fill="FFFFFF"/>
        </w:rPr>
        <w:t>, </w:t>
      </w:r>
      <w:r w:rsidRPr="006A61C2">
        <w:rPr>
          <w:i/>
          <w:iCs/>
          <w:shd w:val="clear" w:color="auto" w:fill="FFFFFF"/>
        </w:rPr>
        <w:t>9</w:t>
      </w:r>
      <w:r w:rsidRPr="006A61C2">
        <w:rPr>
          <w:shd w:val="clear" w:color="auto" w:fill="FFFFFF"/>
        </w:rPr>
        <w:t>(1), pp.20-32.</w:t>
      </w:r>
    </w:p>
    <w:p w14:paraId="6558E2D0" w14:textId="77777777" w:rsidR="004136C1" w:rsidRPr="006A61C2" w:rsidRDefault="004136C1" w:rsidP="006A61C2">
      <w:pPr>
        <w:rPr>
          <w:shd w:val="clear" w:color="auto" w:fill="FFFFFF"/>
        </w:rPr>
      </w:pPr>
    </w:p>
    <w:p w14:paraId="4D5F21D4" w14:textId="2DB72024" w:rsidR="005F6CF7" w:rsidRPr="006A61C2" w:rsidRDefault="005F6CF7" w:rsidP="006A61C2">
      <w:pPr>
        <w:rPr>
          <w:shd w:val="clear" w:color="auto" w:fill="FFFFFF"/>
        </w:rPr>
      </w:pPr>
      <w:r w:rsidRPr="006A61C2">
        <w:rPr>
          <w:shd w:val="clear" w:color="auto" w:fill="FFFFFF"/>
        </w:rPr>
        <w:lastRenderedPageBreak/>
        <w:t>Priyadarshini, M., Gurnam, K.S., Hoon, T.S., Geethanjali, N. and Fook, C.Y., 2022. Key factors influencing graduation on time among postgraduate students: A PLS-SEM approach. </w:t>
      </w:r>
      <w:r w:rsidRPr="006A61C2">
        <w:rPr>
          <w:i/>
          <w:iCs/>
          <w:shd w:val="clear" w:color="auto" w:fill="FFFFFF"/>
        </w:rPr>
        <w:t>Asian Journal of University Education</w:t>
      </w:r>
      <w:r w:rsidRPr="006A61C2">
        <w:rPr>
          <w:shd w:val="clear" w:color="auto" w:fill="FFFFFF"/>
        </w:rPr>
        <w:t>, </w:t>
      </w:r>
      <w:r w:rsidRPr="006A61C2">
        <w:rPr>
          <w:i/>
          <w:iCs/>
          <w:shd w:val="clear" w:color="auto" w:fill="FFFFFF"/>
        </w:rPr>
        <w:t>18</w:t>
      </w:r>
      <w:r w:rsidRPr="006A61C2">
        <w:rPr>
          <w:shd w:val="clear" w:color="auto" w:fill="FFFFFF"/>
        </w:rPr>
        <w:t>(1), pp.51-64.</w:t>
      </w:r>
    </w:p>
    <w:p w14:paraId="08A22551" w14:textId="77777777" w:rsidR="00FE7549" w:rsidRPr="006A61C2" w:rsidRDefault="00FE7549" w:rsidP="006A61C2">
      <w:pPr>
        <w:rPr>
          <w:shd w:val="clear" w:color="auto" w:fill="FFFFFF"/>
        </w:rPr>
      </w:pPr>
    </w:p>
    <w:p w14:paraId="3C56C68B" w14:textId="1FF57142" w:rsidR="00FE7549" w:rsidRPr="006A61C2" w:rsidRDefault="00FE7549" w:rsidP="006A61C2">
      <w:pPr>
        <w:rPr>
          <w:shd w:val="clear" w:color="auto" w:fill="FFFFFF"/>
        </w:rPr>
      </w:pPr>
      <w:r w:rsidRPr="006A61C2">
        <w:rPr>
          <w:shd w:val="clear" w:color="auto" w:fill="FFFFFF"/>
        </w:rPr>
        <w:t>Rahman, M.A., 2023. Professional development in an institution through the GROW model. </w:t>
      </w:r>
      <w:r w:rsidRPr="006A61C2">
        <w:rPr>
          <w:i/>
          <w:iCs/>
          <w:shd w:val="clear" w:color="auto" w:fill="FFFFFF"/>
        </w:rPr>
        <w:t>Assyfa Learning Journal</w:t>
      </w:r>
      <w:r w:rsidRPr="006A61C2">
        <w:rPr>
          <w:shd w:val="clear" w:color="auto" w:fill="FFFFFF"/>
        </w:rPr>
        <w:t>, </w:t>
      </w:r>
      <w:r w:rsidRPr="006A61C2">
        <w:rPr>
          <w:i/>
          <w:iCs/>
          <w:shd w:val="clear" w:color="auto" w:fill="FFFFFF"/>
        </w:rPr>
        <w:t>1</w:t>
      </w:r>
      <w:r w:rsidRPr="006A61C2">
        <w:rPr>
          <w:shd w:val="clear" w:color="auto" w:fill="FFFFFF"/>
        </w:rPr>
        <w:t>(2), pp.112-121.</w:t>
      </w:r>
    </w:p>
    <w:p w14:paraId="7E402CE0" w14:textId="77777777" w:rsidR="004B15F6" w:rsidRPr="006A61C2" w:rsidRDefault="004B15F6" w:rsidP="006A61C2">
      <w:pPr>
        <w:rPr>
          <w:shd w:val="clear" w:color="auto" w:fill="FFFFFF"/>
        </w:rPr>
      </w:pPr>
    </w:p>
    <w:p w14:paraId="39D3F41E" w14:textId="02D9F0EA" w:rsidR="004B15F6" w:rsidRPr="006A61C2" w:rsidRDefault="004B15F6" w:rsidP="006A61C2">
      <w:pPr>
        <w:rPr>
          <w:shd w:val="clear" w:color="auto" w:fill="FFFFFF"/>
        </w:rPr>
      </w:pPr>
      <w:r w:rsidRPr="006A61C2">
        <w:rPr>
          <w:shd w:val="clear" w:color="auto" w:fill="FFFFFF"/>
        </w:rPr>
        <w:t>Ruparel, N., Bhardwaj, S., Seth, H. and Choubisa, R., 2023. Systematic literature review of professional social media platforms: Development of a behavior adoption career development framework. </w:t>
      </w:r>
      <w:r w:rsidRPr="006A61C2">
        <w:rPr>
          <w:i/>
          <w:iCs/>
          <w:shd w:val="clear" w:color="auto" w:fill="FFFFFF"/>
        </w:rPr>
        <w:t>Journal of Business Research</w:t>
      </w:r>
      <w:r w:rsidRPr="006A61C2">
        <w:rPr>
          <w:shd w:val="clear" w:color="auto" w:fill="FFFFFF"/>
        </w:rPr>
        <w:t>, </w:t>
      </w:r>
      <w:r w:rsidRPr="006A61C2">
        <w:rPr>
          <w:i/>
          <w:iCs/>
          <w:shd w:val="clear" w:color="auto" w:fill="FFFFFF"/>
        </w:rPr>
        <w:t>156</w:t>
      </w:r>
      <w:r w:rsidRPr="006A61C2">
        <w:rPr>
          <w:shd w:val="clear" w:color="auto" w:fill="FFFFFF"/>
        </w:rPr>
        <w:t>, p.113482.</w:t>
      </w:r>
    </w:p>
    <w:p w14:paraId="53D194B3" w14:textId="77777777" w:rsidR="004136C1" w:rsidRPr="006A61C2" w:rsidRDefault="004136C1" w:rsidP="006A61C2">
      <w:pPr>
        <w:rPr>
          <w:shd w:val="clear" w:color="auto" w:fill="FFFFFF"/>
        </w:rPr>
      </w:pPr>
    </w:p>
    <w:p w14:paraId="7E81F23D" w14:textId="1E022852" w:rsidR="00F13F2C" w:rsidRPr="006A61C2" w:rsidRDefault="00F13F2C" w:rsidP="006A61C2">
      <w:pPr>
        <w:rPr>
          <w:shd w:val="clear" w:color="auto" w:fill="FFFFFF"/>
        </w:rPr>
      </w:pPr>
      <w:r w:rsidRPr="006A61C2">
        <w:rPr>
          <w:shd w:val="clear" w:color="auto" w:fill="FFFFFF"/>
        </w:rPr>
        <w:t>Sheng, Z., Moonmuang, S.M. and Pruettilul, S., 2023. Factors Affecting Talent Training Program of Art and Design Postgraduate Students: A Case Study of Shenyang University, Liaoning Province, China. </w:t>
      </w:r>
      <w:r w:rsidRPr="006A61C2">
        <w:rPr>
          <w:i/>
          <w:iCs/>
          <w:shd w:val="clear" w:color="auto" w:fill="FFFFFF"/>
        </w:rPr>
        <w:t>Journal of Roi Kaensarn Academi</w:t>
      </w:r>
      <w:r w:rsidRPr="006A61C2">
        <w:rPr>
          <w:shd w:val="clear" w:color="auto" w:fill="FFFFFF"/>
        </w:rPr>
        <w:t>, </w:t>
      </w:r>
      <w:r w:rsidRPr="006A61C2">
        <w:rPr>
          <w:i/>
          <w:iCs/>
          <w:shd w:val="clear" w:color="auto" w:fill="FFFFFF"/>
        </w:rPr>
        <w:t>8</w:t>
      </w:r>
      <w:r w:rsidRPr="006A61C2">
        <w:rPr>
          <w:shd w:val="clear" w:color="auto" w:fill="FFFFFF"/>
        </w:rPr>
        <w:t>(6), pp.578-594.</w:t>
      </w:r>
    </w:p>
    <w:p w14:paraId="2340E18C" w14:textId="77777777" w:rsidR="0066083A" w:rsidRPr="006A61C2" w:rsidRDefault="0066083A" w:rsidP="006A61C2">
      <w:pPr>
        <w:rPr>
          <w:shd w:val="clear" w:color="auto" w:fill="FFFFFF"/>
        </w:rPr>
      </w:pPr>
    </w:p>
    <w:p w14:paraId="6EAC7C4A" w14:textId="4390C0CA" w:rsidR="003221C6" w:rsidRPr="006A61C2" w:rsidRDefault="003221C6" w:rsidP="006A61C2">
      <w:pPr>
        <w:rPr>
          <w:shd w:val="clear" w:color="auto" w:fill="FFFFFF"/>
        </w:rPr>
      </w:pPr>
      <w:r w:rsidRPr="006A61C2">
        <w:rPr>
          <w:shd w:val="clear" w:color="auto" w:fill="FFFFFF"/>
        </w:rPr>
        <w:t>Søraa, R.A., Tøndel, G., Kharas, M.W. and Serrano, J.A., 2023. What do older adults want from social robots? A qualitative research approach to human-robot interaction (HRI) studies. </w:t>
      </w:r>
      <w:r w:rsidRPr="006A61C2">
        <w:rPr>
          <w:i/>
          <w:iCs/>
          <w:shd w:val="clear" w:color="auto" w:fill="FFFFFF"/>
        </w:rPr>
        <w:t>International Journal of Social Robotics</w:t>
      </w:r>
      <w:r w:rsidRPr="006A61C2">
        <w:rPr>
          <w:shd w:val="clear" w:color="auto" w:fill="FFFFFF"/>
        </w:rPr>
        <w:t>, </w:t>
      </w:r>
      <w:r w:rsidRPr="006A61C2">
        <w:rPr>
          <w:i/>
          <w:iCs/>
          <w:shd w:val="clear" w:color="auto" w:fill="FFFFFF"/>
        </w:rPr>
        <w:t>15</w:t>
      </w:r>
      <w:r w:rsidRPr="006A61C2">
        <w:rPr>
          <w:shd w:val="clear" w:color="auto" w:fill="FFFFFF"/>
        </w:rPr>
        <w:t>(3), pp.411-424.</w:t>
      </w:r>
    </w:p>
    <w:p w14:paraId="531E98BD" w14:textId="77777777" w:rsidR="004136C1" w:rsidRPr="006A61C2" w:rsidRDefault="004136C1" w:rsidP="006A61C2">
      <w:pPr>
        <w:rPr>
          <w:shd w:val="clear" w:color="auto" w:fill="FFFFFF"/>
        </w:rPr>
      </w:pPr>
    </w:p>
    <w:p w14:paraId="6B9EB83C" w14:textId="3C8C3127" w:rsidR="0066083A" w:rsidRPr="006A61C2" w:rsidRDefault="0066083A" w:rsidP="006A61C2">
      <w:pPr>
        <w:rPr>
          <w:shd w:val="clear" w:color="auto" w:fill="FFFFFF"/>
        </w:rPr>
      </w:pPr>
      <w:r w:rsidRPr="006A61C2">
        <w:rPr>
          <w:shd w:val="clear" w:color="auto" w:fill="FFFFFF"/>
        </w:rPr>
        <w:t>Steffen, E., 2016. Ethical considerations in qualitative research. </w:t>
      </w:r>
      <w:r w:rsidRPr="006A61C2">
        <w:rPr>
          <w:i/>
          <w:iCs/>
          <w:shd w:val="clear" w:color="auto" w:fill="FFFFFF"/>
        </w:rPr>
        <w:t>Analysing qualitative data in psychology</w:t>
      </w:r>
      <w:r w:rsidRPr="006A61C2">
        <w:rPr>
          <w:shd w:val="clear" w:color="auto" w:fill="FFFFFF"/>
        </w:rPr>
        <w:t>, </w:t>
      </w:r>
      <w:r w:rsidRPr="006A61C2">
        <w:rPr>
          <w:i/>
          <w:iCs/>
          <w:shd w:val="clear" w:color="auto" w:fill="FFFFFF"/>
        </w:rPr>
        <w:t>2</w:t>
      </w:r>
      <w:r w:rsidRPr="006A61C2">
        <w:rPr>
          <w:shd w:val="clear" w:color="auto" w:fill="FFFFFF"/>
        </w:rPr>
        <w:t>, pp.31-44.</w:t>
      </w:r>
    </w:p>
    <w:p w14:paraId="15B41E30" w14:textId="77777777" w:rsidR="0066083A" w:rsidRPr="006A61C2" w:rsidRDefault="0066083A" w:rsidP="006A61C2">
      <w:pPr>
        <w:rPr>
          <w:shd w:val="clear" w:color="auto" w:fill="FFFFFF"/>
        </w:rPr>
      </w:pPr>
    </w:p>
    <w:p w14:paraId="3A087FF4" w14:textId="2A4278BC" w:rsidR="00F407C9" w:rsidRPr="006A61C2" w:rsidRDefault="00F407C9" w:rsidP="006A61C2">
      <w:pPr>
        <w:rPr>
          <w:shd w:val="clear" w:color="auto" w:fill="FFFFFF"/>
        </w:rPr>
      </w:pPr>
      <w:r w:rsidRPr="006A61C2">
        <w:rPr>
          <w:shd w:val="clear" w:color="auto" w:fill="FFFFFF"/>
        </w:rPr>
        <w:t>Su, Y., Zhu, Z., Chen, J., Jin, Y., Wang, T., Lin, C.L. and Xu, D., 2021. Factors influencing entrepreneurial intention of university students in China: integrating the perceived university support and theory of planned behavior. </w:t>
      </w:r>
      <w:r w:rsidRPr="006A61C2">
        <w:rPr>
          <w:i/>
          <w:iCs/>
          <w:shd w:val="clear" w:color="auto" w:fill="FFFFFF"/>
        </w:rPr>
        <w:t>Sustainability</w:t>
      </w:r>
      <w:r w:rsidRPr="006A61C2">
        <w:rPr>
          <w:shd w:val="clear" w:color="auto" w:fill="FFFFFF"/>
        </w:rPr>
        <w:t>, </w:t>
      </w:r>
      <w:r w:rsidRPr="006A61C2">
        <w:rPr>
          <w:i/>
          <w:iCs/>
          <w:shd w:val="clear" w:color="auto" w:fill="FFFFFF"/>
        </w:rPr>
        <w:t>13</w:t>
      </w:r>
      <w:r w:rsidRPr="006A61C2">
        <w:rPr>
          <w:shd w:val="clear" w:color="auto" w:fill="FFFFFF"/>
        </w:rPr>
        <w:t>(8), p.4519.</w:t>
      </w:r>
    </w:p>
    <w:p w14:paraId="6DB5C652" w14:textId="77777777" w:rsidR="005B42B8" w:rsidRPr="006A61C2" w:rsidRDefault="005B42B8" w:rsidP="006A61C2">
      <w:pPr>
        <w:rPr>
          <w:shd w:val="clear" w:color="auto" w:fill="FFFFFF"/>
        </w:rPr>
      </w:pPr>
    </w:p>
    <w:p w14:paraId="436430F0" w14:textId="5E472425" w:rsidR="005B42B8" w:rsidRPr="006A61C2" w:rsidRDefault="005B42B8" w:rsidP="006A61C2">
      <w:pPr>
        <w:rPr>
          <w:shd w:val="clear" w:color="auto" w:fill="FFFFFF"/>
        </w:rPr>
      </w:pPr>
      <w:r w:rsidRPr="006A61C2">
        <w:rPr>
          <w:shd w:val="clear" w:color="auto" w:fill="FFFFFF"/>
        </w:rPr>
        <w:t>Takeuchi, N., Takeuchi, T. and Jung, Y., 2021. Making a successful transition to work: A fresh look at organizational support for young newcomers from an individual-driven career adjustment perspective. </w:t>
      </w:r>
      <w:r w:rsidRPr="006A61C2">
        <w:rPr>
          <w:i/>
          <w:iCs/>
          <w:shd w:val="clear" w:color="auto" w:fill="FFFFFF"/>
        </w:rPr>
        <w:t>Journal of Vocational Behavior</w:t>
      </w:r>
      <w:r w:rsidRPr="006A61C2">
        <w:rPr>
          <w:shd w:val="clear" w:color="auto" w:fill="FFFFFF"/>
        </w:rPr>
        <w:t>, </w:t>
      </w:r>
      <w:r w:rsidRPr="006A61C2">
        <w:rPr>
          <w:i/>
          <w:iCs/>
          <w:shd w:val="clear" w:color="auto" w:fill="FFFFFF"/>
        </w:rPr>
        <w:t>128</w:t>
      </w:r>
      <w:r w:rsidRPr="006A61C2">
        <w:rPr>
          <w:shd w:val="clear" w:color="auto" w:fill="FFFFFF"/>
        </w:rPr>
        <w:t>, p.103587.</w:t>
      </w:r>
    </w:p>
    <w:p w14:paraId="5AEDC53A" w14:textId="77777777" w:rsidR="004136C1" w:rsidRPr="006A61C2" w:rsidRDefault="004136C1" w:rsidP="006A61C2">
      <w:pPr>
        <w:rPr>
          <w:shd w:val="clear" w:color="auto" w:fill="FFFFFF"/>
        </w:rPr>
      </w:pPr>
    </w:p>
    <w:p w14:paraId="43049A35" w14:textId="57D67FB2" w:rsidR="00B97DA2" w:rsidRPr="006A61C2" w:rsidRDefault="00B97DA2" w:rsidP="006A61C2">
      <w:pPr>
        <w:rPr>
          <w:shd w:val="clear" w:color="auto" w:fill="FFFFFF"/>
        </w:rPr>
      </w:pPr>
      <w:r w:rsidRPr="006A61C2">
        <w:rPr>
          <w:shd w:val="clear" w:color="auto" w:fill="FFFFFF"/>
        </w:rPr>
        <w:t>Terry, G., Hayfield, N., Clarke, V. and Braun, V., 2017. Thematic analysis. </w:t>
      </w:r>
      <w:r w:rsidRPr="006A61C2">
        <w:rPr>
          <w:i/>
          <w:iCs/>
          <w:shd w:val="clear" w:color="auto" w:fill="FFFFFF"/>
        </w:rPr>
        <w:t>The SAGE handbook of qualitative research in psychology</w:t>
      </w:r>
      <w:r w:rsidRPr="006A61C2">
        <w:rPr>
          <w:shd w:val="clear" w:color="auto" w:fill="FFFFFF"/>
        </w:rPr>
        <w:t>, </w:t>
      </w:r>
      <w:r w:rsidRPr="006A61C2">
        <w:rPr>
          <w:i/>
          <w:iCs/>
          <w:shd w:val="clear" w:color="auto" w:fill="FFFFFF"/>
        </w:rPr>
        <w:t>2</w:t>
      </w:r>
      <w:r w:rsidRPr="006A61C2">
        <w:rPr>
          <w:shd w:val="clear" w:color="auto" w:fill="FFFFFF"/>
        </w:rPr>
        <w:t>(17-37), p.25.</w:t>
      </w:r>
    </w:p>
    <w:p w14:paraId="0E96EBB5" w14:textId="77777777" w:rsidR="004136C1" w:rsidRPr="006A61C2" w:rsidRDefault="004136C1" w:rsidP="006A61C2">
      <w:pPr>
        <w:rPr>
          <w:shd w:val="clear" w:color="auto" w:fill="FFFFFF"/>
        </w:rPr>
      </w:pPr>
    </w:p>
    <w:p w14:paraId="272BC530" w14:textId="6EB41BAF" w:rsidR="00AC52BC" w:rsidRPr="006A61C2" w:rsidRDefault="00AC52BC" w:rsidP="006A61C2">
      <w:pPr>
        <w:rPr>
          <w:shd w:val="clear" w:color="auto" w:fill="FFFFFF"/>
        </w:rPr>
      </w:pPr>
      <w:r w:rsidRPr="006A61C2">
        <w:rPr>
          <w:shd w:val="clear" w:color="auto" w:fill="FFFFFF"/>
        </w:rPr>
        <w:lastRenderedPageBreak/>
        <w:t>Wijk, H., Ponzer, S., Heikkilä, K., Kihlström, L. and Nordquist, J., 2019. Factors influencing effectiveness in postgraduate medical education–a qualitative study of experiences of the responsible clinical consultants. </w:t>
      </w:r>
      <w:r w:rsidRPr="006A61C2">
        <w:rPr>
          <w:i/>
          <w:iCs/>
          <w:shd w:val="clear" w:color="auto" w:fill="FFFFFF"/>
        </w:rPr>
        <w:t>BMC medical education</w:t>
      </w:r>
      <w:r w:rsidRPr="006A61C2">
        <w:rPr>
          <w:shd w:val="clear" w:color="auto" w:fill="FFFFFF"/>
        </w:rPr>
        <w:t>, </w:t>
      </w:r>
      <w:r w:rsidRPr="006A61C2">
        <w:rPr>
          <w:i/>
          <w:iCs/>
          <w:shd w:val="clear" w:color="auto" w:fill="FFFFFF"/>
        </w:rPr>
        <w:t>19</w:t>
      </w:r>
      <w:r w:rsidRPr="006A61C2">
        <w:rPr>
          <w:shd w:val="clear" w:color="auto" w:fill="FFFFFF"/>
        </w:rPr>
        <w:t>, pp.1-9.</w:t>
      </w:r>
    </w:p>
    <w:p w14:paraId="18A8BE6B" w14:textId="77777777" w:rsidR="004136C1" w:rsidRPr="006A61C2" w:rsidRDefault="004136C1" w:rsidP="006A61C2">
      <w:pPr>
        <w:rPr>
          <w:shd w:val="clear" w:color="auto" w:fill="FFFFFF"/>
        </w:rPr>
      </w:pPr>
    </w:p>
    <w:p w14:paraId="76EF1CC9" w14:textId="4EDD3E38" w:rsidR="000F67A4" w:rsidRPr="006A61C2" w:rsidRDefault="000F67A4" w:rsidP="006A61C2">
      <w:pPr>
        <w:rPr>
          <w:shd w:val="clear" w:color="auto" w:fill="FFFFFF"/>
        </w:rPr>
      </w:pPr>
      <w:r w:rsidRPr="006A61C2">
        <w:rPr>
          <w:shd w:val="clear" w:color="auto" w:fill="FFFFFF"/>
        </w:rPr>
        <w:t>Valencia Quecano, L.I., Guzmán Rincón, A. and Barragán Moreno, S., 2024. Dropout in postgraduate programs: a underexplored phenomenon–a scoping review. </w:t>
      </w:r>
      <w:r w:rsidRPr="006A61C2">
        <w:rPr>
          <w:i/>
          <w:iCs/>
          <w:shd w:val="clear" w:color="auto" w:fill="FFFFFF"/>
        </w:rPr>
        <w:t>Cogent Education</w:t>
      </w:r>
      <w:r w:rsidRPr="006A61C2">
        <w:rPr>
          <w:shd w:val="clear" w:color="auto" w:fill="FFFFFF"/>
        </w:rPr>
        <w:t>, </w:t>
      </w:r>
      <w:r w:rsidRPr="006A61C2">
        <w:rPr>
          <w:i/>
          <w:iCs/>
          <w:shd w:val="clear" w:color="auto" w:fill="FFFFFF"/>
        </w:rPr>
        <w:t>11</w:t>
      </w:r>
      <w:r w:rsidRPr="006A61C2">
        <w:rPr>
          <w:shd w:val="clear" w:color="auto" w:fill="FFFFFF"/>
        </w:rPr>
        <w:t>(1), p.2326705.</w:t>
      </w:r>
    </w:p>
    <w:p w14:paraId="6A106F31" w14:textId="77777777" w:rsidR="004136C1" w:rsidRPr="006A61C2" w:rsidRDefault="004136C1" w:rsidP="006A61C2">
      <w:pPr>
        <w:rPr>
          <w:shd w:val="clear" w:color="auto" w:fill="FFFFFF"/>
        </w:rPr>
      </w:pPr>
    </w:p>
    <w:p w14:paraId="026852B0" w14:textId="1C9DBAB5" w:rsidR="00D75291" w:rsidRPr="006A61C2" w:rsidRDefault="00D75291" w:rsidP="006A61C2">
      <w:pPr>
        <w:rPr>
          <w:shd w:val="clear" w:color="auto" w:fill="FFFFFF"/>
        </w:rPr>
      </w:pPr>
      <w:r w:rsidRPr="006A61C2">
        <w:rPr>
          <w:shd w:val="clear" w:color="auto" w:fill="FFFFFF"/>
        </w:rPr>
        <w:t>Valerio, M.A., Rodriguez, N., Winkler, P., Lopez, J., Dennison, M., Liang, Y. and Turner, B.J., 2016. Comparing two sampling methods to engage hard-to-reach communities in research priority setting. </w:t>
      </w:r>
      <w:r w:rsidRPr="006A61C2">
        <w:rPr>
          <w:i/>
          <w:iCs/>
          <w:shd w:val="clear" w:color="auto" w:fill="FFFFFF"/>
        </w:rPr>
        <w:t>BMC medical research methodology</w:t>
      </w:r>
      <w:r w:rsidRPr="006A61C2">
        <w:rPr>
          <w:shd w:val="clear" w:color="auto" w:fill="FFFFFF"/>
        </w:rPr>
        <w:t>, </w:t>
      </w:r>
      <w:r w:rsidRPr="006A61C2">
        <w:rPr>
          <w:i/>
          <w:iCs/>
          <w:shd w:val="clear" w:color="auto" w:fill="FFFFFF"/>
        </w:rPr>
        <w:t>16</w:t>
      </w:r>
      <w:r w:rsidRPr="006A61C2">
        <w:rPr>
          <w:shd w:val="clear" w:color="auto" w:fill="FFFFFF"/>
        </w:rPr>
        <w:t>, pp.1-11.</w:t>
      </w:r>
    </w:p>
    <w:p w14:paraId="300A9AA8" w14:textId="77777777" w:rsidR="004136C1" w:rsidRPr="006A61C2" w:rsidRDefault="004136C1" w:rsidP="006A61C2">
      <w:pPr>
        <w:rPr>
          <w:shd w:val="clear" w:color="auto" w:fill="FFFFFF"/>
        </w:rPr>
      </w:pPr>
    </w:p>
    <w:p w14:paraId="0584521C" w14:textId="1386A8E8" w:rsidR="00ED239D" w:rsidRPr="006A61C2" w:rsidRDefault="00ED239D" w:rsidP="006A61C2">
      <w:r w:rsidRPr="006A61C2">
        <w:rPr>
          <w:shd w:val="clear" w:color="auto" w:fill="FFFFFF"/>
        </w:rPr>
        <w:t>Yulianti, T. and Sulistyawati, A., 2021. Enhancing public speaking ability through focus group discussion. </w:t>
      </w:r>
      <w:r w:rsidRPr="006A61C2">
        <w:rPr>
          <w:i/>
          <w:iCs/>
          <w:shd w:val="clear" w:color="auto" w:fill="FFFFFF"/>
        </w:rPr>
        <w:t>JURNAL PAJAR (Pendidikan Dan Pengajaran)</w:t>
      </w:r>
      <w:r w:rsidRPr="006A61C2">
        <w:rPr>
          <w:shd w:val="clear" w:color="auto" w:fill="FFFFFF"/>
        </w:rPr>
        <w:t>, </w:t>
      </w:r>
      <w:r w:rsidRPr="006A61C2">
        <w:rPr>
          <w:i/>
          <w:iCs/>
          <w:shd w:val="clear" w:color="auto" w:fill="FFFFFF"/>
        </w:rPr>
        <w:t>5</w:t>
      </w:r>
      <w:r w:rsidRPr="006A61C2">
        <w:rPr>
          <w:shd w:val="clear" w:color="auto" w:fill="FFFFFF"/>
        </w:rPr>
        <w:t>(2), pp.287-295.</w:t>
      </w:r>
    </w:p>
    <w:p w14:paraId="734BB238" w14:textId="77777777" w:rsidR="00751AA5" w:rsidRPr="006A61C2" w:rsidRDefault="00751AA5" w:rsidP="006A61C2"/>
    <w:p w14:paraId="3C7999DF" w14:textId="77777777" w:rsidR="00751AA5" w:rsidRPr="006A61C2" w:rsidRDefault="00751AA5" w:rsidP="006A61C2"/>
    <w:p w14:paraId="41D88DFD" w14:textId="77777777" w:rsidR="00751AA5" w:rsidRPr="006A61C2" w:rsidRDefault="00751AA5" w:rsidP="006A61C2"/>
    <w:p w14:paraId="4A5332F1" w14:textId="77777777" w:rsidR="00751AA5" w:rsidRPr="006A61C2" w:rsidRDefault="00751AA5" w:rsidP="006A61C2"/>
    <w:p w14:paraId="1E5054A7" w14:textId="77777777" w:rsidR="007807EE" w:rsidRPr="006A61C2" w:rsidRDefault="007807EE" w:rsidP="006A61C2"/>
    <w:p w14:paraId="58594489" w14:textId="77777777" w:rsidR="007807EE" w:rsidRPr="006A61C2" w:rsidRDefault="007807EE" w:rsidP="006A61C2"/>
    <w:p w14:paraId="6CEEE817" w14:textId="77777777" w:rsidR="007807EE" w:rsidRPr="006A61C2" w:rsidRDefault="007807EE" w:rsidP="006A61C2"/>
    <w:p w14:paraId="5FD8A93B" w14:textId="77777777" w:rsidR="007807EE" w:rsidRPr="006A61C2" w:rsidRDefault="007807EE" w:rsidP="006A61C2"/>
    <w:p w14:paraId="7B44FD61" w14:textId="77777777" w:rsidR="007807EE" w:rsidRPr="006A61C2" w:rsidRDefault="007807EE" w:rsidP="006A61C2"/>
    <w:p w14:paraId="01AAF5F1" w14:textId="77777777" w:rsidR="007807EE" w:rsidRPr="006A61C2" w:rsidRDefault="007807EE" w:rsidP="006A61C2"/>
    <w:p w14:paraId="0CA04013" w14:textId="77777777" w:rsidR="007807EE" w:rsidRPr="006A61C2" w:rsidRDefault="007807EE" w:rsidP="006A61C2"/>
    <w:p w14:paraId="369302CF" w14:textId="77777777" w:rsidR="007807EE" w:rsidRPr="006A61C2" w:rsidRDefault="007807EE" w:rsidP="006A61C2"/>
    <w:p w14:paraId="5C46EE95" w14:textId="77777777" w:rsidR="007807EE" w:rsidRPr="006A61C2" w:rsidRDefault="007807EE" w:rsidP="006A61C2"/>
    <w:p w14:paraId="1244FBD2" w14:textId="77777777" w:rsidR="007807EE" w:rsidRPr="006A61C2" w:rsidRDefault="007807EE" w:rsidP="006A61C2"/>
    <w:p w14:paraId="15FB4141" w14:textId="77777777" w:rsidR="007807EE" w:rsidRPr="006A61C2" w:rsidRDefault="007807EE" w:rsidP="006A61C2"/>
    <w:p w14:paraId="079C55E5" w14:textId="77777777" w:rsidR="007807EE" w:rsidRPr="006A61C2" w:rsidRDefault="007807EE" w:rsidP="006A61C2"/>
    <w:p w14:paraId="42BD808A" w14:textId="77777777" w:rsidR="007807EE" w:rsidRPr="006A61C2" w:rsidRDefault="007807EE" w:rsidP="006A61C2"/>
    <w:p w14:paraId="55199304" w14:textId="77777777" w:rsidR="00751AA5" w:rsidRPr="006A61C2" w:rsidRDefault="00751AA5" w:rsidP="006A61C2"/>
    <w:sectPr w:rsidR="00751AA5" w:rsidRPr="006A61C2" w:rsidSect="00A51591">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C31A" w14:textId="77777777" w:rsidR="00A51591" w:rsidRDefault="00A51591">
      <w:pPr>
        <w:spacing w:line="240" w:lineRule="auto"/>
      </w:pPr>
      <w:r>
        <w:separator/>
      </w:r>
    </w:p>
  </w:endnote>
  <w:endnote w:type="continuationSeparator" w:id="0">
    <w:p w14:paraId="271C6CDA" w14:textId="77777777" w:rsidR="00A51591" w:rsidRDefault="00A515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64A4" w14:textId="77777777" w:rsidR="003E5CDE" w:rsidRDefault="00D33811">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Pr>
        <w:b/>
        <w:noProof/>
        <w:color w:val="000000"/>
        <w:sz w:val="24"/>
        <w:szCs w:val="24"/>
      </w:rPr>
      <w:t>2</w:t>
    </w:r>
    <w:r>
      <w:rPr>
        <w:b/>
        <w:color w:val="000000"/>
        <w:sz w:val="24"/>
        <w:szCs w:val="24"/>
      </w:rPr>
      <w:fldChar w:fldCharType="end"/>
    </w:r>
  </w:p>
  <w:p w14:paraId="0EA4B8E1" w14:textId="77777777" w:rsidR="003E5CDE" w:rsidRDefault="003E5CD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2A402" w14:textId="77777777" w:rsidR="00A51591" w:rsidRDefault="00A51591">
      <w:pPr>
        <w:spacing w:line="240" w:lineRule="auto"/>
      </w:pPr>
      <w:r>
        <w:separator/>
      </w:r>
    </w:p>
  </w:footnote>
  <w:footnote w:type="continuationSeparator" w:id="0">
    <w:p w14:paraId="3300205D" w14:textId="77777777" w:rsidR="00A51591" w:rsidRDefault="00A5159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97C5B"/>
    <w:multiLevelType w:val="hybridMultilevel"/>
    <w:tmpl w:val="B0D0CD1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D6C297F"/>
    <w:multiLevelType w:val="hybridMultilevel"/>
    <w:tmpl w:val="3D60F4F0"/>
    <w:lvl w:ilvl="0" w:tplc="40090001">
      <w:start w:val="1"/>
      <w:numFmt w:val="bullet"/>
      <w:lvlText w:val=""/>
      <w:lvlJc w:val="left"/>
      <w:pPr>
        <w:ind w:left="799" w:hanging="360"/>
      </w:pPr>
      <w:rPr>
        <w:rFonts w:ascii="Symbol" w:hAnsi="Symbol" w:hint="default"/>
      </w:rPr>
    </w:lvl>
    <w:lvl w:ilvl="1" w:tplc="40090003" w:tentative="1">
      <w:start w:val="1"/>
      <w:numFmt w:val="bullet"/>
      <w:lvlText w:val="o"/>
      <w:lvlJc w:val="left"/>
      <w:pPr>
        <w:ind w:left="1519" w:hanging="360"/>
      </w:pPr>
      <w:rPr>
        <w:rFonts w:ascii="Courier New" w:hAnsi="Courier New" w:cs="Courier New" w:hint="default"/>
      </w:rPr>
    </w:lvl>
    <w:lvl w:ilvl="2" w:tplc="40090005" w:tentative="1">
      <w:start w:val="1"/>
      <w:numFmt w:val="bullet"/>
      <w:lvlText w:val=""/>
      <w:lvlJc w:val="left"/>
      <w:pPr>
        <w:ind w:left="2239" w:hanging="360"/>
      </w:pPr>
      <w:rPr>
        <w:rFonts w:ascii="Wingdings" w:hAnsi="Wingdings" w:hint="default"/>
      </w:rPr>
    </w:lvl>
    <w:lvl w:ilvl="3" w:tplc="40090001" w:tentative="1">
      <w:start w:val="1"/>
      <w:numFmt w:val="bullet"/>
      <w:lvlText w:val=""/>
      <w:lvlJc w:val="left"/>
      <w:pPr>
        <w:ind w:left="2959" w:hanging="360"/>
      </w:pPr>
      <w:rPr>
        <w:rFonts w:ascii="Symbol" w:hAnsi="Symbol" w:hint="default"/>
      </w:rPr>
    </w:lvl>
    <w:lvl w:ilvl="4" w:tplc="40090003" w:tentative="1">
      <w:start w:val="1"/>
      <w:numFmt w:val="bullet"/>
      <w:lvlText w:val="o"/>
      <w:lvlJc w:val="left"/>
      <w:pPr>
        <w:ind w:left="3679" w:hanging="360"/>
      </w:pPr>
      <w:rPr>
        <w:rFonts w:ascii="Courier New" w:hAnsi="Courier New" w:cs="Courier New" w:hint="default"/>
      </w:rPr>
    </w:lvl>
    <w:lvl w:ilvl="5" w:tplc="40090005" w:tentative="1">
      <w:start w:val="1"/>
      <w:numFmt w:val="bullet"/>
      <w:lvlText w:val=""/>
      <w:lvlJc w:val="left"/>
      <w:pPr>
        <w:ind w:left="4399" w:hanging="360"/>
      </w:pPr>
      <w:rPr>
        <w:rFonts w:ascii="Wingdings" w:hAnsi="Wingdings" w:hint="default"/>
      </w:rPr>
    </w:lvl>
    <w:lvl w:ilvl="6" w:tplc="40090001" w:tentative="1">
      <w:start w:val="1"/>
      <w:numFmt w:val="bullet"/>
      <w:lvlText w:val=""/>
      <w:lvlJc w:val="left"/>
      <w:pPr>
        <w:ind w:left="5119" w:hanging="360"/>
      </w:pPr>
      <w:rPr>
        <w:rFonts w:ascii="Symbol" w:hAnsi="Symbol" w:hint="default"/>
      </w:rPr>
    </w:lvl>
    <w:lvl w:ilvl="7" w:tplc="40090003" w:tentative="1">
      <w:start w:val="1"/>
      <w:numFmt w:val="bullet"/>
      <w:lvlText w:val="o"/>
      <w:lvlJc w:val="left"/>
      <w:pPr>
        <w:ind w:left="5839" w:hanging="360"/>
      </w:pPr>
      <w:rPr>
        <w:rFonts w:ascii="Courier New" w:hAnsi="Courier New" w:cs="Courier New" w:hint="default"/>
      </w:rPr>
    </w:lvl>
    <w:lvl w:ilvl="8" w:tplc="40090005" w:tentative="1">
      <w:start w:val="1"/>
      <w:numFmt w:val="bullet"/>
      <w:lvlText w:val=""/>
      <w:lvlJc w:val="left"/>
      <w:pPr>
        <w:ind w:left="6559" w:hanging="360"/>
      </w:pPr>
      <w:rPr>
        <w:rFonts w:ascii="Wingdings" w:hAnsi="Wingdings" w:hint="default"/>
      </w:rPr>
    </w:lvl>
  </w:abstractNum>
  <w:abstractNum w:abstractNumId="2" w15:restartNumberingAfterBreak="0">
    <w:nsid w:val="1484505A"/>
    <w:multiLevelType w:val="hybridMultilevel"/>
    <w:tmpl w:val="66449D6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EA712C2"/>
    <w:multiLevelType w:val="hybridMultilevel"/>
    <w:tmpl w:val="37A40F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F390619"/>
    <w:multiLevelType w:val="hybridMultilevel"/>
    <w:tmpl w:val="4F3AC3A8"/>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27BB70A2"/>
    <w:multiLevelType w:val="hybridMultilevel"/>
    <w:tmpl w:val="58705C5E"/>
    <w:lvl w:ilvl="0" w:tplc="40090001">
      <w:start w:val="1"/>
      <w:numFmt w:val="bullet"/>
      <w:lvlText w:val=""/>
      <w:lvlJc w:val="left"/>
      <w:pPr>
        <w:ind w:left="799" w:hanging="360"/>
      </w:pPr>
      <w:rPr>
        <w:rFonts w:ascii="Symbol" w:hAnsi="Symbol" w:hint="default"/>
      </w:rPr>
    </w:lvl>
    <w:lvl w:ilvl="1" w:tplc="40090003" w:tentative="1">
      <w:start w:val="1"/>
      <w:numFmt w:val="bullet"/>
      <w:lvlText w:val="o"/>
      <w:lvlJc w:val="left"/>
      <w:pPr>
        <w:ind w:left="1519" w:hanging="360"/>
      </w:pPr>
      <w:rPr>
        <w:rFonts w:ascii="Courier New" w:hAnsi="Courier New" w:cs="Courier New" w:hint="default"/>
      </w:rPr>
    </w:lvl>
    <w:lvl w:ilvl="2" w:tplc="40090005" w:tentative="1">
      <w:start w:val="1"/>
      <w:numFmt w:val="bullet"/>
      <w:lvlText w:val=""/>
      <w:lvlJc w:val="left"/>
      <w:pPr>
        <w:ind w:left="2239" w:hanging="360"/>
      </w:pPr>
      <w:rPr>
        <w:rFonts w:ascii="Wingdings" w:hAnsi="Wingdings" w:hint="default"/>
      </w:rPr>
    </w:lvl>
    <w:lvl w:ilvl="3" w:tplc="40090001" w:tentative="1">
      <w:start w:val="1"/>
      <w:numFmt w:val="bullet"/>
      <w:lvlText w:val=""/>
      <w:lvlJc w:val="left"/>
      <w:pPr>
        <w:ind w:left="2959" w:hanging="360"/>
      </w:pPr>
      <w:rPr>
        <w:rFonts w:ascii="Symbol" w:hAnsi="Symbol" w:hint="default"/>
      </w:rPr>
    </w:lvl>
    <w:lvl w:ilvl="4" w:tplc="40090003" w:tentative="1">
      <w:start w:val="1"/>
      <w:numFmt w:val="bullet"/>
      <w:lvlText w:val="o"/>
      <w:lvlJc w:val="left"/>
      <w:pPr>
        <w:ind w:left="3679" w:hanging="360"/>
      </w:pPr>
      <w:rPr>
        <w:rFonts w:ascii="Courier New" w:hAnsi="Courier New" w:cs="Courier New" w:hint="default"/>
      </w:rPr>
    </w:lvl>
    <w:lvl w:ilvl="5" w:tplc="40090005" w:tentative="1">
      <w:start w:val="1"/>
      <w:numFmt w:val="bullet"/>
      <w:lvlText w:val=""/>
      <w:lvlJc w:val="left"/>
      <w:pPr>
        <w:ind w:left="4399" w:hanging="360"/>
      </w:pPr>
      <w:rPr>
        <w:rFonts w:ascii="Wingdings" w:hAnsi="Wingdings" w:hint="default"/>
      </w:rPr>
    </w:lvl>
    <w:lvl w:ilvl="6" w:tplc="40090001" w:tentative="1">
      <w:start w:val="1"/>
      <w:numFmt w:val="bullet"/>
      <w:lvlText w:val=""/>
      <w:lvlJc w:val="left"/>
      <w:pPr>
        <w:ind w:left="5119" w:hanging="360"/>
      </w:pPr>
      <w:rPr>
        <w:rFonts w:ascii="Symbol" w:hAnsi="Symbol" w:hint="default"/>
      </w:rPr>
    </w:lvl>
    <w:lvl w:ilvl="7" w:tplc="40090003" w:tentative="1">
      <w:start w:val="1"/>
      <w:numFmt w:val="bullet"/>
      <w:lvlText w:val="o"/>
      <w:lvlJc w:val="left"/>
      <w:pPr>
        <w:ind w:left="5839" w:hanging="360"/>
      </w:pPr>
      <w:rPr>
        <w:rFonts w:ascii="Courier New" w:hAnsi="Courier New" w:cs="Courier New" w:hint="default"/>
      </w:rPr>
    </w:lvl>
    <w:lvl w:ilvl="8" w:tplc="40090005" w:tentative="1">
      <w:start w:val="1"/>
      <w:numFmt w:val="bullet"/>
      <w:lvlText w:val=""/>
      <w:lvlJc w:val="left"/>
      <w:pPr>
        <w:ind w:left="6559" w:hanging="360"/>
      </w:pPr>
      <w:rPr>
        <w:rFonts w:ascii="Wingdings" w:hAnsi="Wingdings" w:hint="default"/>
      </w:rPr>
    </w:lvl>
  </w:abstractNum>
  <w:abstractNum w:abstractNumId="6" w15:restartNumberingAfterBreak="0">
    <w:nsid w:val="28603037"/>
    <w:multiLevelType w:val="hybridMultilevel"/>
    <w:tmpl w:val="D6C496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3FA1D0E"/>
    <w:multiLevelType w:val="hybridMultilevel"/>
    <w:tmpl w:val="9B8A79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5883C36"/>
    <w:multiLevelType w:val="hybridMultilevel"/>
    <w:tmpl w:val="5A54B23A"/>
    <w:lvl w:ilvl="0" w:tplc="40090001">
      <w:start w:val="1"/>
      <w:numFmt w:val="bullet"/>
      <w:lvlText w:val=""/>
      <w:lvlJc w:val="left"/>
      <w:pPr>
        <w:ind w:left="799" w:hanging="360"/>
      </w:pPr>
      <w:rPr>
        <w:rFonts w:ascii="Symbol" w:hAnsi="Symbol" w:hint="default"/>
      </w:rPr>
    </w:lvl>
    <w:lvl w:ilvl="1" w:tplc="40090003" w:tentative="1">
      <w:start w:val="1"/>
      <w:numFmt w:val="bullet"/>
      <w:lvlText w:val="o"/>
      <w:lvlJc w:val="left"/>
      <w:pPr>
        <w:ind w:left="1519" w:hanging="360"/>
      </w:pPr>
      <w:rPr>
        <w:rFonts w:ascii="Courier New" w:hAnsi="Courier New" w:cs="Courier New" w:hint="default"/>
      </w:rPr>
    </w:lvl>
    <w:lvl w:ilvl="2" w:tplc="40090005" w:tentative="1">
      <w:start w:val="1"/>
      <w:numFmt w:val="bullet"/>
      <w:lvlText w:val=""/>
      <w:lvlJc w:val="left"/>
      <w:pPr>
        <w:ind w:left="2239" w:hanging="360"/>
      </w:pPr>
      <w:rPr>
        <w:rFonts w:ascii="Wingdings" w:hAnsi="Wingdings" w:hint="default"/>
      </w:rPr>
    </w:lvl>
    <w:lvl w:ilvl="3" w:tplc="40090001" w:tentative="1">
      <w:start w:val="1"/>
      <w:numFmt w:val="bullet"/>
      <w:lvlText w:val=""/>
      <w:lvlJc w:val="left"/>
      <w:pPr>
        <w:ind w:left="2959" w:hanging="360"/>
      </w:pPr>
      <w:rPr>
        <w:rFonts w:ascii="Symbol" w:hAnsi="Symbol" w:hint="default"/>
      </w:rPr>
    </w:lvl>
    <w:lvl w:ilvl="4" w:tplc="40090003" w:tentative="1">
      <w:start w:val="1"/>
      <w:numFmt w:val="bullet"/>
      <w:lvlText w:val="o"/>
      <w:lvlJc w:val="left"/>
      <w:pPr>
        <w:ind w:left="3679" w:hanging="360"/>
      </w:pPr>
      <w:rPr>
        <w:rFonts w:ascii="Courier New" w:hAnsi="Courier New" w:cs="Courier New" w:hint="default"/>
      </w:rPr>
    </w:lvl>
    <w:lvl w:ilvl="5" w:tplc="40090005" w:tentative="1">
      <w:start w:val="1"/>
      <w:numFmt w:val="bullet"/>
      <w:lvlText w:val=""/>
      <w:lvlJc w:val="left"/>
      <w:pPr>
        <w:ind w:left="4399" w:hanging="360"/>
      </w:pPr>
      <w:rPr>
        <w:rFonts w:ascii="Wingdings" w:hAnsi="Wingdings" w:hint="default"/>
      </w:rPr>
    </w:lvl>
    <w:lvl w:ilvl="6" w:tplc="40090001" w:tentative="1">
      <w:start w:val="1"/>
      <w:numFmt w:val="bullet"/>
      <w:lvlText w:val=""/>
      <w:lvlJc w:val="left"/>
      <w:pPr>
        <w:ind w:left="5119" w:hanging="360"/>
      </w:pPr>
      <w:rPr>
        <w:rFonts w:ascii="Symbol" w:hAnsi="Symbol" w:hint="default"/>
      </w:rPr>
    </w:lvl>
    <w:lvl w:ilvl="7" w:tplc="40090003" w:tentative="1">
      <w:start w:val="1"/>
      <w:numFmt w:val="bullet"/>
      <w:lvlText w:val="o"/>
      <w:lvlJc w:val="left"/>
      <w:pPr>
        <w:ind w:left="5839" w:hanging="360"/>
      </w:pPr>
      <w:rPr>
        <w:rFonts w:ascii="Courier New" w:hAnsi="Courier New" w:cs="Courier New" w:hint="default"/>
      </w:rPr>
    </w:lvl>
    <w:lvl w:ilvl="8" w:tplc="40090005" w:tentative="1">
      <w:start w:val="1"/>
      <w:numFmt w:val="bullet"/>
      <w:lvlText w:val=""/>
      <w:lvlJc w:val="left"/>
      <w:pPr>
        <w:ind w:left="6559" w:hanging="360"/>
      </w:pPr>
      <w:rPr>
        <w:rFonts w:ascii="Wingdings" w:hAnsi="Wingdings" w:hint="default"/>
      </w:rPr>
    </w:lvl>
  </w:abstractNum>
  <w:abstractNum w:abstractNumId="9" w15:restartNumberingAfterBreak="0">
    <w:nsid w:val="4F791B86"/>
    <w:multiLevelType w:val="multilevel"/>
    <w:tmpl w:val="4FC6F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3052BB1"/>
    <w:multiLevelType w:val="hybridMultilevel"/>
    <w:tmpl w:val="D618D6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83E3565"/>
    <w:multiLevelType w:val="hybridMultilevel"/>
    <w:tmpl w:val="317CBC3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7C384EAC"/>
    <w:multiLevelType w:val="multilevel"/>
    <w:tmpl w:val="B18E1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76313015">
    <w:abstractNumId w:val="12"/>
  </w:num>
  <w:num w:numId="2" w16cid:durableId="1042173928">
    <w:abstractNumId w:val="9"/>
  </w:num>
  <w:num w:numId="3" w16cid:durableId="1003052532">
    <w:abstractNumId w:val="2"/>
  </w:num>
  <w:num w:numId="4" w16cid:durableId="202791866">
    <w:abstractNumId w:val="7"/>
  </w:num>
  <w:num w:numId="5" w16cid:durableId="1044791587">
    <w:abstractNumId w:val="3"/>
  </w:num>
  <w:num w:numId="6" w16cid:durableId="261256490">
    <w:abstractNumId w:val="6"/>
  </w:num>
  <w:num w:numId="7" w16cid:durableId="1060786268">
    <w:abstractNumId w:val="1"/>
  </w:num>
  <w:num w:numId="8" w16cid:durableId="124322223">
    <w:abstractNumId w:val="8"/>
  </w:num>
  <w:num w:numId="9" w16cid:durableId="1475753641">
    <w:abstractNumId w:val="5"/>
  </w:num>
  <w:num w:numId="10" w16cid:durableId="1883980883">
    <w:abstractNumId w:val="0"/>
  </w:num>
  <w:num w:numId="11" w16cid:durableId="443117237">
    <w:abstractNumId w:val="10"/>
  </w:num>
  <w:num w:numId="12" w16cid:durableId="916743886">
    <w:abstractNumId w:val="4"/>
  </w:num>
  <w:num w:numId="13" w16cid:durableId="9899463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CDE"/>
    <w:rsid w:val="00006877"/>
    <w:rsid w:val="0000744D"/>
    <w:rsid w:val="00032FF3"/>
    <w:rsid w:val="0004667B"/>
    <w:rsid w:val="00047822"/>
    <w:rsid w:val="00073E9C"/>
    <w:rsid w:val="0007481C"/>
    <w:rsid w:val="00095F9F"/>
    <w:rsid w:val="00096F2E"/>
    <w:rsid w:val="000A1A79"/>
    <w:rsid w:val="000B5171"/>
    <w:rsid w:val="000C78FC"/>
    <w:rsid w:val="000C7AEF"/>
    <w:rsid w:val="000D116E"/>
    <w:rsid w:val="000D1ACC"/>
    <w:rsid w:val="000E4D29"/>
    <w:rsid w:val="000F67A4"/>
    <w:rsid w:val="00112B30"/>
    <w:rsid w:val="00135BF8"/>
    <w:rsid w:val="001407CF"/>
    <w:rsid w:val="0014283A"/>
    <w:rsid w:val="00145747"/>
    <w:rsid w:val="001643DE"/>
    <w:rsid w:val="001707CF"/>
    <w:rsid w:val="00172FC9"/>
    <w:rsid w:val="0017381D"/>
    <w:rsid w:val="00175C8D"/>
    <w:rsid w:val="00196EDE"/>
    <w:rsid w:val="001A0F36"/>
    <w:rsid w:val="001A4BB9"/>
    <w:rsid w:val="001C2924"/>
    <w:rsid w:val="001D34D6"/>
    <w:rsid w:val="001D74D6"/>
    <w:rsid w:val="001E3547"/>
    <w:rsid w:val="001F412A"/>
    <w:rsid w:val="00201BAA"/>
    <w:rsid w:val="00226A69"/>
    <w:rsid w:val="00233F96"/>
    <w:rsid w:val="00262E8D"/>
    <w:rsid w:val="00266A58"/>
    <w:rsid w:val="0027789A"/>
    <w:rsid w:val="00281A68"/>
    <w:rsid w:val="002839A2"/>
    <w:rsid w:val="002A5005"/>
    <w:rsid w:val="002B42FC"/>
    <w:rsid w:val="002B5443"/>
    <w:rsid w:val="002C37A1"/>
    <w:rsid w:val="002C38DE"/>
    <w:rsid w:val="002C631B"/>
    <w:rsid w:val="002D6299"/>
    <w:rsid w:val="002D63E3"/>
    <w:rsid w:val="002E6809"/>
    <w:rsid w:val="002F0B06"/>
    <w:rsid w:val="002F36E3"/>
    <w:rsid w:val="002F6666"/>
    <w:rsid w:val="002F76C2"/>
    <w:rsid w:val="0031199C"/>
    <w:rsid w:val="00311E62"/>
    <w:rsid w:val="00317AD7"/>
    <w:rsid w:val="003221C6"/>
    <w:rsid w:val="003524F5"/>
    <w:rsid w:val="00360F09"/>
    <w:rsid w:val="003616DD"/>
    <w:rsid w:val="00384364"/>
    <w:rsid w:val="003968CC"/>
    <w:rsid w:val="003A6087"/>
    <w:rsid w:val="003B3AED"/>
    <w:rsid w:val="003B5606"/>
    <w:rsid w:val="003D4958"/>
    <w:rsid w:val="003E011B"/>
    <w:rsid w:val="003E0716"/>
    <w:rsid w:val="003E200F"/>
    <w:rsid w:val="003E573D"/>
    <w:rsid w:val="003E5CDE"/>
    <w:rsid w:val="003F16B8"/>
    <w:rsid w:val="003F46FB"/>
    <w:rsid w:val="004014FC"/>
    <w:rsid w:val="004136C1"/>
    <w:rsid w:val="00414683"/>
    <w:rsid w:val="00416054"/>
    <w:rsid w:val="0042185B"/>
    <w:rsid w:val="0042274D"/>
    <w:rsid w:val="004254CE"/>
    <w:rsid w:val="00425C24"/>
    <w:rsid w:val="00431862"/>
    <w:rsid w:val="0043602E"/>
    <w:rsid w:val="004417E5"/>
    <w:rsid w:val="004429EB"/>
    <w:rsid w:val="004457E4"/>
    <w:rsid w:val="00446D40"/>
    <w:rsid w:val="00457FC0"/>
    <w:rsid w:val="00470889"/>
    <w:rsid w:val="004722B5"/>
    <w:rsid w:val="00474516"/>
    <w:rsid w:val="00496AF1"/>
    <w:rsid w:val="004A15F6"/>
    <w:rsid w:val="004B15F6"/>
    <w:rsid w:val="004B3C0B"/>
    <w:rsid w:val="004B4CF3"/>
    <w:rsid w:val="004C7CD0"/>
    <w:rsid w:val="004D3FE4"/>
    <w:rsid w:val="004E182E"/>
    <w:rsid w:val="004E1917"/>
    <w:rsid w:val="004E274A"/>
    <w:rsid w:val="004E7CA6"/>
    <w:rsid w:val="004F04C6"/>
    <w:rsid w:val="004F4AF5"/>
    <w:rsid w:val="005028F3"/>
    <w:rsid w:val="00520248"/>
    <w:rsid w:val="0052749B"/>
    <w:rsid w:val="0053389F"/>
    <w:rsid w:val="005365A3"/>
    <w:rsid w:val="0057176F"/>
    <w:rsid w:val="00572350"/>
    <w:rsid w:val="0057567F"/>
    <w:rsid w:val="00584B68"/>
    <w:rsid w:val="00592806"/>
    <w:rsid w:val="0059297E"/>
    <w:rsid w:val="00593988"/>
    <w:rsid w:val="005A2405"/>
    <w:rsid w:val="005B42B8"/>
    <w:rsid w:val="005B5497"/>
    <w:rsid w:val="005B7646"/>
    <w:rsid w:val="005C305E"/>
    <w:rsid w:val="005C516E"/>
    <w:rsid w:val="005C7A10"/>
    <w:rsid w:val="005E1775"/>
    <w:rsid w:val="005E2261"/>
    <w:rsid w:val="005F6CF7"/>
    <w:rsid w:val="006114FB"/>
    <w:rsid w:val="00643BB6"/>
    <w:rsid w:val="006537D4"/>
    <w:rsid w:val="00657EB3"/>
    <w:rsid w:val="0066083A"/>
    <w:rsid w:val="00660F00"/>
    <w:rsid w:val="006629CB"/>
    <w:rsid w:val="00670D10"/>
    <w:rsid w:val="00671EAA"/>
    <w:rsid w:val="00677E35"/>
    <w:rsid w:val="00694D1B"/>
    <w:rsid w:val="00696230"/>
    <w:rsid w:val="006A02F3"/>
    <w:rsid w:val="006A0791"/>
    <w:rsid w:val="006A4A17"/>
    <w:rsid w:val="006A61C2"/>
    <w:rsid w:val="006C1CCE"/>
    <w:rsid w:val="006C2996"/>
    <w:rsid w:val="006E500E"/>
    <w:rsid w:val="006E7E7D"/>
    <w:rsid w:val="006F7D9D"/>
    <w:rsid w:val="00700807"/>
    <w:rsid w:val="00707150"/>
    <w:rsid w:val="00720325"/>
    <w:rsid w:val="00730563"/>
    <w:rsid w:val="00744FDC"/>
    <w:rsid w:val="00745DC1"/>
    <w:rsid w:val="00750188"/>
    <w:rsid w:val="00751AA5"/>
    <w:rsid w:val="0075234B"/>
    <w:rsid w:val="007576E5"/>
    <w:rsid w:val="007719A7"/>
    <w:rsid w:val="00776D91"/>
    <w:rsid w:val="007807EE"/>
    <w:rsid w:val="007A3CEF"/>
    <w:rsid w:val="007A6E95"/>
    <w:rsid w:val="007A7E38"/>
    <w:rsid w:val="007B4B1D"/>
    <w:rsid w:val="007B4D4A"/>
    <w:rsid w:val="007C06EF"/>
    <w:rsid w:val="007C0E55"/>
    <w:rsid w:val="007C37F2"/>
    <w:rsid w:val="007D0C40"/>
    <w:rsid w:val="007D2E2C"/>
    <w:rsid w:val="007D6D11"/>
    <w:rsid w:val="007D751E"/>
    <w:rsid w:val="007E1D3E"/>
    <w:rsid w:val="007E2605"/>
    <w:rsid w:val="007E2D15"/>
    <w:rsid w:val="00804421"/>
    <w:rsid w:val="008169AB"/>
    <w:rsid w:val="00823650"/>
    <w:rsid w:val="00823852"/>
    <w:rsid w:val="008266A8"/>
    <w:rsid w:val="00826963"/>
    <w:rsid w:val="00830EC7"/>
    <w:rsid w:val="00843569"/>
    <w:rsid w:val="00843876"/>
    <w:rsid w:val="00843BDF"/>
    <w:rsid w:val="008475CA"/>
    <w:rsid w:val="00850ECA"/>
    <w:rsid w:val="008624E8"/>
    <w:rsid w:val="00864E2E"/>
    <w:rsid w:val="00876129"/>
    <w:rsid w:val="008927B2"/>
    <w:rsid w:val="0089635C"/>
    <w:rsid w:val="0089656C"/>
    <w:rsid w:val="008A0C8A"/>
    <w:rsid w:val="008C27CA"/>
    <w:rsid w:val="008D3DD3"/>
    <w:rsid w:val="008D409E"/>
    <w:rsid w:val="008F1200"/>
    <w:rsid w:val="00901DC1"/>
    <w:rsid w:val="00907E59"/>
    <w:rsid w:val="009116FD"/>
    <w:rsid w:val="00911AB4"/>
    <w:rsid w:val="00917B2B"/>
    <w:rsid w:val="009226FC"/>
    <w:rsid w:val="00941FFB"/>
    <w:rsid w:val="00946EB4"/>
    <w:rsid w:val="00947959"/>
    <w:rsid w:val="00951AB7"/>
    <w:rsid w:val="009619BD"/>
    <w:rsid w:val="00967857"/>
    <w:rsid w:val="009717D9"/>
    <w:rsid w:val="0097622E"/>
    <w:rsid w:val="009813FD"/>
    <w:rsid w:val="0098692A"/>
    <w:rsid w:val="00986BAD"/>
    <w:rsid w:val="009A4C2F"/>
    <w:rsid w:val="009A58DF"/>
    <w:rsid w:val="009C4A97"/>
    <w:rsid w:val="009C51AF"/>
    <w:rsid w:val="009D5470"/>
    <w:rsid w:val="009D7EB1"/>
    <w:rsid w:val="009E1014"/>
    <w:rsid w:val="009E1334"/>
    <w:rsid w:val="009E54EC"/>
    <w:rsid w:val="009E56EA"/>
    <w:rsid w:val="009E593F"/>
    <w:rsid w:val="009F4D20"/>
    <w:rsid w:val="00A01EF2"/>
    <w:rsid w:val="00A068C6"/>
    <w:rsid w:val="00A11F4F"/>
    <w:rsid w:val="00A15516"/>
    <w:rsid w:val="00A27A88"/>
    <w:rsid w:val="00A452C2"/>
    <w:rsid w:val="00A47954"/>
    <w:rsid w:val="00A51591"/>
    <w:rsid w:val="00A63612"/>
    <w:rsid w:val="00A641AB"/>
    <w:rsid w:val="00A81AF8"/>
    <w:rsid w:val="00A91ED5"/>
    <w:rsid w:val="00A97713"/>
    <w:rsid w:val="00AC52BC"/>
    <w:rsid w:val="00AD0F79"/>
    <w:rsid w:val="00AD2461"/>
    <w:rsid w:val="00AE599E"/>
    <w:rsid w:val="00AF38EF"/>
    <w:rsid w:val="00B037FE"/>
    <w:rsid w:val="00B12964"/>
    <w:rsid w:val="00B24919"/>
    <w:rsid w:val="00B24D4F"/>
    <w:rsid w:val="00B26C0F"/>
    <w:rsid w:val="00B373D4"/>
    <w:rsid w:val="00B53D8E"/>
    <w:rsid w:val="00B55001"/>
    <w:rsid w:val="00B55444"/>
    <w:rsid w:val="00B66F26"/>
    <w:rsid w:val="00B773DA"/>
    <w:rsid w:val="00B8582C"/>
    <w:rsid w:val="00B968E8"/>
    <w:rsid w:val="00B97DA2"/>
    <w:rsid w:val="00BA35A2"/>
    <w:rsid w:val="00BD7E22"/>
    <w:rsid w:val="00BE4FB6"/>
    <w:rsid w:val="00C04212"/>
    <w:rsid w:val="00C122C7"/>
    <w:rsid w:val="00C217DD"/>
    <w:rsid w:val="00C30007"/>
    <w:rsid w:val="00C33F1E"/>
    <w:rsid w:val="00C34B31"/>
    <w:rsid w:val="00C40B18"/>
    <w:rsid w:val="00C60B5E"/>
    <w:rsid w:val="00C648A0"/>
    <w:rsid w:val="00C7127F"/>
    <w:rsid w:val="00C7769D"/>
    <w:rsid w:val="00C81EF5"/>
    <w:rsid w:val="00C8547F"/>
    <w:rsid w:val="00C86002"/>
    <w:rsid w:val="00C923D1"/>
    <w:rsid w:val="00CB49DF"/>
    <w:rsid w:val="00CB598B"/>
    <w:rsid w:val="00CD6009"/>
    <w:rsid w:val="00CE7293"/>
    <w:rsid w:val="00CF35BA"/>
    <w:rsid w:val="00CF40AC"/>
    <w:rsid w:val="00D00488"/>
    <w:rsid w:val="00D05DE9"/>
    <w:rsid w:val="00D14916"/>
    <w:rsid w:val="00D149EB"/>
    <w:rsid w:val="00D1757E"/>
    <w:rsid w:val="00D201EA"/>
    <w:rsid w:val="00D2436D"/>
    <w:rsid w:val="00D32A8F"/>
    <w:rsid w:val="00D33811"/>
    <w:rsid w:val="00D528A3"/>
    <w:rsid w:val="00D54ADA"/>
    <w:rsid w:val="00D606FB"/>
    <w:rsid w:val="00D75291"/>
    <w:rsid w:val="00D820B3"/>
    <w:rsid w:val="00D914DF"/>
    <w:rsid w:val="00DA22D0"/>
    <w:rsid w:val="00DA41D0"/>
    <w:rsid w:val="00DA5365"/>
    <w:rsid w:val="00DB3967"/>
    <w:rsid w:val="00DC1DE0"/>
    <w:rsid w:val="00DC2851"/>
    <w:rsid w:val="00DC343A"/>
    <w:rsid w:val="00DE02FD"/>
    <w:rsid w:val="00DE2E0E"/>
    <w:rsid w:val="00DE57AB"/>
    <w:rsid w:val="00DF0C6D"/>
    <w:rsid w:val="00DF36DF"/>
    <w:rsid w:val="00DF62F5"/>
    <w:rsid w:val="00E01012"/>
    <w:rsid w:val="00E0295C"/>
    <w:rsid w:val="00E27E3D"/>
    <w:rsid w:val="00E40C4E"/>
    <w:rsid w:val="00E430C0"/>
    <w:rsid w:val="00E47025"/>
    <w:rsid w:val="00E473AC"/>
    <w:rsid w:val="00E61536"/>
    <w:rsid w:val="00E759DC"/>
    <w:rsid w:val="00E768D1"/>
    <w:rsid w:val="00E774A2"/>
    <w:rsid w:val="00E83649"/>
    <w:rsid w:val="00E926F0"/>
    <w:rsid w:val="00E94339"/>
    <w:rsid w:val="00EB037C"/>
    <w:rsid w:val="00EC10A9"/>
    <w:rsid w:val="00EC1B16"/>
    <w:rsid w:val="00EC3A67"/>
    <w:rsid w:val="00EC4764"/>
    <w:rsid w:val="00ED239D"/>
    <w:rsid w:val="00EE49B9"/>
    <w:rsid w:val="00EF299D"/>
    <w:rsid w:val="00F06BFA"/>
    <w:rsid w:val="00F13F2C"/>
    <w:rsid w:val="00F16B21"/>
    <w:rsid w:val="00F17E73"/>
    <w:rsid w:val="00F21F17"/>
    <w:rsid w:val="00F223A0"/>
    <w:rsid w:val="00F240E2"/>
    <w:rsid w:val="00F243AA"/>
    <w:rsid w:val="00F3523E"/>
    <w:rsid w:val="00F407C9"/>
    <w:rsid w:val="00F550B2"/>
    <w:rsid w:val="00F600C6"/>
    <w:rsid w:val="00F6108E"/>
    <w:rsid w:val="00F639A9"/>
    <w:rsid w:val="00F70865"/>
    <w:rsid w:val="00F72BDC"/>
    <w:rsid w:val="00F77995"/>
    <w:rsid w:val="00F91C57"/>
    <w:rsid w:val="00F923A8"/>
    <w:rsid w:val="00F9427A"/>
    <w:rsid w:val="00FA0221"/>
    <w:rsid w:val="00FB185B"/>
    <w:rsid w:val="00FC0040"/>
    <w:rsid w:val="00FD4F11"/>
    <w:rsid w:val="00FE08DD"/>
    <w:rsid w:val="00FE18A3"/>
    <w:rsid w:val="00FE754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AF5BC5"/>
  <w15:docId w15:val="{1069BB24-BC1D-453B-B4BB-69DE926A0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F96"/>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1">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2">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3">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4">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5">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6">
    <w:basedOn w:val="TableNormal"/>
    <w:tblPr>
      <w:tblStyleRowBandSize w:val="1"/>
      <w:tblStyleColBandSize w:val="1"/>
      <w:tblCellMar>
        <w:top w:w="100" w:type="dxa"/>
        <w:left w:w="100" w:type="dxa"/>
        <w:bottom w:w="100" w:type="dxa"/>
        <w:right w:w="100" w:type="dxa"/>
      </w:tblCellMar>
    </w:tblPr>
    <w:tcPr>
      <w:shd w:val="clear" w:color="auto" w:fill="F7F7F8"/>
    </w:tcPr>
  </w:style>
  <w:style w:type="paragraph" w:styleId="TOCHeading">
    <w:name w:val="TOC Heading"/>
    <w:basedOn w:val="Heading1"/>
    <w:next w:val="Normal"/>
    <w:uiPriority w:val="39"/>
    <w:unhideWhenUsed/>
    <w:qFormat/>
    <w:rsid w:val="00317F9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A15F6"/>
    <w:pPr>
      <w:tabs>
        <w:tab w:val="right" w:leader="dot" w:pos="9350"/>
      </w:tabs>
      <w:spacing w:before="120" w:after="120"/>
      <w:jc w:val="center"/>
    </w:pPr>
    <w:rPr>
      <w:b/>
      <w:bCs/>
      <w:caps/>
      <w:sz w:val="24"/>
      <w:szCs w:val="32"/>
    </w:rPr>
  </w:style>
  <w:style w:type="paragraph" w:styleId="TOC2">
    <w:name w:val="toc 2"/>
    <w:basedOn w:val="Normal"/>
    <w:next w:val="Normal"/>
    <w:autoRedefine/>
    <w:uiPriority w:val="39"/>
    <w:unhideWhenUsed/>
    <w:rsid w:val="00317F96"/>
    <w:pPr>
      <w:ind w:left="220"/>
      <w:jc w:val="left"/>
    </w:pPr>
    <w:rPr>
      <w:rFonts w:asciiTheme="minorHAnsi" w:hAnsiTheme="minorHAnsi" w:cs="Times New Roman"/>
      <w:smallCaps/>
      <w:sz w:val="20"/>
      <w:szCs w:val="24"/>
    </w:rPr>
  </w:style>
  <w:style w:type="character" w:styleId="Hyperlink">
    <w:name w:val="Hyperlink"/>
    <w:basedOn w:val="DefaultParagraphFont"/>
    <w:uiPriority w:val="99"/>
    <w:unhideWhenUsed/>
    <w:rsid w:val="00317F96"/>
    <w:rPr>
      <w:color w:val="0000FF" w:themeColor="hyperlink"/>
      <w:u w:val="single"/>
    </w:rPr>
  </w:style>
  <w:style w:type="paragraph" w:styleId="Caption">
    <w:name w:val="caption"/>
    <w:basedOn w:val="Normal"/>
    <w:next w:val="Normal"/>
    <w:uiPriority w:val="35"/>
    <w:unhideWhenUsed/>
    <w:qFormat/>
    <w:rsid w:val="00317F96"/>
    <w:pPr>
      <w:spacing w:after="200" w:line="240" w:lineRule="auto"/>
    </w:pPr>
    <w:rPr>
      <w:i/>
      <w:iCs/>
      <w:color w:val="1F497D" w:themeColor="text2"/>
      <w:sz w:val="18"/>
      <w:szCs w:val="18"/>
    </w:rPr>
  </w:style>
  <w:style w:type="paragraph" w:styleId="Header">
    <w:name w:val="header"/>
    <w:basedOn w:val="Normal"/>
    <w:link w:val="HeaderChar"/>
    <w:uiPriority w:val="99"/>
    <w:unhideWhenUsed/>
    <w:rsid w:val="00317F96"/>
    <w:pPr>
      <w:tabs>
        <w:tab w:val="center" w:pos="4513"/>
        <w:tab w:val="right" w:pos="9026"/>
      </w:tabs>
      <w:spacing w:line="240" w:lineRule="auto"/>
    </w:pPr>
  </w:style>
  <w:style w:type="character" w:customStyle="1" w:styleId="HeaderChar">
    <w:name w:val="Header Char"/>
    <w:basedOn w:val="DefaultParagraphFont"/>
    <w:link w:val="Header"/>
    <w:uiPriority w:val="99"/>
    <w:rsid w:val="00317F96"/>
    <w:rPr>
      <w:rFonts w:ascii="Arial" w:hAnsi="Arial"/>
      <w:sz w:val="22"/>
    </w:rPr>
  </w:style>
  <w:style w:type="paragraph" w:styleId="Footer">
    <w:name w:val="footer"/>
    <w:basedOn w:val="Normal"/>
    <w:link w:val="FooterChar"/>
    <w:uiPriority w:val="99"/>
    <w:unhideWhenUsed/>
    <w:rsid w:val="00317F96"/>
    <w:pPr>
      <w:tabs>
        <w:tab w:val="center" w:pos="4513"/>
        <w:tab w:val="right" w:pos="9026"/>
      </w:tabs>
      <w:spacing w:line="240" w:lineRule="auto"/>
    </w:pPr>
  </w:style>
  <w:style w:type="character" w:customStyle="1" w:styleId="FooterChar">
    <w:name w:val="Footer Char"/>
    <w:basedOn w:val="DefaultParagraphFont"/>
    <w:link w:val="Footer"/>
    <w:uiPriority w:val="99"/>
    <w:rsid w:val="00317F96"/>
    <w:rPr>
      <w:rFonts w:ascii="Arial" w:hAnsi="Arial"/>
      <w:sz w:val="22"/>
    </w:rPr>
  </w:style>
  <w:style w:type="paragraph" w:styleId="TableofFigures">
    <w:name w:val="table of figures"/>
    <w:basedOn w:val="Normal"/>
    <w:next w:val="Normal"/>
    <w:uiPriority w:val="99"/>
    <w:unhideWhenUsed/>
    <w:rsid w:val="00317F96"/>
  </w:style>
  <w:style w:type="table" w:customStyle="1" w:styleId="a7">
    <w:basedOn w:val="TableNormal"/>
    <w:tblPr>
      <w:tblStyleRowBandSize w:val="1"/>
      <w:tblStyleColBandSize w:val="1"/>
      <w:tblCellMar>
        <w:left w:w="115" w:type="dxa"/>
        <w:right w:w="115" w:type="dxa"/>
      </w:tblCellMar>
    </w:tblPr>
    <w:tcPr>
      <w:shd w:val="clear" w:color="auto" w:fill="F7F7F8"/>
    </w:tcPr>
  </w:style>
  <w:style w:type="table" w:customStyle="1" w:styleId="a8">
    <w:basedOn w:val="TableNormal"/>
    <w:tblPr>
      <w:tblStyleRowBandSize w:val="1"/>
      <w:tblStyleColBandSize w:val="1"/>
      <w:tblCellMar>
        <w:left w:w="115" w:type="dxa"/>
        <w:right w:w="115" w:type="dxa"/>
      </w:tblCellMar>
    </w:tblPr>
    <w:tcPr>
      <w:shd w:val="clear" w:color="auto" w:fill="F7F7F8"/>
    </w:tcPr>
  </w:style>
  <w:style w:type="table" w:customStyle="1" w:styleId="a9">
    <w:basedOn w:val="TableNormal"/>
    <w:tblPr>
      <w:tblStyleRowBandSize w:val="1"/>
      <w:tblStyleColBandSize w:val="1"/>
      <w:tblCellMar>
        <w:left w:w="115" w:type="dxa"/>
        <w:right w:w="115" w:type="dxa"/>
      </w:tblCellMar>
    </w:tblPr>
    <w:tcPr>
      <w:shd w:val="clear" w:color="auto" w:fill="F7F7F8"/>
    </w:tcPr>
  </w:style>
  <w:style w:type="table" w:customStyle="1" w:styleId="aa">
    <w:basedOn w:val="TableNormal"/>
    <w:tblPr>
      <w:tblStyleRowBandSize w:val="1"/>
      <w:tblStyleColBandSize w:val="1"/>
      <w:tblCellMar>
        <w:left w:w="115" w:type="dxa"/>
        <w:right w:w="115" w:type="dxa"/>
      </w:tblCellMar>
    </w:tblPr>
    <w:tcPr>
      <w:shd w:val="clear" w:color="auto" w:fill="F7F7F8"/>
    </w:tcPr>
  </w:style>
  <w:style w:type="table" w:customStyle="1" w:styleId="ab">
    <w:basedOn w:val="TableNormal"/>
    <w:tblPr>
      <w:tblStyleRowBandSize w:val="1"/>
      <w:tblStyleColBandSize w:val="1"/>
      <w:tblCellMar>
        <w:left w:w="115" w:type="dxa"/>
        <w:right w:w="115" w:type="dxa"/>
      </w:tblCellMar>
    </w:tblPr>
    <w:tcPr>
      <w:shd w:val="clear" w:color="auto" w:fill="F7F7F8"/>
    </w:tcPr>
  </w:style>
  <w:style w:type="table" w:customStyle="1" w:styleId="ac">
    <w:basedOn w:val="TableNormal"/>
    <w:tblPr>
      <w:tblStyleRowBandSize w:val="1"/>
      <w:tblStyleColBandSize w:val="1"/>
      <w:tblCellMar>
        <w:left w:w="115" w:type="dxa"/>
        <w:right w:w="115" w:type="dxa"/>
      </w:tblCellMar>
    </w:tblPr>
    <w:tcPr>
      <w:shd w:val="clear" w:color="auto" w:fill="F7F7F8"/>
    </w:tcPr>
  </w:style>
  <w:style w:type="table" w:customStyle="1" w:styleId="ad">
    <w:basedOn w:val="TableNormal"/>
    <w:tblPr>
      <w:tblStyleRowBandSize w:val="1"/>
      <w:tblStyleColBandSize w:val="1"/>
      <w:tblCellMar>
        <w:left w:w="115" w:type="dxa"/>
        <w:right w:w="115" w:type="dxa"/>
      </w:tblCellMar>
    </w:tblPr>
    <w:tcPr>
      <w:shd w:val="clear" w:color="auto" w:fill="F7F7F8"/>
    </w:tcPr>
  </w:style>
  <w:style w:type="table" w:customStyle="1" w:styleId="ae">
    <w:basedOn w:val="TableNormal"/>
    <w:tblPr>
      <w:tblStyleRowBandSize w:val="1"/>
      <w:tblStyleColBandSize w:val="1"/>
      <w:tblCellMar>
        <w:left w:w="115" w:type="dxa"/>
        <w:right w:w="115" w:type="dxa"/>
      </w:tblCellMar>
    </w:tblPr>
    <w:tcPr>
      <w:shd w:val="clear" w:color="auto" w:fill="F7F7F8"/>
    </w:tcPr>
  </w:style>
  <w:style w:type="paragraph" w:styleId="ListParagraph">
    <w:name w:val="List Paragraph"/>
    <w:basedOn w:val="Normal"/>
    <w:uiPriority w:val="34"/>
    <w:qFormat/>
    <w:rsid w:val="00677E35"/>
    <w:pPr>
      <w:ind w:left="720"/>
      <w:contextualSpacing/>
    </w:pPr>
  </w:style>
  <w:style w:type="character" w:styleId="UnresolvedMention">
    <w:name w:val="Unresolved Mention"/>
    <w:basedOn w:val="DefaultParagraphFont"/>
    <w:uiPriority w:val="99"/>
    <w:semiHidden/>
    <w:unhideWhenUsed/>
    <w:rsid w:val="00830EC7"/>
    <w:rPr>
      <w:color w:val="605E5C"/>
      <w:shd w:val="clear" w:color="auto" w:fill="E1DFDD"/>
    </w:rPr>
  </w:style>
  <w:style w:type="paragraph" w:styleId="NormalWeb">
    <w:name w:val="Normal (Web)"/>
    <w:basedOn w:val="Normal"/>
    <w:uiPriority w:val="99"/>
    <w:semiHidden/>
    <w:unhideWhenUsed/>
    <w:rsid w:val="008266A8"/>
    <w:pPr>
      <w:spacing w:before="100" w:beforeAutospacing="1" w:after="100" w:afterAutospacing="1" w:line="240" w:lineRule="auto"/>
      <w:jc w:val="left"/>
    </w:pPr>
    <w:rPr>
      <w:rFonts w:ascii="Times New Roman" w:eastAsia="Times New Roman" w:hAnsi="Times New Roman" w:cs="Times New Roman"/>
      <w:sz w:val="24"/>
      <w:szCs w:val="24"/>
      <w:lang w:val="en-IN" w:bidi="gu-IN"/>
    </w:rPr>
  </w:style>
  <w:style w:type="character" w:styleId="Strong">
    <w:name w:val="Strong"/>
    <w:basedOn w:val="DefaultParagraphFont"/>
    <w:uiPriority w:val="22"/>
    <w:qFormat/>
    <w:rsid w:val="008266A8"/>
    <w:rPr>
      <w:b/>
      <w:bCs/>
    </w:rPr>
  </w:style>
  <w:style w:type="paragraph" w:styleId="TOC3">
    <w:name w:val="toc 3"/>
    <w:basedOn w:val="Normal"/>
    <w:next w:val="Normal"/>
    <w:autoRedefine/>
    <w:uiPriority w:val="39"/>
    <w:unhideWhenUsed/>
    <w:rsid w:val="00CF40AC"/>
    <w:pPr>
      <w:ind w:left="440"/>
      <w:jc w:val="left"/>
    </w:pPr>
    <w:rPr>
      <w:rFonts w:asciiTheme="minorHAnsi" w:hAnsiTheme="minorHAnsi" w:cs="Times New Roman"/>
      <w:i/>
      <w:iCs/>
      <w:sz w:val="20"/>
      <w:szCs w:val="24"/>
    </w:rPr>
  </w:style>
  <w:style w:type="paragraph" w:styleId="TOC4">
    <w:name w:val="toc 4"/>
    <w:basedOn w:val="Normal"/>
    <w:next w:val="Normal"/>
    <w:autoRedefine/>
    <w:uiPriority w:val="39"/>
    <w:unhideWhenUsed/>
    <w:rsid w:val="00CF40AC"/>
    <w:pPr>
      <w:ind w:left="660"/>
      <w:jc w:val="left"/>
    </w:pPr>
    <w:rPr>
      <w:rFonts w:asciiTheme="minorHAnsi" w:hAnsiTheme="minorHAnsi" w:cs="Times New Roman"/>
      <w:sz w:val="18"/>
      <w:szCs w:val="21"/>
    </w:rPr>
  </w:style>
  <w:style w:type="paragraph" w:styleId="TOC5">
    <w:name w:val="toc 5"/>
    <w:basedOn w:val="Normal"/>
    <w:next w:val="Normal"/>
    <w:autoRedefine/>
    <w:uiPriority w:val="39"/>
    <w:unhideWhenUsed/>
    <w:rsid w:val="00CF40AC"/>
    <w:pPr>
      <w:ind w:left="880"/>
      <w:jc w:val="left"/>
    </w:pPr>
    <w:rPr>
      <w:rFonts w:asciiTheme="minorHAnsi" w:hAnsiTheme="minorHAnsi" w:cs="Times New Roman"/>
      <w:sz w:val="18"/>
      <w:szCs w:val="21"/>
    </w:rPr>
  </w:style>
  <w:style w:type="paragraph" w:styleId="TOC6">
    <w:name w:val="toc 6"/>
    <w:basedOn w:val="Normal"/>
    <w:next w:val="Normal"/>
    <w:autoRedefine/>
    <w:uiPriority w:val="39"/>
    <w:unhideWhenUsed/>
    <w:rsid w:val="00CF40AC"/>
    <w:pPr>
      <w:ind w:left="1100"/>
      <w:jc w:val="left"/>
    </w:pPr>
    <w:rPr>
      <w:rFonts w:asciiTheme="minorHAnsi" w:hAnsiTheme="minorHAnsi" w:cs="Times New Roman"/>
      <w:sz w:val="18"/>
      <w:szCs w:val="21"/>
    </w:rPr>
  </w:style>
  <w:style w:type="paragraph" w:styleId="TOC7">
    <w:name w:val="toc 7"/>
    <w:basedOn w:val="Normal"/>
    <w:next w:val="Normal"/>
    <w:autoRedefine/>
    <w:uiPriority w:val="39"/>
    <w:unhideWhenUsed/>
    <w:rsid w:val="00CF40AC"/>
    <w:pPr>
      <w:ind w:left="1320"/>
      <w:jc w:val="left"/>
    </w:pPr>
    <w:rPr>
      <w:rFonts w:asciiTheme="minorHAnsi" w:hAnsiTheme="minorHAnsi" w:cs="Times New Roman"/>
      <w:sz w:val="18"/>
      <w:szCs w:val="21"/>
    </w:rPr>
  </w:style>
  <w:style w:type="paragraph" w:styleId="TOC8">
    <w:name w:val="toc 8"/>
    <w:basedOn w:val="Normal"/>
    <w:next w:val="Normal"/>
    <w:autoRedefine/>
    <w:uiPriority w:val="39"/>
    <w:unhideWhenUsed/>
    <w:rsid w:val="00CF40AC"/>
    <w:pPr>
      <w:ind w:left="1540"/>
      <w:jc w:val="left"/>
    </w:pPr>
    <w:rPr>
      <w:rFonts w:asciiTheme="minorHAnsi" w:hAnsiTheme="minorHAnsi" w:cs="Times New Roman"/>
      <w:sz w:val="18"/>
      <w:szCs w:val="21"/>
    </w:rPr>
  </w:style>
  <w:style w:type="paragraph" w:styleId="TOC9">
    <w:name w:val="toc 9"/>
    <w:basedOn w:val="Normal"/>
    <w:next w:val="Normal"/>
    <w:autoRedefine/>
    <w:uiPriority w:val="39"/>
    <w:unhideWhenUsed/>
    <w:rsid w:val="00CF40AC"/>
    <w:pPr>
      <w:ind w:left="1760"/>
      <w:jc w:val="left"/>
    </w:pPr>
    <w:rPr>
      <w:rFonts w:asciiTheme="minorHAnsi" w:hAnsiTheme="minorHAnsi"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046242">
      <w:bodyDiv w:val="1"/>
      <w:marLeft w:val="0"/>
      <w:marRight w:val="0"/>
      <w:marTop w:val="0"/>
      <w:marBottom w:val="0"/>
      <w:divBdr>
        <w:top w:val="none" w:sz="0" w:space="0" w:color="auto"/>
        <w:left w:val="none" w:sz="0" w:space="0" w:color="auto"/>
        <w:bottom w:val="none" w:sz="0" w:space="0" w:color="auto"/>
        <w:right w:val="none" w:sz="0" w:space="0" w:color="auto"/>
      </w:divBdr>
    </w:div>
    <w:div w:id="446510752">
      <w:bodyDiv w:val="1"/>
      <w:marLeft w:val="0"/>
      <w:marRight w:val="0"/>
      <w:marTop w:val="0"/>
      <w:marBottom w:val="0"/>
      <w:divBdr>
        <w:top w:val="none" w:sz="0" w:space="0" w:color="auto"/>
        <w:left w:val="none" w:sz="0" w:space="0" w:color="auto"/>
        <w:bottom w:val="none" w:sz="0" w:space="0" w:color="auto"/>
        <w:right w:val="none" w:sz="0" w:space="0" w:color="auto"/>
      </w:divBdr>
      <w:divsChild>
        <w:div w:id="1161507385">
          <w:marLeft w:val="0"/>
          <w:marRight w:val="0"/>
          <w:marTop w:val="0"/>
          <w:marBottom w:val="0"/>
          <w:divBdr>
            <w:top w:val="single" w:sz="2" w:space="0" w:color="D9D9E3"/>
            <w:left w:val="single" w:sz="2" w:space="0" w:color="D9D9E3"/>
            <w:bottom w:val="single" w:sz="2" w:space="0" w:color="D9D9E3"/>
            <w:right w:val="single" w:sz="2" w:space="0" w:color="D9D9E3"/>
          </w:divBdr>
          <w:divsChild>
            <w:div w:id="1698387442">
              <w:marLeft w:val="0"/>
              <w:marRight w:val="0"/>
              <w:marTop w:val="0"/>
              <w:marBottom w:val="0"/>
              <w:divBdr>
                <w:top w:val="single" w:sz="2" w:space="0" w:color="D9D9E3"/>
                <w:left w:val="single" w:sz="2" w:space="0" w:color="D9D9E3"/>
                <w:bottom w:val="single" w:sz="2" w:space="0" w:color="D9D9E3"/>
                <w:right w:val="single" w:sz="2" w:space="0" w:color="D9D9E3"/>
              </w:divBdr>
              <w:divsChild>
                <w:div w:id="411005832">
                  <w:marLeft w:val="0"/>
                  <w:marRight w:val="0"/>
                  <w:marTop w:val="0"/>
                  <w:marBottom w:val="0"/>
                  <w:divBdr>
                    <w:top w:val="single" w:sz="2" w:space="0" w:color="D9D9E3"/>
                    <w:left w:val="single" w:sz="2" w:space="0" w:color="D9D9E3"/>
                    <w:bottom w:val="single" w:sz="2" w:space="0" w:color="D9D9E3"/>
                    <w:right w:val="single" w:sz="2" w:space="0" w:color="D9D9E3"/>
                  </w:divBdr>
                  <w:divsChild>
                    <w:div w:id="1675380144">
                      <w:marLeft w:val="0"/>
                      <w:marRight w:val="0"/>
                      <w:marTop w:val="0"/>
                      <w:marBottom w:val="0"/>
                      <w:divBdr>
                        <w:top w:val="single" w:sz="2" w:space="0" w:color="D9D9E3"/>
                        <w:left w:val="single" w:sz="2" w:space="0" w:color="D9D9E3"/>
                        <w:bottom w:val="single" w:sz="2" w:space="0" w:color="D9D9E3"/>
                        <w:right w:val="single" w:sz="2" w:space="0" w:color="D9D9E3"/>
                      </w:divBdr>
                      <w:divsChild>
                        <w:div w:id="1855991660">
                          <w:marLeft w:val="0"/>
                          <w:marRight w:val="0"/>
                          <w:marTop w:val="0"/>
                          <w:marBottom w:val="0"/>
                          <w:divBdr>
                            <w:top w:val="single" w:sz="2" w:space="0" w:color="D9D9E3"/>
                            <w:left w:val="single" w:sz="2" w:space="0" w:color="D9D9E3"/>
                            <w:bottom w:val="single" w:sz="2" w:space="0" w:color="D9D9E3"/>
                            <w:right w:val="single" w:sz="2" w:space="0" w:color="D9D9E3"/>
                          </w:divBdr>
                          <w:divsChild>
                            <w:div w:id="1340964128">
                              <w:marLeft w:val="0"/>
                              <w:marRight w:val="0"/>
                              <w:marTop w:val="100"/>
                              <w:marBottom w:val="100"/>
                              <w:divBdr>
                                <w:top w:val="single" w:sz="2" w:space="0" w:color="D9D9E3"/>
                                <w:left w:val="single" w:sz="2" w:space="0" w:color="D9D9E3"/>
                                <w:bottom w:val="single" w:sz="2" w:space="0" w:color="D9D9E3"/>
                                <w:right w:val="single" w:sz="2" w:space="0" w:color="D9D9E3"/>
                              </w:divBdr>
                              <w:divsChild>
                                <w:div w:id="1099760836">
                                  <w:marLeft w:val="0"/>
                                  <w:marRight w:val="0"/>
                                  <w:marTop w:val="0"/>
                                  <w:marBottom w:val="0"/>
                                  <w:divBdr>
                                    <w:top w:val="single" w:sz="2" w:space="0" w:color="D9D9E3"/>
                                    <w:left w:val="single" w:sz="2" w:space="0" w:color="D9D9E3"/>
                                    <w:bottom w:val="single" w:sz="2" w:space="0" w:color="D9D9E3"/>
                                    <w:right w:val="single" w:sz="2" w:space="0" w:color="D9D9E3"/>
                                  </w:divBdr>
                                  <w:divsChild>
                                    <w:div w:id="272326114">
                                      <w:marLeft w:val="0"/>
                                      <w:marRight w:val="0"/>
                                      <w:marTop w:val="0"/>
                                      <w:marBottom w:val="0"/>
                                      <w:divBdr>
                                        <w:top w:val="single" w:sz="2" w:space="0" w:color="D9D9E3"/>
                                        <w:left w:val="single" w:sz="2" w:space="0" w:color="D9D9E3"/>
                                        <w:bottom w:val="single" w:sz="2" w:space="0" w:color="D9D9E3"/>
                                        <w:right w:val="single" w:sz="2" w:space="0" w:color="D9D9E3"/>
                                      </w:divBdr>
                                      <w:divsChild>
                                        <w:div w:id="944775157">
                                          <w:marLeft w:val="0"/>
                                          <w:marRight w:val="0"/>
                                          <w:marTop w:val="0"/>
                                          <w:marBottom w:val="0"/>
                                          <w:divBdr>
                                            <w:top w:val="single" w:sz="2" w:space="0" w:color="D9D9E3"/>
                                            <w:left w:val="single" w:sz="2" w:space="0" w:color="D9D9E3"/>
                                            <w:bottom w:val="single" w:sz="2" w:space="0" w:color="D9D9E3"/>
                                            <w:right w:val="single" w:sz="2" w:space="0" w:color="D9D9E3"/>
                                          </w:divBdr>
                                          <w:divsChild>
                                            <w:div w:id="816340913">
                                              <w:marLeft w:val="0"/>
                                              <w:marRight w:val="0"/>
                                              <w:marTop w:val="0"/>
                                              <w:marBottom w:val="0"/>
                                              <w:divBdr>
                                                <w:top w:val="single" w:sz="2" w:space="0" w:color="D9D9E3"/>
                                                <w:left w:val="single" w:sz="2" w:space="0" w:color="D9D9E3"/>
                                                <w:bottom w:val="single" w:sz="2" w:space="0" w:color="D9D9E3"/>
                                                <w:right w:val="single" w:sz="2" w:space="0" w:color="D9D9E3"/>
                                              </w:divBdr>
                                              <w:divsChild>
                                                <w:div w:id="1530602870">
                                                  <w:marLeft w:val="0"/>
                                                  <w:marRight w:val="0"/>
                                                  <w:marTop w:val="0"/>
                                                  <w:marBottom w:val="0"/>
                                                  <w:divBdr>
                                                    <w:top w:val="single" w:sz="2" w:space="0" w:color="D9D9E3"/>
                                                    <w:left w:val="single" w:sz="2" w:space="0" w:color="D9D9E3"/>
                                                    <w:bottom w:val="single" w:sz="2" w:space="0" w:color="D9D9E3"/>
                                                    <w:right w:val="single" w:sz="2" w:space="0" w:color="D9D9E3"/>
                                                  </w:divBdr>
                                                  <w:divsChild>
                                                    <w:div w:id="107164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881255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63020845">
      <w:bodyDiv w:val="1"/>
      <w:marLeft w:val="0"/>
      <w:marRight w:val="0"/>
      <w:marTop w:val="0"/>
      <w:marBottom w:val="0"/>
      <w:divBdr>
        <w:top w:val="none" w:sz="0" w:space="0" w:color="auto"/>
        <w:left w:val="none" w:sz="0" w:space="0" w:color="auto"/>
        <w:bottom w:val="none" w:sz="0" w:space="0" w:color="auto"/>
        <w:right w:val="none" w:sz="0" w:space="0" w:color="auto"/>
      </w:divBdr>
    </w:div>
    <w:div w:id="1152873629">
      <w:bodyDiv w:val="1"/>
      <w:marLeft w:val="0"/>
      <w:marRight w:val="0"/>
      <w:marTop w:val="0"/>
      <w:marBottom w:val="0"/>
      <w:divBdr>
        <w:top w:val="none" w:sz="0" w:space="0" w:color="auto"/>
        <w:left w:val="none" w:sz="0" w:space="0" w:color="auto"/>
        <w:bottom w:val="none" w:sz="0" w:space="0" w:color="auto"/>
        <w:right w:val="none" w:sz="0" w:space="0" w:color="auto"/>
      </w:divBdr>
    </w:div>
    <w:div w:id="1287660203">
      <w:bodyDiv w:val="1"/>
      <w:marLeft w:val="0"/>
      <w:marRight w:val="0"/>
      <w:marTop w:val="0"/>
      <w:marBottom w:val="0"/>
      <w:divBdr>
        <w:top w:val="none" w:sz="0" w:space="0" w:color="auto"/>
        <w:left w:val="none" w:sz="0" w:space="0" w:color="auto"/>
        <w:bottom w:val="none" w:sz="0" w:space="0" w:color="auto"/>
        <w:right w:val="none" w:sz="0" w:space="0" w:color="auto"/>
      </w:divBdr>
    </w:div>
    <w:div w:id="1498959405">
      <w:bodyDiv w:val="1"/>
      <w:marLeft w:val="0"/>
      <w:marRight w:val="0"/>
      <w:marTop w:val="0"/>
      <w:marBottom w:val="0"/>
      <w:divBdr>
        <w:top w:val="none" w:sz="0" w:space="0" w:color="auto"/>
        <w:left w:val="none" w:sz="0" w:space="0" w:color="auto"/>
        <w:bottom w:val="none" w:sz="0" w:space="0" w:color="auto"/>
        <w:right w:val="none" w:sz="0" w:space="0" w:color="auto"/>
      </w:divBdr>
    </w:div>
    <w:div w:id="1896771254">
      <w:bodyDiv w:val="1"/>
      <w:marLeft w:val="0"/>
      <w:marRight w:val="0"/>
      <w:marTop w:val="0"/>
      <w:marBottom w:val="0"/>
      <w:divBdr>
        <w:top w:val="none" w:sz="0" w:space="0" w:color="auto"/>
        <w:left w:val="none" w:sz="0" w:space="0" w:color="auto"/>
        <w:bottom w:val="none" w:sz="0" w:space="0" w:color="auto"/>
        <w:right w:val="none" w:sz="0" w:space="0" w:color="auto"/>
      </w:divBdr>
      <w:divsChild>
        <w:div w:id="828205487">
          <w:marLeft w:val="0"/>
          <w:marRight w:val="0"/>
          <w:marTop w:val="0"/>
          <w:marBottom w:val="0"/>
          <w:divBdr>
            <w:top w:val="single" w:sz="2" w:space="0" w:color="D9D9E3"/>
            <w:left w:val="single" w:sz="2" w:space="0" w:color="D9D9E3"/>
            <w:bottom w:val="single" w:sz="2" w:space="0" w:color="D9D9E3"/>
            <w:right w:val="single" w:sz="2" w:space="0" w:color="D9D9E3"/>
          </w:divBdr>
          <w:divsChild>
            <w:div w:id="1885830054">
              <w:marLeft w:val="0"/>
              <w:marRight w:val="0"/>
              <w:marTop w:val="0"/>
              <w:marBottom w:val="0"/>
              <w:divBdr>
                <w:top w:val="single" w:sz="2" w:space="0" w:color="D9D9E3"/>
                <w:left w:val="single" w:sz="2" w:space="0" w:color="D9D9E3"/>
                <w:bottom w:val="single" w:sz="2" w:space="0" w:color="D9D9E3"/>
                <w:right w:val="single" w:sz="2" w:space="0" w:color="D9D9E3"/>
              </w:divBdr>
              <w:divsChild>
                <w:div w:id="1106076718">
                  <w:marLeft w:val="0"/>
                  <w:marRight w:val="0"/>
                  <w:marTop w:val="0"/>
                  <w:marBottom w:val="0"/>
                  <w:divBdr>
                    <w:top w:val="single" w:sz="2" w:space="0" w:color="D9D9E3"/>
                    <w:left w:val="single" w:sz="2" w:space="0" w:color="D9D9E3"/>
                    <w:bottom w:val="single" w:sz="2" w:space="0" w:color="D9D9E3"/>
                    <w:right w:val="single" w:sz="2" w:space="0" w:color="D9D9E3"/>
                  </w:divBdr>
                  <w:divsChild>
                    <w:div w:id="1651594041">
                      <w:marLeft w:val="0"/>
                      <w:marRight w:val="0"/>
                      <w:marTop w:val="0"/>
                      <w:marBottom w:val="0"/>
                      <w:divBdr>
                        <w:top w:val="single" w:sz="2" w:space="0" w:color="D9D9E3"/>
                        <w:left w:val="single" w:sz="2" w:space="0" w:color="D9D9E3"/>
                        <w:bottom w:val="single" w:sz="2" w:space="0" w:color="D9D9E3"/>
                        <w:right w:val="single" w:sz="2" w:space="0" w:color="D9D9E3"/>
                      </w:divBdr>
                      <w:divsChild>
                        <w:div w:id="2043820746">
                          <w:marLeft w:val="0"/>
                          <w:marRight w:val="0"/>
                          <w:marTop w:val="0"/>
                          <w:marBottom w:val="0"/>
                          <w:divBdr>
                            <w:top w:val="single" w:sz="2" w:space="0" w:color="D9D9E3"/>
                            <w:left w:val="single" w:sz="2" w:space="0" w:color="D9D9E3"/>
                            <w:bottom w:val="single" w:sz="2" w:space="0" w:color="D9D9E3"/>
                            <w:right w:val="single" w:sz="2" w:space="0" w:color="D9D9E3"/>
                          </w:divBdr>
                          <w:divsChild>
                            <w:div w:id="2143957963">
                              <w:marLeft w:val="0"/>
                              <w:marRight w:val="0"/>
                              <w:marTop w:val="100"/>
                              <w:marBottom w:val="100"/>
                              <w:divBdr>
                                <w:top w:val="single" w:sz="2" w:space="0" w:color="D9D9E3"/>
                                <w:left w:val="single" w:sz="2" w:space="0" w:color="D9D9E3"/>
                                <w:bottom w:val="single" w:sz="2" w:space="0" w:color="D9D9E3"/>
                                <w:right w:val="single" w:sz="2" w:space="0" w:color="D9D9E3"/>
                              </w:divBdr>
                              <w:divsChild>
                                <w:div w:id="1759598968">
                                  <w:marLeft w:val="0"/>
                                  <w:marRight w:val="0"/>
                                  <w:marTop w:val="0"/>
                                  <w:marBottom w:val="0"/>
                                  <w:divBdr>
                                    <w:top w:val="single" w:sz="2" w:space="0" w:color="D9D9E3"/>
                                    <w:left w:val="single" w:sz="2" w:space="0" w:color="D9D9E3"/>
                                    <w:bottom w:val="single" w:sz="2" w:space="0" w:color="D9D9E3"/>
                                    <w:right w:val="single" w:sz="2" w:space="0" w:color="D9D9E3"/>
                                  </w:divBdr>
                                  <w:divsChild>
                                    <w:div w:id="170678354">
                                      <w:marLeft w:val="0"/>
                                      <w:marRight w:val="0"/>
                                      <w:marTop w:val="0"/>
                                      <w:marBottom w:val="0"/>
                                      <w:divBdr>
                                        <w:top w:val="single" w:sz="2" w:space="0" w:color="D9D9E3"/>
                                        <w:left w:val="single" w:sz="2" w:space="0" w:color="D9D9E3"/>
                                        <w:bottom w:val="single" w:sz="2" w:space="0" w:color="D9D9E3"/>
                                        <w:right w:val="single" w:sz="2" w:space="0" w:color="D9D9E3"/>
                                      </w:divBdr>
                                      <w:divsChild>
                                        <w:div w:id="1225066764">
                                          <w:marLeft w:val="0"/>
                                          <w:marRight w:val="0"/>
                                          <w:marTop w:val="0"/>
                                          <w:marBottom w:val="0"/>
                                          <w:divBdr>
                                            <w:top w:val="single" w:sz="2" w:space="0" w:color="D9D9E3"/>
                                            <w:left w:val="single" w:sz="2" w:space="0" w:color="D9D9E3"/>
                                            <w:bottom w:val="single" w:sz="2" w:space="0" w:color="D9D9E3"/>
                                            <w:right w:val="single" w:sz="2" w:space="0" w:color="D9D9E3"/>
                                          </w:divBdr>
                                          <w:divsChild>
                                            <w:div w:id="914896461">
                                              <w:marLeft w:val="0"/>
                                              <w:marRight w:val="0"/>
                                              <w:marTop w:val="0"/>
                                              <w:marBottom w:val="0"/>
                                              <w:divBdr>
                                                <w:top w:val="single" w:sz="2" w:space="0" w:color="D9D9E3"/>
                                                <w:left w:val="single" w:sz="2" w:space="0" w:color="D9D9E3"/>
                                                <w:bottom w:val="single" w:sz="2" w:space="0" w:color="D9D9E3"/>
                                                <w:right w:val="single" w:sz="2" w:space="0" w:color="D9D9E3"/>
                                              </w:divBdr>
                                              <w:divsChild>
                                                <w:div w:id="1542857849">
                                                  <w:marLeft w:val="0"/>
                                                  <w:marRight w:val="0"/>
                                                  <w:marTop w:val="0"/>
                                                  <w:marBottom w:val="0"/>
                                                  <w:divBdr>
                                                    <w:top w:val="single" w:sz="2" w:space="0" w:color="D9D9E3"/>
                                                    <w:left w:val="single" w:sz="2" w:space="0" w:color="D9D9E3"/>
                                                    <w:bottom w:val="single" w:sz="2" w:space="0" w:color="D9D9E3"/>
                                                    <w:right w:val="single" w:sz="2" w:space="0" w:color="D9D9E3"/>
                                                  </w:divBdr>
                                                  <w:divsChild>
                                                    <w:div w:id="1722752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83624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lSOgAUXaKhZ6si3ItZphN0EkH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gAciExRS1LN2VKUGRLRXNheUVGVnIyVFJTUjctMnprT3RJWV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B89406C-A13B-480B-91B8-93AE61F31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2338</TotalTime>
  <Pages>16</Pages>
  <Words>4197</Words>
  <Characters>26861</Characters>
  <Application>Microsoft Office Word</Application>
  <DocSecurity>0</DocSecurity>
  <Lines>496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Yagnesh Pumbhadiya</dc:creator>
  <cp:lastModifiedBy>Yagnesh Pumbhadiya</cp:lastModifiedBy>
  <cp:revision>335</cp:revision>
  <dcterms:created xsi:type="dcterms:W3CDTF">2023-08-21T06:29:00Z</dcterms:created>
  <dcterms:modified xsi:type="dcterms:W3CDTF">2024-04-19T17:04:00Z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e68f315c1bc3ee6cbc4a0b026c1a98ea65b0f4e74468bc13407536bae163ea25</vt:lpwstr>
  </property>
</Properties>
</file>