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310217853"/>
        <w:docPartObj>
          <w:docPartGallery w:val="Cover Pages"/>
          <w:docPartUnique/>
        </w:docPartObj>
      </w:sdtPr>
      <w:sdtEndPr>
        <w:rPr>
          <w:color w:val="44546A" w:themeColor="text2"/>
          <w:sz w:val="21"/>
          <w:szCs w:val="21"/>
        </w:rPr>
      </w:sdtEndPr>
      <w:sdtContent>
        <w:p w14:paraId="47287D54" w14:textId="1C56BA76" w:rsidR="001C3CFC" w:rsidRDefault="001C3CFC" w:rsidP="001C3CFC">
          <w:pPr>
            <w:pStyle w:val="NoSpacing"/>
            <w:spacing w:line="360" w:lineRule="auto"/>
          </w:pPr>
          <w:r>
            <w:rPr>
              <w:noProof/>
            </w:rPr>
            <mc:AlternateContent>
              <mc:Choice Requires="wpg">
                <w:drawing>
                  <wp:anchor distT="0" distB="0" distL="114300" distR="114300" simplePos="0" relativeHeight="251659264" behindDoc="1" locked="0" layoutInCell="1" allowOverlap="1" wp14:anchorId="775CE544" wp14:editId="3273716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8" name="Group 8"/>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9" name="Rectangle 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1" name="Group 11"/>
                            <wpg:cNvGrpSpPr/>
                            <wpg:grpSpPr>
                              <a:xfrm>
                                <a:off x="76200" y="4210050"/>
                                <a:ext cx="2057400" cy="4910328"/>
                                <a:chOff x="80645" y="4211812"/>
                                <a:chExt cx="1306273" cy="3121026"/>
                              </a:xfrm>
                            </wpg:grpSpPr>
                            <wpg:grpSp>
                              <wpg:cNvPr id="12" name="Group 12"/>
                              <wpg:cNvGrpSpPr>
                                <a:grpSpLocks noChangeAspect="1"/>
                              </wpg:cNvGrpSpPr>
                              <wpg:grpSpPr>
                                <a:xfrm>
                                  <a:off x="141062" y="4211812"/>
                                  <a:ext cx="1047750" cy="3121026"/>
                                  <a:chOff x="141062" y="4211812"/>
                                  <a:chExt cx="1047750" cy="3121026"/>
                                </a:xfrm>
                              </wpg:grpSpPr>
                              <wps:wsp>
                                <wps:cNvPr id="1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Group 25"/>
                              <wpg:cNvGrpSpPr>
                                <a:grpSpLocks noChangeAspect="1"/>
                              </wpg:cNvGrpSpPr>
                              <wpg:grpSpPr>
                                <a:xfrm>
                                  <a:off x="80645" y="4826972"/>
                                  <a:ext cx="1306273" cy="2505863"/>
                                  <a:chOff x="80645" y="4649964"/>
                                  <a:chExt cx="874712" cy="1677988"/>
                                </a:xfrm>
                              </wpg:grpSpPr>
                              <wps:wsp>
                                <wps:cNvPr id="2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EA62C7E" id="Group 8"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">
                    <v:rect id="Rectangle 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" fillcolor="#44546a [3215]" stroked="f" strokeweight="1pt"/>
                    <v:group id="Group 11"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ksvwAAANsAAAAPAAAAZHJzL2Rvd25yZXYueG1sRE/LqsIw&#10;EN1f8B/CCG4umqpw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Cqnpks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5"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zBwAAAANsAAAAPAAAAZHJzL2Rvd25yZXYueG1sRE/LisIw&#10;FN0P+A/hCu7GVAW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S+AMwc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5PxQAAANsAAAAPAAAAZHJzL2Rvd25yZXYueG1sRI9BawIx&#10;FITvBf9DeIVeimarpd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USS5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1dMwgAAANsAAAAPAAAAZHJzL2Rvd25yZXYueG1sRI9PawIx&#10;FMTvgt8hPMFbzdpi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A2g1dM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ETwwAAANsAAAAPAAAAZHJzL2Rvd25yZXYueG1sRI9PawIx&#10;FMTvBb9DeIK3mrXC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hKfBE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BA5AB70" w14:textId="77777777" w:rsidR="00CD3E3F" w:rsidRDefault="001C3CFC" w:rsidP="00CD3E3F">
          <w:pPr>
            <w:spacing w:line="360" w:lineRule="auto"/>
            <w:rPr>
              <w:color w:val="44546A" w:themeColor="text2"/>
              <w:sz w:val="21"/>
              <w:szCs w:val="21"/>
            </w:rPr>
          </w:pPr>
          <w:r>
            <w:rPr>
              <w:noProof/>
            </w:rPr>
            <mc:AlternateContent>
              <mc:Choice Requires="wps">
                <w:drawing>
                  <wp:anchor distT="0" distB="0" distL="114300" distR="114300" simplePos="0" relativeHeight="251661312" behindDoc="0" locked="0" layoutInCell="1" allowOverlap="1" wp14:anchorId="09D42904" wp14:editId="74D4BAAB">
                    <wp:simplePos x="0" y="0"/>
                    <wp:positionH relativeFrom="page">
                      <wp:posOffset>3339465</wp:posOffset>
                    </wp:positionH>
                    <wp:positionV relativeFrom="bottomMargin">
                      <wp:align>top</wp:align>
                    </wp:positionV>
                    <wp:extent cx="3657600" cy="365760"/>
                    <wp:effectExtent l="0" t="0" r="7620" b="0"/>
                    <wp:wrapNone/>
                    <wp:docPr id="37" name="Text Box 3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F185F" w14:textId="7977C650" w:rsidR="001C3CFC" w:rsidRPr="001C3CFC" w:rsidRDefault="00507182" w:rsidP="001C3CFC">
                                <w:pPr>
                                  <w:pStyle w:val="NoSpacing"/>
                                  <w:jc w:val="right"/>
                                  <w:rPr>
                                    <w:color w:val="44546A" w:themeColor="text2"/>
                                    <w:sz w:val="26"/>
                                    <w:szCs w:val="26"/>
                                  </w:rPr>
                                </w:pPr>
                                <w:sdt>
                                  <w:sdtPr>
                                    <w:rPr>
                                      <w:color w:val="44546A" w:themeColor="text2"/>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C3CFC" w:rsidRPr="001C3CFC">
                                      <w:rPr>
                                        <w:color w:val="44546A" w:themeColor="text2"/>
                                        <w:sz w:val="26"/>
                                        <w:szCs w:val="26"/>
                                      </w:rPr>
                                      <w:t>Katherine Lena Hobbs (1550595)</w:t>
                                    </w:r>
                                  </w:sdtContent>
                                </w:sdt>
                              </w:p>
                              <w:p w14:paraId="11869CD4" w14:textId="590AAD18" w:rsidR="001C3CFC" w:rsidRPr="001C3CFC" w:rsidRDefault="00507182" w:rsidP="001C3CFC">
                                <w:pPr>
                                  <w:pStyle w:val="NoSpacing"/>
                                  <w:jc w:val="right"/>
                                  <w:rPr>
                                    <w:color w:val="44546A" w:themeColor="text2"/>
                                    <w:sz w:val="20"/>
                                    <w:szCs w:val="20"/>
                                  </w:rPr>
                                </w:pPr>
                                <w:sdt>
                                  <w:sdtPr>
                                    <w:rPr>
                                      <w:caps/>
                                      <w:color w:val="44546A" w:themeColor="text2"/>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C3CFC" w:rsidRPr="001C3CFC">
                                      <w:rPr>
                                        <w:caps/>
                                        <w:color w:val="44546A" w:themeColor="text2"/>
                                        <w:sz w:val="20"/>
                                        <w:szCs w:val="20"/>
                                      </w:rPr>
                                      <w:t>Word count:</w:t>
                                    </w:r>
                                    <w:r w:rsidR="004418D1">
                                      <w:rPr>
                                        <w:caps/>
                                        <w:color w:val="44546A" w:themeColor="text2"/>
                                        <w:sz w:val="20"/>
                                        <w:szCs w:val="20"/>
                                      </w:rPr>
                                      <w:t xml:space="preserve"> 4949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D42904" id="_x0000_t202" coordsize="21600,21600" o:spt="202" path="m,l,21600r21600,l21600,xe">
                    <v:stroke joinstyle="miter"/>
                    <v:path gradientshapeok="t" o:connecttype="rect"/>
                  </v:shapetype>
                  <v:shape id="Text Box 37" o:spid="_x0000_s1026" type="#_x0000_t202" style="position:absolute;margin-left:262.9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top;mso-position-vertical-relative:bottom-margin-area;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" filled="f" stroked="f" strokeweight=".5pt">
                    <v:textbox style="mso-fit-shape-to-text:t" inset="0,0,0,0">
                      <w:txbxContent>
                        <w:p w14:paraId="0AEF185F" w14:textId="7977C650" w:rsidR="001C3CFC" w:rsidRPr="001C3CFC" w:rsidRDefault="00507182" w:rsidP="001C3CFC">
                          <w:pPr>
                            <w:pStyle w:val="NoSpacing"/>
                            <w:jc w:val="right"/>
                            <w:rPr>
                              <w:color w:val="44546A" w:themeColor="text2"/>
                              <w:sz w:val="26"/>
                              <w:szCs w:val="26"/>
                            </w:rPr>
                          </w:pPr>
                          <w:sdt>
                            <w:sdtPr>
                              <w:rPr>
                                <w:color w:val="44546A" w:themeColor="text2"/>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C3CFC" w:rsidRPr="001C3CFC">
                                <w:rPr>
                                  <w:color w:val="44546A" w:themeColor="text2"/>
                                  <w:sz w:val="26"/>
                                  <w:szCs w:val="26"/>
                                </w:rPr>
                                <w:t>Katherine Lena Hobbs (1550595)</w:t>
                              </w:r>
                            </w:sdtContent>
                          </w:sdt>
                        </w:p>
                        <w:p w14:paraId="11869CD4" w14:textId="590AAD18" w:rsidR="001C3CFC" w:rsidRPr="001C3CFC" w:rsidRDefault="00507182" w:rsidP="001C3CFC">
                          <w:pPr>
                            <w:pStyle w:val="NoSpacing"/>
                            <w:jc w:val="right"/>
                            <w:rPr>
                              <w:color w:val="44546A" w:themeColor="text2"/>
                              <w:sz w:val="20"/>
                              <w:szCs w:val="20"/>
                            </w:rPr>
                          </w:pPr>
                          <w:sdt>
                            <w:sdtPr>
                              <w:rPr>
                                <w:caps/>
                                <w:color w:val="44546A" w:themeColor="text2"/>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C3CFC" w:rsidRPr="001C3CFC">
                                <w:rPr>
                                  <w:caps/>
                                  <w:color w:val="44546A" w:themeColor="text2"/>
                                  <w:sz w:val="20"/>
                                  <w:szCs w:val="20"/>
                                </w:rPr>
                                <w:t>Word count:</w:t>
                              </w:r>
                              <w:r w:rsidR="004418D1">
                                <w:rPr>
                                  <w:caps/>
                                  <w:color w:val="44546A" w:themeColor="text2"/>
                                  <w:sz w:val="20"/>
                                  <w:szCs w:val="20"/>
                                </w:rPr>
                                <w:t xml:space="preserve"> 4949</w:t>
                              </w:r>
                            </w:sdtContent>
                          </w:sdt>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5BA18C8D" wp14:editId="3FDFE934">
                    <wp:simplePos x="0" y="0"/>
                    <wp:positionH relativeFrom="page">
                      <wp:posOffset>946150</wp:posOffset>
                    </wp:positionH>
                    <wp:positionV relativeFrom="page">
                      <wp:posOffset>2025650</wp:posOffset>
                    </wp:positionV>
                    <wp:extent cx="6286500" cy="1069848"/>
                    <wp:effectExtent l="0" t="0" r="0" b="4445"/>
                    <wp:wrapNone/>
                    <wp:docPr id="38" name="Text Box 38"/>
                    <wp:cNvGraphicFramePr/>
                    <a:graphic xmlns:a="http://schemas.openxmlformats.org/drawingml/2006/main">
                      <a:graphicData uri="http://schemas.microsoft.com/office/word/2010/wordprocessingShape">
                        <wps:wsp>
                          <wps:cNvSpPr txBox="1"/>
                          <wps:spPr>
                            <a:xfrm>
                              <a:off x="0" y="0"/>
                              <a:ext cx="62865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B19D9" w14:textId="5DBE1A58" w:rsidR="001C3CFC" w:rsidRPr="001C3CFC" w:rsidRDefault="00507182" w:rsidP="006D22C8">
                                <w:pPr>
                                  <w:pStyle w:val="NoSpacing"/>
                                  <w:jc w:val="right"/>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144"/>
                                      <w:szCs w:val="1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3CFC" w:rsidRPr="001C3CFC">
                                      <w:rPr>
                                        <w:rFonts w:asciiTheme="majorHAnsi" w:eastAsiaTheme="majorEastAsia" w:hAnsiTheme="majorHAnsi" w:cstheme="majorBidi"/>
                                        <w:color w:val="262626" w:themeColor="text1" w:themeTint="D9"/>
                                        <w:sz w:val="144"/>
                                        <w:szCs w:val="144"/>
                                      </w:rPr>
                                      <w:t>HRM issues at Big Buses Limited</w:t>
                                    </w:r>
                                  </w:sdtContent>
                                </w:sdt>
                              </w:p>
                              <w:p w14:paraId="1A5B99D0" w14:textId="4B77EEBD" w:rsidR="001C3CFC" w:rsidRPr="001C3CFC" w:rsidRDefault="00507182">
                                <w:pPr>
                                  <w:spacing w:before="120"/>
                                  <w:rPr>
                                    <w:color w:val="404040" w:themeColor="text1" w:themeTint="BF"/>
                                    <w:sz w:val="44"/>
                                    <w:szCs w:val="44"/>
                                  </w:rPr>
                                </w:pPr>
                                <w:sdt>
                                  <w:sdtPr>
                                    <w:rPr>
                                      <w:color w:val="404040" w:themeColor="text1" w:themeTint="BF"/>
                                      <w:sz w:val="44"/>
                                      <w:szCs w:val="4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C3CFC" w:rsidRPr="001C3CFC">
                                      <w:rPr>
                                        <w:color w:val="404040" w:themeColor="text1" w:themeTint="BF"/>
                                        <w:sz w:val="44"/>
                                        <w:szCs w:val="4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BA18C8D" id="Text Box 38" o:spid="_x0000_s1027" type="#_x0000_t202" style="position:absolute;margin-left:74.5pt;margin-top:159.5pt;width:49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" filled="f" stroked="f" strokeweight=".5pt">
                    <v:textbox style="mso-fit-shape-to-text:t" inset="0,0,0,0">
                      <w:txbxContent>
                        <w:p w14:paraId="743B19D9" w14:textId="5DBE1A58" w:rsidR="001C3CFC" w:rsidRPr="001C3CFC" w:rsidRDefault="00507182" w:rsidP="006D22C8">
                          <w:pPr>
                            <w:pStyle w:val="NoSpacing"/>
                            <w:jc w:val="right"/>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144"/>
                                <w:szCs w:val="1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3CFC" w:rsidRPr="001C3CFC">
                                <w:rPr>
                                  <w:rFonts w:asciiTheme="majorHAnsi" w:eastAsiaTheme="majorEastAsia" w:hAnsiTheme="majorHAnsi" w:cstheme="majorBidi"/>
                                  <w:color w:val="262626" w:themeColor="text1" w:themeTint="D9"/>
                                  <w:sz w:val="144"/>
                                  <w:szCs w:val="144"/>
                                </w:rPr>
                                <w:t>HRM issues at Big Buses Limited</w:t>
                              </w:r>
                            </w:sdtContent>
                          </w:sdt>
                        </w:p>
                        <w:p w14:paraId="1A5B99D0" w14:textId="4B77EEBD" w:rsidR="001C3CFC" w:rsidRPr="001C3CFC" w:rsidRDefault="00507182">
                          <w:pPr>
                            <w:spacing w:before="120"/>
                            <w:rPr>
                              <w:color w:val="404040" w:themeColor="text1" w:themeTint="BF"/>
                              <w:sz w:val="44"/>
                              <w:szCs w:val="44"/>
                            </w:rPr>
                          </w:pPr>
                          <w:sdt>
                            <w:sdtPr>
                              <w:rPr>
                                <w:color w:val="404040" w:themeColor="text1" w:themeTint="BF"/>
                                <w:sz w:val="44"/>
                                <w:szCs w:val="4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C3CFC" w:rsidRPr="001C3CFC">
                                <w:rPr>
                                  <w:color w:val="404040" w:themeColor="text1" w:themeTint="BF"/>
                                  <w:sz w:val="44"/>
                                  <w:szCs w:val="44"/>
                                </w:rPr>
                                <w:t xml:space="preserve">     </w:t>
                              </w:r>
                            </w:sdtContent>
                          </w:sdt>
                        </w:p>
                      </w:txbxContent>
                    </v:textbox>
                    <w10:wrap anchorx="page" anchory="page"/>
                  </v:shape>
                </w:pict>
              </mc:Fallback>
            </mc:AlternateContent>
          </w:r>
          <w:r>
            <w:rPr>
              <w:color w:val="44546A" w:themeColor="text2"/>
              <w:sz w:val="21"/>
              <w:szCs w:val="21"/>
            </w:rPr>
            <w:br w:type="page"/>
          </w:r>
        </w:p>
      </w:sdtContent>
    </w:sdt>
    <w:p w14:paraId="0F5D4A96" w14:textId="6E5345B2" w:rsidR="00246E5B" w:rsidRPr="006D22C8" w:rsidRDefault="007122D4" w:rsidP="00CD3E3F">
      <w:pPr>
        <w:spacing w:line="360" w:lineRule="auto"/>
        <w:rPr>
          <w:color w:val="44546A" w:themeColor="text2"/>
          <w:sz w:val="21"/>
          <w:szCs w:val="21"/>
        </w:rPr>
      </w:pPr>
      <w:r w:rsidRPr="006D22C8">
        <w:rPr>
          <w:rFonts w:ascii="Arial" w:hAnsi="Arial" w:cs="Arial"/>
          <w:b/>
          <w:bCs/>
          <w:color w:val="44546A" w:themeColor="text2"/>
          <w:sz w:val="24"/>
          <w:szCs w:val="24"/>
          <w:lang w:eastAsia="en-GB"/>
        </w:rPr>
        <w:lastRenderedPageBreak/>
        <w:t>Glossary of terms </w:t>
      </w:r>
    </w:p>
    <w:p w14:paraId="4E170405" w14:textId="6A53B26C" w:rsidR="00992B20" w:rsidRDefault="008B24A2" w:rsidP="00992B20">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ACAS - </w:t>
      </w:r>
      <w:r w:rsidRPr="008B24A2">
        <w:rPr>
          <w:rFonts w:ascii="Arial" w:eastAsia="Times New Roman" w:hAnsi="Arial" w:cs="Arial"/>
          <w:sz w:val="24"/>
          <w:szCs w:val="24"/>
          <w:lang w:eastAsia="en-GB"/>
        </w:rPr>
        <w:t>Advisory, Conciliation, and Arbitration Service</w:t>
      </w:r>
    </w:p>
    <w:p w14:paraId="27F0B7B9" w14:textId="77777777" w:rsidR="00992B20" w:rsidRDefault="00992B20" w:rsidP="00992B20">
      <w:pPr>
        <w:spacing w:after="0" w:line="240" w:lineRule="auto"/>
        <w:textAlignment w:val="baseline"/>
        <w:rPr>
          <w:rFonts w:ascii="Arial" w:eastAsia="Times New Roman" w:hAnsi="Arial" w:cs="Arial"/>
          <w:sz w:val="24"/>
          <w:szCs w:val="24"/>
          <w:lang w:eastAsia="en-GB"/>
        </w:rPr>
      </w:pPr>
    </w:p>
    <w:p w14:paraId="6EA4568D" w14:textId="58C4E98E" w:rsidR="00992B20"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BB – Big Buses Limited </w:t>
      </w:r>
    </w:p>
    <w:p w14:paraId="1540D304"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6319F3EA" w14:textId="72EBFF8A" w:rsidR="00992B20"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ER – Employee Relations  </w:t>
      </w:r>
    </w:p>
    <w:p w14:paraId="62B74F16"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38937B4A" w14:textId="2D61E5DF"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ERA – Employment Rights Act 1996  </w:t>
      </w:r>
    </w:p>
    <w:p w14:paraId="1FBC5E8D"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0CEDA81E" w14:textId="18840617"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ET – Employment Tribunal </w:t>
      </w:r>
    </w:p>
    <w:p w14:paraId="1BEA630B"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14573F66" w14:textId="09E669CD"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FW – Flexible Working </w:t>
      </w:r>
    </w:p>
    <w:p w14:paraId="677597EA"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7227DDE1" w14:textId="2551DFED"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H&amp;S – Health and Safety  </w:t>
      </w:r>
    </w:p>
    <w:p w14:paraId="51083A7F"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7E77F8EB" w14:textId="43B90B34"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HSWA – Health and Safety at Work Act 1974 </w:t>
      </w:r>
    </w:p>
    <w:p w14:paraId="2CEFA767"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5B955D0F" w14:textId="00F5E846"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ICO - Information Commissioner's Office </w:t>
      </w:r>
    </w:p>
    <w:p w14:paraId="74DC6E56"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0C1FF4E0" w14:textId="4781E030"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R&amp;R – Reinstatement and Re-engagement </w:t>
      </w:r>
    </w:p>
    <w:p w14:paraId="5C827C0F"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4101E27B" w14:textId="77777777" w:rsidR="001C3CFC" w:rsidRPr="007122D4"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TULRCA - Trade Union and Labour Relation (Consolidation) Act (TULRCA) 1992 </w:t>
      </w:r>
    </w:p>
    <w:p w14:paraId="5ACB2B98" w14:textId="7EDF5018" w:rsidR="00E4441C" w:rsidRPr="001C3CFC" w:rsidRDefault="007122D4" w:rsidP="00E4441C">
      <w:pPr>
        <w:spacing w:after="0" w:line="360" w:lineRule="auto"/>
        <w:textAlignment w:val="baseline"/>
        <w:rPr>
          <w:rFonts w:ascii="Arial" w:eastAsia="Times New Roman" w:hAnsi="Arial" w:cs="Arial"/>
          <w:b/>
          <w:bCs/>
          <w:sz w:val="24"/>
          <w:szCs w:val="24"/>
          <w:u w:val="single"/>
          <w:lang w:eastAsia="en-GB"/>
        </w:rPr>
      </w:pPr>
      <w:r w:rsidRPr="007122D4">
        <w:rPr>
          <w:rFonts w:ascii="Arial" w:eastAsia="Times New Roman" w:hAnsi="Arial" w:cs="Arial"/>
          <w:sz w:val="24"/>
          <w:szCs w:val="24"/>
          <w:lang w:eastAsia="en-GB"/>
        </w:rPr>
        <w:t> </w:t>
      </w:r>
    </w:p>
    <w:p w14:paraId="482B21BB" w14:textId="137536CC" w:rsidR="007122D4" w:rsidRPr="001C3CFC" w:rsidRDefault="007122D4" w:rsidP="00E4441C">
      <w:pPr>
        <w:spacing w:line="360" w:lineRule="auto"/>
        <w:rPr>
          <w:rFonts w:ascii="Arial" w:eastAsia="Times New Roman" w:hAnsi="Arial" w:cs="Arial"/>
          <w:b/>
          <w:bCs/>
          <w:sz w:val="24"/>
          <w:szCs w:val="24"/>
          <w:u w:val="single"/>
          <w:lang w:eastAsia="en-GB"/>
        </w:rPr>
      </w:pPr>
      <w:r w:rsidRPr="001C3CFC">
        <w:rPr>
          <w:rFonts w:ascii="Arial" w:eastAsia="Times New Roman" w:hAnsi="Arial" w:cs="Arial"/>
          <w:b/>
          <w:bCs/>
          <w:sz w:val="24"/>
          <w:szCs w:val="24"/>
          <w:u w:val="single"/>
          <w:lang w:eastAsia="en-GB"/>
        </w:rPr>
        <w:br w:type="page"/>
      </w:r>
    </w:p>
    <w:sdt>
      <w:sdtPr>
        <w:rPr>
          <w:rFonts w:asciiTheme="minorHAnsi" w:eastAsiaTheme="minorHAnsi" w:hAnsiTheme="minorHAnsi" w:cstheme="minorBidi"/>
          <w:color w:val="auto"/>
          <w:sz w:val="22"/>
          <w:szCs w:val="22"/>
          <w:lang w:val="en-GB"/>
        </w:rPr>
        <w:id w:val="-391128124"/>
        <w:docPartObj>
          <w:docPartGallery w:val="Table of Contents"/>
          <w:docPartUnique/>
        </w:docPartObj>
      </w:sdtPr>
      <w:sdtEndPr>
        <w:rPr>
          <w:b/>
          <w:bCs/>
          <w:noProof/>
        </w:rPr>
      </w:sdtEndPr>
      <w:sdtContent>
        <w:p w14:paraId="2A551B60" w14:textId="3EEA4D96" w:rsidR="00BE5EFE" w:rsidRPr="006D22C8" w:rsidRDefault="00BE5EFE">
          <w:pPr>
            <w:pStyle w:val="TOCHeading"/>
            <w:rPr>
              <w:rFonts w:ascii="Arial" w:hAnsi="Arial" w:cs="Arial"/>
              <w:b/>
              <w:bCs/>
              <w:color w:val="44546A" w:themeColor="text2"/>
              <w:sz w:val="24"/>
              <w:szCs w:val="24"/>
            </w:rPr>
          </w:pPr>
          <w:r w:rsidRPr="006D22C8">
            <w:rPr>
              <w:rFonts w:ascii="Arial" w:hAnsi="Arial" w:cs="Arial"/>
              <w:b/>
              <w:bCs/>
              <w:color w:val="44546A" w:themeColor="text2"/>
              <w:sz w:val="24"/>
              <w:szCs w:val="24"/>
            </w:rPr>
            <w:t>Contents Page</w:t>
          </w:r>
        </w:p>
        <w:p w14:paraId="3DAF3A60" w14:textId="77777777" w:rsidR="00BE5EFE" w:rsidRPr="00BE5EFE" w:rsidRDefault="00BE5EFE" w:rsidP="00BE5EFE">
          <w:pPr>
            <w:rPr>
              <w:rFonts w:ascii="Arial" w:hAnsi="Arial" w:cs="Arial"/>
              <w:sz w:val="24"/>
              <w:szCs w:val="24"/>
              <w:lang w:val="en-US"/>
            </w:rPr>
          </w:pPr>
        </w:p>
        <w:p w14:paraId="0D56C058" w14:textId="65A95389" w:rsidR="00BE5EFE" w:rsidRPr="00BE5EFE" w:rsidRDefault="00BE5EFE">
          <w:pPr>
            <w:pStyle w:val="TOC1"/>
            <w:tabs>
              <w:tab w:val="right" w:leader="underscore" w:pos="9060"/>
            </w:tabs>
            <w:rPr>
              <w:rFonts w:ascii="Arial" w:eastAsiaTheme="minorEastAsia" w:hAnsi="Arial" w:cs="Arial"/>
              <w:b/>
              <w:bCs/>
              <w:noProof/>
              <w:sz w:val="24"/>
              <w:szCs w:val="24"/>
              <w:lang w:eastAsia="en-GB"/>
            </w:rPr>
          </w:pPr>
          <w:r w:rsidRPr="00BE5EFE">
            <w:rPr>
              <w:rFonts w:ascii="Arial" w:hAnsi="Arial" w:cs="Arial"/>
              <w:b/>
              <w:bCs/>
              <w:sz w:val="24"/>
              <w:szCs w:val="24"/>
            </w:rPr>
            <w:fldChar w:fldCharType="begin"/>
          </w:r>
          <w:r w:rsidRPr="00BE5EFE">
            <w:rPr>
              <w:rFonts w:ascii="Arial" w:hAnsi="Arial" w:cs="Arial"/>
              <w:b/>
              <w:bCs/>
              <w:sz w:val="24"/>
              <w:szCs w:val="24"/>
            </w:rPr>
            <w:instrText xml:space="preserve"> TOC \o "1-3" \h \z \u </w:instrText>
          </w:r>
          <w:r w:rsidRPr="00BE5EFE">
            <w:rPr>
              <w:rFonts w:ascii="Arial" w:hAnsi="Arial" w:cs="Arial"/>
              <w:b/>
              <w:bCs/>
              <w:sz w:val="24"/>
              <w:szCs w:val="24"/>
            </w:rPr>
            <w:fldChar w:fldCharType="separate"/>
          </w:r>
          <w:hyperlink w:anchor="_Toc71466645" w:history="1">
            <w:r w:rsidRPr="00BE5EFE">
              <w:rPr>
                <w:rStyle w:val="Hyperlink"/>
                <w:rFonts w:ascii="Arial" w:eastAsia="Times New Roman" w:hAnsi="Arial" w:cs="Arial"/>
                <w:noProof/>
                <w:color w:val="auto"/>
                <w:sz w:val="24"/>
                <w:szCs w:val="24"/>
                <w:lang w:eastAsia="en-GB"/>
              </w:rPr>
              <w:t>Section A</w:t>
            </w:r>
            <w:r w:rsidRPr="00BE5EFE">
              <w:rPr>
                <w:rFonts w:ascii="Arial" w:hAnsi="Arial" w:cs="Arial"/>
                <w:noProof/>
                <w:webHidden/>
                <w:sz w:val="24"/>
                <w:szCs w:val="24"/>
              </w:rPr>
              <w:tab/>
            </w:r>
            <w:r w:rsidRPr="00BE5EFE">
              <w:rPr>
                <w:rFonts w:ascii="Arial" w:hAnsi="Arial" w:cs="Arial"/>
                <w:noProof/>
                <w:webHidden/>
                <w:sz w:val="24"/>
                <w:szCs w:val="24"/>
              </w:rPr>
              <w:fldChar w:fldCharType="begin"/>
            </w:r>
            <w:r w:rsidRPr="00BE5EFE">
              <w:rPr>
                <w:rFonts w:ascii="Arial" w:hAnsi="Arial" w:cs="Arial"/>
                <w:noProof/>
                <w:webHidden/>
                <w:sz w:val="24"/>
                <w:szCs w:val="24"/>
              </w:rPr>
              <w:instrText xml:space="preserve"> PAGEREF _Toc71466645 \h </w:instrText>
            </w:r>
            <w:r w:rsidRPr="00BE5EFE">
              <w:rPr>
                <w:rFonts w:ascii="Arial" w:hAnsi="Arial" w:cs="Arial"/>
                <w:noProof/>
                <w:webHidden/>
                <w:sz w:val="24"/>
                <w:szCs w:val="24"/>
              </w:rPr>
            </w:r>
            <w:r w:rsidRPr="00BE5EFE">
              <w:rPr>
                <w:rFonts w:ascii="Arial" w:hAnsi="Arial" w:cs="Arial"/>
                <w:noProof/>
                <w:webHidden/>
                <w:sz w:val="24"/>
                <w:szCs w:val="24"/>
              </w:rPr>
              <w:fldChar w:fldCharType="separate"/>
            </w:r>
            <w:r w:rsidRPr="00BE5EFE">
              <w:rPr>
                <w:rFonts w:ascii="Arial" w:hAnsi="Arial" w:cs="Arial"/>
                <w:noProof/>
                <w:webHidden/>
                <w:sz w:val="24"/>
                <w:szCs w:val="24"/>
              </w:rPr>
              <w:t>3</w:t>
            </w:r>
            <w:r w:rsidRPr="00BE5EFE">
              <w:rPr>
                <w:rFonts w:ascii="Arial" w:hAnsi="Arial" w:cs="Arial"/>
                <w:noProof/>
                <w:webHidden/>
                <w:sz w:val="24"/>
                <w:szCs w:val="24"/>
              </w:rPr>
              <w:fldChar w:fldCharType="end"/>
            </w:r>
          </w:hyperlink>
        </w:p>
        <w:p w14:paraId="541DB520" w14:textId="19BF96D0" w:rsidR="00BE5EFE" w:rsidRPr="00BE5EFE" w:rsidRDefault="00507182">
          <w:pPr>
            <w:pStyle w:val="TOC2"/>
            <w:tabs>
              <w:tab w:val="left" w:pos="660"/>
              <w:tab w:val="right" w:leader="underscore" w:pos="9060"/>
            </w:tabs>
            <w:rPr>
              <w:rFonts w:ascii="Arial" w:eastAsiaTheme="minorEastAsia" w:hAnsi="Arial" w:cs="Arial"/>
              <w:noProof/>
              <w:sz w:val="24"/>
              <w:szCs w:val="24"/>
              <w:lang w:eastAsia="en-GB"/>
            </w:rPr>
          </w:pPr>
          <w:hyperlink w:anchor="_Toc71466646" w:history="1">
            <w:r w:rsidR="00BE5EFE" w:rsidRPr="00BE5EFE">
              <w:rPr>
                <w:rStyle w:val="Hyperlink"/>
                <w:rFonts w:ascii="Arial" w:eastAsia="Times New Roman" w:hAnsi="Arial" w:cs="Arial"/>
                <w:noProof/>
                <w:color w:val="auto"/>
                <w:sz w:val="24"/>
                <w:szCs w:val="24"/>
                <w:lang w:eastAsia="en-GB"/>
              </w:rPr>
              <w:t>1.</w:t>
            </w:r>
            <w:r w:rsidR="00BE5EFE" w:rsidRPr="00BE5EFE">
              <w:rPr>
                <w:rFonts w:ascii="Arial" w:eastAsiaTheme="minorEastAsia" w:hAnsi="Arial" w:cs="Arial"/>
                <w:noProof/>
                <w:sz w:val="24"/>
                <w:szCs w:val="24"/>
                <w:lang w:eastAsia="en-GB"/>
              </w:rPr>
              <w:tab/>
            </w:r>
            <w:r w:rsidR="00BE5EFE" w:rsidRPr="00BE5EFE">
              <w:rPr>
                <w:rStyle w:val="Hyperlink"/>
                <w:rFonts w:ascii="Arial" w:eastAsia="Times New Roman" w:hAnsi="Arial" w:cs="Arial"/>
                <w:noProof/>
                <w:color w:val="auto"/>
                <w:sz w:val="24"/>
                <w:szCs w:val="24"/>
                <w:lang w:eastAsia="en-GB"/>
              </w:rPr>
              <w:t>Memo</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_Toc71466646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BE5EFE" w:rsidRPr="00BE5EFE">
              <w:rPr>
                <w:rFonts w:ascii="Arial" w:hAnsi="Arial" w:cs="Arial"/>
                <w:noProof/>
                <w:webHidden/>
                <w:sz w:val="24"/>
                <w:szCs w:val="24"/>
              </w:rPr>
              <w:t>3</w:t>
            </w:r>
            <w:r w:rsidR="00BE5EFE" w:rsidRPr="00BE5EFE">
              <w:rPr>
                <w:rFonts w:ascii="Arial" w:hAnsi="Arial" w:cs="Arial"/>
                <w:noProof/>
                <w:webHidden/>
                <w:sz w:val="24"/>
                <w:szCs w:val="24"/>
              </w:rPr>
              <w:fldChar w:fldCharType="end"/>
            </w:r>
          </w:hyperlink>
        </w:p>
        <w:p w14:paraId="12BA7F91" w14:textId="38E5CBBC" w:rsidR="00BE5EFE" w:rsidRPr="00BE5EFE" w:rsidRDefault="00507182">
          <w:pPr>
            <w:pStyle w:val="TOC2"/>
            <w:tabs>
              <w:tab w:val="left" w:pos="660"/>
              <w:tab w:val="right" w:leader="underscore" w:pos="9060"/>
            </w:tabs>
            <w:rPr>
              <w:rFonts w:ascii="Arial" w:eastAsiaTheme="minorEastAsia" w:hAnsi="Arial" w:cs="Arial"/>
              <w:noProof/>
              <w:sz w:val="24"/>
              <w:szCs w:val="24"/>
              <w:lang w:eastAsia="en-GB"/>
            </w:rPr>
          </w:pPr>
          <w:hyperlink w:anchor="_Toc71466647" w:history="1">
            <w:r w:rsidR="00BE5EFE" w:rsidRPr="00BE5EFE">
              <w:rPr>
                <w:rStyle w:val="Hyperlink"/>
                <w:rFonts w:ascii="Arial" w:eastAsia="Times New Roman" w:hAnsi="Arial" w:cs="Arial"/>
                <w:noProof/>
                <w:color w:val="auto"/>
                <w:sz w:val="24"/>
                <w:szCs w:val="24"/>
                <w:lang w:eastAsia="en-GB"/>
              </w:rPr>
              <w:t>2.</w:t>
            </w:r>
            <w:r w:rsidR="00BE5EFE" w:rsidRPr="00BE5EFE">
              <w:rPr>
                <w:rFonts w:ascii="Arial" w:eastAsiaTheme="minorEastAsia" w:hAnsi="Arial" w:cs="Arial"/>
                <w:noProof/>
                <w:sz w:val="24"/>
                <w:szCs w:val="24"/>
                <w:lang w:eastAsia="en-GB"/>
              </w:rPr>
              <w:tab/>
            </w:r>
            <w:r w:rsidR="00BE5EFE" w:rsidRPr="00BE5EFE">
              <w:rPr>
                <w:rStyle w:val="Hyperlink"/>
                <w:rFonts w:ascii="Arial" w:eastAsia="Times New Roman" w:hAnsi="Arial" w:cs="Arial"/>
                <w:noProof/>
                <w:color w:val="auto"/>
                <w:sz w:val="24"/>
                <w:szCs w:val="24"/>
                <w:lang w:eastAsia="en-GB"/>
              </w:rPr>
              <w:t>Potential outcomes from an Employment Tribunal</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_Toc71466647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BE5EFE" w:rsidRPr="00BE5EFE">
              <w:rPr>
                <w:rFonts w:ascii="Arial" w:hAnsi="Arial" w:cs="Arial"/>
                <w:noProof/>
                <w:webHidden/>
                <w:sz w:val="24"/>
                <w:szCs w:val="24"/>
              </w:rPr>
              <w:t>10</w:t>
            </w:r>
            <w:r w:rsidR="00BE5EFE" w:rsidRPr="00BE5EFE">
              <w:rPr>
                <w:rFonts w:ascii="Arial" w:hAnsi="Arial" w:cs="Arial"/>
                <w:noProof/>
                <w:webHidden/>
                <w:sz w:val="24"/>
                <w:szCs w:val="24"/>
              </w:rPr>
              <w:fldChar w:fldCharType="end"/>
            </w:r>
          </w:hyperlink>
        </w:p>
        <w:p w14:paraId="17BCA995" w14:textId="52A8F311" w:rsidR="00BE5EFE" w:rsidRPr="00BE5EFE" w:rsidRDefault="00507182">
          <w:pPr>
            <w:pStyle w:val="TOC1"/>
            <w:tabs>
              <w:tab w:val="right" w:leader="underscore" w:pos="9060"/>
            </w:tabs>
            <w:rPr>
              <w:rFonts w:ascii="Arial" w:eastAsiaTheme="minorEastAsia" w:hAnsi="Arial" w:cs="Arial"/>
              <w:noProof/>
              <w:sz w:val="24"/>
              <w:szCs w:val="24"/>
              <w:lang w:eastAsia="en-GB"/>
            </w:rPr>
          </w:pPr>
          <w:hyperlink w:anchor="_Toc71466648" w:history="1">
            <w:r w:rsidR="00BE5EFE" w:rsidRPr="00BE5EFE">
              <w:rPr>
                <w:rStyle w:val="Hyperlink"/>
                <w:rFonts w:ascii="Arial" w:eastAsia="Times New Roman" w:hAnsi="Arial" w:cs="Arial"/>
                <w:noProof/>
                <w:color w:val="auto"/>
                <w:sz w:val="24"/>
                <w:szCs w:val="24"/>
                <w:lang w:eastAsia="en-GB"/>
              </w:rPr>
              <w:t>Section B</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_Toc71466648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BE5EFE" w:rsidRPr="00BE5EFE">
              <w:rPr>
                <w:rFonts w:ascii="Arial" w:hAnsi="Arial" w:cs="Arial"/>
                <w:noProof/>
                <w:webHidden/>
                <w:sz w:val="24"/>
                <w:szCs w:val="24"/>
              </w:rPr>
              <w:t>15</w:t>
            </w:r>
            <w:r w:rsidR="00BE5EFE" w:rsidRPr="00BE5EFE">
              <w:rPr>
                <w:rFonts w:ascii="Arial" w:hAnsi="Arial" w:cs="Arial"/>
                <w:noProof/>
                <w:webHidden/>
                <w:sz w:val="24"/>
                <w:szCs w:val="24"/>
              </w:rPr>
              <w:fldChar w:fldCharType="end"/>
            </w:r>
          </w:hyperlink>
        </w:p>
        <w:p w14:paraId="3BC26CAE" w14:textId="1418640C" w:rsidR="00BE5EFE" w:rsidRPr="00BE5EFE" w:rsidRDefault="00507182">
          <w:pPr>
            <w:pStyle w:val="TOC1"/>
            <w:tabs>
              <w:tab w:val="right" w:leader="underscore" w:pos="9060"/>
            </w:tabs>
            <w:rPr>
              <w:rFonts w:ascii="Arial" w:eastAsiaTheme="minorEastAsia" w:hAnsi="Arial" w:cs="Arial"/>
              <w:noProof/>
              <w:sz w:val="24"/>
              <w:szCs w:val="24"/>
              <w:lang w:eastAsia="en-GB"/>
            </w:rPr>
          </w:pPr>
          <w:hyperlink w:anchor="_Toc71466649" w:history="1">
            <w:r w:rsidR="00BE5EFE" w:rsidRPr="00BE5EFE">
              <w:rPr>
                <w:rStyle w:val="Hyperlink"/>
                <w:rFonts w:ascii="Arial" w:eastAsia="Times New Roman" w:hAnsi="Arial" w:cs="Arial"/>
                <w:noProof/>
                <w:color w:val="auto"/>
                <w:sz w:val="24"/>
                <w:szCs w:val="24"/>
                <w:lang w:eastAsia="en-GB"/>
              </w:rPr>
              <w:t>Reference list</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_Toc71466649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BE5EFE" w:rsidRPr="00BE5EFE">
              <w:rPr>
                <w:rFonts w:ascii="Arial" w:hAnsi="Arial" w:cs="Arial"/>
                <w:noProof/>
                <w:webHidden/>
                <w:sz w:val="24"/>
                <w:szCs w:val="24"/>
              </w:rPr>
              <w:t>22</w:t>
            </w:r>
            <w:r w:rsidR="00BE5EFE" w:rsidRPr="00BE5EFE">
              <w:rPr>
                <w:rFonts w:ascii="Arial" w:hAnsi="Arial" w:cs="Arial"/>
                <w:noProof/>
                <w:webHidden/>
                <w:sz w:val="24"/>
                <w:szCs w:val="24"/>
              </w:rPr>
              <w:fldChar w:fldCharType="end"/>
            </w:r>
          </w:hyperlink>
        </w:p>
        <w:p w14:paraId="1E080918" w14:textId="2CD027DA" w:rsidR="00BE5EFE" w:rsidRDefault="00BE5EFE">
          <w:r w:rsidRPr="00BE5EFE">
            <w:rPr>
              <w:rFonts w:ascii="Arial" w:hAnsi="Arial" w:cs="Arial"/>
              <w:b/>
              <w:bCs/>
              <w:noProof/>
              <w:sz w:val="24"/>
              <w:szCs w:val="24"/>
            </w:rPr>
            <w:fldChar w:fldCharType="end"/>
          </w:r>
        </w:p>
      </w:sdtContent>
    </w:sdt>
    <w:p w14:paraId="16EFC01F" w14:textId="77777777" w:rsidR="00BE5EFE" w:rsidRDefault="00BE5EFE">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5A505413" w14:textId="1263BA53" w:rsidR="007122D4" w:rsidRPr="006D22C8" w:rsidRDefault="007122D4" w:rsidP="001C3CFC">
      <w:pPr>
        <w:pStyle w:val="Heading1"/>
        <w:spacing w:line="360" w:lineRule="auto"/>
        <w:rPr>
          <w:rFonts w:ascii="Arial" w:eastAsia="Times New Roman" w:hAnsi="Arial" w:cs="Arial"/>
          <w:b/>
          <w:bCs/>
          <w:color w:val="44546A" w:themeColor="text2"/>
          <w:sz w:val="24"/>
          <w:szCs w:val="24"/>
          <w:u w:val="single"/>
          <w:lang w:eastAsia="en-GB"/>
        </w:rPr>
      </w:pPr>
      <w:bookmarkStart w:id="0" w:name="_Toc71466645"/>
      <w:r w:rsidRPr="006D22C8">
        <w:rPr>
          <w:rFonts w:ascii="Arial" w:eastAsia="Times New Roman" w:hAnsi="Arial" w:cs="Arial"/>
          <w:b/>
          <w:bCs/>
          <w:color w:val="44546A" w:themeColor="text2"/>
          <w:sz w:val="24"/>
          <w:szCs w:val="24"/>
          <w:lang w:eastAsia="en-GB"/>
        </w:rPr>
        <w:lastRenderedPageBreak/>
        <w:t>Section A</w:t>
      </w:r>
      <w:bookmarkEnd w:id="0"/>
      <w:r w:rsidRPr="006D22C8">
        <w:rPr>
          <w:rFonts w:ascii="Arial" w:eastAsia="Times New Roman" w:hAnsi="Arial" w:cs="Arial"/>
          <w:b/>
          <w:bCs/>
          <w:color w:val="44546A" w:themeColor="text2"/>
          <w:sz w:val="24"/>
          <w:szCs w:val="24"/>
          <w:lang w:eastAsia="en-GB"/>
        </w:rPr>
        <w:t> </w:t>
      </w:r>
    </w:p>
    <w:p w14:paraId="1FCDFE3E" w14:textId="31EE5718" w:rsidR="007122D4" w:rsidRPr="006D22C8" w:rsidRDefault="007122D4" w:rsidP="001C3CFC">
      <w:pPr>
        <w:pStyle w:val="Heading2"/>
        <w:numPr>
          <w:ilvl w:val="0"/>
          <w:numId w:val="25"/>
        </w:numPr>
        <w:spacing w:line="360" w:lineRule="auto"/>
        <w:rPr>
          <w:rFonts w:ascii="Arial" w:eastAsia="Times New Roman" w:hAnsi="Arial" w:cs="Arial"/>
          <w:b/>
          <w:bCs/>
          <w:color w:val="44546A" w:themeColor="text2"/>
          <w:sz w:val="24"/>
          <w:szCs w:val="24"/>
          <w:lang w:eastAsia="en-GB"/>
        </w:rPr>
      </w:pPr>
      <w:bookmarkStart w:id="1" w:name="_Toc71466646"/>
      <w:r w:rsidRPr="006D22C8">
        <w:rPr>
          <w:rFonts w:ascii="Arial" w:eastAsia="Times New Roman" w:hAnsi="Arial" w:cs="Arial"/>
          <w:b/>
          <w:bCs/>
          <w:color w:val="44546A" w:themeColor="text2"/>
          <w:sz w:val="24"/>
          <w:szCs w:val="24"/>
          <w:lang w:eastAsia="en-GB"/>
        </w:rPr>
        <w:t>Memo</w:t>
      </w:r>
      <w:bookmarkEnd w:id="1"/>
      <w:r w:rsidRPr="006D22C8">
        <w:rPr>
          <w:rFonts w:ascii="Arial" w:eastAsia="Times New Roman" w:hAnsi="Arial" w:cs="Arial"/>
          <w:b/>
          <w:bCs/>
          <w:color w:val="44546A" w:themeColor="text2"/>
          <w:sz w:val="24"/>
          <w:szCs w:val="24"/>
          <w:lang w:eastAsia="en-GB"/>
        </w:rPr>
        <w:t> </w:t>
      </w:r>
    </w:p>
    <w:p w14:paraId="2A196945" w14:textId="77777777" w:rsidR="007122D4" w:rsidRPr="007122D4" w:rsidRDefault="007122D4" w:rsidP="001C3CFC">
      <w:pPr>
        <w:spacing w:after="0" w:line="360" w:lineRule="auto"/>
        <w:ind w:left="1080"/>
        <w:textAlignment w:val="baseline"/>
        <w:rPr>
          <w:rFonts w:ascii="Arial" w:eastAsia="Times New Roman" w:hAnsi="Arial" w:cs="Arial"/>
          <w:sz w:val="24"/>
          <w:szCs w:val="24"/>
          <w:lang w:eastAsia="en-GB"/>
        </w:rPr>
      </w:pPr>
    </w:p>
    <w:p w14:paraId="0A8ADE96" w14:textId="5F0FA2CA"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To:</w:t>
      </w:r>
      <w:r w:rsidRPr="007122D4">
        <w:rPr>
          <w:rFonts w:ascii="Arial" w:eastAsia="Times New Roman" w:hAnsi="Arial" w:cs="Arial"/>
          <w:sz w:val="24"/>
          <w:szCs w:val="24"/>
          <w:lang w:eastAsia="en-GB"/>
        </w:rPr>
        <w:t xml:space="preserve"> Mr. Dave Thomas, Managing Director </w:t>
      </w:r>
    </w:p>
    <w:p w14:paraId="2075AD2C" w14:textId="75E4F6F9"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From:</w:t>
      </w:r>
      <w:r w:rsidRPr="007122D4">
        <w:rPr>
          <w:rFonts w:ascii="Arial" w:eastAsia="Times New Roman" w:hAnsi="Arial" w:cs="Arial"/>
          <w:sz w:val="24"/>
          <w:szCs w:val="24"/>
          <w:lang w:eastAsia="en-GB"/>
        </w:rPr>
        <w:t xml:space="preserve"> HR Advisor </w:t>
      </w:r>
    </w:p>
    <w:p w14:paraId="3EA8714E" w14:textId="77777777" w:rsidR="007122D4" w:rsidRPr="001C3CFC"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Re:</w:t>
      </w:r>
      <w:r w:rsidRPr="007122D4">
        <w:rPr>
          <w:rFonts w:ascii="Arial" w:eastAsia="Times New Roman" w:hAnsi="Arial" w:cs="Arial"/>
          <w:sz w:val="24"/>
          <w:szCs w:val="24"/>
          <w:lang w:eastAsia="en-GB"/>
        </w:rPr>
        <w:t xml:space="preserve"> Employment Tribunal Claim</w:t>
      </w:r>
    </w:p>
    <w:p w14:paraId="72FD77D1" w14:textId="5D812655"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00EA6F3C" w14:textId="794A1730" w:rsidR="007122D4" w:rsidRPr="001C3CFC"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I have reviewed the list of documents provided in relation to Mr Gethin </w:t>
      </w:r>
      <w:r w:rsidR="00B54143" w:rsidRPr="007122D4">
        <w:rPr>
          <w:rFonts w:ascii="Arial" w:eastAsia="Times New Roman" w:hAnsi="Arial" w:cs="Arial"/>
          <w:sz w:val="24"/>
          <w:szCs w:val="24"/>
          <w:lang w:eastAsia="en-GB"/>
        </w:rPr>
        <w:t>Rees</w:t>
      </w:r>
      <w:r w:rsidR="00B54143" w:rsidRPr="001C3CFC">
        <w:rPr>
          <w:rFonts w:ascii="Arial" w:eastAsia="Times New Roman" w:hAnsi="Arial" w:cs="Arial"/>
          <w:sz w:val="24"/>
          <w:szCs w:val="24"/>
          <w:lang w:eastAsia="en-GB"/>
        </w:rPr>
        <w:t>’s</w:t>
      </w:r>
      <w:r w:rsidRPr="007122D4">
        <w:rPr>
          <w:rFonts w:ascii="Arial" w:eastAsia="Times New Roman" w:hAnsi="Arial" w:cs="Arial"/>
          <w:sz w:val="24"/>
          <w:szCs w:val="24"/>
          <w:lang w:eastAsia="en-GB"/>
        </w:rPr>
        <w:t> claim at the Employment Tribunal (ET).  </w:t>
      </w:r>
    </w:p>
    <w:p w14:paraId="18ADC7BE" w14:textId="3BE0EC26" w:rsidR="007122D4" w:rsidRPr="007122D4" w:rsidRDefault="001C3CFC" w:rsidP="001C3CFC">
      <w:pPr>
        <w:spacing w:after="0" w:line="360" w:lineRule="auto"/>
        <w:textAlignment w:val="baseline"/>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3ED04698" wp14:editId="1B2D3098">
                <wp:simplePos x="0" y="0"/>
                <wp:positionH relativeFrom="column">
                  <wp:posOffset>-106680</wp:posOffset>
                </wp:positionH>
                <wp:positionV relativeFrom="paragraph">
                  <wp:posOffset>40640</wp:posOffset>
                </wp:positionV>
                <wp:extent cx="6032500" cy="4552950"/>
                <wp:effectExtent l="0" t="0" r="25400" b="19050"/>
                <wp:wrapNone/>
                <wp:docPr id="39" name="Rectangle 39"/>
                <wp:cNvGraphicFramePr/>
                <a:graphic xmlns:a="http://schemas.openxmlformats.org/drawingml/2006/main">
                  <a:graphicData uri="http://schemas.microsoft.com/office/word/2010/wordprocessingShape">
                    <wps:wsp>
                      <wps:cNvSpPr/>
                      <wps:spPr>
                        <a:xfrm>
                          <a:off x="0" y="0"/>
                          <a:ext cx="6032500" cy="4552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BC0446" id="Rectangle 39" o:spid="_x0000_s1026" style="position:absolute;margin-left:-8.4pt;margin-top:3.2pt;width:475pt;height:35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" filled="f" strokecolor="black [3213]" strokeweight="1pt"/>
            </w:pict>
          </mc:Fallback>
        </mc:AlternateContent>
      </w:r>
    </w:p>
    <w:p w14:paraId="3EA7EE3E" w14:textId="77777777" w:rsidR="007122D4" w:rsidRPr="001C3CFC" w:rsidRDefault="007122D4" w:rsidP="001C3CFC">
      <w:pPr>
        <w:keepNext/>
        <w:spacing w:after="0" w:line="360" w:lineRule="auto"/>
        <w:jc w:val="center"/>
        <w:textAlignment w:val="baseline"/>
        <w:rPr>
          <w:rFonts w:ascii="Arial" w:hAnsi="Arial" w:cs="Arial"/>
          <w:sz w:val="24"/>
          <w:szCs w:val="24"/>
        </w:rPr>
      </w:pPr>
      <w:r w:rsidRPr="001C3CFC">
        <w:rPr>
          <w:rFonts w:ascii="Arial" w:hAnsi="Arial" w:cs="Arial"/>
          <w:noProof/>
          <w:sz w:val="24"/>
          <w:szCs w:val="24"/>
        </w:rPr>
        <w:drawing>
          <wp:inline distT="0" distB="0" distL="0" distR="0" wp14:anchorId="1313927C" wp14:editId="6E633DBF">
            <wp:extent cx="3009900" cy="3997922"/>
            <wp:effectExtent l="0" t="0" r="0"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20750" r="5375"/>
                    <a:stretch/>
                  </pic:blipFill>
                  <pic:spPr bwMode="auto">
                    <a:xfrm>
                      <a:off x="0" y="0"/>
                      <a:ext cx="3014990" cy="4004683"/>
                    </a:xfrm>
                    <a:prstGeom prst="rect">
                      <a:avLst/>
                    </a:prstGeom>
                    <a:noFill/>
                    <a:ln>
                      <a:noFill/>
                    </a:ln>
                    <a:extLst>
                      <a:ext uri="{53640926-AAD7-44D8-BBD7-CCE9431645EC}">
                        <a14:shadowObscured xmlns:a14="http://schemas.microsoft.com/office/drawing/2010/main"/>
                      </a:ext>
                    </a:extLst>
                  </pic:spPr>
                </pic:pic>
              </a:graphicData>
            </a:graphic>
          </wp:inline>
        </w:drawing>
      </w:r>
    </w:p>
    <w:p w14:paraId="4B6BA766" w14:textId="3C59A15A" w:rsidR="007122D4" w:rsidRPr="001C3CFC" w:rsidRDefault="007122D4" w:rsidP="001C3CFC">
      <w:pPr>
        <w:pStyle w:val="Caption"/>
        <w:spacing w:line="360" w:lineRule="auto"/>
        <w:jc w:val="center"/>
        <w:rPr>
          <w:rFonts w:ascii="Arial" w:hAnsi="Arial" w:cs="Arial"/>
          <w:color w:val="auto"/>
          <w:sz w:val="22"/>
          <w:szCs w:val="22"/>
        </w:rPr>
      </w:pPr>
      <w:bookmarkStart w:id="2" w:name="_Toc71463753"/>
      <w:r w:rsidRPr="001C3CFC">
        <w:rPr>
          <w:rFonts w:ascii="Arial" w:hAnsi="Arial" w:cs="Arial"/>
          <w:color w:val="auto"/>
          <w:sz w:val="22"/>
          <w:szCs w:val="22"/>
        </w:rPr>
        <w:t xml:space="preserve">Figure </w:t>
      </w:r>
      <w:r w:rsidRPr="001C3CFC">
        <w:rPr>
          <w:rFonts w:ascii="Arial" w:hAnsi="Arial" w:cs="Arial"/>
          <w:color w:val="auto"/>
          <w:sz w:val="22"/>
          <w:szCs w:val="22"/>
        </w:rPr>
        <w:fldChar w:fldCharType="begin"/>
      </w:r>
      <w:r w:rsidRPr="001C3CFC">
        <w:rPr>
          <w:rFonts w:ascii="Arial" w:hAnsi="Arial" w:cs="Arial"/>
          <w:color w:val="auto"/>
          <w:sz w:val="22"/>
          <w:szCs w:val="22"/>
        </w:rPr>
        <w:instrText xml:space="preserve"> SEQ Figure \* ARABIC </w:instrText>
      </w:r>
      <w:r w:rsidRPr="001C3CFC">
        <w:rPr>
          <w:rFonts w:ascii="Arial" w:hAnsi="Arial" w:cs="Arial"/>
          <w:color w:val="auto"/>
          <w:sz w:val="22"/>
          <w:szCs w:val="22"/>
        </w:rPr>
        <w:fldChar w:fldCharType="separate"/>
      </w:r>
      <w:r w:rsidR="00246E5B" w:rsidRPr="001C3CFC">
        <w:rPr>
          <w:rFonts w:ascii="Arial" w:hAnsi="Arial" w:cs="Arial"/>
          <w:noProof/>
          <w:color w:val="auto"/>
          <w:sz w:val="22"/>
          <w:szCs w:val="22"/>
        </w:rPr>
        <w:t>1</w:t>
      </w:r>
      <w:r w:rsidRPr="001C3CFC">
        <w:rPr>
          <w:rFonts w:ascii="Arial" w:hAnsi="Arial" w:cs="Arial"/>
          <w:color w:val="auto"/>
          <w:sz w:val="22"/>
          <w:szCs w:val="22"/>
        </w:rPr>
        <w:fldChar w:fldCharType="end"/>
      </w:r>
      <w:r w:rsidRPr="001C3CFC">
        <w:rPr>
          <w:rFonts w:ascii="Arial" w:hAnsi="Arial" w:cs="Arial"/>
          <w:color w:val="auto"/>
          <w:sz w:val="22"/>
          <w:szCs w:val="22"/>
        </w:rPr>
        <w:t xml:space="preserve"> Employment Tribunal claim process (HM Courts and Tribunals Service, 2021)</w:t>
      </w:r>
      <w:bookmarkEnd w:id="2"/>
    </w:p>
    <w:p w14:paraId="0792199D" w14:textId="5A0B9155" w:rsidR="005E5ACC" w:rsidRDefault="005E5ACC" w:rsidP="001C3CF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Considering figure 1, we must respond to Gethin’s claim within 28 days, dated 6 December 2020 using the ET3 form. If we do not respond, or our response is received late, the ET may decide against us without a hearing (Dube, 2020). When filing the ET3 form, you must confirm if you are defending the claim. </w:t>
      </w:r>
      <w:r w:rsidR="00992B20">
        <w:rPr>
          <w:rFonts w:ascii="Arial" w:eastAsia="Times New Roman" w:hAnsi="Arial" w:cs="Arial"/>
          <w:sz w:val="24"/>
          <w:szCs w:val="24"/>
          <w:lang w:eastAsia="en-GB"/>
        </w:rPr>
        <w:t>Y</w:t>
      </w:r>
      <w:r w:rsidRPr="005E5ACC">
        <w:rPr>
          <w:rFonts w:ascii="Arial" w:eastAsia="Times New Roman" w:hAnsi="Arial" w:cs="Arial"/>
          <w:sz w:val="24"/>
          <w:szCs w:val="24"/>
          <w:lang w:eastAsia="en-GB"/>
        </w:rPr>
        <w:t xml:space="preserve">ou will need to submit your </w:t>
      </w:r>
      <w:r w:rsidR="008B24A2" w:rsidRPr="005E5ACC">
        <w:rPr>
          <w:rFonts w:ascii="Arial" w:eastAsia="Times New Roman" w:hAnsi="Arial" w:cs="Arial"/>
          <w:sz w:val="24"/>
          <w:szCs w:val="24"/>
          <w:lang w:eastAsia="en-GB"/>
        </w:rPr>
        <w:t>defence</w:t>
      </w:r>
      <w:r w:rsidRPr="005E5ACC">
        <w:rPr>
          <w:rFonts w:ascii="Arial" w:eastAsia="Times New Roman" w:hAnsi="Arial" w:cs="Arial"/>
          <w:sz w:val="24"/>
          <w:szCs w:val="24"/>
          <w:lang w:eastAsia="en-GB"/>
        </w:rPr>
        <w:t xml:space="preserve"> rationale with your </w:t>
      </w:r>
      <w:r w:rsidR="008B24A2">
        <w:rPr>
          <w:rFonts w:ascii="Arial" w:eastAsia="Times New Roman" w:hAnsi="Arial" w:cs="Arial"/>
          <w:sz w:val="24"/>
          <w:szCs w:val="24"/>
          <w:lang w:eastAsia="en-GB"/>
        </w:rPr>
        <w:t>notice of appearance/</w:t>
      </w:r>
      <w:r w:rsidRPr="005E5ACC">
        <w:rPr>
          <w:rFonts w:ascii="Arial" w:eastAsia="Times New Roman" w:hAnsi="Arial" w:cs="Arial"/>
          <w:sz w:val="24"/>
          <w:szCs w:val="24"/>
          <w:lang w:eastAsia="en-GB"/>
        </w:rPr>
        <w:t xml:space="preserve">ET3 </w:t>
      </w:r>
      <w:r w:rsidR="008B24A2">
        <w:rPr>
          <w:rFonts w:ascii="Arial" w:eastAsia="Times New Roman" w:hAnsi="Arial" w:cs="Arial"/>
          <w:sz w:val="24"/>
          <w:szCs w:val="24"/>
          <w:lang w:eastAsia="en-GB"/>
        </w:rPr>
        <w:t>form</w:t>
      </w:r>
      <w:r w:rsidR="008B24A2" w:rsidRPr="005E5ACC">
        <w:rPr>
          <w:rFonts w:ascii="Arial" w:eastAsia="Times New Roman" w:hAnsi="Arial" w:cs="Arial"/>
          <w:sz w:val="24"/>
          <w:szCs w:val="24"/>
          <w:lang w:eastAsia="en-GB"/>
        </w:rPr>
        <w:t xml:space="preserve"> (</w:t>
      </w:r>
      <w:r w:rsidRPr="005E5ACC">
        <w:rPr>
          <w:rFonts w:ascii="Arial" w:eastAsia="Times New Roman" w:hAnsi="Arial" w:cs="Arial"/>
          <w:sz w:val="24"/>
          <w:szCs w:val="24"/>
          <w:lang w:eastAsia="en-GB"/>
        </w:rPr>
        <w:t>HM Courts and Tribunal Service, 2021). Please ensure you consider the holiday period which falls within these 28 days into your timeline as an extension may not be granted.</w:t>
      </w:r>
    </w:p>
    <w:p w14:paraId="08666F9D" w14:textId="50F6534F" w:rsidR="008B24A2" w:rsidRPr="00CD3E3F" w:rsidRDefault="008B24A2" w:rsidP="001C3CFC">
      <w:pPr>
        <w:spacing w:after="0" w:line="360" w:lineRule="auto"/>
        <w:textAlignment w:val="baseline"/>
        <w:rPr>
          <w:rFonts w:ascii="Arial" w:eastAsia="Times New Roman" w:hAnsi="Arial" w:cs="Arial"/>
          <w:sz w:val="24"/>
          <w:szCs w:val="24"/>
          <w:lang w:eastAsia="en-GB"/>
        </w:rPr>
      </w:pPr>
    </w:p>
    <w:p w14:paraId="28691BF6" w14:textId="354D321F" w:rsidR="00CD3E3F" w:rsidRPr="00BE5EFE" w:rsidRDefault="007122D4" w:rsidP="00BE5EFE">
      <w:pPr>
        <w:spacing w:line="360" w:lineRule="auto"/>
        <w:rPr>
          <w:rFonts w:ascii="Arial" w:hAnsi="Arial" w:cs="Arial"/>
          <w:b/>
          <w:bCs/>
          <w:sz w:val="24"/>
          <w:szCs w:val="24"/>
          <w:lang w:eastAsia="en-GB"/>
        </w:rPr>
      </w:pPr>
      <w:r w:rsidRPr="00BE5EFE">
        <w:rPr>
          <w:rFonts w:ascii="Arial" w:hAnsi="Arial" w:cs="Arial"/>
          <w:b/>
          <w:bCs/>
          <w:sz w:val="24"/>
          <w:szCs w:val="24"/>
          <w:lang w:eastAsia="en-GB"/>
        </w:rPr>
        <w:t>Grounds for dismissal  </w:t>
      </w:r>
    </w:p>
    <w:p w14:paraId="57791A11" w14:textId="5515829E" w:rsidR="00CD3E3F" w:rsidRPr="00CD3E3F" w:rsidRDefault="007122D4" w:rsidP="00CD3E3F">
      <w:pPr>
        <w:pStyle w:val="ListParagraph"/>
        <w:numPr>
          <w:ilvl w:val="0"/>
          <w:numId w:val="31"/>
        </w:numPr>
        <w:spacing w:line="360" w:lineRule="auto"/>
        <w:rPr>
          <w:rFonts w:ascii="Arial" w:hAnsi="Arial" w:cs="Arial"/>
          <w:b/>
          <w:bCs/>
          <w:sz w:val="24"/>
          <w:szCs w:val="24"/>
          <w:lang w:eastAsia="en-GB"/>
        </w:rPr>
      </w:pPr>
      <w:r w:rsidRPr="00CD3E3F">
        <w:rPr>
          <w:rFonts w:ascii="Arial" w:hAnsi="Arial" w:cs="Arial"/>
          <w:b/>
          <w:bCs/>
          <w:sz w:val="24"/>
          <w:szCs w:val="24"/>
          <w:lang w:eastAsia="en-GB"/>
        </w:rPr>
        <w:t>Ordinary Unfair dismissal </w:t>
      </w:r>
    </w:p>
    <w:p w14:paraId="16CF11DE" w14:textId="331074F5" w:rsidR="007122D4" w:rsidRPr="001C3CFC" w:rsidRDefault="00BE7526" w:rsidP="001C3CFC">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F</w:t>
      </w:r>
      <w:r w:rsidR="007122D4" w:rsidRPr="001C3CFC">
        <w:rPr>
          <w:rFonts w:ascii="Arial" w:eastAsia="Times New Roman" w:hAnsi="Arial" w:cs="Arial"/>
          <w:sz w:val="24"/>
          <w:szCs w:val="24"/>
          <w:lang w:eastAsia="en-GB"/>
        </w:rPr>
        <w:t>or unfair dismissal to apply under sections 210-219 Employment Rights Act (ERA) 1996, the claimant must have two years’ continuous service, calculated up to the effective date of termination</w:t>
      </w:r>
      <w:r>
        <w:rPr>
          <w:rFonts w:ascii="Arial" w:eastAsia="Times New Roman" w:hAnsi="Arial" w:cs="Arial"/>
          <w:sz w:val="24"/>
          <w:szCs w:val="24"/>
          <w:lang w:eastAsia="en-GB"/>
        </w:rPr>
        <w:t xml:space="preserve"> (</w:t>
      </w:r>
      <w:r w:rsidRPr="001C3CFC">
        <w:rPr>
          <w:rFonts w:ascii="Arial" w:eastAsia="Times New Roman" w:hAnsi="Arial" w:cs="Arial"/>
          <w:sz w:val="24"/>
          <w:szCs w:val="24"/>
          <w:lang w:eastAsia="en-GB"/>
        </w:rPr>
        <w:t>Lewis and Sergeant</w:t>
      </w:r>
      <w:r>
        <w:rPr>
          <w:rFonts w:ascii="Arial" w:eastAsia="Times New Roman" w:hAnsi="Arial" w:cs="Arial"/>
          <w:sz w:val="24"/>
          <w:szCs w:val="24"/>
          <w:lang w:eastAsia="en-GB"/>
        </w:rPr>
        <w:t xml:space="preserve">, </w:t>
      </w:r>
      <w:r w:rsidRPr="001C3CFC">
        <w:rPr>
          <w:rFonts w:ascii="Arial" w:eastAsia="Times New Roman" w:hAnsi="Arial" w:cs="Arial"/>
          <w:sz w:val="24"/>
          <w:szCs w:val="24"/>
          <w:lang w:eastAsia="en-GB"/>
        </w:rPr>
        <w:t>2020)</w:t>
      </w:r>
      <w:r w:rsidR="007122D4" w:rsidRPr="001C3CFC">
        <w:rPr>
          <w:rFonts w:ascii="Arial" w:eastAsia="Times New Roman" w:hAnsi="Arial" w:cs="Arial"/>
          <w:sz w:val="24"/>
          <w:szCs w:val="24"/>
          <w:lang w:eastAsia="en-GB"/>
        </w:rPr>
        <w:t>.</w:t>
      </w:r>
      <w:r w:rsidR="00AA7E05" w:rsidRPr="001C3CFC">
        <w:rPr>
          <w:rFonts w:ascii="Arial" w:hAnsi="Arial" w:cs="Arial"/>
          <w:sz w:val="24"/>
          <w:szCs w:val="24"/>
        </w:rPr>
        <w:t xml:space="preserve"> </w:t>
      </w:r>
      <w:r w:rsidR="00AA7E05" w:rsidRPr="001C3CFC">
        <w:rPr>
          <w:rFonts w:ascii="Arial" w:eastAsia="Times New Roman" w:hAnsi="Arial" w:cs="Arial"/>
          <w:sz w:val="24"/>
          <w:szCs w:val="24"/>
          <w:lang w:eastAsia="en-GB"/>
        </w:rPr>
        <w:t>Gethin has been employed at Big Buses Limited (BB) since March 2014 and therefore would qualify for this.</w:t>
      </w:r>
    </w:p>
    <w:p w14:paraId="20ED2341" w14:textId="05FCFB23"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There are five fair reasons for dismissal:  </w:t>
      </w:r>
    </w:p>
    <w:p w14:paraId="446E3188" w14:textId="77777777" w:rsidR="007122D4" w:rsidRPr="007122D4" w:rsidRDefault="007122D4" w:rsidP="001C3CFC">
      <w:pPr>
        <w:numPr>
          <w:ilvl w:val="0"/>
          <w:numId w:val="3"/>
        </w:numPr>
        <w:spacing w:after="0" w:line="360" w:lineRule="auto"/>
        <w:ind w:left="1080" w:firstLine="0"/>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Capability </w:t>
      </w:r>
    </w:p>
    <w:p w14:paraId="526EFBBB" w14:textId="77777777" w:rsidR="007122D4" w:rsidRPr="007122D4" w:rsidRDefault="007122D4" w:rsidP="001C3CFC">
      <w:pPr>
        <w:numPr>
          <w:ilvl w:val="0"/>
          <w:numId w:val="4"/>
        </w:numPr>
        <w:spacing w:after="0" w:line="360" w:lineRule="auto"/>
        <w:ind w:left="1080" w:firstLine="0"/>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Conduct </w:t>
      </w:r>
    </w:p>
    <w:p w14:paraId="06BC2029" w14:textId="77777777" w:rsidR="007122D4" w:rsidRPr="007122D4" w:rsidRDefault="007122D4" w:rsidP="001C3CFC">
      <w:pPr>
        <w:numPr>
          <w:ilvl w:val="0"/>
          <w:numId w:val="5"/>
        </w:numPr>
        <w:spacing w:after="0" w:line="360" w:lineRule="auto"/>
        <w:ind w:left="1080" w:firstLine="0"/>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Redundancy </w:t>
      </w:r>
    </w:p>
    <w:p w14:paraId="7A2A7598" w14:textId="77777777" w:rsidR="007122D4" w:rsidRPr="007122D4" w:rsidRDefault="007122D4" w:rsidP="001C3CFC">
      <w:pPr>
        <w:numPr>
          <w:ilvl w:val="0"/>
          <w:numId w:val="6"/>
        </w:numPr>
        <w:spacing w:after="0" w:line="360" w:lineRule="auto"/>
        <w:ind w:left="1080" w:firstLine="0"/>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Statutory illegality </w:t>
      </w:r>
    </w:p>
    <w:p w14:paraId="49EE4AF8" w14:textId="13DD6E94" w:rsidR="007122D4" w:rsidRPr="001C3CFC" w:rsidRDefault="007122D4" w:rsidP="001C3CFC">
      <w:pPr>
        <w:numPr>
          <w:ilvl w:val="0"/>
          <w:numId w:val="7"/>
        </w:numPr>
        <w:spacing w:after="0" w:line="360" w:lineRule="auto"/>
        <w:ind w:left="1080" w:firstLine="0"/>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‘Some other substantial reason' (SOSR) </w:t>
      </w:r>
    </w:p>
    <w:p w14:paraId="30E7E960" w14:textId="77777777" w:rsidR="007122D4" w:rsidRPr="007122D4" w:rsidRDefault="007122D4" w:rsidP="001C3CFC">
      <w:pPr>
        <w:spacing w:after="0" w:line="360" w:lineRule="auto"/>
        <w:ind w:left="1080"/>
        <w:textAlignment w:val="baseline"/>
        <w:rPr>
          <w:rFonts w:ascii="Arial" w:eastAsia="Times New Roman" w:hAnsi="Arial" w:cs="Arial"/>
          <w:sz w:val="24"/>
          <w:szCs w:val="24"/>
          <w:lang w:eastAsia="en-GB"/>
        </w:rPr>
      </w:pPr>
    </w:p>
    <w:p w14:paraId="44896E63" w14:textId="45F1C36F" w:rsid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However, “dismissals are only fair if the employer acted reasonably in dismissing the employee for one of these reasons and followed an appropriate procedure before dismissal” (CIPD, 2020a). </w:t>
      </w:r>
    </w:p>
    <w:p w14:paraId="66E35842" w14:textId="77777777" w:rsidR="00B2502C" w:rsidRPr="005E5ACC" w:rsidRDefault="00B2502C" w:rsidP="005E5ACC">
      <w:pPr>
        <w:spacing w:after="0" w:line="360" w:lineRule="auto"/>
        <w:textAlignment w:val="baseline"/>
        <w:rPr>
          <w:rFonts w:ascii="Arial" w:eastAsia="Times New Roman" w:hAnsi="Arial" w:cs="Arial"/>
          <w:sz w:val="24"/>
          <w:szCs w:val="24"/>
          <w:lang w:eastAsia="en-GB"/>
        </w:rPr>
      </w:pPr>
    </w:p>
    <w:p w14:paraId="78408C1F" w14:textId="675C96E4" w:rsidR="005E5ACC" w:rsidRPr="007122D4"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A dismissal for misconduct will be unfair under the ERA 1996 section 98 unless at the time of the dismissal:  </w:t>
      </w:r>
    </w:p>
    <w:p w14:paraId="37B01AFC" w14:textId="77777777" w:rsidR="00246E5B" w:rsidRPr="001C3CFC" w:rsidRDefault="00246E5B" w:rsidP="001C3CFC">
      <w:pPr>
        <w:spacing w:after="0" w:line="360" w:lineRule="auto"/>
        <w:textAlignment w:val="baseline"/>
        <w:rPr>
          <w:rFonts w:ascii="Arial" w:eastAsia="Times New Roman" w:hAnsi="Arial" w:cs="Arial"/>
          <w:sz w:val="24"/>
          <w:szCs w:val="24"/>
          <w:lang w:eastAsia="en-GB"/>
        </w:rPr>
      </w:pPr>
    </w:p>
    <w:p w14:paraId="57C007C0" w14:textId="3E4A85AD" w:rsidR="00246E5B" w:rsidRPr="001C3CFC" w:rsidRDefault="007122D4" w:rsidP="001C3CFC">
      <w:pPr>
        <w:pStyle w:val="ListParagraph"/>
        <w:numPr>
          <w:ilvl w:val="0"/>
          <w:numId w:val="30"/>
        </w:numPr>
        <w:spacing w:after="0" w:line="360" w:lineRule="auto"/>
        <w:textAlignment w:val="baseline"/>
        <w:rPr>
          <w:rFonts w:ascii="Arial" w:eastAsia="Times New Roman" w:hAnsi="Arial" w:cs="Arial"/>
          <w:sz w:val="24"/>
          <w:szCs w:val="24"/>
          <w:lang w:eastAsia="en-GB"/>
        </w:rPr>
      </w:pPr>
      <w:r w:rsidRPr="001C3CFC">
        <w:rPr>
          <w:rFonts w:ascii="Arial" w:eastAsia="Times New Roman" w:hAnsi="Arial" w:cs="Arial"/>
          <w:sz w:val="24"/>
          <w:szCs w:val="24"/>
          <w:lang w:eastAsia="en-GB"/>
        </w:rPr>
        <w:t xml:space="preserve">The employer believed the employee to be guilty of </w:t>
      </w:r>
      <w:r w:rsidR="00B54143" w:rsidRPr="001C3CFC">
        <w:rPr>
          <w:rFonts w:ascii="Arial" w:eastAsia="Times New Roman" w:hAnsi="Arial" w:cs="Arial"/>
          <w:sz w:val="24"/>
          <w:szCs w:val="24"/>
          <w:lang w:eastAsia="en-GB"/>
        </w:rPr>
        <w:t>misconduct.</w:t>
      </w:r>
      <w:r w:rsidRPr="001C3CFC">
        <w:rPr>
          <w:rFonts w:ascii="Arial" w:eastAsia="Times New Roman" w:hAnsi="Arial" w:cs="Arial"/>
          <w:sz w:val="24"/>
          <w:szCs w:val="24"/>
          <w:lang w:eastAsia="en-GB"/>
        </w:rPr>
        <w:t> </w:t>
      </w:r>
    </w:p>
    <w:p w14:paraId="751031FD" w14:textId="77777777" w:rsidR="00246E5B" w:rsidRPr="001C3CFC" w:rsidRDefault="007122D4" w:rsidP="001C3CFC">
      <w:pPr>
        <w:pStyle w:val="ListParagraph"/>
        <w:numPr>
          <w:ilvl w:val="0"/>
          <w:numId w:val="30"/>
        </w:numPr>
        <w:spacing w:after="0" w:line="360" w:lineRule="auto"/>
        <w:textAlignment w:val="baseline"/>
        <w:rPr>
          <w:rFonts w:ascii="Arial" w:eastAsia="Times New Roman" w:hAnsi="Arial" w:cs="Arial"/>
          <w:sz w:val="24"/>
          <w:szCs w:val="24"/>
          <w:lang w:eastAsia="en-GB"/>
        </w:rPr>
      </w:pPr>
      <w:r w:rsidRPr="001C3CFC">
        <w:rPr>
          <w:rFonts w:ascii="Arial" w:eastAsia="Times New Roman" w:hAnsi="Arial" w:cs="Arial"/>
          <w:sz w:val="24"/>
          <w:szCs w:val="24"/>
          <w:lang w:eastAsia="en-GB"/>
        </w:rPr>
        <w:t>The employer had reasonable grounds for believing that the employee was guilty of that misconduct.  </w:t>
      </w:r>
    </w:p>
    <w:p w14:paraId="15C20B2E" w14:textId="3CD290F7" w:rsidR="007122D4" w:rsidRPr="001C3CFC" w:rsidRDefault="007122D4" w:rsidP="001C3CFC">
      <w:pPr>
        <w:pStyle w:val="ListParagraph"/>
        <w:numPr>
          <w:ilvl w:val="0"/>
          <w:numId w:val="30"/>
        </w:numPr>
        <w:spacing w:after="0" w:line="360" w:lineRule="auto"/>
        <w:textAlignment w:val="baseline"/>
        <w:rPr>
          <w:rFonts w:ascii="Arial" w:eastAsia="Times New Roman" w:hAnsi="Arial" w:cs="Arial"/>
          <w:sz w:val="24"/>
          <w:szCs w:val="24"/>
          <w:lang w:eastAsia="en-GB"/>
        </w:rPr>
      </w:pPr>
      <w:r w:rsidRPr="001C3CFC">
        <w:rPr>
          <w:rFonts w:ascii="Arial" w:eastAsia="Times New Roman" w:hAnsi="Arial" w:cs="Arial"/>
          <w:sz w:val="24"/>
          <w:szCs w:val="24"/>
          <w:lang w:eastAsia="en-GB"/>
        </w:rPr>
        <w:t>At the time it held that belief, it had carried out as much investigation as was reasonable. </w:t>
      </w:r>
    </w:p>
    <w:p w14:paraId="700091C2" w14:textId="77777777" w:rsidR="007122D4" w:rsidRPr="007122D4" w:rsidRDefault="007122D4" w:rsidP="001C3CFC">
      <w:pPr>
        <w:spacing w:after="0" w:line="360" w:lineRule="auto"/>
        <w:ind w:left="1080"/>
        <w:textAlignment w:val="baseline"/>
        <w:rPr>
          <w:rFonts w:ascii="Arial" w:eastAsia="Times New Roman" w:hAnsi="Arial" w:cs="Arial"/>
          <w:sz w:val="24"/>
          <w:szCs w:val="24"/>
          <w:lang w:eastAsia="en-GB"/>
        </w:rPr>
      </w:pPr>
    </w:p>
    <w:p w14:paraId="6BAC1525" w14:textId="54B0987B" w:rsidR="00BE7526"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This is known as “The Burchell Test” which is established from the case </w:t>
      </w:r>
      <w:r w:rsidR="00CB29E6">
        <w:rPr>
          <w:rFonts w:ascii="Arial" w:eastAsia="Times New Roman" w:hAnsi="Arial" w:cs="Arial"/>
          <w:sz w:val="24"/>
          <w:szCs w:val="24"/>
          <w:lang w:eastAsia="en-GB"/>
        </w:rPr>
        <w:t>‘</w:t>
      </w:r>
      <w:r w:rsidRPr="005E5ACC">
        <w:rPr>
          <w:rFonts w:ascii="Arial" w:eastAsia="Times New Roman" w:hAnsi="Arial" w:cs="Arial"/>
          <w:sz w:val="24"/>
          <w:szCs w:val="24"/>
          <w:lang w:eastAsia="en-GB"/>
        </w:rPr>
        <w:t>British Home Stores Ltd v</w:t>
      </w:r>
      <w:r w:rsidR="00CB29E6">
        <w:rPr>
          <w:rFonts w:ascii="Arial" w:eastAsia="Times New Roman" w:hAnsi="Arial" w:cs="Arial"/>
          <w:sz w:val="24"/>
          <w:szCs w:val="24"/>
          <w:lang w:eastAsia="en-GB"/>
        </w:rPr>
        <w:t>.</w:t>
      </w:r>
      <w:r w:rsidRPr="005E5ACC">
        <w:rPr>
          <w:rFonts w:ascii="Arial" w:eastAsia="Times New Roman" w:hAnsi="Arial" w:cs="Arial"/>
          <w:sz w:val="24"/>
          <w:szCs w:val="24"/>
          <w:lang w:eastAsia="en-GB"/>
        </w:rPr>
        <w:t xml:space="preserve"> Burchell</w:t>
      </w:r>
      <w:r w:rsidR="00CB29E6">
        <w:rPr>
          <w:rFonts w:ascii="Arial" w:eastAsia="Times New Roman" w:hAnsi="Arial" w:cs="Arial"/>
          <w:sz w:val="24"/>
          <w:szCs w:val="24"/>
          <w:lang w:eastAsia="en-GB"/>
        </w:rPr>
        <w:t>’</w:t>
      </w:r>
      <w:r w:rsidRPr="005E5ACC">
        <w:rPr>
          <w:rFonts w:ascii="Arial" w:eastAsia="Times New Roman" w:hAnsi="Arial" w:cs="Arial"/>
          <w:sz w:val="24"/>
          <w:szCs w:val="24"/>
          <w:lang w:eastAsia="en-GB"/>
        </w:rPr>
        <w:t xml:space="preserve"> </w:t>
      </w:r>
      <w:r w:rsidR="00CB29E6">
        <w:rPr>
          <w:rFonts w:ascii="Arial" w:eastAsia="Times New Roman" w:hAnsi="Arial" w:cs="Arial"/>
          <w:sz w:val="24"/>
          <w:szCs w:val="24"/>
          <w:lang w:eastAsia="en-GB"/>
        </w:rPr>
        <w:t>(</w:t>
      </w:r>
      <w:r w:rsidRPr="005E5ACC">
        <w:rPr>
          <w:rFonts w:ascii="Arial" w:eastAsia="Times New Roman" w:hAnsi="Arial" w:cs="Arial"/>
          <w:sz w:val="24"/>
          <w:szCs w:val="24"/>
          <w:lang w:eastAsia="en-GB"/>
        </w:rPr>
        <w:t>1978</w:t>
      </w:r>
      <w:r w:rsidR="00CB29E6">
        <w:rPr>
          <w:rFonts w:ascii="Arial" w:eastAsia="Times New Roman" w:hAnsi="Arial" w:cs="Arial"/>
          <w:sz w:val="24"/>
          <w:szCs w:val="24"/>
          <w:lang w:eastAsia="en-GB"/>
        </w:rPr>
        <w:t>)</w:t>
      </w:r>
      <w:r w:rsidRPr="005E5ACC">
        <w:rPr>
          <w:rFonts w:ascii="Arial" w:eastAsia="Times New Roman" w:hAnsi="Arial" w:cs="Arial"/>
          <w:sz w:val="24"/>
          <w:szCs w:val="24"/>
          <w:lang w:eastAsia="en-GB"/>
        </w:rPr>
        <w:t xml:space="preserve"> (ESPHR, 2017). </w:t>
      </w:r>
    </w:p>
    <w:p w14:paraId="2DCB0525" w14:textId="77777777" w:rsidR="00992B20" w:rsidRDefault="00992B20" w:rsidP="005E5ACC">
      <w:pPr>
        <w:spacing w:after="0" w:line="360" w:lineRule="auto"/>
        <w:textAlignment w:val="baseline"/>
        <w:rPr>
          <w:rFonts w:ascii="Arial" w:eastAsia="Times New Roman" w:hAnsi="Arial" w:cs="Arial"/>
          <w:sz w:val="24"/>
          <w:szCs w:val="24"/>
          <w:lang w:eastAsia="en-GB"/>
        </w:rPr>
      </w:pPr>
    </w:p>
    <w:p w14:paraId="13662373" w14:textId="1E6033B3" w:rsidR="005E5ACC" w:rsidRPr="001C3CF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The burden of proof lies with BB to show that a fair and reasonable investigation took place and on the balance of probabilities a genuine belief was established on </w:t>
      </w:r>
      <w:r w:rsidRPr="005E5ACC">
        <w:rPr>
          <w:rFonts w:ascii="Arial" w:eastAsia="Times New Roman" w:hAnsi="Arial" w:cs="Arial"/>
          <w:sz w:val="24"/>
          <w:szCs w:val="24"/>
          <w:lang w:eastAsia="en-GB"/>
        </w:rPr>
        <w:lastRenderedPageBreak/>
        <w:t>reasonable grounds for the dismissal of Gethin; This would satisfy the Burchell test</w:t>
      </w:r>
      <w:r>
        <w:rPr>
          <w:rFonts w:ascii="Arial" w:eastAsia="Times New Roman" w:hAnsi="Arial" w:cs="Arial"/>
          <w:sz w:val="24"/>
          <w:szCs w:val="24"/>
          <w:lang w:eastAsia="en-GB"/>
        </w:rPr>
        <w:t xml:space="preserve"> at an ET. </w:t>
      </w:r>
    </w:p>
    <w:p w14:paraId="15A33003"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p>
    <w:p w14:paraId="42F3A265" w14:textId="066C3F51" w:rsidR="007122D4" w:rsidRPr="00CD3E3F" w:rsidRDefault="00CD3E3F" w:rsidP="00CD3E3F">
      <w:pPr>
        <w:spacing w:line="360" w:lineRule="auto"/>
        <w:ind w:firstLine="720"/>
        <w:rPr>
          <w:rFonts w:ascii="Arial" w:eastAsia="Times New Roman" w:hAnsi="Arial" w:cs="Arial"/>
          <w:b/>
          <w:bCs/>
          <w:sz w:val="24"/>
          <w:szCs w:val="24"/>
          <w:lang w:eastAsia="en-GB"/>
        </w:rPr>
      </w:pPr>
      <w:r w:rsidRPr="00CD3E3F">
        <w:rPr>
          <w:rFonts w:ascii="Arial" w:hAnsi="Arial" w:cs="Arial"/>
          <w:b/>
          <w:bCs/>
          <w:sz w:val="24"/>
          <w:szCs w:val="24"/>
          <w:lang w:eastAsia="en-GB"/>
        </w:rPr>
        <w:t>2.</w:t>
      </w:r>
      <w:r>
        <w:rPr>
          <w:rFonts w:ascii="Arial" w:hAnsi="Arial" w:cs="Arial"/>
          <w:b/>
          <w:bCs/>
          <w:sz w:val="24"/>
          <w:szCs w:val="24"/>
          <w:lang w:eastAsia="en-GB"/>
        </w:rPr>
        <w:t xml:space="preserve">  </w:t>
      </w:r>
      <w:r w:rsidR="007122D4" w:rsidRPr="00CD3E3F">
        <w:rPr>
          <w:rFonts w:ascii="Arial" w:hAnsi="Arial" w:cs="Arial"/>
          <w:b/>
          <w:bCs/>
          <w:sz w:val="24"/>
          <w:szCs w:val="24"/>
          <w:lang w:eastAsia="en-GB"/>
        </w:rPr>
        <w:t>Wrongful Dismissal </w:t>
      </w:r>
    </w:p>
    <w:p w14:paraId="582E9D43"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CIPD (2020b) states that the dismissal of an employee with no notice will nearly every time lead to the right to bring a wrongful dismissal claim unless the employer can prove that the employee's gross misconduct actions justified this response. The employee must be guilty of gross misconduct for summary dismissal to be justified. Consideration is given to the nature of the business, and if an employer deems an act to warrant summary dismissal; These decisions should be communicated to all employees (Lewis and Sargeant 2020).  </w:t>
      </w:r>
    </w:p>
    <w:p w14:paraId="0F53FBCB"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23EF562B" w14:textId="677EFA1E" w:rsidR="005E5ACC" w:rsidRP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The calculation for statutory notice is one week for an employee whose service is between one month and two years, which rises by one week per year to a maximum of twelve years (Kanani, 2015). Other monetary benefits may also be payable such as holiday pay, pension contributions, and other benefits such as a bonus payment. </w:t>
      </w:r>
      <w:r w:rsidR="00BE7526">
        <w:rPr>
          <w:rFonts w:ascii="Arial" w:eastAsia="Times New Roman" w:hAnsi="Arial" w:cs="Arial"/>
          <w:sz w:val="24"/>
          <w:szCs w:val="24"/>
          <w:lang w:eastAsia="en-GB"/>
        </w:rPr>
        <w:t>Please not the way to calculate holiday pay</w:t>
      </w:r>
      <w:r w:rsidR="00992B20">
        <w:rPr>
          <w:rFonts w:ascii="Arial" w:eastAsia="Times New Roman" w:hAnsi="Arial" w:cs="Arial"/>
          <w:sz w:val="24"/>
          <w:szCs w:val="24"/>
          <w:lang w:eastAsia="en-GB"/>
        </w:rPr>
        <w:t>.</w:t>
      </w:r>
    </w:p>
    <w:p w14:paraId="2FC964AC"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20E17F6F" w14:textId="5C27E509" w:rsidR="005E5ACC" w:rsidRPr="007122D4"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Not providing notice to Gethin could be a fundamental breach of the employment contract unless it can be satisfied that the reason for dismissal was justifiable to warrant summary dismissal.  </w:t>
      </w:r>
    </w:p>
    <w:p w14:paraId="00006955" w14:textId="77777777" w:rsidR="007122D4" w:rsidRPr="001C3CFC" w:rsidRDefault="007122D4" w:rsidP="001C3CFC">
      <w:pPr>
        <w:spacing w:after="0" w:line="360" w:lineRule="auto"/>
        <w:textAlignment w:val="baseline"/>
        <w:rPr>
          <w:rFonts w:ascii="Arial" w:eastAsia="Times New Roman" w:hAnsi="Arial" w:cs="Arial"/>
          <w:b/>
          <w:bCs/>
          <w:sz w:val="24"/>
          <w:szCs w:val="24"/>
          <w:lang w:eastAsia="en-GB"/>
        </w:rPr>
      </w:pPr>
    </w:p>
    <w:p w14:paraId="25E45799" w14:textId="58A28B13" w:rsidR="005E5ACC" w:rsidRPr="005E5ACC" w:rsidRDefault="00CD3E3F" w:rsidP="005E5ACC">
      <w:pPr>
        <w:spacing w:line="360" w:lineRule="auto"/>
        <w:ind w:firstLine="720"/>
        <w:rPr>
          <w:rFonts w:ascii="Arial" w:hAnsi="Arial" w:cs="Arial"/>
          <w:b/>
          <w:bCs/>
          <w:sz w:val="24"/>
          <w:szCs w:val="24"/>
          <w:lang w:eastAsia="en-GB"/>
        </w:rPr>
      </w:pPr>
      <w:r w:rsidRPr="00CD3E3F">
        <w:rPr>
          <w:rFonts w:ascii="Arial" w:hAnsi="Arial" w:cs="Arial"/>
          <w:b/>
          <w:bCs/>
          <w:sz w:val="24"/>
          <w:szCs w:val="24"/>
          <w:lang w:eastAsia="en-GB"/>
        </w:rPr>
        <w:t>3.</w:t>
      </w:r>
      <w:r>
        <w:rPr>
          <w:rFonts w:ascii="Arial" w:hAnsi="Arial" w:cs="Arial"/>
          <w:b/>
          <w:bCs/>
          <w:sz w:val="24"/>
          <w:szCs w:val="24"/>
          <w:lang w:eastAsia="en-GB"/>
        </w:rPr>
        <w:t xml:space="preserve"> </w:t>
      </w:r>
      <w:r w:rsidR="007122D4" w:rsidRPr="00CD3E3F">
        <w:rPr>
          <w:rFonts w:ascii="Arial" w:hAnsi="Arial" w:cs="Arial"/>
          <w:b/>
          <w:bCs/>
          <w:sz w:val="24"/>
          <w:szCs w:val="24"/>
          <w:lang w:eastAsia="en-GB"/>
        </w:rPr>
        <w:t>Automatic Unfair Dismissal - Whistleblowing </w:t>
      </w:r>
    </w:p>
    <w:p w14:paraId="4EFB712D"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Whistleblowing is the process of an employee (or worker) disclosing information concerning wrongdoing (Department for Business Skills and Innovation, 2015). Regulation 12 of the Management of Health and Safety at work Regulation 1999 applies a statutory whistleblowing obligation for workers to inform management of any H&amp;S risks.  </w:t>
      </w:r>
    </w:p>
    <w:p w14:paraId="1F31A7E3"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4F026F74" w14:textId="380BC1D4" w:rsid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Health and Safety Executive (2014) states that any concerns, if possible, should be raised internally first and if a person is victimis</w:t>
      </w:r>
      <w:r w:rsidR="00992B20">
        <w:rPr>
          <w:rFonts w:ascii="Arial" w:eastAsia="Times New Roman" w:hAnsi="Arial" w:cs="Arial"/>
          <w:sz w:val="24"/>
          <w:szCs w:val="24"/>
          <w:lang w:eastAsia="en-GB"/>
        </w:rPr>
        <w:t>ed</w:t>
      </w:r>
      <w:r w:rsidRPr="005E5ACC">
        <w:rPr>
          <w:rFonts w:ascii="Arial" w:eastAsia="Times New Roman" w:hAnsi="Arial" w:cs="Arial"/>
          <w:sz w:val="24"/>
          <w:szCs w:val="24"/>
          <w:lang w:eastAsia="en-GB"/>
        </w:rPr>
        <w:t xml:space="preserve"> due to the disclosure, they can bring an ET</w:t>
      </w:r>
      <w:r w:rsidR="007E2DB4">
        <w:rPr>
          <w:rFonts w:ascii="Arial" w:eastAsia="Times New Roman" w:hAnsi="Arial" w:cs="Arial"/>
          <w:sz w:val="24"/>
          <w:szCs w:val="24"/>
          <w:lang w:eastAsia="en-GB"/>
        </w:rPr>
        <w:t xml:space="preserve"> claim</w:t>
      </w:r>
      <w:r w:rsidRPr="005E5ACC">
        <w:rPr>
          <w:rFonts w:ascii="Arial" w:eastAsia="Times New Roman" w:hAnsi="Arial" w:cs="Arial"/>
          <w:sz w:val="24"/>
          <w:szCs w:val="24"/>
          <w:lang w:eastAsia="en-GB"/>
        </w:rPr>
        <w:t xml:space="preserve">. ERA section 103A states that if a person makes a </w:t>
      </w:r>
      <w:r w:rsidR="00992B20" w:rsidRPr="005E5ACC">
        <w:rPr>
          <w:rFonts w:ascii="Arial" w:eastAsia="Times New Roman" w:hAnsi="Arial" w:cs="Arial"/>
          <w:sz w:val="24"/>
          <w:szCs w:val="24"/>
          <w:lang w:eastAsia="en-GB"/>
        </w:rPr>
        <w:t>protected</w:t>
      </w:r>
      <w:r w:rsidRPr="005E5ACC">
        <w:rPr>
          <w:rFonts w:ascii="Arial" w:eastAsia="Times New Roman" w:hAnsi="Arial" w:cs="Arial"/>
          <w:sz w:val="24"/>
          <w:szCs w:val="24"/>
          <w:lang w:eastAsia="en-GB"/>
        </w:rPr>
        <w:t xml:space="preserve"> </w:t>
      </w:r>
      <w:r w:rsidRPr="005E5ACC">
        <w:rPr>
          <w:rFonts w:ascii="Arial" w:eastAsia="Times New Roman" w:hAnsi="Arial" w:cs="Arial"/>
          <w:sz w:val="24"/>
          <w:szCs w:val="24"/>
          <w:lang w:eastAsia="en-GB"/>
        </w:rPr>
        <w:lastRenderedPageBreak/>
        <w:t xml:space="preserve">disclosure and is subsequently dismissed due to that disclosure, unfair dismissal applies. </w:t>
      </w:r>
    </w:p>
    <w:p w14:paraId="412130A6" w14:textId="77777777" w:rsidR="00D554D8" w:rsidRPr="005E5ACC" w:rsidRDefault="00D554D8" w:rsidP="005E5ACC">
      <w:pPr>
        <w:spacing w:after="0" w:line="360" w:lineRule="auto"/>
        <w:textAlignment w:val="baseline"/>
        <w:rPr>
          <w:rFonts w:ascii="Arial" w:eastAsia="Times New Roman" w:hAnsi="Arial" w:cs="Arial"/>
          <w:sz w:val="24"/>
          <w:szCs w:val="24"/>
          <w:lang w:eastAsia="en-GB"/>
        </w:rPr>
      </w:pPr>
    </w:p>
    <w:p w14:paraId="2B7A93A0" w14:textId="19848BE6" w:rsidR="005E5ACC" w:rsidRP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The Public Interest Disclosure Act (PIDA) 1998 protects workers from being subjected to any ‘detriment</w:t>
      </w:r>
      <w:r w:rsidR="00992B20">
        <w:rPr>
          <w:rFonts w:ascii="Arial" w:eastAsia="Times New Roman" w:hAnsi="Arial" w:cs="Arial"/>
          <w:sz w:val="24"/>
          <w:szCs w:val="24"/>
          <w:lang w:eastAsia="en-GB"/>
        </w:rPr>
        <w:t>’</w:t>
      </w:r>
      <w:r w:rsidRPr="005E5ACC">
        <w:rPr>
          <w:rFonts w:ascii="Arial" w:eastAsia="Times New Roman" w:hAnsi="Arial" w:cs="Arial"/>
          <w:sz w:val="24"/>
          <w:szCs w:val="24"/>
          <w:lang w:eastAsia="en-GB"/>
        </w:rPr>
        <w:t xml:space="preserve"> if they make a protected disclosure and any dismissal would be treated as unfair dismissal (Gov, 2013).  </w:t>
      </w:r>
    </w:p>
    <w:p w14:paraId="187E3CD7"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02F04902" w14:textId="68AC48D9" w:rsidR="005E5ACC" w:rsidRPr="001C3CF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Gethin states he has made a protected disclosure to his line manager on several occasions, stating that he does not feel BB is acting in their employees' best interests in terms of Health and Safety (H&amp;S). </w:t>
      </w:r>
      <w:r w:rsidR="005145E6">
        <w:rPr>
          <w:rFonts w:ascii="Arial" w:eastAsia="Times New Roman" w:hAnsi="Arial" w:cs="Arial"/>
          <w:sz w:val="24"/>
          <w:szCs w:val="24"/>
          <w:lang w:eastAsia="en-GB"/>
        </w:rPr>
        <w:t>Mr S</w:t>
      </w:r>
      <w:r w:rsidRPr="005E5ACC">
        <w:rPr>
          <w:rFonts w:ascii="Arial" w:eastAsia="Times New Roman" w:hAnsi="Arial" w:cs="Arial"/>
          <w:sz w:val="24"/>
          <w:szCs w:val="24"/>
          <w:lang w:eastAsia="en-GB"/>
        </w:rPr>
        <w:t>teve</w:t>
      </w:r>
      <w:r w:rsidR="005145E6">
        <w:rPr>
          <w:rFonts w:ascii="Arial" w:eastAsia="Times New Roman" w:hAnsi="Arial" w:cs="Arial"/>
          <w:sz w:val="24"/>
          <w:szCs w:val="24"/>
          <w:lang w:eastAsia="en-GB"/>
        </w:rPr>
        <w:t xml:space="preserve"> Smith</w:t>
      </w:r>
      <w:r w:rsidRPr="005E5ACC">
        <w:rPr>
          <w:rFonts w:ascii="Arial" w:eastAsia="Times New Roman" w:hAnsi="Arial" w:cs="Arial"/>
          <w:sz w:val="24"/>
          <w:szCs w:val="24"/>
          <w:lang w:eastAsia="en-GB"/>
        </w:rPr>
        <w:t xml:space="preserve"> declares that</w:t>
      </w:r>
      <w:r w:rsidR="00992B20">
        <w:rPr>
          <w:rFonts w:ascii="Arial" w:eastAsia="Times New Roman" w:hAnsi="Arial" w:cs="Arial"/>
          <w:sz w:val="24"/>
          <w:szCs w:val="24"/>
          <w:lang w:eastAsia="en-GB"/>
        </w:rPr>
        <w:t xml:space="preserve"> </w:t>
      </w:r>
      <w:r w:rsidRPr="005E5ACC">
        <w:rPr>
          <w:rFonts w:ascii="Arial" w:eastAsia="Times New Roman" w:hAnsi="Arial" w:cs="Arial"/>
          <w:sz w:val="24"/>
          <w:szCs w:val="24"/>
          <w:lang w:eastAsia="en-GB"/>
        </w:rPr>
        <w:t xml:space="preserve">numerous communications </w:t>
      </w:r>
      <w:r w:rsidR="00992B20">
        <w:rPr>
          <w:rFonts w:ascii="Arial" w:eastAsia="Times New Roman" w:hAnsi="Arial" w:cs="Arial"/>
          <w:sz w:val="24"/>
          <w:szCs w:val="24"/>
          <w:lang w:eastAsia="en-GB"/>
        </w:rPr>
        <w:t xml:space="preserve">have been shared </w:t>
      </w:r>
      <w:r w:rsidRPr="005E5ACC">
        <w:rPr>
          <w:rFonts w:ascii="Arial" w:eastAsia="Times New Roman" w:hAnsi="Arial" w:cs="Arial"/>
          <w:sz w:val="24"/>
          <w:szCs w:val="24"/>
          <w:lang w:eastAsia="en-GB"/>
        </w:rPr>
        <w:t>about the requirement to wear face masks and adher</w:t>
      </w:r>
      <w:r w:rsidR="00992B20">
        <w:rPr>
          <w:rFonts w:ascii="Arial" w:eastAsia="Times New Roman" w:hAnsi="Arial" w:cs="Arial"/>
          <w:sz w:val="24"/>
          <w:szCs w:val="24"/>
          <w:lang w:eastAsia="en-GB"/>
        </w:rPr>
        <w:t>ing</w:t>
      </w:r>
      <w:r w:rsidRPr="005E5ACC">
        <w:rPr>
          <w:rFonts w:ascii="Arial" w:eastAsia="Times New Roman" w:hAnsi="Arial" w:cs="Arial"/>
          <w:sz w:val="24"/>
          <w:szCs w:val="24"/>
          <w:lang w:eastAsia="en-GB"/>
        </w:rPr>
        <w:t xml:space="preserve"> to the mantra ‘Hands, Face, Space’.</w:t>
      </w:r>
    </w:p>
    <w:p w14:paraId="26CF518E" w14:textId="77777777" w:rsidR="007122D4" w:rsidRPr="001C3CFC" w:rsidRDefault="007122D4" w:rsidP="001C3CFC">
      <w:pPr>
        <w:spacing w:after="0" w:line="360" w:lineRule="auto"/>
        <w:textAlignment w:val="baseline"/>
        <w:rPr>
          <w:rFonts w:ascii="Arial" w:eastAsia="Times New Roman" w:hAnsi="Arial" w:cs="Arial"/>
          <w:b/>
          <w:bCs/>
          <w:sz w:val="24"/>
          <w:szCs w:val="24"/>
          <w:lang w:eastAsia="en-GB"/>
        </w:rPr>
      </w:pPr>
    </w:p>
    <w:p w14:paraId="5FED4ADB" w14:textId="6A637D34" w:rsidR="007122D4" w:rsidRPr="00CD3E3F" w:rsidRDefault="00CD3E3F" w:rsidP="00CD3E3F">
      <w:pPr>
        <w:spacing w:line="360" w:lineRule="auto"/>
        <w:ind w:firstLine="720"/>
        <w:rPr>
          <w:rFonts w:ascii="Arial" w:hAnsi="Arial" w:cs="Arial"/>
          <w:b/>
          <w:bCs/>
          <w:sz w:val="24"/>
          <w:szCs w:val="24"/>
          <w:lang w:eastAsia="en-GB"/>
        </w:rPr>
      </w:pPr>
      <w:r w:rsidRPr="00CD3E3F">
        <w:rPr>
          <w:rFonts w:ascii="Arial" w:hAnsi="Arial" w:cs="Arial"/>
          <w:b/>
          <w:bCs/>
          <w:sz w:val="24"/>
          <w:szCs w:val="24"/>
          <w:lang w:eastAsia="en-GB"/>
        </w:rPr>
        <w:t>4.</w:t>
      </w:r>
      <w:r>
        <w:rPr>
          <w:rFonts w:ascii="Arial" w:hAnsi="Arial" w:cs="Arial"/>
          <w:b/>
          <w:bCs/>
          <w:sz w:val="24"/>
          <w:szCs w:val="24"/>
          <w:lang w:eastAsia="en-GB"/>
        </w:rPr>
        <w:t xml:space="preserve">  </w:t>
      </w:r>
      <w:r w:rsidR="007122D4" w:rsidRPr="00CD3E3F">
        <w:rPr>
          <w:rFonts w:ascii="Arial" w:hAnsi="Arial" w:cs="Arial"/>
          <w:b/>
          <w:bCs/>
          <w:sz w:val="24"/>
          <w:szCs w:val="24"/>
          <w:lang w:eastAsia="en-GB"/>
        </w:rPr>
        <w:t>Automatic Unfair Dismissal – Health and Safety concerns </w:t>
      </w:r>
    </w:p>
    <w:p w14:paraId="08ED20CC" w14:textId="3AD4F7F6" w:rsidR="005E5ACC" w:rsidRP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Section 100 of the ERA states that when an employee raises H&amp;S concerns to their employer and is then subsequently dismissed, this could amount to unfair dismissal. Gethin states that he raised his concerns around individuals not wearing face masks and the lack of enforcement from BB. Although very similar to a whistleblowing claim, both claims can be brought at the same time.  </w:t>
      </w:r>
    </w:p>
    <w:p w14:paraId="0C0FDA6D"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573B306F" w14:textId="15D689E4" w:rsidR="005E5ACC" w:rsidRP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Coronavirus has transformed the health and safety at work environment. </w:t>
      </w:r>
      <w:proofErr w:type="spellStart"/>
      <w:r w:rsidRPr="005E5ACC">
        <w:rPr>
          <w:rFonts w:ascii="Arial" w:eastAsia="Times New Roman" w:hAnsi="Arial" w:cs="Arial"/>
          <w:sz w:val="24"/>
          <w:szCs w:val="24"/>
          <w:lang w:eastAsia="en-GB"/>
        </w:rPr>
        <w:t>Buddoo</w:t>
      </w:r>
      <w:proofErr w:type="spellEnd"/>
      <w:r w:rsidRPr="005E5ACC">
        <w:rPr>
          <w:rFonts w:ascii="Arial" w:eastAsia="Times New Roman" w:hAnsi="Arial" w:cs="Arial"/>
          <w:sz w:val="24"/>
          <w:szCs w:val="24"/>
          <w:lang w:eastAsia="en-GB"/>
        </w:rPr>
        <w:t xml:space="preserve"> (2021) explains how new processes were introduced, considering the safest way to keep staff separate by embracing new technologies.  </w:t>
      </w:r>
    </w:p>
    <w:p w14:paraId="14BDEBF1"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55113951" w14:textId="03ED8940" w:rsidR="005E5ACC" w:rsidRPr="005E5AC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It is key to note that if Gethin’s mother is shielding due to a disability, there may be a claim raised for</w:t>
      </w:r>
      <w:r w:rsidR="005145E6">
        <w:rPr>
          <w:rFonts w:ascii="Arial" w:eastAsia="Times New Roman" w:hAnsi="Arial" w:cs="Arial"/>
          <w:sz w:val="24"/>
          <w:szCs w:val="24"/>
          <w:lang w:eastAsia="en-GB"/>
        </w:rPr>
        <w:t xml:space="preserve"> disability</w:t>
      </w:r>
      <w:r w:rsidRPr="005E5ACC">
        <w:rPr>
          <w:rFonts w:ascii="Arial" w:eastAsia="Times New Roman" w:hAnsi="Arial" w:cs="Arial"/>
          <w:sz w:val="24"/>
          <w:szCs w:val="24"/>
          <w:lang w:eastAsia="en-GB"/>
        </w:rPr>
        <w:t xml:space="preserve"> discrimination </w:t>
      </w:r>
      <w:r w:rsidR="005145E6">
        <w:rPr>
          <w:rFonts w:ascii="Arial" w:eastAsia="Times New Roman" w:hAnsi="Arial" w:cs="Arial"/>
          <w:sz w:val="24"/>
          <w:szCs w:val="24"/>
          <w:lang w:eastAsia="en-GB"/>
        </w:rPr>
        <w:t>by association</w:t>
      </w:r>
      <w:r w:rsidRPr="005E5ACC">
        <w:rPr>
          <w:rFonts w:ascii="Arial" w:eastAsia="Times New Roman" w:hAnsi="Arial" w:cs="Arial"/>
          <w:sz w:val="24"/>
          <w:szCs w:val="24"/>
          <w:lang w:eastAsia="en-GB"/>
        </w:rPr>
        <w:t>. This is a weaker claim as there is currently not a clear link between the dismissal and the detrimental impact on the mother</w:t>
      </w:r>
      <w:r w:rsidR="005145E6">
        <w:rPr>
          <w:rFonts w:ascii="Arial" w:eastAsia="Times New Roman" w:hAnsi="Arial" w:cs="Arial"/>
          <w:sz w:val="24"/>
          <w:szCs w:val="24"/>
          <w:lang w:eastAsia="en-GB"/>
        </w:rPr>
        <w:t xml:space="preserve">; </w:t>
      </w:r>
      <w:r w:rsidRPr="005E5ACC">
        <w:rPr>
          <w:rFonts w:ascii="Arial" w:eastAsia="Times New Roman" w:hAnsi="Arial" w:cs="Arial"/>
          <w:sz w:val="24"/>
          <w:szCs w:val="24"/>
          <w:lang w:eastAsia="en-GB"/>
        </w:rPr>
        <w:t xml:space="preserve">Gethin has decided to work and not shield, therefore he bears the risk of </w:t>
      </w:r>
      <w:r w:rsidR="000B54B9">
        <w:rPr>
          <w:rFonts w:ascii="Arial" w:eastAsia="Times New Roman" w:hAnsi="Arial" w:cs="Arial"/>
          <w:sz w:val="24"/>
          <w:szCs w:val="24"/>
          <w:lang w:eastAsia="en-GB"/>
        </w:rPr>
        <w:t>passing on</w:t>
      </w:r>
      <w:r w:rsidRPr="005E5ACC">
        <w:rPr>
          <w:rFonts w:ascii="Arial" w:eastAsia="Times New Roman" w:hAnsi="Arial" w:cs="Arial"/>
          <w:sz w:val="24"/>
          <w:szCs w:val="24"/>
          <w:lang w:eastAsia="en-GB"/>
        </w:rPr>
        <w:t xml:space="preserve"> coronavirus. </w:t>
      </w:r>
    </w:p>
    <w:p w14:paraId="10D0BE2E"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331CB7D0" w14:textId="445BCD52" w:rsidR="005E5ACC" w:rsidRPr="005E5ACC" w:rsidRDefault="000B54B9" w:rsidP="005E5ACC">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In </w:t>
      </w:r>
      <w:r w:rsidR="00CB29E6">
        <w:rPr>
          <w:rFonts w:ascii="Arial" w:eastAsia="Times New Roman" w:hAnsi="Arial" w:cs="Arial"/>
          <w:sz w:val="24"/>
          <w:szCs w:val="24"/>
          <w:lang w:eastAsia="en-GB"/>
        </w:rPr>
        <w:t>‘</w:t>
      </w:r>
      <w:r w:rsidR="005E5ACC" w:rsidRPr="005E5ACC">
        <w:rPr>
          <w:rFonts w:ascii="Arial" w:eastAsia="Times New Roman" w:hAnsi="Arial" w:cs="Arial"/>
          <w:sz w:val="24"/>
          <w:szCs w:val="24"/>
          <w:lang w:eastAsia="en-GB"/>
        </w:rPr>
        <w:t>Coleman v</w:t>
      </w:r>
      <w:r w:rsidR="00CB29E6">
        <w:rPr>
          <w:rFonts w:ascii="Arial" w:eastAsia="Times New Roman" w:hAnsi="Arial" w:cs="Arial"/>
          <w:sz w:val="24"/>
          <w:szCs w:val="24"/>
          <w:lang w:eastAsia="en-GB"/>
        </w:rPr>
        <w:t>.</w:t>
      </w:r>
      <w:r w:rsidR="005E5ACC" w:rsidRPr="005E5ACC">
        <w:rPr>
          <w:rFonts w:ascii="Arial" w:eastAsia="Times New Roman" w:hAnsi="Arial" w:cs="Arial"/>
          <w:sz w:val="24"/>
          <w:szCs w:val="24"/>
          <w:lang w:eastAsia="en-GB"/>
        </w:rPr>
        <w:t xml:space="preserve"> Attridge Law</w:t>
      </w:r>
      <w:r w:rsidR="00CB29E6">
        <w:rPr>
          <w:rFonts w:ascii="Arial" w:eastAsia="Times New Roman" w:hAnsi="Arial" w:cs="Arial"/>
          <w:sz w:val="24"/>
          <w:szCs w:val="24"/>
          <w:lang w:eastAsia="en-GB"/>
        </w:rPr>
        <w:t>’</w:t>
      </w:r>
      <w:r w:rsidR="005E5ACC" w:rsidRPr="005E5ACC">
        <w:rPr>
          <w:rFonts w:ascii="Arial" w:eastAsia="Times New Roman" w:hAnsi="Arial" w:cs="Arial"/>
          <w:sz w:val="24"/>
          <w:szCs w:val="24"/>
          <w:lang w:eastAsia="en-GB"/>
        </w:rPr>
        <w:t xml:space="preserve"> </w:t>
      </w:r>
      <w:r w:rsidR="00CB29E6">
        <w:rPr>
          <w:rFonts w:ascii="Arial" w:eastAsia="Times New Roman" w:hAnsi="Arial" w:cs="Arial"/>
          <w:sz w:val="24"/>
          <w:szCs w:val="24"/>
          <w:lang w:eastAsia="en-GB"/>
        </w:rPr>
        <w:t>(</w:t>
      </w:r>
      <w:r w:rsidR="005E5ACC" w:rsidRPr="005E5ACC">
        <w:rPr>
          <w:rFonts w:ascii="Arial" w:eastAsia="Times New Roman" w:hAnsi="Arial" w:cs="Arial"/>
          <w:sz w:val="24"/>
          <w:szCs w:val="24"/>
          <w:lang w:eastAsia="en-GB"/>
        </w:rPr>
        <w:t>2008</w:t>
      </w:r>
      <w:r w:rsidR="00CB29E6">
        <w:rPr>
          <w:rFonts w:ascii="Arial" w:eastAsia="Times New Roman" w:hAnsi="Arial" w:cs="Arial"/>
          <w:sz w:val="24"/>
          <w:szCs w:val="24"/>
          <w:lang w:eastAsia="en-GB"/>
        </w:rPr>
        <w:t>)</w:t>
      </w:r>
      <w:r w:rsidR="005E5ACC" w:rsidRPr="005E5ACC">
        <w:rPr>
          <w:rFonts w:ascii="Arial" w:eastAsia="Times New Roman" w:hAnsi="Arial" w:cs="Arial"/>
          <w:sz w:val="24"/>
          <w:szCs w:val="24"/>
          <w:lang w:eastAsia="en-GB"/>
        </w:rPr>
        <w:t xml:space="preserve">, there was a direct link between the refusal of a flexible working application and the detriment to a disabled child. Tyrer (2008) shows that findings from this case </w:t>
      </w:r>
      <w:r>
        <w:rPr>
          <w:rFonts w:ascii="Arial" w:eastAsia="Times New Roman" w:hAnsi="Arial" w:cs="Arial"/>
          <w:sz w:val="24"/>
          <w:szCs w:val="24"/>
          <w:lang w:eastAsia="en-GB"/>
        </w:rPr>
        <w:t>shows the</w:t>
      </w:r>
      <w:r w:rsidR="005E5ACC" w:rsidRPr="005E5ACC">
        <w:rPr>
          <w:rFonts w:ascii="Arial" w:eastAsia="Times New Roman" w:hAnsi="Arial" w:cs="Arial"/>
          <w:sz w:val="24"/>
          <w:szCs w:val="24"/>
          <w:lang w:eastAsia="en-GB"/>
        </w:rPr>
        <w:t xml:space="preserve"> harassment related to </w:t>
      </w:r>
      <w:r>
        <w:rPr>
          <w:rFonts w:ascii="Arial" w:eastAsia="Times New Roman" w:hAnsi="Arial" w:cs="Arial"/>
          <w:sz w:val="24"/>
          <w:szCs w:val="24"/>
          <w:lang w:eastAsia="en-GB"/>
        </w:rPr>
        <w:t xml:space="preserve">the </w:t>
      </w:r>
      <w:r w:rsidR="005E5ACC" w:rsidRPr="005E5ACC">
        <w:rPr>
          <w:rFonts w:ascii="Arial" w:eastAsia="Times New Roman" w:hAnsi="Arial" w:cs="Arial"/>
          <w:sz w:val="24"/>
          <w:szCs w:val="24"/>
          <w:lang w:eastAsia="en-GB"/>
        </w:rPr>
        <w:t xml:space="preserve">disability however </w:t>
      </w:r>
      <w:r w:rsidR="005E5ACC" w:rsidRPr="005E5ACC">
        <w:rPr>
          <w:rFonts w:ascii="Arial" w:eastAsia="Times New Roman" w:hAnsi="Arial" w:cs="Arial"/>
          <w:sz w:val="24"/>
          <w:szCs w:val="24"/>
          <w:lang w:eastAsia="en-GB"/>
        </w:rPr>
        <w:lastRenderedPageBreak/>
        <w:t xml:space="preserve">this does not extend into the reasonable </w:t>
      </w:r>
      <w:r w:rsidRPr="005E5ACC">
        <w:rPr>
          <w:rFonts w:ascii="Arial" w:eastAsia="Times New Roman" w:hAnsi="Arial" w:cs="Arial"/>
          <w:sz w:val="24"/>
          <w:szCs w:val="24"/>
          <w:lang w:eastAsia="en-GB"/>
        </w:rPr>
        <w:t>adjustments’</w:t>
      </w:r>
      <w:r w:rsidR="005E5ACC" w:rsidRPr="005E5ACC">
        <w:rPr>
          <w:rFonts w:ascii="Arial" w:eastAsia="Times New Roman" w:hAnsi="Arial" w:cs="Arial"/>
          <w:sz w:val="24"/>
          <w:szCs w:val="24"/>
          <w:lang w:eastAsia="en-GB"/>
        </w:rPr>
        <w:t xml:space="preserve"> duty. Harassment under section 26 of the Equality Act 2010 is defined as unwanted conduct which causes an intimidating, hostile degrading, humiliating or offensive environment.  </w:t>
      </w:r>
    </w:p>
    <w:p w14:paraId="6FC47CE1" w14:textId="77777777" w:rsidR="005E5ACC" w:rsidRPr="005E5ACC" w:rsidRDefault="005E5ACC" w:rsidP="005E5ACC">
      <w:pPr>
        <w:spacing w:after="0" w:line="360" w:lineRule="auto"/>
        <w:textAlignment w:val="baseline"/>
        <w:rPr>
          <w:rFonts w:ascii="Arial" w:eastAsia="Times New Roman" w:hAnsi="Arial" w:cs="Arial"/>
          <w:sz w:val="24"/>
          <w:szCs w:val="24"/>
          <w:lang w:eastAsia="en-GB"/>
        </w:rPr>
      </w:pPr>
    </w:p>
    <w:p w14:paraId="69E51493" w14:textId="68001BF4" w:rsidR="005E5ACC" w:rsidRPr="001C3CFC" w:rsidRDefault="005E5ACC" w:rsidP="005E5ACC">
      <w:pPr>
        <w:spacing w:after="0" w:line="360" w:lineRule="auto"/>
        <w:textAlignment w:val="baseline"/>
        <w:rPr>
          <w:rFonts w:ascii="Arial" w:eastAsia="Times New Roman" w:hAnsi="Arial" w:cs="Arial"/>
          <w:sz w:val="24"/>
          <w:szCs w:val="24"/>
          <w:lang w:eastAsia="en-GB"/>
        </w:rPr>
      </w:pPr>
      <w:r w:rsidRPr="005E5ACC">
        <w:rPr>
          <w:rFonts w:ascii="Arial" w:eastAsia="Times New Roman" w:hAnsi="Arial" w:cs="Arial"/>
          <w:sz w:val="24"/>
          <w:szCs w:val="24"/>
          <w:lang w:eastAsia="en-GB"/>
        </w:rPr>
        <w:t xml:space="preserve">If Gethin can prove that </w:t>
      </w:r>
      <w:r w:rsidR="00BE7526">
        <w:rPr>
          <w:rFonts w:ascii="Arial" w:eastAsia="Times New Roman" w:hAnsi="Arial" w:cs="Arial"/>
          <w:sz w:val="24"/>
          <w:szCs w:val="24"/>
          <w:lang w:eastAsia="en-GB"/>
        </w:rPr>
        <w:t xml:space="preserve">Mr </w:t>
      </w:r>
      <w:r w:rsidRPr="005E5ACC">
        <w:rPr>
          <w:rFonts w:ascii="Arial" w:eastAsia="Times New Roman" w:hAnsi="Arial" w:cs="Arial"/>
          <w:sz w:val="24"/>
          <w:szCs w:val="24"/>
          <w:lang w:eastAsia="en-GB"/>
        </w:rPr>
        <w:t xml:space="preserve">Robert Twists' actions are deemed as harassment due to his disabled mother, then </w:t>
      </w:r>
      <w:r w:rsidR="000B54B9">
        <w:rPr>
          <w:rFonts w:ascii="Arial" w:eastAsia="Times New Roman" w:hAnsi="Arial" w:cs="Arial"/>
          <w:sz w:val="24"/>
          <w:szCs w:val="24"/>
          <w:lang w:eastAsia="en-GB"/>
        </w:rPr>
        <w:t xml:space="preserve">disability discrimination by </w:t>
      </w:r>
      <w:r w:rsidRPr="005E5ACC">
        <w:rPr>
          <w:rFonts w:ascii="Arial" w:eastAsia="Times New Roman" w:hAnsi="Arial" w:cs="Arial"/>
          <w:sz w:val="24"/>
          <w:szCs w:val="24"/>
          <w:lang w:eastAsia="en-GB"/>
        </w:rPr>
        <w:t>assoc</w:t>
      </w:r>
      <w:r w:rsidR="000B54B9">
        <w:rPr>
          <w:rFonts w:ascii="Arial" w:eastAsia="Times New Roman" w:hAnsi="Arial" w:cs="Arial"/>
          <w:sz w:val="24"/>
          <w:szCs w:val="24"/>
          <w:lang w:eastAsia="en-GB"/>
        </w:rPr>
        <w:t xml:space="preserve">iation </w:t>
      </w:r>
      <w:r w:rsidRPr="005E5ACC">
        <w:rPr>
          <w:rFonts w:ascii="Arial" w:eastAsia="Times New Roman" w:hAnsi="Arial" w:cs="Arial"/>
          <w:sz w:val="24"/>
          <w:szCs w:val="24"/>
          <w:lang w:eastAsia="en-GB"/>
        </w:rPr>
        <w:t xml:space="preserve">may fall into the realm of this ET claim.  </w:t>
      </w:r>
    </w:p>
    <w:p w14:paraId="3DC20D63" w14:textId="77777777" w:rsidR="007122D4" w:rsidRPr="001C3CFC" w:rsidRDefault="007122D4" w:rsidP="001C3CFC">
      <w:pPr>
        <w:spacing w:after="0" w:line="360" w:lineRule="auto"/>
        <w:textAlignment w:val="baseline"/>
        <w:rPr>
          <w:rFonts w:ascii="Arial" w:eastAsia="Times New Roman" w:hAnsi="Arial" w:cs="Arial"/>
          <w:sz w:val="24"/>
          <w:szCs w:val="24"/>
          <w:lang w:eastAsia="en-GB"/>
        </w:rPr>
      </w:pPr>
    </w:p>
    <w:p w14:paraId="4167A707" w14:textId="6D889312" w:rsidR="0064591F" w:rsidRPr="00BE5EFE" w:rsidRDefault="007122D4" w:rsidP="00BE5EFE">
      <w:pPr>
        <w:spacing w:line="360" w:lineRule="auto"/>
        <w:ind w:firstLine="720"/>
        <w:rPr>
          <w:rFonts w:ascii="Arial" w:hAnsi="Arial" w:cs="Arial"/>
          <w:b/>
          <w:bCs/>
          <w:sz w:val="24"/>
          <w:szCs w:val="24"/>
          <w:lang w:eastAsia="en-GB"/>
        </w:rPr>
      </w:pPr>
      <w:r w:rsidRPr="00BE5EFE">
        <w:rPr>
          <w:rFonts w:ascii="Arial" w:hAnsi="Arial" w:cs="Arial"/>
          <w:b/>
          <w:bCs/>
          <w:sz w:val="24"/>
          <w:szCs w:val="24"/>
          <w:lang w:eastAsia="en-GB"/>
        </w:rPr>
        <w:t xml:space="preserve">Strengths </w:t>
      </w:r>
      <w:r w:rsidR="00CD3E3F" w:rsidRPr="00BE5EFE">
        <w:rPr>
          <w:rFonts w:ascii="Arial" w:hAnsi="Arial" w:cs="Arial"/>
          <w:b/>
          <w:bCs/>
          <w:sz w:val="24"/>
          <w:szCs w:val="24"/>
          <w:lang w:eastAsia="en-GB"/>
        </w:rPr>
        <w:t>of</w:t>
      </w:r>
      <w:r w:rsidRPr="00BE5EFE">
        <w:rPr>
          <w:rFonts w:ascii="Arial" w:hAnsi="Arial" w:cs="Arial"/>
          <w:b/>
          <w:bCs/>
          <w:sz w:val="24"/>
          <w:szCs w:val="24"/>
          <w:lang w:eastAsia="en-GB"/>
        </w:rPr>
        <w:t xml:space="preserve"> </w:t>
      </w:r>
      <w:r w:rsidR="001C3CFC" w:rsidRPr="00BE5EFE">
        <w:rPr>
          <w:rFonts w:ascii="Arial" w:hAnsi="Arial" w:cs="Arial"/>
          <w:b/>
          <w:bCs/>
          <w:sz w:val="24"/>
          <w:szCs w:val="24"/>
          <w:lang w:eastAsia="en-GB"/>
        </w:rPr>
        <w:t>the</w:t>
      </w:r>
      <w:r w:rsidRPr="00BE5EFE">
        <w:rPr>
          <w:rFonts w:ascii="Arial" w:hAnsi="Arial" w:cs="Arial"/>
          <w:b/>
          <w:bCs/>
          <w:sz w:val="24"/>
          <w:szCs w:val="24"/>
          <w:lang w:eastAsia="en-GB"/>
        </w:rPr>
        <w:t xml:space="preserve"> claim</w:t>
      </w:r>
    </w:p>
    <w:p w14:paraId="77126AAA" w14:textId="5CB1F8B9" w:rsidR="0064591F" w:rsidRPr="0064591F" w:rsidRDefault="0064591F" w:rsidP="0064591F">
      <w:pPr>
        <w:spacing w:after="0" w:line="360" w:lineRule="auto"/>
        <w:textAlignment w:val="baseline"/>
        <w:rPr>
          <w:rFonts w:ascii="Arial" w:eastAsia="Times New Roman" w:hAnsi="Arial" w:cs="Arial"/>
          <w:sz w:val="24"/>
          <w:szCs w:val="24"/>
          <w:lang w:eastAsia="en-GB"/>
        </w:rPr>
      </w:pPr>
      <w:r w:rsidRPr="0064591F">
        <w:rPr>
          <w:rFonts w:ascii="Arial" w:eastAsia="Times New Roman" w:hAnsi="Arial" w:cs="Arial"/>
          <w:sz w:val="24"/>
          <w:szCs w:val="24"/>
          <w:lang w:eastAsia="en-GB"/>
        </w:rPr>
        <w:t xml:space="preserve">Gethin has nearly six years' service with BB, holds a </w:t>
      </w:r>
      <w:r w:rsidR="000B54B9">
        <w:rPr>
          <w:rFonts w:ascii="Arial" w:eastAsia="Times New Roman" w:hAnsi="Arial" w:cs="Arial"/>
          <w:sz w:val="24"/>
          <w:szCs w:val="24"/>
          <w:lang w:eastAsia="en-GB"/>
        </w:rPr>
        <w:t>near clean</w:t>
      </w:r>
      <w:r w:rsidRPr="0064591F">
        <w:rPr>
          <w:rFonts w:ascii="Arial" w:eastAsia="Times New Roman" w:hAnsi="Arial" w:cs="Arial"/>
          <w:sz w:val="24"/>
          <w:szCs w:val="24"/>
          <w:lang w:eastAsia="en-GB"/>
        </w:rPr>
        <w:t xml:space="preserve"> disciplinary record</w:t>
      </w:r>
      <w:r w:rsidR="000B54B9">
        <w:rPr>
          <w:rFonts w:ascii="Arial" w:eastAsia="Times New Roman" w:hAnsi="Arial" w:cs="Arial"/>
          <w:sz w:val="24"/>
          <w:szCs w:val="24"/>
          <w:lang w:eastAsia="en-GB"/>
        </w:rPr>
        <w:t xml:space="preserve">, only </w:t>
      </w:r>
      <w:r w:rsidRPr="0064591F">
        <w:rPr>
          <w:rFonts w:ascii="Arial" w:eastAsia="Times New Roman" w:hAnsi="Arial" w:cs="Arial"/>
          <w:sz w:val="24"/>
          <w:szCs w:val="24"/>
          <w:lang w:eastAsia="en-GB"/>
        </w:rPr>
        <w:t>one disciplinary matter recorded</w:t>
      </w:r>
      <w:r w:rsidR="000B54B9">
        <w:rPr>
          <w:rFonts w:ascii="Arial" w:eastAsia="Times New Roman" w:hAnsi="Arial" w:cs="Arial"/>
          <w:sz w:val="24"/>
          <w:szCs w:val="24"/>
          <w:lang w:eastAsia="en-GB"/>
        </w:rPr>
        <w:t xml:space="preserve"> in August 2018, likely to have expired. </w:t>
      </w:r>
      <w:r w:rsidRPr="0064591F">
        <w:rPr>
          <w:rFonts w:ascii="Arial" w:eastAsia="Times New Roman" w:hAnsi="Arial" w:cs="Arial"/>
          <w:sz w:val="24"/>
          <w:szCs w:val="24"/>
          <w:lang w:eastAsia="en-GB"/>
        </w:rPr>
        <w:t>This does not support the account ma</w:t>
      </w:r>
      <w:r w:rsidRPr="000B54B9">
        <w:rPr>
          <w:rFonts w:ascii="Arial" w:eastAsia="Times New Roman" w:hAnsi="Arial" w:cs="Arial"/>
          <w:sz w:val="24"/>
          <w:szCs w:val="24"/>
          <w:lang w:eastAsia="en-GB"/>
        </w:rPr>
        <w:t xml:space="preserve">de by Steve that Gethin was immature and had to be spoken to on several occasions about his behaviour.   </w:t>
      </w:r>
    </w:p>
    <w:p w14:paraId="1892F6CB" w14:textId="77777777" w:rsidR="0064591F" w:rsidRPr="0064591F" w:rsidRDefault="0064591F" w:rsidP="0064591F">
      <w:pPr>
        <w:spacing w:after="0" w:line="360" w:lineRule="auto"/>
        <w:textAlignment w:val="baseline"/>
        <w:rPr>
          <w:rFonts w:ascii="Arial" w:eastAsia="Times New Roman" w:hAnsi="Arial" w:cs="Arial"/>
          <w:sz w:val="24"/>
          <w:szCs w:val="24"/>
          <w:lang w:eastAsia="en-GB"/>
        </w:rPr>
      </w:pPr>
    </w:p>
    <w:p w14:paraId="5912871C" w14:textId="0581E77E" w:rsidR="0064591F" w:rsidRPr="0064591F" w:rsidRDefault="0064591F" w:rsidP="0064591F">
      <w:pPr>
        <w:spacing w:after="0" w:line="360" w:lineRule="auto"/>
        <w:textAlignment w:val="baseline"/>
        <w:rPr>
          <w:rFonts w:ascii="Arial" w:eastAsia="Times New Roman" w:hAnsi="Arial" w:cs="Arial"/>
          <w:sz w:val="24"/>
          <w:szCs w:val="24"/>
          <w:lang w:eastAsia="en-GB"/>
        </w:rPr>
      </w:pPr>
      <w:r w:rsidRPr="0064591F">
        <w:rPr>
          <w:rFonts w:ascii="Arial" w:eastAsia="Times New Roman" w:hAnsi="Arial" w:cs="Arial"/>
          <w:sz w:val="24"/>
          <w:szCs w:val="24"/>
          <w:lang w:eastAsia="en-GB"/>
        </w:rPr>
        <w:t xml:space="preserve">The Advisory, Conciliation, and Arbitration Service (ACAS) Code of Practice on disciplinary and grievance procedures, issued under the Trade Union and Labour Relation (Consolidation) Act (TULRCA) 1992, section 199, should be adhered to wherever possible. Failure to follow the code does not automatically confirm liability however, an ET will take the code into account when considering the claim (ACAS, 2015). The ACAS code was not adhered to during </w:t>
      </w:r>
      <w:r w:rsidR="000B54B9">
        <w:rPr>
          <w:rFonts w:ascii="Arial" w:eastAsia="Times New Roman" w:hAnsi="Arial" w:cs="Arial"/>
          <w:sz w:val="24"/>
          <w:szCs w:val="24"/>
          <w:lang w:eastAsia="en-GB"/>
        </w:rPr>
        <w:t>Gethin’s</w:t>
      </w:r>
      <w:r w:rsidRPr="0064591F">
        <w:rPr>
          <w:rFonts w:ascii="Arial" w:eastAsia="Times New Roman" w:hAnsi="Arial" w:cs="Arial"/>
          <w:sz w:val="24"/>
          <w:szCs w:val="24"/>
          <w:lang w:eastAsia="en-GB"/>
        </w:rPr>
        <w:t xml:space="preserve"> disciplinary process; this strengthens the case that ordinary dismissal and wrongful dismissal apply.</w:t>
      </w:r>
    </w:p>
    <w:p w14:paraId="36D6344F" w14:textId="77777777" w:rsidR="0064591F" w:rsidRPr="0064591F" w:rsidRDefault="0064591F" w:rsidP="0064591F">
      <w:pPr>
        <w:spacing w:after="0" w:line="360" w:lineRule="auto"/>
        <w:textAlignment w:val="baseline"/>
        <w:rPr>
          <w:rFonts w:ascii="Arial" w:eastAsia="Times New Roman" w:hAnsi="Arial" w:cs="Arial"/>
          <w:sz w:val="24"/>
          <w:szCs w:val="24"/>
          <w:lang w:eastAsia="en-GB"/>
        </w:rPr>
      </w:pPr>
    </w:p>
    <w:p w14:paraId="52A18D32" w14:textId="31541551" w:rsidR="0064591F" w:rsidRPr="0064591F" w:rsidRDefault="0064591F" w:rsidP="0064591F">
      <w:pPr>
        <w:spacing w:after="0" w:line="360" w:lineRule="auto"/>
        <w:textAlignment w:val="baseline"/>
        <w:rPr>
          <w:rFonts w:ascii="Arial" w:eastAsia="Times New Roman" w:hAnsi="Arial" w:cs="Arial"/>
          <w:sz w:val="24"/>
          <w:szCs w:val="24"/>
          <w:lang w:eastAsia="en-GB"/>
        </w:rPr>
      </w:pPr>
      <w:r w:rsidRPr="0064591F">
        <w:rPr>
          <w:rFonts w:ascii="Arial" w:eastAsia="Times New Roman" w:hAnsi="Arial" w:cs="Arial"/>
          <w:sz w:val="24"/>
          <w:szCs w:val="24"/>
          <w:lang w:eastAsia="en-GB"/>
        </w:rPr>
        <w:t xml:space="preserve">Comments made by Steve on the day of the incident refer to him saying that ‘this is the last straw’, teamed with the fact that a misconduct meeting was arranged on the same day as the incident, proves that the decision on the incident amounted to disciplinary action before an investigation commenced. ACAS (2015) states that you must establish the facts to determine if there is a disciplinary case to answer. </w:t>
      </w:r>
    </w:p>
    <w:p w14:paraId="1AB2907B" w14:textId="77777777" w:rsidR="0064591F" w:rsidRPr="0064591F" w:rsidRDefault="0064591F" w:rsidP="0064591F">
      <w:pPr>
        <w:spacing w:after="0" w:line="360" w:lineRule="auto"/>
        <w:textAlignment w:val="baseline"/>
        <w:rPr>
          <w:rFonts w:ascii="Arial" w:eastAsia="Times New Roman" w:hAnsi="Arial" w:cs="Arial"/>
          <w:sz w:val="24"/>
          <w:szCs w:val="24"/>
          <w:lang w:eastAsia="en-GB"/>
        </w:rPr>
      </w:pPr>
    </w:p>
    <w:p w14:paraId="4F5D85F1" w14:textId="77777777" w:rsidR="0064591F" w:rsidRPr="0064591F" w:rsidRDefault="0064591F" w:rsidP="0064591F">
      <w:pPr>
        <w:spacing w:after="0" w:line="360" w:lineRule="auto"/>
        <w:textAlignment w:val="baseline"/>
        <w:rPr>
          <w:rFonts w:ascii="Arial" w:eastAsia="Times New Roman" w:hAnsi="Arial" w:cs="Arial"/>
          <w:sz w:val="24"/>
          <w:szCs w:val="24"/>
          <w:lang w:eastAsia="en-GB"/>
        </w:rPr>
      </w:pPr>
      <w:r w:rsidRPr="0064591F">
        <w:rPr>
          <w:rFonts w:ascii="Arial" w:eastAsia="Times New Roman" w:hAnsi="Arial" w:cs="Arial"/>
          <w:sz w:val="24"/>
          <w:szCs w:val="24"/>
          <w:lang w:eastAsia="en-GB"/>
        </w:rPr>
        <w:t xml:space="preserve">ACAS (2015) recommends that disciplinary investigations are conducted by an independent person and ideally the investigator and the disciplining officer are different people. Steve was part of the incident on the day as a witness; he should not have conducted the investigation nor been the discipling officer.  This undermines the creditability of Steve as a witness as he was quick to decide that Gethin had not </w:t>
      </w:r>
      <w:r w:rsidRPr="0064591F">
        <w:rPr>
          <w:rFonts w:ascii="Arial" w:eastAsia="Times New Roman" w:hAnsi="Arial" w:cs="Arial"/>
          <w:sz w:val="24"/>
          <w:szCs w:val="24"/>
          <w:lang w:eastAsia="en-GB"/>
        </w:rPr>
        <w:lastRenderedPageBreak/>
        <w:t>been provoked. This verifies the statement by Gethin that he was not liked; the assumption being that if Steve cared more, he would have conducted a fair process and a balanced investigation.</w:t>
      </w:r>
    </w:p>
    <w:p w14:paraId="51E83E6C" w14:textId="77777777" w:rsidR="0064591F" w:rsidRPr="0064591F" w:rsidRDefault="0064591F" w:rsidP="0064591F">
      <w:pPr>
        <w:spacing w:after="0" w:line="360" w:lineRule="auto"/>
        <w:textAlignment w:val="baseline"/>
        <w:rPr>
          <w:rFonts w:ascii="Arial" w:eastAsia="Times New Roman" w:hAnsi="Arial" w:cs="Arial"/>
          <w:sz w:val="24"/>
          <w:szCs w:val="24"/>
          <w:lang w:eastAsia="en-GB"/>
        </w:rPr>
      </w:pPr>
    </w:p>
    <w:p w14:paraId="55AFA733" w14:textId="45C0E22B" w:rsidR="0064591F" w:rsidRPr="0064591F" w:rsidRDefault="0064591F" w:rsidP="0064591F">
      <w:pPr>
        <w:spacing w:after="0" w:line="360" w:lineRule="auto"/>
        <w:textAlignment w:val="baseline"/>
        <w:rPr>
          <w:rFonts w:ascii="Arial" w:eastAsia="Times New Roman" w:hAnsi="Arial" w:cs="Arial"/>
          <w:sz w:val="24"/>
          <w:szCs w:val="24"/>
          <w:lang w:eastAsia="en-GB"/>
        </w:rPr>
      </w:pPr>
      <w:r w:rsidRPr="0064591F">
        <w:rPr>
          <w:rFonts w:ascii="Arial" w:eastAsia="Times New Roman" w:hAnsi="Arial" w:cs="Arial"/>
          <w:sz w:val="24"/>
          <w:szCs w:val="24"/>
          <w:lang w:eastAsia="en-GB"/>
        </w:rPr>
        <w:t>On 1 November 2020, Gethin was notified in writing of the disciplinary hearing however this notification was brief and did not include sufficient information about the alleged misconduct or the possible consequences</w:t>
      </w:r>
      <w:r w:rsidR="000B54B9">
        <w:rPr>
          <w:rFonts w:ascii="Arial" w:eastAsia="Times New Roman" w:hAnsi="Arial" w:cs="Arial"/>
          <w:sz w:val="24"/>
          <w:szCs w:val="24"/>
          <w:lang w:eastAsia="en-GB"/>
        </w:rPr>
        <w:t xml:space="preserve">; </w:t>
      </w:r>
      <w:r w:rsidRPr="0064591F">
        <w:rPr>
          <w:rFonts w:ascii="Arial" w:eastAsia="Times New Roman" w:hAnsi="Arial" w:cs="Arial"/>
          <w:sz w:val="24"/>
          <w:szCs w:val="24"/>
          <w:lang w:eastAsia="en-GB"/>
        </w:rPr>
        <w:t>copies of any written evidence, including witness statements, should have been provided with this letter</w:t>
      </w:r>
      <w:r w:rsidR="000B54B9">
        <w:rPr>
          <w:rFonts w:ascii="Arial" w:eastAsia="Times New Roman" w:hAnsi="Arial" w:cs="Arial"/>
          <w:sz w:val="24"/>
          <w:szCs w:val="24"/>
          <w:lang w:eastAsia="en-GB"/>
        </w:rPr>
        <w:t xml:space="preserve"> </w:t>
      </w:r>
      <w:r w:rsidR="000B54B9" w:rsidRPr="0064591F">
        <w:rPr>
          <w:rFonts w:ascii="Arial" w:eastAsia="Times New Roman" w:hAnsi="Arial" w:cs="Arial"/>
          <w:sz w:val="24"/>
          <w:szCs w:val="24"/>
          <w:lang w:eastAsia="en-GB"/>
        </w:rPr>
        <w:t>(ACAS, 2015)</w:t>
      </w:r>
      <w:r w:rsidRPr="0064591F">
        <w:rPr>
          <w:rFonts w:ascii="Arial" w:eastAsia="Times New Roman" w:hAnsi="Arial" w:cs="Arial"/>
          <w:sz w:val="24"/>
          <w:szCs w:val="24"/>
          <w:lang w:eastAsia="en-GB"/>
        </w:rPr>
        <w:t xml:space="preserve">. The omission of this means Gethin could not prepare his case for the hearing. He was also only given a short amount of time to appeal the decision.  </w:t>
      </w:r>
    </w:p>
    <w:p w14:paraId="4EAE33EE" w14:textId="77777777" w:rsidR="0064591F" w:rsidRPr="0064591F" w:rsidRDefault="0064591F" w:rsidP="0064591F">
      <w:pPr>
        <w:spacing w:after="0" w:line="360" w:lineRule="auto"/>
        <w:textAlignment w:val="baseline"/>
        <w:rPr>
          <w:rFonts w:ascii="Arial" w:eastAsia="Times New Roman" w:hAnsi="Arial" w:cs="Arial"/>
          <w:sz w:val="24"/>
          <w:szCs w:val="24"/>
          <w:lang w:eastAsia="en-GB"/>
        </w:rPr>
      </w:pPr>
    </w:p>
    <w:p w14:paraId="496BEFD8" w14:textId="0C1F9CE1" w:rsidR="0064591F" w:rsidRDefault="0064591F" w:rsidP="001C3CFC">
      <w:pPr>
        <w:spacing w:after="0" w:line="360" w:lineRule="auto"/>
        <w:textAlignment w:val="baseline"/>
        <w:rPr>
          <w:rFonts w:ascii="Arial" w:eastAsia="Times New Roman" w:hAnsi="Arial" w:cs="Arial"/>
          <w:sz w:val="24"/>
          <w:szCs w:val="24"/>
          <w:lang w:eastAsia="en-GB"/>
        </w:rPr>
      </w:pPr>
      <w:r w:rsidRPr="0064591F">
        <w:rPr>
          <w:rFonts w:ascii="Arial" w:eastAsia="Times New Roman" w:hAnsi="Arial" w:cs="Arial"/>
          <w:sz w:val="24"/>
          <w:szCs w:val="24"/>
          <w:lang w:eastAsia="en-GB"/>
        </w:rPr>
        <w:t>In the absence of a fair and reasonable investigation, it is unlikely that the Burchell test will be satisfied.</w:t>
      </w:r>
    </w:p>
    <w:p w14:paraId="187BDBD9"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p>
    <w:p w14:paraId="4F870CF6" w14:textId="2B7F0224" w:rsidR="00CD3E3F" w:rsidRPr="00BE5EFE" w:rsidRDefault="007122D4" w:rsidP="00BE5EFE">
      <w:pPr>
        <w:spacing w:line="360" w:lineRule="auto"/>
        <w:ind w:firstLine="720"/>
        <w:rPr>
          <w:rFonts w:ascii="Arial" w:hAnsi="Arial" w:cs="Arial"/>
          <w:b/>
          <w:bCs/>
          <w:sz w:val="24"/>
          <w:szCs w:val="24"/>
          <w:lang w:eastAsia="en-GB"/>
        </w:rPr>
      </w:pPr>
      <w:r w:rsidRPr="00BE5EFE">
        <w:rPr>
          <w:rFonts w:ascii="Arial" w:hAnsi="Arial" w:cs="Arial"/>
          <w:b/>
          <w:bCs/>
          <w:sz w:val="24"/>
          <w:szCs w:val="24"/>
          <w:lang w:eastAsia="en-GB"/>
        </w:rPr>
        <w:t>Weakness</w:t>
      </w:r>
      <w:r w:rsidR="00360792" w:rsidRPr="00BE5EFE">
        <w:rPr>
          <w:rFonts w:ascii="Arial" w:hAnsi="Arial" w:cs="Arial"/>
          <w:b/>
          <w:bCs/>
          <w:sz w:val="24"/>
          <w:szCs w:val="24"/>
          <w:lang w:eastAsia="en-GB"/>
        </w:rPr>
        <w:t>es</w:t>
      </w:r>
      <w:r w:rsidRPr="00BE5EFE">
        <w:rPr>
          <w:rFonts w:ascii="Arial" w:hAnsi="Arial" w:cs="Arial"/>
          <w:b/>
          <w:bCs/>
          <w:sz w:val="24"/>
          <w:szCs w:val="24"/>
          <w:lang w:eastAsia="en-GB"/>
        </w:rPr>
        <w:t xml:space="preserve"> </w:t>
      </w:r>
      <w:r w:rsidR="00CD3E3F" w:rsidRPr="00BE5EFE">
        <w:rPr>
          <w:rFonts w:ascii="Arial" w:hAnsi="Arial" w:cs="Arial"/>
          <w:b/>
          <w:bCs/>
          <w:sz w:val="24"/>
          <w:szCs w:val="24"/>
          <w:lang w:eastAsia="en-GB"/>
        </w:rPr>
        <w:t>of</w:t>
      </w:r>
      <w:r w:rsidRPr="00BE5EFE">
        <w:rPr>
          <w:rFonts w:ascii="Arial" w:hAnsi="Arial" w:cs="Arial"/>
          <w:b/>
          <w:bCs/>
          <w:sz w:val="24"/>
          <w:szCs w:val="24"/>
          <w:lang w:eastAsia="en-GB"/>
        </w:rPr>
        <w:t xml:space="preserve"> </w:t>
      </w:r>
      <w:r w:rsidR="001C3CFC" w:rsidRPr="00BE5EFE">
        <w:rPr>
          <w:rFonts w:ascii="Arial" w:hAnsi="Arial" w:cs="Arial"/>
          <w:b/>
          <w:bCs/>
          <w:sz w:val="24"/>
          <w:szCs w:val="24"/>
          <w:lang w:eastAsia="en-GB"/>
        </w:rPr>
        <w:t>the</w:t>
      </w:r>
      <w:r w:rsidRPr="00BE5EFE">
        <w:rPr>
          <w:rFonts w:ascii="Arial" w:hAnsi="Arial" w:cs="Arial"/>
          <w:b/>
          <w:bCs/>
          <w:sz w:val="24"/>
          <w:szCs w:val="24"/>
          <w:lang w:eastAsia="en-GB"/>
        </w:rPr>
        <w:t xml:space="preserve"> </w:t>
      </w:r>
      <w:r w:rsidR="00CD3E3F" w:rsidRPr="00BE5EFE">
        <w:rPr>
          <w:rFonts w:ascii="Arial" w:hAnsi="Arial" w:cs="Arial"/>
          <w:b/>
          <w:bCs/>
          <w:sz w:val="24"/>
          <w:szCs w:val="24"/>
          <w:lang w:eastAsia="en-GB"/>
        </w:rPr>
        <w:t>c</w:t>
      </w:r>
      <w:r w:rsidRPr="00BE5EFE">
        <w:rPr>
          <w:rFonts w:ascii="Arial" w:hAnsi="Arial" w:cs="Arial"/>
          <w:b/>
          <w:bCs/>
          <w:sz w:val="24"/>
          <w:szCs w:val="24"/>
          <w:lang w:eastAsia="en-GB"/>
        </w:rPr>
        <w:t>laim </w:t>
      </w:r>
    </w:p>
    <w:p w14:paraId="2748D70C" w14:textId="77777777" w:rsidR="00150560" w:rsidRPr="00150560" w:rsidRDefault="00150560" w:rsidP="00150560">
      <w:pPr>
        <w:spacing w:after="0" w:line="360" w:lineRule="auto"/>
        <w:textAlignment w:val="baseline"/>
        <w:rPr>
          <w:rFonts w:ascii="Arial" w:eastAsia="Times New Roman" w:hAnsi="Arial" w:cs="Arial"/>
          <w:sz w:val="24"/>
          <w:szCs w:val="24"/>
          <w:lang w:eastAsia="en-GB"/>
        </w:rPr>
      </w:pPr>
      <w:r w:rsidRPr="00150560">
        <w:rPr>
          <w:rFonts w:ascii="Arial" w:eastAsia="Times New Roman" w:hAnsi="Arial" w:cs="Arial"/>
          <w:sz w:val="24"/>
          <w:szCs w:val="24"/>
          <w:lang w:eastAsia="en-GB"/>
        </w:rPr>
        <w:t xml:space="preserve">Gethin has admitted that he did push Robert to the floor however there is little corroborative evidence to substantiate that this was a provoked attack on a colleague.  </w:t>
      </w:r>
    </w:p>
    <w:p w14:paraId="306EBBBB" w14:textId="77777777" w:rsidR="00150560" w:rsidRPr="00150560" w:rsidRDefault="00150560" w:rsidP="00150560">
      <w:pPr>
        <w:spacing w:after="0" w:line="360" w:lineRule="auto"/>
        <w:textAlignment w:val="baseline"/>
        <w:rPr>
          <w:rFonts w:ascii="Arial" w:eastAsia="Times New Roman" w:hAnsi="Arial" w:cs="Arial"/>
          <w:sz w:val="24"/>
          <w:szCs w:val="24"/>
          <w:lang w:eastAsia="en-GB"/>
        </w:rPr>
      </w:pPr>
    </w:p>
    <w:p w14:paraId="2324BCA4" w14:textId="77777777" w:rsidR="00150560" w:rsidRPr="00150560" w:rsidRDefault="00150560" w:rsidP="00150560">
      <w:pPr>
        <w:spacing w:after="0" w:line="360" w:lineRule="auto"/>
        <w:textAlignment w:val="baseline"/>
        <w:rPr>
          <w:rFonts w:ascii="Arial" w:eastAsia="Times New Roman" w:hAnsi="Arial" w:cs="Arial"/>
          <w:sz w:val="24"/>
          <w:szCs w:val="24"/>
          <w:lang w:eastAsia="en-GB"/>
        </w:rPr>
      </w:pPr>
      <w:r w:rsidRPr="00150560">
        <w:rPr>
          <w:rFonts w:ascii="Arial" w:eastAsia="Times New Roman" w:hAnsi="Arial" w:cs="Arial"/>
          <w:sz w:val="24"/>
          <w:szCs w:val="24"/>
          <w:lang w:eastAsia="en-GB"/>
        </w:rPr>
        <w:t xml:space="preserve">It can be demonstrated that Gethin has a poor attitude towards H&amp;S. He was joking around with colleagues before the incident and was not wearing a face mask when he approached his line manager, with his previous attitude being called immature. This evidence would suggest that he does not take H&amp;S seriously and therefore would not make a protected disclosure relating to an H&amp;S concern.  </w:t>
      </w:r>
    </w:p>
    <w:p w14:paraId="5365B2E6" w14:textId="77777777" w:rsidR="00150560" w:rsidRPr="00150560" w:rsidRDefault="00150560" w:rsidP="00150560">
      <w:pPr>
        <w:spacing w:after="0" w:line="360" w:lineRule="auto"/>
        <w:textAlignment w:val="baseline"/>
        <w:rPr>
          <w:rFonts w:ascii="Arial" w:eastAsia="Times New Roman" w:hAnsi="Arial" w:cs="Arial"/>
          <w:sz w:val="24"/>
          <w:szCs w:val="24"/>
          <w:lang w:eastAsia="en-GB"/>
        </w:rPr>
      </w:pPr>
    </w:p>
    <w:p w14:paraId="09847203" w14:textId="33D22AC5" w:rsidR="00150560" w:rsidRDefault="00150560" w:rsidP="00150560">
      <w:pPr>
        <w:spacing w:after="0" w:line="360" w:lineRule="auto"/>
        <w:textAlignment w:val="baseline"/>
        <w:rPr>
          <w:rFonts w:ascii="Arial" w:eastAsia="Times New Roman" w:hAnsi="Arial" w:cs="Arial"/>
          <w:sz w:val="24"/>
          <w:szCs w:val="24"/>
          <w:lang w:eastAsia="en-GB"/>
        </w:rPr>
      </w:pPr>
      <w:r w:rsidRPr="00150560">
        <w:rPr>
          <w:rFonts w:ascii="Arial" w:eastAsia="Times New Roman" w:hAnsi="Arial" w:cs="Arial"/>
          <w:sz w:val="24"/>
          <w:szCs w:val="24"/>
          <w:lang w:eastAsia="en-GB"/>
        </w:rPr>
        <w:t xml:space="preserve">Gethin did not exhaust all BB's internal processes concerning the disciplinary process; he did not exercise his right to appeal. As such, he did not follow the ACAS code of practice (ACAS, 2015).  </w:t>
      </w:r>
    </w:p>
    <w:p w14:paraId="20BFA8E7" w14:textId="77777777" w:rsidR="000B54B9" w:rsidRDefault="000B54B9" w:rsidP="00150560">
      <w:pPr>
        <w:spacing w:after="0" w:line="360" w:lineRule="auto"/>
        <w:textAlignment w:val="baseline"/>
        <w:rPr>
          <w:rFonts w:ascii="Arial" w:eastAsia="Times New Roman" w:hAnsi="Arial" w:cs="Arial"/>
          <w:sz w:val="24"/>
          <w:szCs w:val="24"/>
          <w:lang w:eastAsia="en-GB"/>
        </w:rPr>
      </w:pPr>
    </w:p>
    <w:p w14:paraId="38EFCFFA" w14:textId="77777777" w:rsidR="00CD3E3F" w:rsidRPr="00BE5EFE" w:rsidRDefault="00CD3E3F" w:rsidP="00BE5EFE">
      <w:pPr>
        <w:spacing w:line="360" w:lineRule="auto"/>
        <w:ind w:firstLine="720"/>
        <w:rPr>
          <w:rFonts w:ascii="Arial" w:hAnsi="Arial" w:cs="Arial"/>
          <w:b/>
          <w:bCs/>
          <w:sz w:val="24"/>
          <w:szCs w:val="24"/>
          <w:lang w:eastAsia="en-GB"/>
        </w:rPr>
      </w:pPr>
      <w:r w:rsidRPr="00BE5EFE">
        <w:rPr>
          <w:rFonts w:ascii="Arial" w:hAnsi="Arial" w:cs="Arial"/>
          <w:b/>
          <w:bCs/>
          <w:sz w:val="24"/>
          <w:szCs w:val="24"/>
          <w:lang w:eastAsia="en-GB"/>
        </w:rPr>
        <w:t>BB Defence against the claims </w:t>
      </w:r>
    </w:p>
    <w:p w14:paraId="630A74F9" w14:textId="77777777" w:rsidR="00CD3E3F" w:rsidRPr="007122D4" w:rsidRDefault="00CD3E3F" w:rsidP="00CD3E3F">
      <w:pPr>
        <w:spacing w:after="0" w:line="360" w:lineRule="auto"/>
        <w:textAlignment w:val="baseline"/>
        <w:rPr>
          <w:rFonts w:ascii="Arial" w:eastAsia="Times New Roman" w:hAnsi="Arial" w:cs="Arial"/>
          <w:sz w:val="24"/>
          <w:szCs w:val="24"/>
          <w:lang w:eastAsia="en-GB"/>
        </w:rPr>
      </w:pPr>
    </w:p>
    <w:p w14:paraId="220D44F1" w14:textId="55DA2622"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The defence is simple; Gethin conducted an unprovoked attack on a colleague within a H&amp;S environment. This type of incident would amount to gross misconduct; </w:t>
      </w:r>
      <w:r w:rsidRPr="003A6C7B">
        <w:rPr>
          <w:rFonts w:ascii="Arial" w:eastAsia="Times New Roman" w:hAnsi="Arial" w:cs="Arial"/>
          <w:sz w:val="24"/>
          <w:szCs w:val="24"/>
          <w:lang w:eastAsia="en-GB"/>
        </w:rPr>
        <w:lastRenderedPageBreak/>
        <w:t xml:space="preserve">therefore, the investigating manager formed a genuine belief, based on reasonable grounds, following a reasonable investigation, as there was no evidence to suggest that Gethin was provoked. The only evidence that validates the fact it was a </w:t>
      </w:r>
      <w:r w:rsidR="000635A4" w:rsidRPr="003A6C7B">
        <w:rPr>
          <w:rFonts w:ascii="Arial" w:eastAsia="Times New Roman" w:hAnsi="Arial" w:cs="Arial"/>
          <w:sz w:val="24"/>
          <w:szCs w:val="24"/>
          <w:lang w:eastAsia="en-GB"/>
        </w:rPr>
        <w:t>provoked</w:t>
      </w:r>
      <w:r w:rsidRPr="003A6C7B">
        <w:rPr>
          <w:rFonts w:ascii="Arial" w:eastAsia="Times New Roman" w:hAnsi="Arial" w:cs="Arial"/>
          <w:sz w:val="24"/>
          <w:szCs w:val="24"/>
          <w:lang w:eastAsia="en-GB"/>
        </w:rPr>
        <w:t xml:space="preserve"> incident, is provided by Gethin himself, and it would be in his best interests that this incident is deemed provoked.  </w:t>
      </w:r>
    </w:p>
    <w:p w14:paraId="721A956F"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00E3B2E6" w14:textId="2CF5C330"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Steve witnessed the end of an altercation stating that he “heard a bang and then saw Robert sprawled on the floor next to an overturned storage container”. Gethin has not denied the fact that he pushed Robert; the argument is that he was provoked to do so by the actions of Robert, however, there are no witnesses that can corroborate that. </w:t>
      </w:r>
    </w:p>
    <w:p w14:paraId="3A52C080"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13AFC904"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Considering the actions of Robert, no evidence exists to suggest that there has been any disciplinary action against him, which establishes the fact that Gethin started the altercation. </w:t>
      </w:r>
    </w:p>
    <w:p w14:paraId="59BF6D93"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1FDB996A" w14:textId="1766382F"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BB's defence is weak in terms of following a fair and reasonable investigation. Information was not provided to Gethin before the misconduct hearing so that he could build a case, however, </w:t>
      </w:r>
      <w:r w:rsidR="007545C5" w:rsidRPr="003A6C7B">
        <w:rPr>
          <w:rFonts w:ascii="Arial" w:eastAsia="Times New Roman" w:hAnsi="Arial" w:cs="Arial"/>
          <w:sz w:val="24"/>
          <w:szCs w:val="24"/>
          <w:lang w:eastAsia="en-GB"/>
        </w:rPr>
        <w:t>ultimately,</w:t>
      </w:r>
      <w:r w:rsidRPr="003A6C7B">
        <w:rPr>
          <w:rFonts w:ascii="Arial" w:eastAsia="Times New Roman" w:hAnsi="Arial" w:cs="Arial"/>
          <w:sz w:val="24"/>
          <w:szCs w:val="24"/>
          <w:lang w:eastAsia="en-GB"/>
        </w:rPr>
        <w:t xml:space="preserve"> he launched an unprovoked attack on a colleague.   </w:t>
      </w:r>
    </w:p>
    <w:p w14:paraId="46993865"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7F156011"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Wrongful dismissal cannot apply; there has not been a breach of contract as Gethin is guilty of gross misconduct and not entitled to payment of notice and any other benefits. It is without any doubt, that an unprovoked attack on a colleague would be listed within a company policy or communication as an incident that amounts to a charge of gross misconduct. </w:t>
      </w:r>
    </w:p>
    <w:p w14:paraId="72136329"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6CD006D1"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In terms of H&amp;S, BB is doing what is practicably possible to enforce guidance around coronavirus. Communication has been given to all BB employees insisting that employees always wear masks in indoor spaces.  Gethin claims that he has raised his concerns around face masks to Steve however there is no mention of this in his statement. Gethin would need to prove in the ET that he did raise these concerns. </w:t>
      </w:r>
    </w:p>
    <w:p w14:paraId="03A26190"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07857881"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lastRenderedPageBreak/>
        <w:t>When Gethin visits Steve after the incident he is not wearing a face mask whilst before the incident, he was sharing a joke with his colleagues. This demonstrates his actual attitude and behaviours within a H&amp;S environment, therefore someone of this character would not make a protected disclosure when he does not follow the rules himself.</w:t>
      </w:r>
    </w:p>
    <w:p w14:paraId="266CA044"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304D1B68" w14:textId="1666A153"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The EAT held for </w:t>
      </w:r>
      <w:r w:rsidR="00CB29E6">
        <w:rPr>
          <w:rFonts w:ascii="Arial" w:eastAsia="Times New Roman" w:hAnsi="Arial" w:cs="Arial"/>
          <w:sz w:val="24"/>
          <w:szCs w:val="24"/>
          <w:lang w:eastAsia="en-GB"/>
        </w:rPr>
        <w:t>‘</w:t>
      </w:r>
      <w:r w:rsidRPr="003A6C7B">
        <w:rPr>
          <w:rFonts w:ascii="Arial" w:eastAsia="Times New Roman" w:hAnsi="Arial" w:cs="Arial"/>
          <w:sz w:val="24"/>
          <w:szCs w:val="24"/>
          <w:lang w:eastAsia="en-GB"/>
        </w:rPr>
        <w:t>Cavendish Munro Professional Risks Management Ltd v</w:t>
      </w:r>
      <w:r w:rsidR="00CB29E6">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Geduld UK</w:t>
      </w:r>
      <w:r w:rsidR="00CB29E6">
        <w:rPr>
          <w:rFonts w:ascii="Arial" w:eastAsia="Times New Roman" w:hAnsi="Arial" w:cs="Arial"/>
          <w:sz w:val="24"/>
          <w:szCs w:val="24"/>
          <w:lang w:eastAsia="en-GB"/>
        </w:rPr>
        <w:t>’ (</w:t>
      </w:r>
      <w:r w:rsidRPr="003A6C7B">
        <w:rPr>
          <w:rFonts w:ascii="Arial" w:eastAsia="Times New Roman" w:hAnsi="Arial" w:cs="Arial"/>
          <w:sz w:val="24"/>
          <w:szCs w:val="24"/>
          <w:lang w:eastAsia="en-GB"/>
        </w:rPr>
        <w:t>2009</w:t>
      </w:r>
      <w:r w:rsidR="00CB29E6">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that for a protected disclosure to qualify under section 43 of ERA 1996, there must be a disclosure of information and not just voicing a concern. The EAT also held in </w:t>
      </w:r>
      <w:r w:rsidR="00A31F52">
        <w:rPr>
          <w:rFonts w:ascii="Arial" w:eastAsia="Times New Roman" w:hAnsi="Arial" w:cs="Arial"/>
          <w:sz w:val="24"/>
          <w:szCs w:val="24"/>
          <w:lang w:eastAsia="en-GB"/>
        </w:rPr>
        <w:t>‘</w:t>
      </w:r>
      <w:proofErr w:type="spellStart"/>
      <w:r w:rsidRPr="003A6C7B">
        <w:rPr>
          <w:rFonts w:ascii="Arial" w:eastAsia="Times New Roman" w:hAnsi="Arial" w:cs="Arial"/>
          <w:sz w:val="24"/>
          <w:szCs w:val="24"/>
          <w:lang w:eastAsia="en-GB"/>
        </w:rPr>
        <w:t>Kilraine</w:t>
      </w:r>
      <w:proofErr w:type="spellEnd"/>
      <w:r w:rsidRPr="003A6C7B">
        <w:rPr>
          <w:rFonts w:ascii="Arial" w:eastAsia="Times New Roman" w:hAnsi="Arial" w:cs="Arial"/>
          <w:sz w:val="24"/>
          <w:szCs w:val="24"/>
          <w:lang w:eastAsia="en-GB"/>
        </w:rPr>
        <w:t xml:space="preserve"> v</w:t>
      </w:r>
      <w:r w:rsidR="00CB29E6">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London Borough of Wandsworth</w:t>
      </w:r>
      <w:r w:rsidR="00A31F52">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w:t>
      </w:r>
      <w:r w:rsidR="00A31F52">
        <w:rPr>
          <w:rFonts w:ascii="Arial" w:eastAsia="Times New Roman" w:hAnsi="Arial" w:cs="Arial"/>
          <w:sz w:val="24"/>
          <w:szCs w:val="24"/>
          <w:lang w:eastAsia="en-GB"/>
        </w:rPr>
        <w:t>(</w:t>
      </w:r>
      <w:r w:rsidRPr="003A6C7B">
        <w:rPr>
          <w:rFonts w:ascii="Arial" w:eastAsia="Times New Roman" w:hAnsi="Arial" w:cs="Arial"/>
          <w:sz w:val="24"/>
          <w:szCs w:val="24"/>
          <w:lang w:eastAsia="en-GB"/>
        </w:rPr>
        <w:t>2018</w:t>
      </w:r>
      <w:r w:rsidR="00A31F52">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that any disclosure must be factual to qualify for protection due to whistleblowing and must be a disclosure of information, and not just allegations (Hurst, 2018).  </w:t>
      </w:r>
    </w:p>
    <w:p w14:paraId="1921424B"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1BC0FB6B" w14:textId="2BF90519" w:rsidR="00B2502C"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Even if Gethin can substantiate that he did make a protected H&amp;S disclosure either by whistleblowing or under section 100 ERA, there is no causal link between this and the dismissal. The reason for the dismissal is due to the unprovoked attack on a colleague, not a H&amp;S disclosure.</w:t>
      </w:r>
    </w:p>
    <w:p w14:paraId="0F9D8BEA" w14:textId="68888CAD" w:rsidR="00CD3E3F" w:rsidRDefault="00CD3E3F" w:rsidP="001C3CFC">
      <w:pPr>
        <w:spacing w:after="0" w:line="360" w:lineRule="auto"/>
        <w:textAlignment w:val="baseline"/>
        <w:rPr>
          <w:rFonts w:ascii="Arial" w:eastAsia="Times New Roman" w:hAnsi="Arial" w:cs="Arial"/>
          <w:sz w:val="24"/>
          <w:szCs w:val="24"/>
          <w:lang w:eastAsia="en-GB"/>
        </w:rPr>
      </w:pPr>
    </w:p>
    <w:p w14:paraId="5989A695" w14:textId="5D05E317" w:rsidR="00CD3E3F" w:rsidRPr="00CD3E3F" w:rsidRDefault="00CD3E3F" w:rsidP="001C3CFC">
      <w:pPr>
        <w:spacing w:after="0" w:line="360" w:lineRule="auto"/>
        <w:textAlignment w:val="baseline"/>
        <w:rPr>
          <w:rFonts w:ascii="Arial" w:eastAsia="Times New Roman" w:hAnsi="Arial" w:cs="Arial"/>
          <w:i/>
          <w:iCs/>
          <w:sz w:val="24"/>
          <w:szCs w:val="24"/>
          <w:lang w:eastAsia="en-GB"/>
        </w:rPr>
      </w:pPr>
      <w:r w:rsidRPr="00CD3E3F">
        <w:rPr>
          <w:rFonts w:ascii="Arial" w:eastAsia="Times New Roman" w:hAnsi="Arial" w:cs="Arial"/>
          <w:i/>
          <w:iCs/>
          <w:sz w:val="24"/>
          <w:szCs w:val="24"/>
          <w:lang w:eastAsia="en-GB"/>
        </w:rPr>
        <w:t>End of memo</w:t>
      </w:r>
    </w:p>
    <w:p w14:paraId="25A8F2D2"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p>
    <w:p w14:paraId="7172A727" w14:textId="32C17DE4" w:rsidR="007122D4" w:rsidRPr="006D22C8" w:rsidRDefault="007122D4" w:rsidP="001C3CFC">
      <w:pPr>
        <w:pStyle w:val="Heading2"/>
        <w:numPr>
          <w:ilvl w:val="0"/>
          <w:numId w:val="25"/>
        </w:numPr>
        <w:spacing w:line="360" w:lineRule="auto"/>
        <w:rPr>
          <w:rFonts w:ascii="Arial" w:eastAsia="Times New Roman" w:hAnsi="Arial" w:cs="Arial"/>
          <w:b/>
          <w:bCs/>
          <w:color w:val="44546A" w:themeColor="text2"/>
          <w:sz w:val="24"/>
          <w:szCs w:val="24"/>
          <w:lang w:eastAsia="en-GB"/>
        </w:rPr>
      </w:pPr>
      <w:r w:rsidRPr="006D22C8">
        <w:rPr>
          <w:rFonts w:ascii="Arial" w:eastAsia="Times New Roman" w:hAnsi="Arial" w:cs="Arial"/>
          <w:b/>
          <w:bCs/>
          <w:color w:val="44546A" w:themeColor="text2"/>
          <w:sz w:val="24"/>
          <w:szCs w:val="24"/>
          <w:lang w:eastAsia="en-GB"/>
        </w:rPr>
        <w:t> </w:t>
      </w:r>
      <w:bookmarkStart w:id="3" w:name="_Toc71466647"/>
      <w:r w:rsidR="00360792" w:rsidRPr="006D22C8">
        <w:rPr>
          <w:rFonts w:ascii="Arial" w:eastAsia="Times New Roman" w:hAnsi="Arial" w:cs="Arial"/>
          <w:b/>
          <w:bCs/>
          <w:color w:val="44546A" w:themeColor="text2"/>
          <w:sz w:val="24"/>
          <w:szCs w:val="24"/>
          <w:lang w:eastAsia="en-GB"/>
        </w:rPr>
        <w:t>Potential outcomes from an Employment Tribunal</w:t>
      </w:r>
      <w:bookmarkEnd w:id="3"/>
      <w:r w:rsidR="00360792" w:rsidRPr="006D22C8">
        <w:rPr>
          <w:rFonts w:ascii="Arial" w:eastAsia="Times New Roman" w:hAnsi="Arial" w:cs="Arial"/>
          <w:b/>
          <w:bCs/>
          <w:color w:val="44546A" w:themeColor="text2"/>
          <w:sz w:val="24"/>
          <w:szCs w:val="24"/>
          <w:lang w:eastAsia="en-GB"/>
        </w:rPr>
        <w:t xml:space="preserve"> </w:t>
      </w:r>
    </w:p>
    <w:p w14:paraId="044E5E2A" w14:textId="4D7F1706" w:rsidR="003A6C7B" w:rsidRDefault="003A6C7B" w:rsidP="001C3CFC">
      <w:pPr>
        <w:spacing w:after="0" w:line="360" w:lineRule="auto"/>
        <w:textAlignment w:val="baseline"/>
        <w:rPr>
          <w:rFonts w:ascii="Arial" w:eastAsia="Times New Roman" w:hAnsi="Arial" w:cs="Arial"/>
          <w:sz w:val="24"/>
          <w:szCs w:val="24"/>
          <w:lang w:eastAsia="en-GB"/>
        </w:rPr>
      </w:pPr>
    </w:p>
    <w:p w14:paraId="212DB3B1"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The ET1 claim form offers the claimant multiple judgement decisions which could be given following a successful claim (Gov, 2020): </w:t>
      </w:r>
    </w:p>
    <w:p w14:paraId="7153621E"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7125BC28" w14:textId="77777777" w:rsidR="003A6C7B" w:rsidRDefault="003A6C7B" w:rsidP="003A6C7B">
      <w:pPr>
        <w:pStyle w:val="ListParagraph"/>
        <w:numPr>
          <w:ilvl w:val="0"/>
          <w:numId w:val="32"/>
        </w:num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Reinstatement is when an employee is given back their previous job.  </w:t>
      </w:r>
    </w:p>
    <w:p w14:paraId="3D0F56E2" w14:textId="77777777" w:rsidR="003A6C7B" w:rsidRDefault="003A6C7B" w:rsidP="003A6C7B">
      <w:pPr>
        <w:pStyle w:val="ListParagraph"/>
        <w:numPr>
          <w:ilvl w:val="0"/>
          <w:numId w:val="32"/>
        </w:num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Re-engagement occurs when an employee returns to the organisation but into another role. </w:t>
      </w:r>
    </w:p>
    <w:p w14:paraId="0B184198" w14:textId="588D3AA3" w:rsidR="003A6C7B" w:rsidRPr="003A6C7B" w:rsidRDefault="003A6C7B" w:rsidP="003A6C7B">
      <w:pPr>
        <w:pStyle w:val="ListParagraph"/>
        <w:numPr>
          <w:ilvl w:val="0"/>
          <w:numId w:val="32"/>
        </w:num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Compensation including payment of wages due to the employee. </w:t>
      </w:r>
    </w:p>
    <w:p w14:paraId="3C990B42"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5651AECE" w14:textId="666F06DD"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Reinstatement and re-engagement (R&amp;R) are very rare; In 2016/7</w:t>
      </w:r>
      <w:r w:rsidR="0078164D">
        <w:rPr>
          <w:rFonts w:ascii="Arial" w:eastAsia="Times New Roman" w:hAnsi="Arial" w:cs="Arial"/>
          <w:sz w:val="24"/>
          <w:szCs w:val="24"/>
          <w:lang w:eastAsia="en-GB"/>
        </w:rPr>
        <w:t xml:space="preserve">, </w:t>
      </w:r>
      <w:r w:rsidRPr="003A6C7B">
        <w:rPr>
          <w:rFonts w:ascii="Arial" w:eastAsia="Times New Roman" w:hAnsi="Arial" w:cs="Arial"/>
          <w:sz w:val="24"/>
          <w:szCs w:val="24"/>
          <w:lang w:eastAsia="en-GB"/>
        </w:rPr>
        <w:t xml:space="preserve">0.033% of ET hearings ended with a R&amp;R order (Sefton, 2019). When considering if R&amp;R is suitable, an ET would </w:t>
      </w:r>
      <w:r w:rsidR="0078164D">
        <w:rPr>
          <w:rFonts w:ascii="Arial" w:eastAsia="Times New Roman" w:hAnsi="Arial" w:cs="Arial"/>
          <w:sz w:val="24"/>
          <w:szCs w:val="24"/>
          <w:lang w:eastAsia="en-GB"/>
        </w:rPr>
        <w:t>decide</w:t>
      </w:r>
      <w:r w:rsidRPr="003A6C7B">
        <w:rPr>
          <w:rFonts w:ascii="Arial" w:eastAsia="Times New Roman" w:hAnsi="Arial" w:cs="Arial"/>
          <w:sz w:val="24"/>
          <w:szCs w:val="24"/>
          <w:lang w:eastAsia="en-GB"/>
        </w:rPr>
        <w:t xml:space="preserve"> if it were reasonably practicable for the claimant to </w:t>
      </w:r>
      <w:r w:rsidRPr="003A6C7B">
        <w:rPr>
          <w:rFonts w:ascii="Arial" w:eastAsia="Times New Roman" w:hAnsi="Arial" w:cs="Arial"/>
          <w:sz w:val="24"/>
          <w:szCs w:val="24"/>
          <w:lang w:eastAsia="en-GB"/>
        </w:rPr>
        <w:lastRenderedPageBreak/>
        <w:t xml:space="preserve">return to the employer, whether the employee wanted to return and if the claimant contributed to their dismissal. (Pure Employment Law, 2012).  </w:t>
      </w:r>
    </w:p>
    <w:p w14:paraId="16ABE7C9"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5BE7C06B" w14:textId="7A47A1E6"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In </w:t>
      </w:r>
      <w:r w:rsidR="00A31F52">
        <w:rPr>
          <w:rFonts w:ascii="Arial" w:eastAsia="Times New Roman" w:hAnsi="Arial" w:cs="Arial"/>
          <w:sz w:val="24"/>
          <w:szCs w:val="24"/>
          <w:lang w:eastAsia="en-GB"/>
        </w:rPr>
        <w:t>‘</w:t>
      </w:r>
      <w:proofErr w:type="spellStart"/>
      <w:r w:rsidRPr="003A6C7B">
        <w:rPr>
          <w:rFonts w:ascii="Arial" w:eastAsia="Times New Roman" w:hAnsi="Arial" w:cs="Arial"/>
          <w:sz w:val="24"/>
          <w:szCs w:val="24"/>
          <w:lang w:eastAsia="en-GB"/>
        </w:rPr>
        <w:t>Rembiszewski</w:t>
      </w:r>
      <w:proofErr w:type="spellEnd"/>
      <w:r w:rsidRPr="003A6C7B">
        <w:rPr>
          <w:rFonts w:ascii="Arial" w:eastAsia="Times New Roman" w:hAnsi="Arial" w:cs="Arial"/>
          <w:sz w:val="24"/>
          <w:szCs w:val="24"/>
          <w:lang w:eastAsia="en-GB"/>
        </w:rPr>
        <w:t xml:space="preserve"> v</w:t>
      </w:r>
      <w:r w:rsidR="00CB29E6">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Atkins Ltd</w:t>
      </w:r>
      <w:r w:rsidR="00A31F52">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w:t>
      </w:r>
      <w:r w:rsidR="00A31F52">
        <w:rPr>
          <w:rFonts w:ascii="Arial" w:eastAsia="Times New Roman" w:hAnsi="Arial" w:cs="Arial"/>
          <w:sz w:val="24"/>
          <w:szCs w:val="24"/>
          <w:lang w:eastAsia="en-GB"/>
        </w:rPr>
        <w:t>(</w:t>
      </w:r>
      <w:r w:rsidRPr="003A6C7B">
        <w:rPr>
          <w:rFonts w:ascii="Arial" w:eastAsia="Times New Roman" w:hAnsi="Arial" w:cs="Arial"/>
          <w:sz w:val="24"/>
          <w:szCs w:val="24"/>
          <w:lang w:eastAsia="en-GB"/>
        </w:rPr>
        <w:t>2012</w:t>
      </w:r>
      <w:r w:rsidR="00A31F52">
        <w:rPr>
          <w:rFonts w:ascii="Arial" w:eastAsia="Times New Roman" w:hAnsi="Arial" w:cs="Arial"/>
          <w:sz w:val="24"/>
          <w:szCs w:val="24"/>
          <w:lang w:eastAsia="en-GB"/>
        </w:rPr>
        <w:t>)</w:t>
      </w:r>
      <w:r w:rsidRPr="003A6C7B">
        <w:rPr>
          <w:rFonts w:ascii="Arial" w:eastAsia="Times New Roman" w:hAnsi="Arial" w:cs="Arial"/>
          <w:sz w:val="24"/>
          <w:szCs w:val="24"/>
          <w:lang w:eastAsia="en-GB"/>
        </w:rPr>
        <w:t xml:space="preserve">, it was deemed that R&amp;R should be considered on the date of the hearing, and not when the dismissal took place. With the average waiting time for an ET hearing around 284 days (McCulloch, 2020), it is very likely the employer landscape, in terms of workforce vacancies, would look a lot different over this length of time. The length of time to hear an ET case may have become longer due to the abolishment of tribunal fees in 2017, but recently, there has been a reduction; this may be due to a rise in unemployment and a fear to raise concerns due to a tight labour market (Taylor, 2021).   </w:t>
      </w:r>
    </w:p>
    <w:p w14:paraId="64CD9DC3"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1FA320A2" w14:textId="6B4DE44C" w:rsidR="003A6C7B" w:rsidRPr="001C3CFC"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Gethin has requested in his statement that he would like his job back. Ultimately, R&amp;R would not be possible if the employer-employee relationship has irretrievably broken down due to the dismissal. However, if Gethin wins his claim that he was dismissed due to whistle-blowing, the ET will likely enforce that BB reemploy him.  </w:t>
      </w:r>
    </w:p>
    <w:p w14:paraId="2425B02E" w14:textId="77777777" w:rsidR="00360792" w:rsidRPr="007122D4" w:rsidRDefault="00360792" w:rsidP="001C3CFC">
      <w:pPr>
        <w:spacing w:after="0" w:line="360" w:lineRule="auto"/>
        <w:textAlignment w:val="baseline"/>
        <w:rPr>
          <w:rFonts w:ascii="Arial" w:eastAsia="Times New Roman" w:hAnsi="Arial" w:cs="Arial"/>
          <w:sz w:val="24"/>
          <w:szCs w:val="24"/>
          <w:lang w:eastAsia="en-GB"/>
        </w:rPr>
      </w:pPr>
    </w:p>
    <w:p w14:paraId="01398E07" w14:textId="750E7454" w:rsidR="007122D4" w:rsidRPr="001C3CFC"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Th</w:t>
      </w:r>
      <w:r w:rsidR="00360792" w:rsidRPr="001C3CFC">
        <w:rPr>
          <w:rFonts w:ascii="Arial" w:eastAsia="Times New Roman" w:hAnsi="Arial" w:cs="Arial"/>
          <w:sz w:val="24"/>
          <w:szCs w:val="24"/>
          <w:lang w:eastAsia="en-GB"/>
        </w:rPr>
        <w:t>e potential financial award</w:t>
      </w:r>
      <w:r w:rsidRPr="007122D4">
        <w:rPr>
          <w:rFonts w:ascii="Arial" w:eastAsia="Times New Roman" w:hAnsi="Arial" w:cs="Arial"/>
          <w:sz w:val="24"/>
          <w:szCs w:val="24"/>
          <w:lang w:eastAsia="en-GB"/>
        </w:rPr>
        <w:t> depend</w:t>
      </w:r>
      <w:r w:rsidR="00360792" w:rsidRPr="001C3CFC">
        <w:rPr>
          <w:rFonts w:ascii="Arial" w:eastAsia="Times New Roman" w:hAnsi="Arial" w:cs="Arial"/>
          <w:sz w:val="24"/>
          <w:szCs w:val="24"/>
          <w:lang w:eastAsia="en-GB"/>
        </w:rPr>
        <w:t>s</w:t>
      </w:r>
      <w:r w:rsidRPr="007122D4">
        <w:rPr>
          <w:rFonts w:ascii="Arial" w:eastAsia="Times New Roman" w:hAnsi="Arial" w:cs="Arial"/>
          <w:sz w:val="24"/>
          <w:szCs w:val="24"/>
          <w:lang w:eastAsia="en-GB"/>
        </w:rPr>
        <w:t> on which claim</w:t>
      </w:r>
      <w:r w:rsidR="000635A4">
        <w:rPr>
          <w:rFonts w:ascii="Arial" w:eastAsia="Times New Roman" w:hAnsi="Arial" w:cs="Arial"/>
          <w:sz w:val="24"/>
          <w:szCs w:val="24"/>
          <w:lang w:eastAsia="en-GB"/>
        </w:rPr>
        <w:t xml:space="preserve"> </w:t>
      </w:r>
      <w:r w:rsidR="00AA7E05" w:rsidRPr="001C3CFC">
        <w:rPr>
          <w:rFonts w:ascii="Arial" w:eastAsia="Times New Roman" w:hAnsi="Arial" w:cs="Arial"/>
          <w:sz w:val="24"/>
          <w:szCs w:val="24"/>
          <w:lang w:eastAsia="en-GB"/>
        </w:rPr>
        <w:t>Gethin</w:t>
      </w:r>
      <w:r w:rsidRPr="007122D4">
        <w:rPr>
          <w:rFonts w:ascii="Arial" w:eastAsia="Times New Roman" w:hAnsi="Arial" w:cs="Arial"/>
          <w:sz w:val="24"/>
          <w:szCs w:val="24"/>
          <w:lang w:eastAsia="en-GB"/>
        </w:rPr>
        <w:t xml:space="preserve"> is successful in winning.  </w:t>
      </w:r>
    </w:p>
    <w:p w14:paraId="53D09566"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04004C97"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If the ET decides that Gethin has been unfairly dismissed, the compensation will consist of a fixed sum known as a basic award, and a compensatory award; compensation for monies lost (Citizens Advice, 2020).  </w:t>
      </w:r>
    </w:p>
    <w:p w14:paraId="1A86EADD"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44ECE7FE"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The below formula is used to calculate the basic award: </w:t>
      </w:r>
    </w:p>
    <w:p w14:paraId="4F8CCE98"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67DE7675" w14:textId="77777777" w:rsidR="003A6C7B" w:rsidRPr="00882057" w:rsidRDefault="003A6C7B" w:rsidP="00882057">
      <w:pPr>
        <w:spacing w:after="0" w:line="360" w:lineRule="auto"/>
        <w:ind w:firstLine="720"/>
        <w:textAlignment w:val="baseline"/>
        <w:rPr>
          <w:rFonts w:ascii="Arial" w:eastAsia="Times New Roman" w:hAnsi="Arial" w:cs="Arial"/>
          <w:i/>
          <w:iCs/>
          <w:sz w:val="24"/>
          <w:szCs w:val="24"/>
          <w:lang w:eastAsia="en-GB"/>
        </w:rPr>
      </w:pPr>
      <w:r w:rsidRPr="00882057">
        <w:rPr>
          <w:rFonts w:ascii="Arial" w:eastAsia="Times New Roman" w:hAnsi="Arial" w:cs="Arial"/>
          <w:i/>
          <w:iCs/>
          <w:sz w:val="24"/>
          <w:szCs w:val="24"/>
          <w:lang w:eastAsia="en-GB"/>
        </w:rPr>
        <w:t xml:space="preserve">Number of years' service x multiplier (dependant on age) x weekly pay </w:t>
      </w:r>
    </w:p>
    <w:p w14:paraId="5C734D27"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4E63CB86"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 xml:space="preserve">For Gethin, this would amount to £2,500 (5 x 1 x 500). </w:t>
      </w:r>
    </w:p>
    <w:p w14:paraId="6583C545"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0B33CFFF"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The compensatory award is more difficult to calculate as there is not a formula to use.  This award is an amount that the ET considers as just and equitable in the circumstances, considering the loss of wages from the date of dismissal to the date of the hearing, loss of any other benefits, and loss of future earnings (</w:t>
      </w:r>
      <w:proofErr w:type="spellStart"/>
      <w:r w:rsidRPr="003A6C7B">
        <w:rPr>
          <w:rFonts w:ascii="Arial" w:eastAsia="Times New Roman" w:hAnsi="Arial" w:cs="Arial"/>
          <w:sz w:val="24"/>
          <w:szCs w:val="24"/>
          <w:lang w:eastAsia="en-GB"/>
        </w:rPr>
        <w:t>XpertHR</w:t>
      </w:r>
      <w:proofErr w:type="spellEnd"/>
      <w:r w:rsidRPr="003A6C7B">
        <w:rPr>
          <w:rFonts w:ascii="Arial" w:eastAsia="Times New Roman" w:hAnsi="Arial" w:cs="Arial"/>
          <w:sz w:val="24"/>
          <w:szCs w:val="24"/>
          <w:lang w:eastAsia="en-GB"/>
        </w:rPr>
        <w:t xml:space="preserve">, no </w:t>
      </w:r>
      <w:r w:rsidRPr="003A6C7B">
        <w:rPr>
          <w:rFonts w:ascii="Arial" w:eastAsia="Times New Roman" w:hAnsi="Arial" w:cs="Arial"/>
          <w:sz w:val="24"/>
          <w:szCs w:val="24"/>
          <w:lang w:eastAsia="en-GB"/>
        </w:rPr>
        <w:lastRenderedPageBreak/>
        <w:t xml:space="preserve">date). A claimant must mitigate their losses by looking for alternative employment (Lewis and Sergeant, 2020); If the claimant successfully gains other employment, losses would be the difference between the previous salary and the current salary, if applicable.  </w:t>
      </w:r>
    </w:p>
    <w:p w14:paraId="5DBF1AA3" w14:textId="77777777" w:rsidR="003A6C7B" w:rsidRPr="003A6C7B" w:rsidRDefault="003A6C7B" w:rsidP="003A6C7B">
      <w:pPr>
        <w:spacing w:after="0" w:line="360" w:lineRule="auto"/>
        <w:textAlignment w:val="baseline"/>
        <w:rPr>
          <w:rFonts w:ascii="Arial" w:eastAsia="Times New Roman" w:hAnsi="Arial" w:cs="Arial"/>
          <w:sz w:val="24"/>
          <w:szCs w:val="24"/>
          <w:lang w:eastAsia="en-GB"/>
        </w:rPr>
      </w:pPr>
    </w:p>
    <w:p w14:paraId="737E3E1C" w14:textId="7988AAFA" w:rsidR="00360792" w:rsidRDefault="003A6C7B" w:rsidP="003A6C7B">
      <w:pPr>
        <w:spacing w:after="0" w:line="360" w:lineRule="auto"/>
        <w:textAlignment w:val="baseline"/>
        <w:rPr>
          <w:rFonts w:ascii="Arial" w:eastAsia="Times New Roman" w:hAnsi="Arial" w:cs="Arial"/>
          <w:sz w:val="24"/>
          <w:szCs w:val="24"/>
          <w:lang w:eastAsia="en-GB"/>
        </w:rPr>
      </w:pPr>
      <w:r w:rsidRPr="003A6C7B">
        <w:rPr>
          <w:rFonts w:ascii="Arial" w:eastAsia="Times New Roman" w:hAnsi="Arial" w:cs="Arial"/>
          <w:sz w:val="24"/>
          <w:szCs w:val="24"/>
          <w:lang w:eastAsia="en-GB"/>
        </w:rPr>
        <w:t>From April 2021, the maximum compensatory award for unfair dismissal will be the lower of 12 months' salary or £89,493 (</w:t>
      </w:r>
      <w:proofErr w:type="spellStart"/>
      <w:r w:rsidRPr="003A6C7B">
        <w:rPr>
          <w:rFonts w:ascii="Arial" w:eastAsia="Times New Roman" w:hAnsi="Arial" w:cs="Arial"/>
          <w:sz w:val="24"/>
          <w:szCs w:val="24"/>
          <w:lang w:eastAsia="en-GB"/>
        </w:rPr>
        <w:t>Hewitsons</w:t>
      </w:r>
      <w:proofErr w:type="spellEnd"/>
      <w:r w:rsidRPr="003A6C7B">
        <w:rPr>
          <w:rFonts w:ascii="Arial" w:eastAsia="Times New Roman" w:hAnsi="Arial" w:cs="Arial"/>
          <w:sz w:val="24"/>
          <w:szCs w:val="24"/>
          <w:lang w:eastAsia="en-GB"/>
        </w:rPr>
        <w:t>, 2021). Therefore, Gethin compensatory award would be an annual salary of £26,000.</w:t>
      </w:r>
    </w:p>
    <w:p w14:paraId="476C45A3" w14:textId="77777777" w:rsidR="007545C5" w:rsidRDefault="007545C5" w:rsidP="00882057">
      <w:pPr>
        <w:spacing w:after="0" w:line="360" w:lineRule="auto"/>
        <w:textAlignment w:val="baseline"/>
        <w:rPr>
          <w:rFonts w:ascii="Arial" w:eastAsia="Times New Roman" w:hAnsi="Arial" w:cs="Arial"/>
          <w:sz w:val="24"/>
          <w:szCs w:val="24"/>
          <w:lang w:eastAsia="en-GB"/>
        </w:rPr>
      </w:pPr>
    </w:p>
    <w:p w14:paraId="00EAE188" w14:textId="7BAA181F"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The ET can decide to increase and decrease a claim amount for varying reasons.</w:t>
      </w:r>
    </w:p>
    <w:p w14:paraId="4DDACEF6"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5E4281D1" w14:textId="6A7F1AA9"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If a whistleblowing claim is awarded, the maximum monies available as compensation are uncapped. In the case of </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BMI Healthcare Ltd </w:t>
      </w:r>
      <w:r w:rsidR="00CB29E6">
        <w:rPr>
          <w:rFonts w:ascii="Arial" w:eastAsia="Times New Roman" w:hAnsi="Arial" w:cs="Arial"/>
          <w:sz w:val="24"/>
          <w:szCs w:val="24"/>
          <w:lang w:eastAsia="en-GB"/>
        </w:rPr>
        <w:t>v.</w:t>
      </w:r>
      <w:r w:rsidRPr="00882057">
        <w:rPr>
          <w:rFonts w:ascii="Arial" w:eastAsia="Times New Roman" w:hAnsi="Arial" w:cs="Arial"/>
          <w:sz w:val="24"/>
          <w:szCs w:val="24"/>
          <w:lang w:eastAsia="en-GB"/>
        </w:rPr>
        <w:t xml:space="preserve"> Mr. M </w:t>
      </w:r>
      <w:proofErr w:type="spellStart"/>
      <w:r w:rsidRPr="00882057">
        <w:rPr>
          <w:rFonts w:ascii="Arial" w:eastAsia="Times New Roman" w:hAnsi="Arial" w:cs="Arial"/>
          <w:sz w:val="24"/>
          <w:szCs w:val="24"/>
          <w:lang w:eastAsia="en-GB"/>
        </w:rPr>
        <w:t>Shoukrey</w:t>
      </w:r>
      <w:proofErr w:type="spellEnd"/>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the compensation award totalled £920,202 however, the EAT has readmitted the claim to be reassessed (Edwards, 2021).  </w:t>
      </w:r>
    </w:p>
    <w:p w14:paraId="387B1B0C"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65C97951" w14:textId="1451704A"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If an employer or employee has failed to comply with any provision outlined in the ACAS code, the ET may adjust awards by a maximum of 25 percent; this is set out in TULRCA 1992 s.207A (CIPD, 2021a). In </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Base Childrenswear Ltd v</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w:t>
      </w:r>
      <w:proofErr w:type="spellStart"/>
      <w:r w:rsidRPr="00882057">
        <w:rPr>
          <w:rFonts w:ascii="Arial" w:eastAsia="Times New Roman" w:hAnsi="Arial" w:cs="Arial"/>
          <w:sz w:val="24"/>
          <w:szCs w:val="24"/>
          <w:lang w:eastAsia="en-GB"/>
        </w:rPr>
        <w:t>Otshudi</w:t>
      </w:r>
      <w:proofErr w:type="spellEnd"/>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2019</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the claimant was awarded a full 25 percent uplift available due to the employer not complying with the code relating to a grievance/appeal (Gov, 2019).  </w:t>
      </w:r>
    </w:p>
    <w:p w14:paraId="7D401015"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1DB5F8E8" w14:textId="4FA43593"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A percentage deduction can be applied to the compensation award because of contributory fault or conduct. This is the argument, that even if the dismissal is deemed unfair, the ET should consider the action of the claimant (Pure Employment Law, 2013). In </w:t>
      </w:r>
      <w:r w:rsidR="00CB29E6">
        <w:rPr>
          <w:rFonts w:ascii="Arial" w:eastAsia="Times New Roman" w:hAnsi="Arial" w:cs="Arial"/>
          <w:sz w:val="24"/>
          <w:szCs w:val="24"/>
          <w:lang w:eastAsia="en-GB"/>
        </w:rPr>
        <w:t>‘</w:t>
      </w:r>
      <w:proofErr w:type="spellStart"/>
      <w:r w:rsidRPr="00882057">
        <w:rPr>
          <w:rFonts w:ascii="Arial" w:eastAsia="Times New Roman" w:hAnsi="Arial" w:cs="Arial"/>
          <w:sz w:val="24"/>
          <w:szCs w:val="24"/>
          <w:lang w:eastAsia="en-GB"/>
        </w:rPr>
        <w:t>Lemonious</w:t>
      </w:r>
      <w:proofErr w:type="spellEnd"/>
      <w:r w:rsidRPr="00882057">
        <w:rPr>
          <w:rFonts w:ascii="Arial" w:eastAsia="Times New Roman" w:hAnsi="Arial" w:cs="Arial"/>
          <w:sz w:val="24"/>
          <w:szCs w:val="24"/>
          <w:lang w:eastAsia="en-GB"/>
        </w:rPr>
        <w:t xml:space="preserve"> v</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Church Commissioners</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2013</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the ET decided to reduce the award by 100% as the conduct by the employee was enough to warrant the dismissal, despite a procedurally flawed disciplinary process (Employment Case update, 2013).  </w:t>
      </w:r>
    </w:p>
    <w:p w14:paraId="691A98BF"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3C62C7A1" w14:textId="774D7150"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Another reduction to the compensatory award is referred to as the ‘Polkey’ deduction. This considers the notion that an employee would have still been dismissed in any event, despite any procedural errors the employer made. The ET must award what would be just and equitable (</w:t>
      </w:r>
      <w:proofErr w:type="spellStart"/>
      <w:r w:rsidRPr="00882057">
        <w:rPr>
          <w:rFonts w:ascii="Arial" w:eastAsia="Times New Roman" w:hAnsi="Arial" w:cs="Arial"/>
          <w:sz w:val="24"/>
          <w:szCs w:val="24"/>
          <w:lang w:eastAsia="en-GB"/>
        </w:rPr>
        <w:t>Swinn</w:t>
      </w:r>
      <w:proofErr w:type="spellEnd"/>
      <w:r w:rsidRPr="00882057">
        <w:rPr>
          <w:rFonts w:ascii="Arial" w:eastAsia="Times New Roman" w:hAnsi="Arial" w:cs="Arial"/>
          <w:sz w:val="24"/>
          <w:szCs w:val="24"/>
          <w:lang w:eastAsia="en-GB"/>
        </w:rPr>
        <w:t xml:space="preserve">, 2018). This principle is founded from the case </w:t>
      </w:r>
      <w:r w:rsidR="00CB29E6">
        <w:rPr>
          <w:rFonts w:ascii="Arial" w:eastAsia="Times New Roman" w:hAnsi="Arial" w:cs="Arial"/>
          <w:sz w:val="24"/>
          <w:szCs w:val="24"/>
          <w:lang w:eastAsia="en-GB"/>
        </w:rPr>
        <w:lastRenderedPageBreak/>
        <w:t>‘</w:t>
      </w:r>
      <w:r w:rsidRPr="00882057">
        <w:rPr>
          <w:rFonts w:ascii="Arial" w:eastAsia="Times New Roman" w:hAnsi="Arial" w:cs="Arial"/>
          <w:sz w:val="24"/>
          <w:szCs w:val="24"/>
          <w:lang w:eastAsia="en-GB"/>
        </w:rPr>
        <w:t>Polkey v</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AE Dayton Services Ltd (formerly Edmund Walker (Holdings) Ltd)</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1987</w:t>
      </w:r>
      <w:r w:rsidR="00CB29E6">
        <w:rPr>
          <w:rFonts w:ascii="Arial" w:eastAsia="Times New Roman" w:hAnsi="Arial" w:cs="Arial"/>
          <w:sz w:val="24"/>
          <w:szCs w:val="24"/>
          <w:lang w:eastAsia="en-GB"/>
        </w:rPr>
        <w:t>)</w:t>
      </w:r>
      <w:r w:rsidRPr="00882057">
        <w:rPr>
          <w:rFonts w:ascii="Arial" w:eastAsia="Times New Roman" w:hAnsi="Arial" w:cs="Arial"/>
          <w:sz w:val="24"/>
          <w:szCs w:val="24"/>
          <w:lang w:eastAsia="en-GB"/>
        </w:rPr>
        <w:t xml:space="preserve">, which put an end to the ‘no difference’ rule (Guinan, 2009).  </w:t>
      </w:r>
    </w:p>
    <w:p w14:paraId="34914913"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3054DF24" w14:textId="44AD32B9" w:rsidR="00882057" w:rsidRPr="001C3CFC"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There are multiple factors to consider when deciding whether a claim should be settled or proceed to an ET to defend.</w:t>
      </w:r>
    </w:p>
    <w:p w14:paraId="1B16E684" w14:textId="77777777" w:rsidR="00360792" w:rsidRPr="007122D4" w:rsidRDefault="00360792" w:rsidP="001C3CFC">
      <w:pPr>
        <w:spacing w:after="0" w:line="360" w:lineRule="auto"/>
        <w:textAlignment w:val="baseline"/>
        <w:rPr>
          <w:rFonts w:ascii="Arial" w:eastAsia="Times New Roman" w:hAnsi="Arial" w:cs="Arial"/>
          <w:sz w:val="24"/>
          <w:szCs w:val="24"/>
          <w:lang w:eastAsia="en-GB"/>
        </w:rPr>
      </w:pPr>
    </w:p>
    <w:p w14:paraId="2186514A" w14:textId="765E6218"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Newtown Solicitors (no date) suggest that a simple case would cost between £4,500-£8,000, this is without the cost of a barrister to attend the tribunal hearing. BB will also incur other costs for employee's time for participating in giving witness statements, liaising with appointed solicitors, and other tasks associated with preparing and organising information for the hearing.  </w:t>
      </w:r>
    </w:p>
    <w:p w14:paraId="38E94C1D"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6919D245" w14:textId="12FECC98"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Since February 2017, all ET decisions are published and therefore accessible by any person. As BB supplies bus services to schools, this ET claim would be in the public's interest and likely to be shared by local media causing significant damage to BB's reputation/business. The schools will feel pressured to withdraw the contracts to demonstrate their accountability to the</w:t>
      </w:r>
      <w:r w:rsidR="000635A4">
        <w:rPr>
          <w:rFonts w:ascii="Arial" w:eastAsia="Times New Roman" w:hAnsi="Arial" w:cs="Arial"/>
          <w:sz w:val="24"/>
          <w:szCs w:val="24"/>
          <w:lang w:eastAsia="en-GB"/>
        </w:rPr>
        <w:t>ir</w:t>
      </w:r>
      <w:r w:rsidRPr="00882057">
        <w:rPr>
          <w:rFonts w:ascii="Arial" w:eastAsia="Times New Roman" w:hAnsi="Arial" w:cs="Arial"/>
          <w:sz w:val="24"/>
          <w:szCs w:val="24"/>
          <w:lang w:eastAsia="en-GB"/>
        </w:rPr>
        <w:t xml:space="preserve"> pupils. It is crucial to consider the impact an ET claim relating to H&amp;S will impact BB's ability to retain the contracts with the local schools.  </w:t>
      </w:r>
    </w:p>
    <w:p w14:paraId="1EA483D3"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2861F891"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A recommendation is made on the assumption that the claim is likely to be a maximum of £28,500. This is because the ACAS uplift can be argued as the employer and employee both failed to follow the code. There is also not a direct link between the dismissal and the possible H&amp;S disclosure to assume the award might be uncapped. </w:t>
      </w:r>
    </w:p>
    <w:p w14:paraId="51898E05"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251A2A43"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We are aware of some weaknesses in the case in terms of procedure and not following the ACAS code meaning it will be hard to argue that the disciplinary process was fair and reasonable.  </w:t>
      </w:r>
    </w:p>
    <w:p w14:paraId="77D41B03"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1F1D37A8" w14:textId="0BC13858"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On the balance of probabilities, I recommend that BB settle the claim </w:t>
      </w:r>
      <w:r w:rsidR="005145E6">
        <w:rPr>
          <w:rFonts w:ascii="Arial" w:eastAsia="Times New Roman" w:hAnsi="Arial" w:cs="Arial"/>
          <w:sz w:val="24"/>
          <w:szCs w:val="24"/>
          <w:lang w:eastAsia="en-GB"/>
        </w:rPr>
        <w:t>with</w:t>
      </w:r>
      <w:r w:rsidRPr="00882057">
        <w:rPr>
          <w:rFonts w:ascii="Arial" w:eastAsia="Times New Roman" w:hAnsi="Arial" w:cs="Arial"/>
          <w:sz w:val="24"/>
          <w:szCs w:val="24"/>
          <w:lang w:eastAsia="en-GB"/>
        </w:rPr>
        <w:t xml:space="preserve"> Mr. Gethin Rees; this would be a sound commercial decision, mitigating the reputational risk this ET claim may have on BB.  </w:t>
      </w:r>
    </w:p>
    <w:p w14:paraId="3EECDB5C"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1FA81C29"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lastRenderedPageBreak/>
        <w:t xml:space="preserve">When offering a settlement, ACAS must conciliate in most ET claims by drawing up a COT3. ACAS makes it easy to settle claims between parties, offers services free of charge, and does not require legal advice to be sought (CIPD, 2021b). Refer to the ACAS settlement agreement guidance document for further information.  </w:t>
      </w:r>
    </w:p>
    <w:p w14:paraId="0F4D0C2B"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19D874BC"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A settlement negotiated through ACAS is blinding for both parties; once it is signed, parties cannot change their mind, as the case is removed from the ET hearing list (</w:t>
      </w:r>
      <w:proofErr w:type="spellStart"/>
      <w:r w:rsidRPr="00882057">
        <w:rPr>
          <w:rFonts w:ascii="Arial" w:eastAsia="Times New Roman" w:hAnsi="Arial" w:cs="Arial"/>
          <w:sz w:val="24"/>
          <w:szCs w:val="24"/>
          <w:lang w:eastAsia="en-GB"/>
        </w:rPr>
        <w:t>Nairns</w:t>
      </w:r>
      <w:proofErr w:type="spellEnd"/>
      <w:r w:rsidRPr="00882057">
        <w:rPr>
          <w:rFonts w:ascii="Arial" w:eastAsia="Times New Roman" w:hAnsi="Arial" w:cs="Arial"/>
          <w:sz w:val="24"/>
          <w:szCs w:val="24"/>
          <w:lang w:eastAsia="en-GB"/>
        </w:rPr>
        <w:t xml:space="preserve">, 2011). </w:t>
      </w:r>
    </w:p>
    <w:p w14:paraId="20032318" w14:textId="77777777" w:rsidR="00882057" w:rsidRPr="00882057" w:rsidRDefault="00882057" w:rsidP="00882057">
      <w:pPr>
        <w:spacing w:after="0" w:line="360" w:lineRule="auto"/>
        <w:textAlignment w:val="baseline"/>
        <w:rPr>
          <w:rFonts w:ascii="Arial" w:eastAsia="Times New Roman" w:hAnsi="Arial" w:cs="Arial"/>
          <w:sz w:val="24"/>
          <w:szCs w:val="24"/>
          <w:lang w:eastAsia="en-GB"/>
        </w:rPr>
      </w:pPr>
    </w:p>
    <w:p w14:paraId="73FFB16A" w14:textId="0985529C" w:rsidR="00360792" w:rsidRPr="007122D4" w:rsidRDefault="00882057" w:rsidP="00882057">
      <w:pPr>
        <w:spacing w:after="0" w:line="360" w:lineRule="auto"/>
        <w:textAlignment w:val="baseline"/>
        <w:rPr>
          <w:rFonts w:ascii="Arial" w:eastAsia="Times New Roman" w:hAnsi="Arial" w:cs="Arial"/>
          <w:sz w:val="24"/>
          <w:szCs w:val="24"/>
          <w:lang w:eastAsia="en-GB"/>
        </w:rPr>
      </w:pPr>
      <w:r w:rsidRPr="00882057">
        <w:rPr>
          <w:rFonts w:ascii="Arial" w:eastAsia="Times New Roman" w:hAnsi="Arial" w:cs="Arial"/>
          <w:sz w:val="24"/>
          <w:szCs w:val="24"/>
          <w:lang w:eastAsia="en-GB"/>
        </w:rPr>
        <w:t xml:space="preserve">Although BB can offer a settlement, </w:t>
      </w:r>
      <w:r w:rsidR="005145E6">
        <w:rPr>
          <w:rFonts w:ascii="Arial" w:eastAsia="Times New Roman" w:hAnsi="Arial" w:cs="Arial"/>
          <w:sz w:val="24"/>
          <w:szCs w:val="24"/>
          <w:lang w:eastAsia="en-GB"/>
        </w:rPr>
        <w:t xml:space="preserve">Gethin </w:t>
      </w:r>
      <w:r w:rsidRPr="00882057">
        <w:rPr>
          <w:rFonts w:ascii="Arial" w:eastAsia="Times New Roman" w:hAnsi="Arial" w:cs="Arial"/>
          <w:sz w:val="24"/>
          <w:szCs w:val="24"/>
          <w:lang w:eastAsia="en-GB"/>
        </w:rPr>
        <w:t>is entitled to his day at tribunal and may choose to decline the offer. Therefore, it is key to note, that if the settlement negotiations and discussions are unsuccessful, they are confidential and cannot be used as evidence in an ET (ACAS, 2018).</w:t>
      </w:r>
    </w:p>
    <w:p w14:paraId="52498F6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6B0E4537"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1D824C0A"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2AABD541"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4582B8BA" w14:textId="04CFDAF5" w:rsidR="00360792" w:rsidRPr="001C3CFC" w:rsidRDefault="00360792" w:rsidP="001C3CFC">
      <w:pPr>
        <w:pStyle w:val="Heading2"/>
        <w:spacing w:line="360" w:lineRule="auto"/>
        <w:rPr>
          <w:rFonts w:ascii="Arial" w:eastAsia="Times New Roman" w:hAnsi="Arial" w:cs="Arial"/>
          <w:color w:val="auto"/>
          <w:sz w:val="24"/>
          <w:szCs w:val="24"/>
          <w:lang w:eastAsia="en-GB"/>
        </w:rPr>
      </w:pPr>
      <w:r w:rsidRPr="001C3CFC">
        <w:rPr>
          <w:rFonts w:ascii="Arial" w:eastAsia="Times New Roman" w:hAnsi="Arial" w:cs="Arial"/>
          <w:color w:val="auto"/>
          <w:sz w:val="24"/>
          <w:szCs w:val="24"/>
          <w:lang w:eastAsia="en-GB"/>
        </w:rPr>
        <w:br w:type="page"/>
      </w:r>
    </w:p>
    <w:p w14:paraId="6373562F" w14:textId="08B0D205" w:rsidR="00360792" w:rsidRPr="006D22C8" w:rsidRDefault="007122D4" w:rsidP="001C3CFC">
      <w:pPr>
        <w:pStyle w:val="Heading1"/>
        <w:spacing w:line="360" w:lineRule="auto"/>
        <w:rPr>
          <w:rFonts w:ascii="Arial" w:eastAsia="Times New Roman" w:hAnsi="Arial" w:cs="Arial"/>
          <w:b/>
          <w:bCs/>
          <w:color w:val="44546A" w:themeColor="text2"/>
          <w:sz w:val="24"/>
          <w:szCs w:val="24"/>
          <w:lang w:eastAsia="en-GB"/>
        </w:rPr>
      </w:pPr>
      <w:bookmarkStart w:id="4" w:name="_Toc71466648"/>
      <w:r w:rsidRPr="006D22C8">
        <w:rPr>
          <w:rFonts w:ascii="Arial" w:eastAsia="Times New Roman" w:hAnsi="Arial" w:cs="Arial"/>
          <w:b/>
          <w:bCs/>
          <w:color w:val="44546A" w:themeColor="text2"/>
          <w:sz w:val="24"/>
          <w:szCs w:val="24"/>
          <w:lang w:eastAsia="en-GB"/>
        </w:rPr>
        <w:lastRenderedPageBreak/>
        <w:t>Section B</w:t>
      </w:r>
      <w:bookmarkEnd w:id="4"/>
      <w:r w:rsidRPr="006D22C8">
        <w:rPr>
          <w:rFonts w:ascii="Arial" w:eastAsia="Times New Roman" w:hAnsi="Arial" w:cs="Arial"/>
          <w:b/>
          <w:bCs/>
          <w:color w:val="44546A" w:themeColor="text2"/>
          <w:sz w:val="24"/>
          <w:szCs w:val="24"/>
          <w:lang w:eastAsia="en-GB"/>
        </w:rPr>
        <w:t>  </w:t>
      </w:r>
    </w:p>
    <w:p w14:paraId="265D5CEB" w14:textId="77777777" w:rsidR="00ED2D6C" w:rsidRDefault="00ED2D6C" w:rsidP="001C3CFC">
      <w:pPr>
        <w:spacing w:after="0" w:line="360" w:lineRule="auto"/>
        <w:textAlignment w:val="baseline"/>
        <w:rPr>
          <w:rFonts w:ascii="Arial" w:eastAsia="Times New Roman" w:hAnsi="Arial" w:cs="Arial"/>
          <w:sz w:val="24"/>
          <w:szCs w:val="24"/>
          <w:lang w:eastAsia="en-GB"/>
        </w:rPr>
      </w:pPr>
    </w:p>
    <w:p w14:paraId="5542DC15" w14:textId="0AB13A51" w:rsidR="00CD3E3F"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Dear Managing Director,  </w:t>
      </w:r>
    </w:p>
    <w:p w14:paraId="4C16D9FE" w14:textId="77777777" w:rsidR="002739A1" w:rsidRPr="007122D4" w:rsidRDefault="002739A1" w:rsidP="001C3CFC">
      <w:pPr>
        <w:spacing w:after="0" w:line="360" w:lineRule="auto"/>
        <w:textAlignment w:val="baseline"/>
        <w:rPr>
          <w:rFonts w:ascii="Arial" w:eastAsia="Times New Roman" w:hAnsi="Arial" w:cs="Arial"/>
          <w:sz w:val="24"/>
          <w:szCs w:val="24"/>
          <w:lang w:eastAsia="en-GB"/>
        </w:rPr>
      </w:pPr>
    </w:p>
    <w:p w14:paraId="47F1A4D1" w14:textId="7786D28C" w:rsidR="007122D4" w:rsidRPr="001C3CFC"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xml:space="preserve">I have reviewed the content you have provided, and </w:t>
      </w:r>
      <w:r w:rsidR="00CD3E3F">
        <w:rPr>
          <w:rFonts w:ascii="Arial" w:eastAsia="Times New Roman" w:hAnsi="Arial" w:cs="Arial"/>
          <w:sz w:val="24"/>
          <w:szCs w:val="24"/>
          <w:lang w:eastAsia="en-GB"/>
        </w:rPr>
        <w:t>give the following</w:t>
      </w:r>
      <w:r w:rsidRPr="007122D4">
        <w:rPr>
          <w:rFonts w:ascii="Arial" w:eastAsia="Times New Roman" w:hAnsi="Arial" w:cs="Arial"/>
          <w:sz w:val="24"/>
          <w:szCs w:val="24"/>
          <w:lang w:eastAsia="en-GB"/>
        </w:rPr>
        <w:t xml:space="preserve"> advice</w:t>
      </w:r>
      <w:r w:rsidR="00CD3E3F">
        <w:rPr>
          <w:rFonts w:ascii="Arial" w:eastAsia="Times New Roman" w:hAnsi="Arial" w:cs="Arial"/>
          <w:sz w:val="24"/>
          <w:szCs w:val="24"/>
          <w:lang w:eastAsia="en-GB"/>
        </w:rPr>
        <w:t>:</w:t>
      </w:r>
    </w:p>
    <w:p w14:paraId="05FE3B48" w14:textId="77777777" w:rsidR="00360792" w:rsidRPr="007122D4" w:rsidRDefault="00360792" w:rsidP="001C3CFC">
      <w:pPr>
        <w:spacing w:after="0" w:line="360" w:lineRule="auto"/>
        <w:textAlignment w:val="baseline"/>
        <w:rPr>
          <w:rFonts w:ascii="Arial" w:eastAsia="Times New Roman" w:hAnsi="Arial" w:cs="Arial"/>
          <w:sz w:val="24"/>
          <w:szCs w:val="24"/>
          <w:lang w:eastAsia="en-GB"/>
        </w:rPr>
      </w:pPr>
    </w:p>
    <w:p w14:paraId="1C4CB055" w14:textId="2B94434D" w:rsidR="007122D4" w:rsidRPr="001C3CFC" w:rsidRDefault="007122D4" w:rsidP="001C3CFC">
      <w:pPr>
        <w:numPr>
          <w:ilvl w:val="0"/>
          <w:numId w:val="16"/>
        </w:numPr>
        <w:spacing w:after="0" w:line="360" w:lineRule="auto"/>
        <w:ind w:left="1080" w:firstLine="0"/>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Julie Davies</w:t>
      </w:r>
      <w:r w:rsidRPr="007122D4">
        <w:rPr>
          <w:rFonts w:ascii="Arial" w:eastAsia="Times New Roman" w:hAnsi="Arial" w:cs="Arial"/>
          <w:sz w:val="24"/>
          <w:szCs w:val="24"/>
          <w:lang w:eastAsia="en-GB"/>
        </w:rPr>
        <w:t> </w:t>
      </w:r>
    </w:p>
    <w:p w14:paraId="1D498D2C" w14:textId="77777777" w:rsidR="00882057" w:rsidRPr="007122D4" w:rsidRDefault="00882057" w:rsidP="001C3CFC">
      <w:pPr>
        <w:spacing w:after="0" w:line="360" w:lineRule="auto"/>
        <w:ind w:left="1080"/>
        <w:textAlignment w:val="baseline"/>
        <w:rPr>
          <w:rFonts w:ascii="Arial" w:eastAsia="Times New Roman" w:hAnsi="Arial" w:cs="Arial"/>
          <w:sz w:val="24"/>
          <w:szCs w:val="24"/>
          <w:lang w:eastAsia="en-GB"/>
        </w:rPr>
      </w:pPr>
    </w:p>
    <w:p w14:paraId="1F673BB9" w14:textId="77777777" w:rsidR="0077549E" w:rsidRPr="0077549E" w:rsidRDefault="007122D4" w:rsidP="0077549E">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xml:space="preserve">Julie </w:t>
      </w:r>
      <w:r w:rsidR="001504E8" w:rsidRPr="001C3CFC">
        <w:rPr>
          <w:rFonts w:ascii="Arial" w:eastAsia="Times New Roman" w:hAnsi="Arial" w:cs="Arial"/>
          <w:sz w:val="24"/>
          <w:szCs w:val="24"/>
          <w:lang w:eastAsia="en-GB"/>
        </w:rPr>
        <w:t xml:space="preserve">Davies </w:t>
      </w:r>
      <w:r w:rsidR="0077549E" w:rsidRPr="0077549E">
        <w:rPr>
          <w:rFonts w:ascii="Arial" w:eastAsia="Times New Roman" w:hAnsi="Arial" w:cs="Arial"/>
          <w:sz w:val="24"/>
          <w:szCs w:val="24"/>
          <w:lang w:eastAsia="en-GB"/>
        </w:rPr>
        <w:t xml:space="preserve">has been an employee of Big Buses Ltd (BB) for nineteen months, and under section 47 of the Employment Act 2002 (80F to 801 in the Employment Rights Act 1996), has the statutory right to apply for flexible working (FW). The right to apply for FW after 26 weeks, is a variation in terms of a contract and must be related to one of three matters: (1) hours of work, (2) times when required to work, (3) place of work (Lewis and Sargeant, 2020). The request received relates to these matters and must be considered.  </w:t>
      </w:r>
    </w:p>
    <w:p w14:paraId="566AF049"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p>
    <w:p w14:paraId="035931FD" w14:textId="5B5A50B2" w:rsidR="0077549E"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It is good practice that another manager is appointed to consider the FW request, ideally, the Finance Manager, who is Julie's supervising manager.  This allows you to assist in an appeal process. </w:t>
      </w:r>
    </w:p>
    <w:p w14:paraId="05F90C8F" w14:textId="77777777" w:rsidR="0077549E" w:rsidRDefault="0077549E" w:rsidP="0077549E">
      <w:pPr>
        <w:spacing w:after="0" w:line="360" w:lineRule="auto"/>
        <w:textAlignment w:val="baseline"/>
        <w:rPr>
          <w:rFonts w:ascii="Arial" w:eastAsia="Times New Roman" w:hAnsi="Arial" w:cs="Arial"/>
          <w:sz w:val="24"/>
          <w:szCs w:val="24"/>
          <w:lang w:eastAsia="en-GB"/>
        </w:rPr>
      </w:pPr>
    </w:p>
    <w:p w14:paraId="4E28FBA7" w14:textId="513AE652" w:rsidR="00360792"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Although the request has been made in writing via email, you have the right to ask for a formal application which must include the points shown in figure 2. </w:t>
      </w:r>
    </w:p>
    <w:p w14:paraId="507182E3" w14:textId="32D6ACFC" w:rsidR="0077549E" w:rsidRPr="001C3CFC" w:rsidRDefault="0077549E" w:rsidP="0077549E">
      <w:pPr>
        <w:spacing w:after="0" w:line="360" w:lineRule="auto"/>
        <w:textAlignment w:val="baseline"/>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368AB112" wp14:editId="3ED6AA99">
                <wp:simplePos x="0" y="0"/>
                <wp:positionH relativeFrom="margin">
                  <wp:posOffset>-123825</wp:posOffset>
                </wp:positionH>
                <wp:positionV relativeFrom="paragraph">
                  <wp:posOffset>135255</wp:posOffset>
                </wp:positionV>
                <wp:extent cx="6032500" cy="2305050"/>
                <wp:effectExtent l="0" t="0" r="25400" b="19050"/>
                <wp:wrapNone/>
                <wp:docPr id="41" name="Rectangle 41"/>
                <wp:cNvGraphicFramePr/>
                <a:graphic xmlns:a="http://schemas.openxmlformats.org/drawingml/2006/main">
                  <a:graphicData uri="http://schemas.microsoft.com/office/word/2010/wordprocessingShape">
                    <wps:wsp>
                      <wps:cNvSpPr/>
                      <wps:spPr>
                        <a:xfrm>
                          <a:off x="0" y="0"/>
                          <a:ext cx="6032500" cy="2305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49F8B2" id="Rectangle 41" o:spid="_x0000_s1026" style="position:absolute;margin-left:-9.75pt;margin-top:10.65pt;width:475pt;height:181.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" filled="f" strokecolor="black [3213]" strokeweight="1pt">
                <w10:wrap anchorx="margin"/>
              </v:rect>
            </w:pict>
          </mc:Fallback>
        </mc:AlternateContent>
      </w:r>
    </w:p>
    <w:p w14:paraId="119F5351" w14:textId="54075725" w:rsidR="003A442F" w:rsidRPr="001C3CFC" w:rsidRDefault="007E2DB4" w:rsidP="001C3CFC">
      <w:pPr>
        <w:keepNext/>
        <w:spacing w:after="0" w:line="360" w:lineRule="auto"/>
        <w:textAlignment w:val="baseline"/>
        <w:rPr>
          <w:rFonts w:ascii="Arial" w:hAnsi="Arial" w:cs="Arial"/>
          <w:sz w:val="24"/>
          <w:szCs w:val="24"/>
        </w:rPr>
      </w:pPr>
      <w:r w:rsidRPr="007E2DB4">
        <w:rPr>
          <w:rFonts w:ascii="Arial" w:hAnsi="Arial" w:cs="Arial"/>
          <w:noProof/>
          <w:sz w:val="24"/>
          <w:szCs w:val="24"/>
        </w:rPr>
        <w:drawing>
          <wp:inline distT="0" distB="0" distL="0" distR="0" wp14:anchorId="38A6FB09" wp14:editId="2ED07D85">
            <wp:extent cx="5759450" cy="1727835"/>
            <wp:effectExtent l="0" t="0" r="0" b="5715"/>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a:blip r:embed="rId10"/>
                    <a:stretch>
                      <a:fillRect/>
                    </a:stretch>
                  </pic:blipFill>
                  <pic:spPr>
                    <a:xfrm>
                      <a:off x="0" y="0"/>
                      <a:ext cx="5759450" cy="1727835"/>
                    </a:xfrm>
                    <a:prstGeom prst="rect">
                      <a:avLst/>
                    </a:prstGeom>
                  </pic:spPr>
                </pic:pic>
              </a:graphicData>
            </a:graphic>
          </wp:inline>
        </w:drawing>
      </w:r>
    </w:p>
    <w:p w14:paraId="609ED858" w14:textId="594D000A" w:rsidR="00360792" w:rsidRPr="001C3CFC" w:rsidRDefault="003A442F" w:rsidP="001C3CFC">
      <w:pPr>
        <w:pStyle w:val="Caption"/>
        <w:spacing w:line="360" w:lineRule="auto"/>
        <w:jc w:val="center"/>
        <w:rPr>
          <w:rFonts w:ascii="Arial" w:eastAsia="Times New Roman" w:hAnsi="Arial" w:cs="Arial"/>
          <w:color w:val="auto"/>
          <w:sz w:val="24"/>
          <w:szCs w:val="24"/>
          <w:lang w:eastAsia="en-GB"/>
        </w:rPr>
      </w:pPr>
      <w:bookmarkStart w:id="5" w:name="_Toc71463754"/>
      <w:r w:rsidRPr="001C3CFC">
        <w:rPr>
          <w:rFonts w:ascii="Arial" w:hAnsi="Arial" w:cs="Arial"/>
          <w:color w:val="auto"/>
          <w:sz w:val="24"/>
          <w:szCs w:val="24"/>
        </w:rPr>
        <w:t xml:space="preserve">Figure </w:t>
      </w:r>
      <w:r w:rsidRPr="001C3CFC">
        <w:rPr>
          <w:rFonts w:ascii="Arial" w:hAnsi="Arial" w:cs="Arial"/>
          <w:color w:val="auto"/>
          <w:sz w:val="24"/>
          <w:szCs w:val="24"/>
        </w:rPr>
        <w:fldChar w:fldCharType="begin"/>
      </w:r>
      <w:r w:rsidRPr="001C3CFC">
        <w:rPr>
          <w:rFonts w:ascii="Arial" w:hAnsi="Arial" w:cs="Arial"/>
          <w:color w:val="auto"/>
          <w:sz w:val="24"/>
          <w:szCs w:val="24"/>
        </w:rPr>
        <w:instrText xml:space="preserve"> SEQ Figure \* ARABIC </w:instrText>
      </w:r>
      <w:r w:rsidRPr="001C3CFC">
        <w:rPr>
          <w:rFonts w:ascii="Arial" w:hAnsi="Arial" w:cs="Arial"/>
          <w:color w:val="auto"/>
          <w:sz w:val="24"/>
          <w:szCs w:val="24"/>
        </w:rPr>
        <w:fldChar w:fldCharType="separate"/>
      </w:r>
      <w:r w:rsidR="00246E5B" w:rsidRPr="001C3CFC">
        <w:rPr>
          <w:rFonts w:ascii="Arial" w:hAnsi="Arial" w:cs="Arial"/>
          <w:noProof/>
          <w:color w:val="auto"/>
          <w:sz w:val="24"/>
          <w:szCs w:val="24"/>
        </w:rPr>
        <w:t>2</w:t>
      </w:r>
      <w:r w:rsidRPr="001C3CFC">
        <w:rPr>
          <w:rFonts w:ascii="Arial" w:hAnsi="Arial" w:cs="Arial"/>
          <w:color w:val="auto"/>
          <w:sz w:val="24"/>
          <w:szCs w:val="24"/>
        </w:rPr>
        <w:fldChar w:fldCharType="end"/>
      </w:r>
      <w:r w:rsidRPr="001C3CFC">
        <w:rPr>
          <w:rFonts w:ascii="Arial" w:hAnsi="Arial" w:cs="Arial"/>
          <w:color w:val="auto"/>
          <w:sz w:val="24"/>
          <w:szCs w:val="24"/>
        </w:rPr>
        <w:t xml:space="preserve"> - Flexible working checklist for employees (adapted by ACAS, 2014)</w:t>
      </w:r>
      <w:bookmarkEnd w:id="5"/>
    </w:p>
    <w:p w14:paraId="512C05B9" w14:textId="77777777" w:rsidR="00882057" w:rsidRDefault="00882057" w:rsidP="001C3CFC">
      <w:pPr>
        <w:spacing w:after="0" w:line="360" w:lineRule="auto"/>
        <w:textAlignment w:val="baseline"/>
        <w:rPr>
          <w:rFonts w:ascii="Arial" w:eastAsia="Times New Roman" w:hAnsi="Arial" w:cs="Arial"/>
          <w:sz w:val="24"/>
          <w:szCs w:val="24"/>
          <w:lang w:eastAsia="en-GB"/>
        </w:rPr>
      </w:pPr>
    </w:p>
    <w:p w14:paraId="7870BBDD" w14:textId="75C4AB67" w:rsidR="0077549E" w:rsidRPr="0077549E" w:rsidRDefault="007122D4" w:rsidP="0077549E">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lastRenderedPageBreak/>
        <w:t xml:space="preserve">Julie </w:t>
      </w:r>
      <w:r w:rsidR="0077549E" w:rsidRPr="0077549E">
        <w:rPr>
          <w:rFonts w:ascii="Arial" w:eastAsia="Times New Roman" w:hAnsi="Arial" w:cs="Arial"/>
          <w:sz w:val="24"/>
          <w:szCs w:val="24"/>
          <w:lang w:eastAsia="en-GB"/>
        </w:rPr>
        <w:t xml:space="preserve">may provide this information in a letter or using the company's formal FW application. This information is crucial as it sets the scene, allows for an open discussion, and assists in building a rationale for the final decision. </w:t>
      </w:r>
    </w:p>
    <w:p w14:paraId="17E40B9E"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p>
    <w:p w14:paraId="229E6978" w14:textId="012B6A2E" w:rsidR="0077549E" w:rsidRPr="0077549E"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Following the submission of the information, a meeting must be arranged to discuss the application. Although there is no legal right for Julie to be accompanied at this meeting, I suggest Julie </w:t>
      </w:r>
      <w:r w:rsidR="00B37512">
        <w:rPr>
          <w:rFonts w:ascii="Arial" w:eastAsia="Times New Roman" w:hAnsi="Arial" w:cs="Arial"/>
          <w:sz w:val="24"/>
          <w:szCs w:val="24"/>
          <w:lang w:eastAsia="en-GB"/>
        </w:rPr>
        <w:t>is</w:t>
      </w:r>
      <w:r w:rsidRPr="0077549E">
        <w:rPr>
          <w:rFonts w:ascii="Arial" w:eastAsia="Times New Roman" w:hAnsi="Arial" w:cs="Arial"/>
          <w:sz w:val="24"/>
          <w:szCs w:val="24"/>
          <w:lang w:eastAsia="en-GB"/>
        </w:rPr>
        <w:t xml:space="preserve"> accompanied by a work colleague or trade union representative (ACAS, no date</w:t>
      </w:r>
      <w:r w:rsidR="00F60394">
        <w:rPr>
          <w:rFonts w:ascii="Arial" w:eastAsia="Times New Roman" w:hAnsi="Arial" w:cs="Arial"/>
          <w:sz w:val="24"/>
          <w:szCs w:val="24"/>
          <w:lang w:eastAsia="en-GB"/>
        </w:rPr>
        <w:t>/</w:t>
      </w:r>
      <w:r w:rsidRPr="0077549E">
        <w:rPr>
          <w:rFonts w:ascii="Arial" w:eastAsia="Times New Roman" w:hAnsi="Arial" w:cs="Arial"/>
          <w:sz w:val="24"/>
          <w:szCs w:val="24"/>
          <w:lang w:eastAsia="en-GB"/>
        </w:rPr>
        <w:t xml:space="preserve">a).   </w:t>
      </w:r>
    </w:p>
    <w:p w14:paraId="3240D57F"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p>
    <w:p w14:paraId="47D07DC0" w14:textId="37F7249E" w:rsidR="00B37512"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The FW request should be broken down into two elements and considered individually:  </w:t>
      </w:r>
    </w:p>
    <w:p w14:paraId="1F4482F7" w14:textId="77777777" w:rsidR="00B37512" w:rsidRPr="0077549E" w:rsidRDefault="00B37512" w:rsidP="0077549E">
      <w:pPr>
        <w:spacing w:after="0" w:line="360" w:lineRule="auto"/>
        <w:textAlignment w:val="baseline"/>
        <w:rPr>
          <w:rFonts w:ascii="Arial" w:eastAsia="Times New Roman" w:hAnsi="Arial" w:cs="Arial"/>
          <w:sz w:val="24"/>
          <w:szCs w:val="24"/>
          <w:lang w:eastAsia="en-GB"/>
        </w:rPr>
      </w:pPr>
    </w:p>
    <w:p w14:paraId="5A151D26" w14:textId="77777777" w:rsidR="0077549E" w:rsidRDefault="0077549E" w:rsidP="0077549E">
      <w:pPr>
        <w:pStyle w:val="ListParagraph"/>
        <w:numPr>
          <w:ilvl w:val="0"/>
          <w:numId w:val="34"/>
        </w:num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A change in working hours to 8 am – 3 pm.  </w:t>
      </w:r>
    </w:p>
    <w:p w14:paraId="15C9464D" w14:textId="376F1F6C" w:rsidR="00360792" w:rsidRPr="0077549E" w:rsidRDefault="0077549E" w:rsidP="0077549E">
      <w:pPr>
        <w:pStyle w:val="ListParagraph"/>
        <w:numPr>
          <w:ilvl w:val="0"/>
          <w:numId w:val="34"/>
        </w:num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A change in the location of work from the office to home working.</w:t>
      </w:r>
    </w:p>
    <w:p w14:paraId="7245A6E7" w14:textId="77777777" w:rsidR="0077549E" w:rsidRDefault="0077549E" w:rsidP="001C3CFC">
      <w:pPr>
        <w:spacing w:after="0" w:line="360" w:lineRule="auto"/>
        <w:textAlignment w:val="baseline"/>
        <w:rPr>
          <w:rFonts w:ascii="Arial" w:eastAsia="Times New Roman" w:hAnsi="Arial" w:cs="Arial"/>
          <w:b/>
          <w:bCs/>
          <w:sz w:val="24"/>
          <w:szCs w:val="24"/>
          <w:lang w:eastAsia="en-GB"/>
        </w:rPr>
      </w:pPr>
    </w:p>
    <w:p w14:paraId="75584DE3" w14:textId="3D153958" w:rsidR="007122D4" w:rsidRPr="001C3CFC"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Element 1 - Change in working hours</w:t>
      </w:r>
      <w:r w:rsidRPr="007122D4">
        <w:rPr>
          <w:rFonts w:ascii="Arial" w:eastAsia="Times New Roman" w:hAnsi="Arial" w:cs="Arial"/>
          <w:sz w:val="24"/>
          <w:szCs w:val="24"/>
          <w:lang w:eastAsia="en-GB"/>
        </w:rPr>
        <w:t> </w:t>
      </w:r>
    </w:p>
    <w:p w14:paraId="78517C39" w14:textId="77777777" w:rsidR="00360792" w:rsidRPr="007122D4" w:rsidRDefault="00360792" w:rsidP="001C3CFC">
      <w:pPr>
        <w:spacing w:after="0" w:line="360" w:lineRule="auto"/>
        <w:textAlignment w:val="baseline"/>
        <w:rPr>
          <w:rFonts w:ascii="Arial" w:eastAsia="Times New Roman" w:hAnsi="Arial" w:cs="Arial"/>
          <w:sz w:val="24"/>
          <w:szCs w:val="24"/>
          <w:lang w:eastAsia="en-GB"/>
        </w:rPr>
      </w:pPr>
    </w:p>
    <w:p w14:paraId="2E6326B3" w14:textId="2E7D6A19" w:rsidR="0077549E" w:rsidRDefault="007122D4" w:rsidP="0077549E">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You</w:t>
      </w:r>
      <w:r w:rsidR="0077549E" w:rsidRPr="0077549E">
        <w:t xml:space="preserve"> </w:t>
      </w:r>
      <w:r w:rsidR="0077549E" w:rsidRPr="0077549E">
        <w:rPr>
          <w:rFonts w:ascii="Arial" w:eastAsia="Times New Roman" w:hAnsi="Arial" w:cs="Arial"/>
          <w:sz w:val="24"/>
          <w:szCs w:val="24"/>
          <w:lang w:eastAsia="en-GB"/>
        </w:rPr>
        <w:t xml:space="preserve">have stated that if this request </w:t>
      </w:r>
      <w:r w:rsidR="00B37512">
        <w:rPr>
          <w:rFonts w:ascii="Arial" w:eastAsia="Times New Roman" w:hAnsi="Arial" w:cs="Arial"/>
          <w:sz w:val="24"/>
          <w:szCs w:val="24"/>
          <w:lang w:eastAsia="en-GB"/>
        </w:rPr>
        <w:t>is</w:t>
      </w:r>
      <w:r w:rsidR="0077549E" w:rsidRPr="0077549E">
        <w:rPr>
          <w:rFonts w:ascii="Arial" w:eastAsia="Times New Roman" w:hAnsi="Arial" w:cs="Arial"/>
          <w:sz w:val="24"/>
          <w:szCs w:val="24"/>
          <w:lang w:eastAsia="en-GB"/>
        </w:rPr>
        <w:t xml:space="preserve"> granted, this would be detrimental to the business, due to insufficient cover after 3 pm. There is an inability to employ additional staff, nor the option to distribute the work to other members of the team as coronavirus has already increased workload, placing additional strain on the team.  </w:t>
      </w:r>
    </w:p>
    <w:p w14:paraId="284B56BF"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p>
    <w:p w14:paraId="34065017" w14:textId="74158F28" w:rsidR="00ED2D6C"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Table 1 shows the eight business reasons determined by legislation to reject a FW</w:t>
      </w:r>
      <w:r w:rsidR="00B37512">
        <w:rPr>
          <w:rFonts w:ascii="Arial" w:eastAsia="Times New Roman" w:hAnsi="Arial" w:cs="Arial"/>
          <w:sz w:val="24"/>
          <w:szCs w:val="24"/>
          <w:lang w:eastAsia="en-GB"/>
        </w:rPr>
        <w:t xml:space="preserve"> </w:t>
      </w:r>
      <w:r w:rsidRPr="0077549E">
        <w:rPr>
          <w:rFonts w:ascii="Arial" w:eastAsia="Times New Roman" w:hAnsi="Arial" w:cs="Arial"/>
          <w:sz w:val="24"/>
          <w:szCs w:val="24"/>
          <w:lang w:eastAsia="en-GB"/>
        </w:rPr>
        <w:t xml:space="preserve">application.  </w:t>
      </w:r>
    </w:p>
    <w:p w14:paraId="6158753A" w14:textId="25F5D836" w:rsidR="0077549E" w:rsidRPr="007122D4" w:rsidRDefault="0077549E" w:rsidP="0077549E">
      <w:pPr>
        <w:spacing w:after="0" w:line="360" w:lineRule="auto"/>
        <w:textAlignment w:val="baseline"/>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00B03A0E" wp14:editId="63744B2F">
                <wp:simplePos x="0" y="0"/>
                <wp:positionH relativeFrom="margin">
                  <wp:align>center</wp:align>
                </wp:positionH>
                <wp:positionV relativeFrom="paragraph">
                  <wp:posOffset>160655</wp:posOffset>
                </wp:positionV>
                <wp:extent cx="6032500" cy="2292350"/>
                <wp:effectExtent l="0" t="0" r="25400" b="12700"/>
                <wp:wrapNone/>
                <wp:docPr id="42" name="Rectangle 42"/>
                <wp:cNvGraphicFramePr/>
                <a:graphic xmlns:a="http://schemas.openxmlformats.org/drawingml/2006/main">
                  <a:graphicData uri="http://schemas.microsoft.com/office/word/2010/wordprocessingShape">
                    <wps:wsp>
                      <wps:cNvSpPr/>
                      <wps:spPr>
                        <a:xfrm>
                          <a:off x="0" y="0"/>
                          <a:ext cx="6032500" cy="2292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0739FA" id="Rectangle 42" o:spid="_x0000_s1026" style="position:absolute;margin-left:0;margin-top:12.65pt;width:475pt;height:180.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" filled="f" strokecolor="black [3213]" strokeweight="1pt">
                <w10:wrap anchorx="margin"/>
              </v:rect>
            </w:pict>
          </mc:Fallback>
        </mc:AlternateContent>
      </w:r>
    </w:p>
    <w:p w14:paraId="37561EEB" w14:textId="039F5C2C" w:rsidR="003A442F" w:rsidRPr="001C3CFC" w:rsidRDefault="003A442F" w:rsidP="001C3CFC">
      <w:pPr>
        <w:pStyle w:val="Caption"/>
        <w:keepNext/>
        <w:spacing w:line="360" w:lineRule="auto"/>
        <w:jc w:val="center"/>
        <w:rPr>
          <w:rFonts w:ascii="Arial" w:hAnsi="Arial" w:cs="Arial"/>
          <w:color w:val="auto"/>
          <w:sz w:val="24"/>
          <w:szCs w:val="24"/>
        </w:rPr>
      </w:pPr>
      <w:bookmarkStart w:id="6" w:name="_Toc71463763"/>
      <w:bookmarkStart w:id="7" w:name="_Toc71463789"/>
      <w:r w:rsidRPr="001C3CFC">
        <w:rPr>
          <w:rFonts w:ascii="Arial" w:hAnsi="Arial" w:cs="Arial"/>
          <w:color w:val="auto"/>
          <w:sz w:val="24"/>
          <w:szCs w:val="24"/>
        </w:rPr>
        <w:t xml:space="preserve">Table </w:t>
      </w:r>
      <w:r w:rsidRPr="001C3CFC">
        <w:rPr>
          <w:rFonts w:ascii="Arial" w:hAnsi="Arial" w:cs="Arial"/>
          <w:color w:val="auto"/>
          <w:sz w:val="24"/>
          <w:szCs w:val="24"/>
        </w:rPr>
        <w:fldChar w:fldCharType="begin"/>
      </w:r>
      <w:r w:rsidRPr="001C3CFC">
        <w:rPr>
          <w:rFonts w:ascii="Arial" w:hAnsi="Arial" w:cs="Arial"/>
          <w:color w:val="auto"/>
          <w:sz w:val="24"/>
          <w:szCs w:val="24"/>
        </w:rPr>
        <w:instrText xml:space="preserve"> SEQ Table \* ARABIC </w:instrText>
      </w:r>
      <w:r w:rsidRPr="001C3CFC">
        <w:rPr>
          <w:rFonts w:ascii="Arial" w:hAnsi="Arial" w:cs="Arial"/>
          <w:color w:val="auto"/>
          <w:sz w:val="24"/>
          <w:szCs w:val="24"/>
        </w:rPr>
        <w:fldChar w:fldCharType="separate"/>
      </w:r>
      <w:r w:rsidRPr="001C3CFC">
        <w:rPr>
          <w:rFonts w:ascii="Arial" w:hAnsi="Arial" w:cs="Arial"/>
          <w:noProof/>
          <w:color w:val="auto"/>
          <w:sz w:val="24"/>
          <w:szCs w:val="24"/>
        </w:rPr>
        <w:t>1</w:t>
      </w:r>
      <w:r w:rsidRPr="001C3CFC">
        <w:rPr>
          <w:rFonts w:ascii="Arial" w:hAnsi="Arial" w:cs="Arial"/>
          <w:color w:val="auto"/>
          <w:sz w:val="24"/>
          <w:szCs w:val="24"/>
        </w:rPr>
        <w:fldChar w:fldCharType="end"/>
      </w:r>
      <w:r w:rsidRPr="001C3CFC">
        <w:rPr>
          <w:rFonts w:ascii="Arial" w:hAnsi="Arial" w:cs="Arial"/>
          <w:color w:val="auto"/>
          <w:sz w:val="24"/>
          <w:szCs w:val="24"/>
        </w:rPr>
        <w:t>- Eight business reasons to reject a flexible working application (ACAS, 2014)</w:t>
      </w:r>
      <w:bookmarkEnd w:id="6"/>
      <w:bookmarkEnd w:id="7"/>
    </w:p>
    <w:p w14:paraId="2C29A9C7" w14:textId="66CD0D30" w:rsidR="00360792" w:rsidRPr="001C3CFC" w:rsidRDefault="007E2DB4" w:rsidP="001C3CFC">
      <w:pPr>
        <w:spacing w:after="0" w:line="360" w:lineRule="auto"/>
        <w:jc w:val="center"/>
        <w:textAlignment w:val="baseline"/>
        <w:rPr>
          <w:rFonts w:ascii="Arial" w:eastAsia="Times New Roman" w:hAnsi="Arial" w:cs="Arial"/>
          <w:sz w:val="24"/>
          <w:szCs w:val="24"/>
          <w:lang w:eastAsia="en-GB"/>
        </w:rPr>
      </w:pPr>
      <w:r w:rsidRPr="007E2DB4">
        <w:rPr>
          <w:rFonts w:ascii="Arial" w:eastAsia="Times New Roman" w:hAnsi="Arial" w:cs="Arial"/>
          <w:noProof/>
          <w:sz w:val="24"/>
          <w:szCs w:val="24"/>
          <w:lang w:eastAsia="en-GB"/>
        </w:rPr>
        <w:drawing>
          <wp:inline distT="0" distB="0" distL="0" distR="0" wp14:anchorId="637FCF10" wp14:editId="02CE83FA">
            <wp:extent cx="5060950" cy="1617049"/>
            <wp:effectExtent l="0" t="0" r="6350" b="2540"/>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1"/>
                    <a:stretch>
                      <a:fillRect/>
                    </a:stretch>
                  </pic:blipFill>
                  <pic:spPr>
                    <a:xfrm>
                      <a:off x="0" y="0"/>
                      <a:ext cx="5068206" cy="1619367"/>
                    </a:xfrm>
                    <a:prstGeom prst="rect">
                      <a:avLst/>
                    </a:prstGeom>
                  </pic:spPr>
                </pic:pic>
              </a:graphicData>
            </a:graphic>
          </wp:inline>
        </w:drawing>
      </w:r>
    </w:p>
    <w:p w14:paraId="5265365E" w14:textId="6B1E1D1B" w:rsidR="003A442F" w:rsidRPr="001C3CFC" w:rsidRDefault="003A442F" w:rsidP="001C3CFC">
      <w:pPr>
        <w:spacing w:after="0" w:line="360" w:lineRule="auto"/>
        <w:textAlignment w:val="baseline"/>
        <w:rPr>
          <w:rFonts w:ascii="Arial" w:eastAsia="Times New Roman" w:hAnsi="Arial" w:cs="Arial"/>
          <w:sz w:val="24"/>
          <w:szCs w:val="24"/>
          <w:lang w:eastAsia="en-GB"/>
        </w:rPr>
      </w:pPr>
    </w:p>
    <w:p w14:paraId="2429C4F5" w14:textId="643153C8" w:rsidR="0077549E" w:rsidRPr="0077549E" w:rsidRDefault="00ED2D6C" w:rsidP="0077549E">
      <w:pPr>
        <w:spacing w:after="0" w:line="360" w:lineRule="auto"/>
        <w:textAlignment w:val="baseline"/>
        <w:rPr>
          <w:rFonts w:ascii="Arial" w:eastAsia="Times New Roman" w:hAnsi="Arial" w:cs="Arial"/>
          <w:sz w:val="24"/>
          <w:szCs w:val="24"/>
          <w:lang w:eastAsia="en-GB"/>
        </w:rPr>
      </w:pPr>
      <w:proofErr w:type="gramStart"/>
      <w:r>
        <w:rPr>
          <w:rFonts w:ascii="Arial" w:eastAsia="Times New Roman" w:hAnsi="Arial" w:cs="Arial"/>
          <w:sz w:val="24"/>
          <w:szCs w:val="24"/>
          <w:lang w:eastAsia="en-GB"/>
        </w:rPr>
        <w:lastRenderedPageBreak/>
        <w:t xml:space="preserve">Applying </w:t>
      </w:r>
      <w:r w:rsidR="0077549E" w:rsidRPr="0077549E">
        <w:rPr>
          <w:rFonts w:ascii="Arial" w:eastAsia="Times New Roman" w:hAnsi="Arial" w:cs="Arial"/>
          <w:sz w:val="24"/>
          <w:szCs w:val="24"/>
          <w:lang w:eastAsia="en-GB"/>
        </w:rPr>
        <w:t>these business reasons to your rationale, there</w:t>
      </w:r>
      <w:proofErr w:type="gramEnd"/>
      <w:r w:rsidR="0077549E" w:rsidRPr="0077549E">
        <w:rPr>
          <w:rFonts w:ascii="Arial" w:eastAsia="Times New Roman" w:hAnsi="Arial" w:cs="Arial"/>
          <w:sz w:val="24"/>
          <w:szCs w:val="24"/>
          <w:lang w:eastAsia="en-GB"/>
        </w:rPr>
        <w:t xml:space="preserve"> is scope to reject the change in working hours based on points (2) and (3).  </w:t>
      </w:r>
    </w:p>
    <w:p w14:paraId="7175B900"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p>
    <w:p w14:paraId="6C1DC514" w14:textId="5367FEBD" w:rsidR="00360792"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Under the provision of the working time regulation, adult workers (aged 18 and over), whose daily time at work is longer than six hours, must have a rest break of twenty minutes and there is no option to opt-out of this rest break requirement (CIPD, 2020c). As such, BB has a duty of care to provide an uninterrupted rest break to Julie, which her FW request does not facilitate. Julie may wish to amend her request to consider this.  </w:t>
      </w:r>
    </w:p>
    <w:p w14:paraId="57A485C1" w14:textId="77777777" w:rsidR="0077549E" w:rsidRPr="007122D4" w:rsidRDefault="0077549E" w:rsidP="0077549E">
      <w:pPr>
        <w:spacing w:after="0" w:line="360" w:lineRule="auto"/>
        <w:textAlignment w:val="baseline"/>
        <w:rPr>
          <w:rFonts w:ascii="Arial" w:eastAsia="Times New Roman" w:hAnsi="Arial" w:cs="Arial"/>
          <w:sz w:val="24"/>
          <w:szCs w:val="24"/>
          <w:lang w:eastAsia="en-GB"/>
        </w:rPr>
      </w:pPr>
    </w:p>
    <w:p w14:paraId="6A64540B" w14:textId="33235596" w:rsidR="007122D4" w:rsidRPr="001C3CFC"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Element 2 - Change in work location</w:t>
      </w:r>
      <w:r w:rsidRPr="007122D4">
        <w:rPr>
          <w:rFonts w:ascii="Arial" w:eastAsia="Times New Roman" w:hAnsi="Arial" w:cs="Arial"/>
          <w:sz w:val="24"/>
          <w:szCs w:val="24"/>
          <w:lang w:eastAsia="en-GB"/>
        </w:rPr>
        <w:t> </w:t>
      </w:r>
    </w:p>
    <w:p w14:paraId="250146BA" w14:textId="77777777" w:rsidR="00360792" w:rsidRPr="007122D4" w:rsidRDefault="00360792" w:rsidP="001C3CFC">
      <w:pPr>
        <w:spacing w:after="0" w:line="360" w:lineRule="auto"/>
        <w:textAlignment w:val="baseline"/>
        <w:rPr>
          <w:rFonts w:ascii="Arial" w:eastAsia="Times New Roman" w:hAnsi="Arial" w:cs="Arial"/>
          <w:sz w:val="24"/>
          <w:szCs w:val="24"/>
          <w:lang w:eastAsia="en-GB"/>
        </w:rPr>
      </w:pPr>
    </w:p>
    <w:p w14:paraId="3CCAD4CA" w14:textId="742E5BA5" w:rsidR="0077549E" w:rsidRPr="0077549E"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Previously Julie has been allowed to work temporarily at home due to the pandemic. If there has been no reduction in performance over this period, there is </w:t>
      </w:r>
      <w:r w:rsidR="00B37512">
        <w:rPr>
          <w:rFonts w:ascii="Arial" w:eastAsia="Times New Roman" w:hAnsi="Arial" w:cs="Arial"/>
          <w:sz w:val="24"/>
          <w:szCs w:val="24"/>
          <w:lang w:eastAsia="en-GB"/>
        </w:rPr>
        <w:t xml:space="preserve">insufficient </w:t>
      </w:r>
      <w:r w:rsidRPr="0077549E">
        <w:rPr>
          <w:rFonts w:ascii="Arial" w:eastAsia="Times New Roman" w:hAnsi="Arial" w:cs="Arial"/>
          <w:sz w:val="24"/>
          <w:szCs w:val="24"/>
          <w:lang w:eastAsia="en-GB"/>
        </w:rPr>
        <w:t xml:space="preserve">reason why this element of the FW request should be rejected. A demand for presenteeism to interact with the rest of the team is not a sufficient business case to reject.  </w:t>
      </w:r>
    </w:p>
    <w:p w14:paraId="4C521BF4"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p>
    <w:p w14:paraId="05073FED"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Consideration should also be given to the team that will be based in the office environment. Accepting this home working request, should not increase the workload of workers who may end up undertaking more ‘physical tasks’ such as printing/scanning, etc. (Walker Morris, 2020). Ergo, it is essential that when the FW is accepted, Julie is aware that any ‘physical tasks’ must be completed when she is in the office and not given to other colleagues for completion. </w:t>
      </w:r>
    </w:p>
    <w:p w14:paraId="022C2A3D" w14:textId="77777777" w:rsidR="0077549E" w:rsidRPr="0077549E" w:rsidRDefault="0077549E" w:rsidP="0077549E">
      <w:pPr>
        <w:spacing w:after="0" w:line="360" w:lineRule="auto"/>
        <w:textAlignment w:val="baseline"/>
        <w:rPr>
          <w:rFonts w:ascii="Arial" w:eastAsia="Times New Roman" w:hAnsi="Arial" w:cs="Arial"/>
          <w:sz w:val="24"/>
          <w:szCs w:val="24"/>
          <w:lang w:eastAsia="en-GB"/>
        </w:rPr>
      </w:pPr>
    </w:p>
    <w:p w14:paraId="651D0968" w14:textId="6ED288DD" w:rsidR="00360792" w:rsidRDefault="0077549E" w:rsidP="0077549E">
      <w:pPr>
        <w:spacing w:after="0" w:line="360" w:lineRule="auto"/>
        <w:textAlignment w:val="baseline"/>
        <w:rPr>
          <w:rFonts w:ascii="Arial" w:eastAsia="Times New Roman" w:hAnsi="Arial" w:cs="Arial"/>
          <w:sz w:val="24"/>
          <w:szCs w:val="24"/>
          <w:lang w:eastAsia="en-GB"/>
        </w:rPr>
      </w:pPr>
      <w:r w:rsidRPr="0077549E">
        <w:rPr>
          <w:rFonts w:ascii="Arial" w:eastAsia="Times New Roman" w:hAnsi="Arial" w:cs="Arial"/>
          <w:sz w:val="24"/>
          <w:szCs w:val="24"/>
          <w:lang w:eastAsia="en-GB"/>
        </w:rPr>
        <w:t xml:space="preserve">Once a decision has been made, this must be provided to Julie in writing within three months of the initial FW submission.  </w:t>
      </w:r>
    </w:p>
    <w:p w14:paraId="1DD96F69" w14:textId="77777777" w:rsidR="0077549E" w:rsidRPr="007122D4" w:rsidRDefault="0077549E" w:rsidP="0077549E">
      <w:pPr>
        <w:spacing w:after="0" w:line="360" w:lineRule="auto"/>
        <w:textAlignment w:val="baseline"/>
        <w:rPr>
          <w:rFonts w:ascii="Arial" w:eastAsia="Times New Roman" w:hAnsi="Arial" w:cs="Arial"/>
          <w:sz w:val="24"/>
          <w:szCs w:val="24"/>
          <w:lang w:eastAsia="en-GB"/>
        </w:rPr>
      </w:pPr>
    </w:p>
    <w:p w14:paraId="1A8FE267" w14:textId="73B03888" w:rsidR="00A41C72" w:rsidRPr="00A41C72" w:rsidRDefault="00A41C72" w:rsidP="00A41C72">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 xml:space="preserve">Other considerations to note:  </w:t>
      </w:r>
    </w:p>
    <w:p w14:paraId="21EE5753" w14:textId="426132D9" w:rsidR="00A41C72" w:rsidRDefault="00B37512" w:rsidP="00A41C72">
      <w:pPr>
        <w:pStyle w:val="ListParagraph"/>
        <w:numPr>
          <w:ilvl w:val="0"/>
          <w:numId w:val="35"/>
        </w:num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Julie’s</w:t>
      </w:r>
      <w:r w:rsidR="00A41C72" w:rsidRPr="00A41C72">
        <w:rPr>
          <w:rFonts w:ascii="Arial" w:eastAsia="Times New Roman" w:hAnsi="Arial" w:cs="Arial"/>
          <w:sz w:val="24"/>
          <w:szCs w:val="24"/>
          <w:lang w:eastAsia="en-GB"/>
        </w:rPr>
        <w:t xml:space="preserve"> elderly mother is shielding. If this is due to a disability 'association of discrimination' may apply. Please consider the impact your decision will have, not just legally but from an employee relations (ER) perspective (Embleton and Redshaw, 2015). </w:t>
      </w:r>
    </w:p>
    <w:p w14:paraId="54852C04" w14:textId="6E788E0C" w:rsidR="00A41C72" w:rsidRPr="00A41C72" w:rsidRDefault="00A41C72" w:rsidP="00A41C72">
      <w:pPr>
        <w:pStyle w:val="ListParagraph"/>
        <w:numPr>
          <w:ilvl w:val="0"/>
          <w:numId w:val="35"/>
        </w:num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lastRenderedPageBreak/>
        <w:t xml:space="preserve">Declining the change in hours request may affect Julie's ability to collect her children from school which may cause anxiety and stress. It would be good ER practice to have an open conversation with Julie, to consider other options which provide a better balance for both Julie and Big Buses. </w:t>
      </w:r>
    </w:p>
    <w:p w14:paraId="2C535532" w14:textId="13F68746" w:rsidR="00360792" w:rsidRPr="001C3CFC" w:rsidRDefault="00360792" w:rsidP="00A41C72">
      <w:pPr>
        <w:spacing w:after="0" w:line="360" w:lineRule="auto"/>
        <w:textAlignment w:val="baseline"/>
        <w:rPr>
          <w:rFonts w:ascii="Arial" w:eastAsia="Times New Roman" w:hAnsi="Arial" w:cs="Arial"/>
          <w:sz w:val="24"/>
          <w:szCs w:val="24"/>
          <w:lang w:eastAsia="en-GB"/>
        </w:rPr>
      </w:pPr>
    </w:p>
    <w:p w14:paraId="362DEE14" w14:textId="3C47F403" w:rsidR="00360792" w:rsidRDefault="00A41C72" w:rsidP="001C3CFC">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Although there is no legal right of appeal, I recommend that any appeal request is considered (ACAS, no date</w:t>
      </w:r>
      <w:r w:rsidR="00F60394">
        <w:rPr>
          <w:rFonts w:ascii="Arial" w:eastAsia="Times New Roman" w:hAnsi="Arial" w:cs="Arial"/>
          <w:sz w:val="24"/>
          <w:szCs w:val="24"/>
          <w:lang w:eastAsia="en-GB"/>
        </w:rPr>
        <w:t>/</w:t>
      </w:r>
      <w:r w:rsidRPr="00A41C72">
        <w:rPr>
          <w:rFonts w:ascii="Arial" w:eastAsia="Times New Roman" w:hAnsi="Arial" w:cs="Arial"/>
          <w:sz w:val="24"/>
          <w:szCs w:val="24"/>
          <w:lang w:eastAsia="en-GB"/>
        </w:rPr>
        <w:t>b).</w:t>
      </w:r>
    </w:p>
    <w:p w14:paraId="02232E00" w14:textId="77777777" w:rsidR="00A41C72" w:rsidRPr="007122D4" w:rsidRDefault="00A41C72" w:rsidP="001C3CFC">
      <w:pPr>
        <w:spacing w:after="0" w:line="360" w:lineRule="auto"/>
        <w:textAlignment w:val="baseline"/>
        <w:rPr>
          <w:rFonts w:ascii="Arial" w:eastAsia="Times New Roman" w:hAnsi="Arial" w:cs="Arial"/>
          <w:sz w:val="24"/>
          <w:szCs w:val="24"/>
          <w:lang w:eastAsia="en-GB"/>
        </w:rPr>
      </w:pPr>
    </w:p>
    <w:p w14:paraId="626D930A" w14:textId="0A36DAA0" w:rsidR="007122D4" w:rsidRPr="007122D4" w:rsidRDefault="007122D4" w:rsidP="001C3CFC">
      <w:pPr>
        <w:numPr>
          <w:ilvl w:val="0"/>
          <w:numId w:val="22"/>
        </w:numPr>
        <w:spacing w:after="0" w:line="360" w:lineRule="auto"/>
        <w:ind w:left="1080" w:firstLine="0"/>
        <w:textAlignment w:val="baseline"/>
        <w:rPr>
          <w:rFonts w:ascii="Arial" w:eastAsia="Times New Roman" w:hAnsi="Arial" w:cs="Arial"/>
          <w:b/>
          <w:bCs/>
          <w:sz w:val="24"/>
          <w:szCs w:val="24"/>
          <w:lang w:eastAsia="en-GB"/>
        </w:rPr>
      </w:pPr>
      <w:r w:rsidRPr="007122D4">
        <w:rPr>
          <w:rFonts w:ascii="Arial" w:eastAsia="Times New Roman" w:hAnsi="Arial" w:cs="Arial"/>
          <w:b/>
          <w:bCs/>
          <w:sz w:val="24"/>
          <w:szCs w:val="24"/>
          <w:lang w:eastAsia="en-GB"/>
        </w:rPr>
        <w:t>Lucy Bell  </w:t>
      </w:r>
    </w:p>
    <w:p w14:paraId="20AEE2CB" w14:textId="55691003"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27BA57F9" w14:textId="27BF804A" w:rsidR="00A41C72" w:rsidRPr="00A41C72" w:rsidRDefault="00A41C72" w:rsidP="00A41C72">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 xml:space="preserve">The grievance raised by Lucy Bell needs to be addressed first and without further delay.   </w:t>
      </w:r>
    </w:p>
    <w:p w14:paraId="32CDC140"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p>
    <w:p w14:paraId="6C548453" w14:textId="016556CC" w:rsidR="00A41C72" w:rsidRPr="00A41C72" w:rsidRDefault="00A41C72" w:rsidP="00A41C72">
      <w:pPr>
        <w:spacing w:after="0" w:line="360" w:lineRule="auto"/>
        <w:ind w:firstLine="720"/>
        <w:textAlignment w:val="baseline"/>
        <w:rPr>
          <w:rFonts w:ascii="Arial" w:eastAsia="Times New Roman" w:hAnsi="Arial" w:cs="Arial"/>
          <w:b/>
          <w:bCs/>
          <w:sz w:val="24"/>
          <w:szCs w:val="24"/>
          <w:lang w:eastAsia="en-GB"/>
        </w:rPr>
      </w:pPr>
      <w:r w:rsidRPr="00A41C72">
        <w:rPr>
          <w:rFonts w:ascii="Arial" w:eastAsia="Times New Roman" w:hAnsi="Arial" w:cs="Arial"/>
          <w:b/>
          <w:bCs/>
          <w:sz w:val="24"/>
          <w:szCs w:val="24"/>
          <w:lang w:eastAsia="en-GB"/>
        </w:rPr>
        <w:t>Grievance</w:t>
      </w:r>
    </w:p>
    <w:p w14:paraId="10E73B74" w14:textId="78A968DA" w:rsidR="00A41C72" w:rsidRPr="00A41C72" w:rsidRDefault="00A41C72" w:rsidP="00A41C72">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 xml:space="preserve">Ideally, Lucy would raise her grievance informally in the first instance, however, I would assume that there has been a breakdown in the workplace relationship and suggest this grievance is treated formally.   </w:t>
      </w:r>
    </w:p>
    <w:p w14:paraId="11E08B23"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p>
    <w:p w14:paraId="4878955A" w14:textId="402EB1C6" w:rsidR="007122D4" w:rsidRPr="001C3CFC" w:rsidRDefault="00ED2D6C" w:rsidP="00ED2D6C">
      <w:pPr>
        <w:spacing w:after="0" w:line="360" w:lineRule="auto"/>
        <w:textAlignment w:val="baseline"/>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53D892BD" wp14:editId="5A66C97A">
                <wp:simplePos x="0" y="0"/>
                <wp:positionH relativeFrom="margin">
                  <wp:align>center</wp:align>
                </wp:positionH>
                <wp:positionV relativeFrom="paragraph">
                  <wp:posOffset>267335</wp:posOffset>
                </wp:positionV>
                <wp:extent cx="5969000" cy="3321050"/>
                <wp:effectExtent l="0" t="0" r="12700" b="12700"/>
                <wp:wrapNone/>
                <wp:docPr id="43" name="Rectangle 43"/>
                <wp:cNvGraphicFramePr/>
                <a:graphic xmlns:a="http://schemas.openxmlformats.org/drawingml/2006/main">
                  <a:graphicData uri="http://schemas.microsoft.com/office/word/2010/wordprocessingShape">
                    <wps:wsp>
                      <wps:cNvSpPr/>
                      <wps:spPr>
                        <a:xfrm>
                          <a:off x="0" y="0"/>
                          <a:ext cx="5969000" cy="3321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E0EDC" id="Rectangle 43" o:spid="_x0000_s1026" style="position:absolute;margin-left:0;margin-top:21.05pt;width:470pt;height:261.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" filled="f" strokecolor="black [3213]" strokeweight="1pt">
                <w10:wrap anchorx="margin"/>
              </v:rect>
            </w:pict>
          </mc:Fallback>
        </mc:AlternateContent>
      </w:r>
      <w:r w:rsidR="007122D4" w:rsidRPr="007122D4">
        <w:rPr>
          <w:rFonts w:ascii="Arial" w:eastAsia="Times New Roman" w:hAnsi="Arial" w:cs="Arial"/>
          <w:sz w:val="24"/>
          <w:szCs w:val="24"/>
          <w:lang w:eastAsia="en-GB"/>
        </w:rPr>
        <w:t xml:space="preserve">Figure </w:t>
      </w:r>
      <w:r>
        <w:rPr>
          <w:rFonts w:ascii="Arial" w:eastAsia="Times New Roman" w:hAnsi="Arial" w:cs="Arial"/>
          <w:sz w:val="24"/>
          <w:szCs w:val="24"/>
          <w:lang w:eastAsia="en-GB"/>
        </w:rPr>
        <w:t>3</w:t>
      </w:r>
      <w:r w:rsidR="007122D4" w:rsidRPr="007122D4">
        <w:rPr>
          <w:rFonts w:ascii="Arial" w:eastAsia="Times New Roman" w:hAnsi="Arial" w:cs="Arial"/>
          <w:sz w:val="24"/>
          <w:szCs w:val="24"/>
          <w:lang w:eastAsia="en-GB"/>
        </w:rPr>
        <w:t xml:space="preserve"> clarifies </w:t>
      </w:r>
      <w:r w:rsidR="00246E5B" w:rsidRPr="001C3CFC">
        <w:rPr>
          <w:rFonts w:ascii="Arial" w:eastAsia="Times New Roman" w:hAnsi="Arial" w:cs="Arial"/>
          <w:sz w:val="24"/>
          <w:szCs w:val="24"/>
          <w:lang w:eastAsia="en-GB"/>
        </w:rPr>
        <w:t xml:space="preserve">a </w:t>
      </w:r>
      <w:r w:rsidR="007122D4" w:rsidRPr="007122D4">
        <w:rPr>
          <w:rFonts w:ascii="Arial" w:eastAsia="Times New Roman" w:hAnsi="Arial" w:cs="Arial"/>
          <w:sz w:val="24"/>
          <w:szCs w:val="24"/>
          <w:lang w:eastAsia="en-GB"/>
        </w:rPr>
        <w:t>formal grievance process</w:t>
      </w:r>
      <w:r w:rsidR="00246E5B" w:rsidRPr="001C3CFC">
        <w:rPr>
          <w:rFonts w:ascii="Arial" w:eastAsia="Times New Roman" w:hAnsi="Arial" w:cs="Arial"/>
          <w:sz w:val="24"/>
          <w:szCs w:val="24"/>
          <w:lang w:eastAsia="en-GB"/>
        </w:rPr>
        <w:t xml:space="preserve"> that employers should undertake.</w:t>
      </w:r>
    </w:p>
    <w:p w14:paraId="01E061EE" w14:textId="7766DCBA" w:rsidR="00246E5B" w:rsidRPr="001C3CFC" w:rsidRDefault="001504E8" w:rsidP="001C3CFC">
      <w:pPr>
        <w:keepNext/>
        <w:spacing w:after="0" w:line="360" w:lineRule="auto"/>
        <w:jc w:val="center"/>
        <w:textAlignment w:val="baseline"/>
        <w:rPr>
          <w:rFonts w:ascii="Arial" w:hAnsi="Arial" w:cs="Arial"/>
          <w:sz w:val="24"/>
          <w:szCs w:val="24"/>
        </w:rPr>
      </w:pPr>
      <w:r w:rsidRPr="001C3CFC">
        <w:rPr>
          <w:rFonts w:ascii="Arial" w:hAnsi="Arial" w:cs="Arial"/>
          <w:noProof/>
          <w:sz w:val="24"/>
          <w:szCs w:val="24"/>
        </w:rPr>
        <w:drawing>
          <wp:inline distT="0" distB="0" distL="0" distR="0" wp14:anchorId="0346A438" wp14:editId="31A75604">
            <wp:extent cx="5731510" cy="2941955"/>
            <wp:effectExtent l="0" t="0" r="2540" b="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rotWithShape="1">
                    <a:blip r:embed="rId12"/>
                    <a:srcRect t="11634"/>
                    <a:stretch/>
                  </pic:blipFill>
                  <pic:spPr bwMode="auto">
                    <a:xfrm>
                      <a:off x="0" y="0"/>
                      <a:ext cx="5731510" cy="2941955"/>
                    </a:xfrm>
                    <a:prstGeom prst="rect">
                      <a:avLst/>
                    </a:prstGeom>
                    <a:ln>
                      <a:noFill/>
                    </a:ln>
                    <a:extLst>
                      <a:ext uri="{53640926-AAD7-44D8-BBD7-CCE9431645EC}">
                        <a14:shadowObscured xmlns:a14="http://schemas.microsoft.com/office/drawing/2010/main"/>
                      </a:ext>
                    </a:extLst>
                  </pic:spPr>
                </pic:pic>
              </a:graphicData>
            </a:graphic>
          </wp:inline>
        </w:drawing>
      </w:r>
    </w:p>
    <w:p w14:paraId="349044F4" w14:textId="020056E2" w:rsidR="00360792" w:rsidRPr="001C3CFC" w:rsidRDefault="00246E5B" w:rsidP="001C3CFC">
      <w:pPr>
        <w:pStyle w:val="Caption"/>
        <w:spacing w:line="360" w:lineRule="auto"/>
        <w:jc w:val="center"/>
        <w:rPr>
          <w:rFonts w:ascii="Arial" w:eastAsia="Times New Roman" w:hAnsi="Arial" w:cs="Arial"/>
          <w:color w:val="auto"/>
          <w:sz w:val="24"/>
          <w:szCs w:val="24"/>
          <w:lang w:eastAsia="en-GB"/>
        </w:rPr>
      </w:pPr>
      <w:bookmarkStart w:id="8" w:name="_Toc71463755"/>
      <w:r w:rsidRPr="001C3CFC">
        <w:rPr>
          <w:rFonts w:ascii="Arial" w:hAnsi="Arial" w:cs="Arial"/>
          <w:color w:val="auto"/>
          <w:sz w:val="24"/>
          <w:szCs w:val="24"/>
        </w:rPr>
        <w:t xml:space="preserve">Figure </w:t>
      </w:r>
      <w:r w:rsidRPr="001C3CFC">
        <w:rPr>
          <w:rFonts w:ascii="Arial" w:hAnsi="Arial" w:cs="Arial"/>
          <w:color w:val="auto"/>
          <w:sz w:val="24"/>
          <w:szCs w:val="24"/>
        </w:rPr>
        <w:fldChar w:fldCharType="begin"/>
      </w:r>
      <w:r w:rsidRPr="001C3CFC">
        <w:rPr>
          <w:rFonts w:ascii="Arial" w:hAnsi="Arial" w:cs="Arial"/>
          <w:color w:val="auto"/>
          <w:sz w:val="24"/>
          <w:szCs w:val="24"/>
        </w:rPr>
        <w:instrText xml:space="preserve"> SEQ Figure \* ARABIC </w:instrText>
      </w:r>
      <w:r w:rsidRPr="001C3CFC">
        <w:rPr>
          <w:rFonts w:ascii="Arial" w:hAnsi="Arial" w:cs="Arial"/>
          <w:color w:val="auto"/>
          <w:sz w:val="24"/>
          <w:szCs w:val="24"/>
        </w:rPr>
        <w:fldChar w:fldCharType="separate"/>
      </w:r>
      <w:r w:rsidRPr="001C3CFC">
        <w:rPr>
          <w:rFonts w:ascii="Arial" w:hAnsi="Arial" w:cs="Arial"/>
          <w:noProof/>
          <w:color w:val="auto"/>
          <w:sz w:val="24"/>
          <w:szCs w:val="24"/>
        </w:rPr>
        <w:t>3</w:t>
      </w:r>
      <w:r w:rsidRPr="001C3CFC">
        <w:rPr>
          <w:rFonts w:ascii="Arial" w:hAnsi="Arial" w:cs="Arial"/>
          <w:color w:val="auto"/>
          <w:sz w:val="24"/>
          <w:szCs w:val="24"/>
        </w:rPr>
        <w:fldChar w:fldCharType="end"/>
      </w:r>
      <w:r w:rsidRPr="001C3CFC">
        <w:rPr>
          <w:rFonts w:ascii="Arial" w:hAnsi="Arial" w:cs="Arial"/>
          <w:color w:val="auto"/>
          <w:sz w:val="24"/>
          <w:szCs w:val="24"/>
        </w:rPr>
        <w:t xml:space="preserve"> - Formal Grievance Process (adapted from ACAS, no date</w:t>
      </w:r>
      <w:r w:rsidR="0084415E">
        <w:rPr>
          <w:rFonts w:ascii="Arial" w:hAnsi="Arial" w:cs="Arial"/>
          <w:color w:val="auto"/>
          <w:sz w:val="24"/>
          <w:szCs w:val="24"/>
        </w:rPr>
        <w:t>/</w:t>
      </w:r>
      <w:r w:rsidRPr="001C3CFC">
        <w:rPr>
          <w:rFonts w:ascii="Arial" w:hAnsi="Arial" w:cs="Arial"/>
          <w:color w:val="auto"/>
          <w:sz w:val="24"/>
          <w:szCs w:val="24"/>
        </w:rPr>
        <w:t>c)</w:t>
      </w:r>
      <w:bookmarkEnd w:id="8"/>
    </w:p>
    <w:p w14:paraId="47E0E722" w14:textId="6211DA71" w:rsidR="00A41C72" w:rsidRPr="00A41C72" w:rsidRDefault="007122D4" w:rsidP="00A41C72">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xml:space="preserve">Please </w:t>
      </w:r>
      <w:r w:rsidR="00A41C72" w:rsidRPr="00A41C72">
        <w:rPr>
          <w:rFonts w:ascii="Arial" w:eastAsia="Times New Roman" w:hAnsi="Arial" w:cs="Arial"/>
          <w:sz w:val="24"/>
          <w:szCs w:val="24"/>
          <w:lang w:eastAsia="en-GB"/>
        </w:rPr>
        <w:t xml:space="preserve">acknowledge that you have received the grievance and request further information from Lucy to ensure compliance with the grievance procedure. You must </w:t>
      </w:r>
      <w:r w:rsidR="00A41C72" w:rsidRPr="00A41C72">
        <w:rPr>
          <w:rFonts w:ascii="Arial" w:eastAsia="Times New Roman" w:hAnsi="Arial" w:cs="Arial"/>
          <w:sz w:val="24"/>
          <w:szCs w:val="24"/>
          <w:lang w:eastAsia="en-GB"/>
        </w:rPr>
        <w:lastRenderedPageBreak/>
        <w:t>ask for any evidence collected concerning the grievance and ask for a preferred realistic outcome (ACAS, no date</w:t>
      </w:r>
      <w:r w:rsidR="0084415E">
        <w:rPr>
          <w:rFonts w:ascii="Arial" w:eastAsia="Times New Roman" w:hAnsi="Arial" w:cs="Arial"/>
          <w:sz w:val="24"/>
          <w:szCs w:val="24"/>
          <w:lang w:eastAsia="en-GB"/>
        </w:rPr>
        <w:t>/</w:t>
      </w:r>
      <w:r w:rsidR="00A41C72" w:rsidRPr="00A41C72">
        <w:rPr>
          <w:rFonts w:ascii="Arial" w:eastAsia="Times New Roman" w:hAnsi="Arial" w:cs="Arial"/>
          <w:sz w:val="24"/>
          <w:szCs w:val="24"/>
          <w:lang w:eastAsia="en-GB"/>
        </w:rPr>
        <w:t xml:space="preserve">d). </w:t>
      </w:r>
    </w:p>
    <w:p w14:paraId="1A0FF1CC"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p>
    <w:p w14:paraId="70BBEEE8"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 xml:space="preserve">Once this information is received, the investigating manager will commence the investigation process. It is your responsibility to appoint an independent person to investigate the grievance to ensure fairness; the role of the investigator is to establish facts by finding evidence that supports or contradicts the allegation fairly and objectively (ACAS, 2019). </w:t>
      </w:r>
    </w:p>
    <w:p w14:paraId="74C92547"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p>
    <w:p w14:paraId="63A7FD51" w14:textId="64EC9DB2" w:rsidR="00A41C72" w:rsidRPr="00A41C72" w:rsidRDefault="00A41C72" w:rsidP="00A41C72">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 xml:space="preserve">Your omission from the initial investigation allows for you to assist with an appeals process.   </w:t>
      </w:r>
    </w:p>
    <w:p w14:paraId="3EADF540"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p>
    <w:p w14:paraId="32A67683"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 xml:space="preserve">The investigation should be completed as soon as possible without delay. In this case, it is likely that the email sent can be obtained which will provide evidence of the full details of what was shared. Written records must be kept, detailing all information found throughout the investigation. </w:t>
      </w:r>
    </w:p>
    <w:p w14:paraId="371D4666" w14:textId="77777777" w:rsidR="00A41C72" w:rsidRPr="00A41C72" w:rsidRDefault="00A41C72" w:rsidP="00A41C72">
      <w:pPr>
        <w:spacing w:after="0" w:line="360" w:lineRule="auto"/>
        <w:textAlignment w:val="baseline"/>
        <w:rPr>
          <w:rFonts w:ascii="Arial" w:eastAsia="Times New Roman" w:hAnsi="Arial" w:cs="Arial"/>
          <w:sz w:val="24"/>
          <w:szCs w:val="24"/>
          <w:lang w:eastAsia="en-GB"/>
        </w:rPr>
      </w:pPr>
    </w:p>
    <w:p w14:paraId="486C41C0" w14:textId="61F5FFB0" w:rsidR="00360792" w:rsidRDefault="00A41C72" w:rsidP="00A41C72">
      <w:pPr>
        <w:spacing w:after="0" w:line="360" w:lineRule="auto"/>
        <w:textAlignment w:val="baseline"/>
        <w:rPr>
          <w:rFonts w:ascii="Arial" w:eastAsia="Times New Roman" w:hAnsi="Arial" w:cs="Arial"/>
          <w:sz w:val="24"/>
          <w:szCs w:val="24"/>
          <w:lang w:eastAsia="en-GB"/>
        </w:rPr>
      </w:pPr>
      <w:r w:rsidRPr="00A41C72">
        <w:rPr>
          <w:rFonts w:ascii="Arial" w:eastAsia="Times New Roman" w:hAnsi="Arial" w:cs="Arial"/>
          <w:sz w:val="24"/>
          <w:szCs w:val="24"/>
          <w:lang w:eastAsia="en-GB"/>
        </w:rPr>
        <w:t>Within five days of the case submission, a grievance meeting must be arranged with Lucy. During this meeting, Lucy has the right to be accompanied; it is also good practice that an independent person attends as a witness and note-taker for the investigating person. (ACAS, no date</w:t>
      </w:r>
      <w:r w:rsidR="0084415E">
        <w:rPr>
          <w:rFonts w:ascii="Arial" w:eastAsia="Times New Roman" w:hAnsi="Arial" w:cs="Arial"/>
          <w:sz w:val="24"/>
          <w:szCs w:val="24"/>
          <w:lang w:eastAsia="en-GB"/>
        </w:rPr>
        <w:t>/</w:t>
      </w:r>
      <w:r w:rsidRPr="00A41C72">
        <w:rPr>
          <w:rFonts w:ascii="Arial" w:eastAsia="Times New Roman" w:hAnsi="Arial" w:cs="Arial"/>
          <w:sz w:val="24"/>
          <w:szCs w:val="24"/>
          <w:lang w:eastAsia="en-GB"/>
        </w:rPr>
        <w:t xml:space="preserve">e).    </w:t>
      </w:r>
    </w:p>
    <w:p w14:paraId="0F72C3A7" w14:textId="77777777" w:rsidR="00A41C72" w:rsidRPr="007122D4" w:rsidRDefault="00A41C72" w:rsidP="00A41C72">
      <w:pPr>
        <w:spacing w:after="0" w:line="360" w:lineRule="auto"/>
        <w:textAlignment w:val="baseline"/>
        <w:rPr>
          <w:rFonts w:ascii="Arial" w:eastAsia="Times New Roman" w:hAnsi="Arial" w:cs="Arial"/>
          <w:sz w:val="24"/>
          <w:szCs w:val="24"/>
          <w:lang w:eastAsia="en-GB"/>
        </w:rPr>
      </w:pPr>
    </w:p>
    <w:p w14:paraId="649B6CD2" w14:textId="1DE1A4E0" w:rsidR="00D554D8" w:rsidRPr="00D554D8"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 xml:space="preserve">Due to the personal nature of this grievance, Lucy's wellbeing must be considered, and any stress or anxiety carefully managed. Please ensure the right mechanisms are put in place to assist with this.   </w:t>
      </w:r>
    </w:p>
    <w:p w14:paraId="39AAA32F" w14:textId="77777777" w:rsidR="00D554D8" w:rsidRPr="00D554D8" w:rsidRDefault="00D554D8" w:rsidP="00D554D8">
      <w:pPr>
        <w:spacing w:after="0" w:line="360" w:lineRule="auto"/>
        <w:textAlignment w:val="baseline"/>
        <w:rPr>
          <w:rFonts w:ascii="Arial" w:eastAsia="Times New Roman" w:hAnsi="Arial" w:cs="Arial"/>
          <w:sz w:val="24"/>
          <w:szCs w:val="24"/>
          <w:lang w:eastAsia="en-GB"/>
        </w:rPr>
      </w:pPr>
    </w:p>
    <w:p w14:paraId="60C4984F" w14:textId="77777777" w:rsidR="00D554D8"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 xml:space="preserve">The other aspect of this grievance is the unlawful sharing of sensitive personal information. </w:t>
      </w:r>
    </w:p>
    <w:p w14:paraId="26C0C5CB" w14:textId="77777777" w:rsidR="00D554D8" w:rsidRDefault="00D554D8" w:rsidP="00D554D8">
      <w:pPr>
        <w:spacing w:after="0" w:line="360" w:lineRule="auto"/>
        <w:textAlignment w:val="baseline"/>
        <w:rPr>
          <w:rFonts w:ascii="Arial" w:eastAsia="Times New Roman" w:hAnsi="Arial" w:cs="Arial"/>
          <w:sz w:val="24"/>
          <w:szCs w:val="24"/>
          <w:lang w:eastAsia="en-GB"/>
        </w:rPr>
      </w:pPr>
    </w:p>
    <w:p w14:paraId="456969AA" w14:textId="646AA215" w:rsidR="00360792"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 xml:space="preserve">The sharing of Lucy’s health problems is a breach of the UK GDPR because it undermines confidentiality and integrity of the data, with the sharing of this information causing an adverse effect on the individual concerned in the disclosure. Therefore, the Information Commissioners Office must be informed of the data </w:t>
      </w:r>
      <w:r w:rsidRPr="00D554D8">
        <w:rPr>
          <w:rFonts w:ascii="Arial" w:eastAsia="Times New Roman" w:hAnsi="Arial" w:cs="Arial"/>
          <w:sz w:val="24"/>
          <w:szCs w:val="24"/>
          <w:lang w:eastAsia="en-GB"/>
        </w:rPr>
        <w:lastRenderedPageBreak/>
        <w:t>breach within 72 hours (ICO, 2021). There may be scope to consider this further, in terms of, disciplinary action for the individual involved</w:t>
      </w:r>
      <w:r w:rsidR="00B37512">
        <w:rPr>
          <w:rFonts w:ascii="Arial" w:eastAsia="Times New Roman" w:hAnsi="Arial" w:cs="Arial"/>
          <w:sz w:val="24"/>
          <w:szCs w:val="24"/>
          <w:lang w:eastAsia="en-GB"/>
        </w:rPr>
        <w:t>.</w:t>
      </w:r>
    </w:p>
    <w:p w14:paraId="77E8594C" w14:textId="77777777" w:rsidR="00D554D8" w:rsidRPr="007122D4" w:rsidRDefault="00D554D8" w:rsidP="00D554D8">
      <w:pPr>
        <w:spacing w:after="0" w:line="360" w:lineRule="auto"/>
        <w:textAlignment w:val="baseline"/>
        <w:rPr>
          <w:rFonts w:ascii="Arial" w:eastAsia="Times New Roman" w:hAnsi="Arial" w:cs="Arial"/>
          <w:sz w:val="24"/>
          <w:szCs w:val="24"/>
          <w:lang w:eastAsia="en-GB"/>
        </w:rPr>
      </w:pPr>
    </w:p>
    <w:p w14:paraId="453C96ED" w14:textId="2F810187" w:rsidR="007122D4" w:rsidRPr="001C3CFC" w:rsidRDefault="007122D4" w:rsidP="00D554D8">
      <w:pPr>
        <w:spacing w:after="0" w:line="360" w:lineRule="auto"/>
        <w:ind w:firstLine="720"/>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 xml:space="preserve">Return to </w:t>
      </w:r>
      <w:proofErr w:type="gramStart"/>
      <w:r w:rsidR="00B37512">
        <w:rPr>
          <w:rFonts w:ascii="Arial" w:eastAsia="Times New Roman" w:hAnsi="Arial" w:cs="Arial"/>
          <w:b/>
          <w:bCs/>
          <w:sz w:val="24"/>
          <w:szCs w:val="24"/>
          <w:lang w:eastAsia="en-GB"/>
        </w:rPr>
        <w:t>W</w:t>
      </w:r>
      <w:r w:rsidRPr="007122D4">
        <w:rPr>
          <w:rFonts w:ascii="Arial" w:eastAsia="Times New Roman" w:hAnsi="Arial" w:cs="Arial"/>
          <w:b/>
          <w:bCs/>
          <w:sz w:val="24"/>
          <w:szCs w:val="24"/>
          <w:lang w:eastAsia="en-GB"/>
        </w:rPr>
        <w:t>ork</w:t>
      </w:r>
      <w:proofErr w:type="gramEnd"/>
      <w:r w:rsidRPr="007122D4">
        <w:rPr>
          <w:rFonts w:ascii="Arial" w:eastAsia="Times New Roman" w:hAnsi="Arial" w:cs="Arial"/>
          <w:b/>
          <w:bCs/>
          <w:sz w:val="24"/>
          <w:szCs w:val="24"/>
          <w:lang w:eastAsia="en-GB"/>
        </w:rPr>
        <w:t> </w:t>
      </w:r>
      <w:r w:rsidRPr="007122D4">
        <w:rPr>
          <w:rFonts w:ascii="Arial" w:eastAsia="Times New Roman" w:hAnsi="Arial" w:cs="Arial"/>
          <w:sz w:val="24"/>
          <w:szCs w:val="24"/>
          <w:lang w:eastAsia="en-GB"/>
        </w:rPr>
        <w:t> </w:t>
      </w:r>
    </w:p>
    <w:p w14:paraId="1DE89992" w14:textId="77777777" w:rsidR="007E2DB4" w:rsidRDefault="007E2DB4" w:rsidP="00D554D8">
      <w:pPr>
        <w:spacing w:after="0" w:line="360" w:lineRule="auto"/>
        <w:textAlignment w:val="baseline"/>
        <w:rPr>
          <w:rFonts w:ascii="Arial" w:eastAsia="Times New Roman" w:hAnsi="Arial" w:cs="Arial"/>
          <w:sz w:val="24"/>
          <w:szCs w:val="24"/>
          <w:lang w:eastAsia="en-GB"/>
        </w:rPr>
      </w:pPr>
    </w:p>
    <w:p w14:paraId="09E7214F" w14:textId="355EDD3A" w:rsidR="00D554D8" w:rsidRPr="00D554D8" w:rsidRDefault="007122D4" w:rsidP="00D554D8">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xml:space="preserve">The </w:t>
      </w:r>
      <w:r w:rsidR="00D554D8" w:rsidRPr="00D554D8">
        <w:rPr>
          <w:rFonts w:ascii="Arial" w:eastAsia="Times New Roman" w:hAnsi="Arial" w:cs="Arial"/>
          <w:sz w:val="24"/>
          <w:szCs w:val="24"/>
          <w:lang w:eastAsia="en-GB"/>
        </w:rPr>
        <w:t>Health Safety at Work Act (HSWA) 1974 states that “it shall be the duty of every employer to ensure, so far as is reasonably practicable, the health, safety, and welfare at work of all his employees”.  As such, we have a duty of care to ensure that Lucy is fit to return to her role following an absence. Irrelevant to the fact, that the circumstances around her illness are already known, the return-to-work meeting must be held to complete a work-based assessment. The assessment determines Lucys availability to conduct the duties of the role, considers any short or long-term adjustments that may be needed, and ultimately provides an opportunity to give any work updates and formulate a plan moving forward (ACAS, no date</w:t>
      </w:r>
      <w:r w:rsidR="0084415E">
        <w:rPr>
          <w:rFonts w:ascii="Arial" w:eastAsia="Times New Roman" w:hAnsi="Arial" w:cs="Arial"/>
          <w:sz w:val="24"/>
          <w:szCs w:val="24"/>
          <w:lang w:eastAsia="en-GB"/>
        </w:rPr>
        <w:t>/</w:t>
      </w:r>
      <w:r w:rsidR="00D554D8" w:rsidRPr="00D554D8">
        <w:rPr>
          <w:rFonts w:ascii="Arial" w:eastAsia="Times New Roman" w:hAnsi="Arial" w:cs="Arial"/>
          <w:sz w:val="24"/>
          <w:szCs w:val="24"/>
          <w:lang w:eastAsia="en-GB"/>
        </w:rPr>
        <w:t xml:space="preserve">f).  </w:t>
      </w:r>
    </w:p>
    <w:p w14:paraId="02F57F29" w14:textId="77777777" w:rsidR="00D554D8" w:rsidRPr="00D554D8" w:rsidRDefault="00D554D8" w:rsidP="00D554D8">
      <w:pPr>
        <w:spacing w:after="0" w:line="360" w:lineRule="auto"/>
        <w:textAlignment w:val="baseline"/>
        <w:rPr>
          <w:rFonts w:ascii="Arial" w:eastAsia="Times New Roman" w:hAnsi="Arial" w:cs="Arial"/>
          <w:sz w:val="24"/>
          <w:szCs w:val="24"/>
          <w:lang w:eastAsia="en-GB"/>
        </w:rPr>
      </w:pPr>
    </w:p>
    <w:p w14:paraId="18E75788" w14:textId="118CA5E9" w:rsidR="00360792"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 xml:space="preserve">It is essential that an honest conversation is held with Lucy to explain the reasons behind the need for the return-to-work meeting and that the meeting is a statutory requirement as part of the employment contract.  It would be wise to consider that this meeting is held with someone other than the line manager due to the relationship breakdown.  </w:t>
      </w:r>
    </w:p>
    <w:p w14:paraId="5BC598C9" w14:textId="77777777" w:rsidR="00D554D8" w:rsidRPr="001C3CFC" w:rsidRDefault="00D554D8" w:rsidP="00D554D8">
      <w:pPr>
        <w:spacing w:after="0" w:line="360" w:lineRule="auto"/>
        <w:textAlignment w:val="baseline"/>
        <w:rPr>
          <w:rFonts w:ascii="Arial" w:eastAsia="Times New Roman" w:hAnsi="Arial" w:cs="Arial"/>
          <w:sz w:val="24"/>
          <w:szCs w:val="24"/>
          <w:lang w:eastAsia="en-GB"/>
        </w:rPr>
      </w:pPr>
    </w:p>
    <w:p w14:paraId="2F1B84CA" w14:textId="7EEF05CD" w:rsidR="007122D4" w:rsidRDefault="007122D4" w:rsidP="00D554D8">
      <w:pPr>
        <w:spacing w:after="0" w:line="360" w:lineRule="auto"/>
        <w:ind w:firstLine="720"/>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Sharing reasons of absence with others</w:t>
      </w:r>
      <w:r w:rsidRPr="007122D4">
        <w:rPr>
          <w:rFonts w:ascii="Arial" w:eastAsia="Times New Roman" w:hAnsi="Arial" w:cs="Arial"/>
          <w:sz w:val="24"/>
          <w:szCs w:val="24"/>
          <w:lang w:eastAsia="en-GB"/>
        </w:rPr>
        <w:t> </w:t>
      </w:r>
    </w:p>
    <w:p w14:paraId="32BE8DF2" w14:textId="77777777" w:rsidR="00D554D8" w:rsidRPr="001C3CFC" w:rsidRDefault="00D554D8" w:rsidP="00D554D8">
      <w:pPr>
        <w:spacing w:after="0" w:line="360" w:lineRule="auto"/>
        <w:ind w:firstLine="720"/>
        <w:textAlignment w:val="baseline"/>
        <w:rPr>
          <w:rFonts w:ascii="Arial" w:eastAsia="Times New Roman" w:hAnsi="Arial" w:cs="Arial"/>
          <w:sz w:val="24"/>
          <w:szCs w:val="24"/>
          <w:lang w:eastAsia="en-GB"/>
        </w:rPr>
      </w:pPr>
    </w:p>
    <w:p w14:paraId="32DAF2F1" w14:textId="5DB18959" w:rsidR="00D554D8" w:rsidRPr="00D554D8"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 xml:space="preserve">BB has a legal basis to handle personal information, which must be fair and transparent; data should only be used in a way that people would reasonably expect (ICO, 2021).  </w:t>
      </w:r>
    </w:p>
    <w:p w14:paraId="14A6E2D1" w14:textId="77777777" w:rsidR="00D554D8" w:rsidRPr="00D554D8" w:rsidRDefault="00D554D8" w:rsidP="00D554D8">
      <w:pPr>
        <w:spacing w:after="0" w:line="360" w:lineRule="auto"/>
        <w:textAlignment w:val="baseline"/>
        <w:rPr>
          <w:rFonts w:ascii="Arial" w:eastAsia="Times New Roman" w:hAnsi="Arial" w:cs="Arial"/>
          <w:sz w:val="24"/>
          <w:szCs w:val="24"/>
          <w:lang w:eastAsia="en-GB"/>
        </w:rPr>
      </w:pPr>
    </w:p>
    <w:p w14:paraId="6158288B" w14:textId="0109EF8A" w:rsidR="00D554D8" w:rsidRPr="00D554D8"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 xml:space="preserve">Therefore, you can inform others that someone is away from the office due to sickness, but this is to ensure adequate workforce coverage; you cannot share the reason behind that sickness absence.  </w:t>
      </w:r>
    </w:p>
    <w:p w14:paraId="0E183451" w14:textId="77777777" w:rsidR="00D554D8" w:rsidRPr="00D554D8" w:rsidRDefault="00D554D8" w:rsidP="00D554D8">
      <w:pPr>
        <w:spacing w:after="0" w:line="360" w:lineRule="auto"/>
        <w:textAlignment w:val="baseline"/>
        <w:rPr>
          <w:rFonts w:ascii="Arial" w:eastAsia="Times New Roman" w:hAnsi="Arial" w:cs="Arial"/>
          <w:sz w:val="24"/>
          <w:szCs w:val="24"/>
          <w:lang w:eastAsia="en-GB"/>
        </w:rPr>
      </w:pPr>
    </w:p>
    <w:p w14:paraId="16440717" w14:textId="7537440A" w:rsidR="00360792"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 xml:space="preserve">However, you have a duty of care to all employees, therefore if an employee has been exposed to another employee who may have an infectious disease/virus such as coronavirus, then you may inform those employees at risk, but not the whole </w:t>
      </w:r>
      <w:r w:rsidRPr="00D554D8">
        <w:rPr>
          <w:rFonts w:ascii="Arial" w:eastAsia="Times New Roman" w:hAnsi="Arial" w:cs="Arial"/>
          <w:sz w:val="24"/>
          <w:szCs w:val="24"/>
          <w:lang w:eastAsia="en-GB"/>
        </w:rPr>
        <w:lastRenderedPageBreak/>
        <w:t xml:space="preserve">workforce. Only need-to-know information should be shared; there is no need to share specific illness details. This is a balancing act between our duty of care as an employer and the Data Protection Act 2018.  </w:t>
      </w:r>
    </w:p>
    <w:p w14:paraId="643A3BB4" w14:textId="77777777" w:rsidR="00D554D8" w:rsidRPr="007122D4" w:rsidRDefault="00D554D8" w:rsidP="00D554D8">
      <w:pPr>
        <w:spacing w:after="0" w:line="360" w:lineRule="auto"/>
        <w:textAlignment w:val="baseline"/>
        <w:rPr>
          <w:rFonts w:ascii="Arial" w:eastAsia="Times New Roman" w:hAnsi="Arial" w:cs="Arial"/>
          <w:sz w:val="24"/>
          <w:szCs w:val="24"/>
          <w:lang w:eastAsia="en-GB"/>
        </w:rPr>
      </w:pPr>
    </w:p>
    <w:p w14:paraId="4D1EA894" w14:textId="29114860" w:rsidR="007122D4" w:rsidRDefault="007122D4" w:rsidP="00D554D8">
      <w:pPr>
        <w:spacing w:after="0" w:line="360" w:lineRule="auto"/>
        <w:ind w:firstLine="720"/>
        <w:textAlignment w:val="baseline"/>
        <w:rPr>
          <w:rFonts w:ascii="Arial" w:eastAsia="Times New Roman" w:hAnsi="Arial" w:cs="Arial"/>
          <w:sz w:val="24"/>
          <w:szCs w:val="24"/>
          <w:lang w:eastAsia="en-GB"/>
        </w:rPr>
      </w:pPr>
      <w:r w:rsidRPr="007122D4">
        <w:rPr>
          <w:rFonts w:ascii="Arial" w:eastAsia="Times New Roman" w:hAnsi="Arial" w:cs="Arial"/>
          <w:b/>
          <w:bCs/>
          <w:sz w:val="24"/>
          <w:szCs w:val="24"/>
          <w:lang w:eastAsia="en-GB"/>
        </w:rPr>
        <w:t>Absence Records</w:t>
      </w:r>
      <w:r w:rsidRPr="007122D4">
        <w:rPr>
          <w:rFonts w:ascii="Arial" w:eastAsia="Times New Roman" w:hAnsi="Arial" w:cs="Arial"/>
          <w:sz w:val="24"/>
          <w:szCs w:val="24"/>
          <w:lang w:eastAsia="en-GB"/>
        </w:rPr>
        <w:t> </w:t>
      </w:r>
    </w:p>
    <w:p w14:paraId="17125881" w14:textId="77777777" w:rsidR="00D554D8" w:rsidRPr="007122D4" w:rsidRDefault="00D554D8" w:rsidP="00D554D8">
      <w:pPr>
        <w:spacing w:after="0" w:line="360" w:lineRule="auto"/>
        <w:ind w:firstLine="720"/>
        <w:textAlignment w:val="baseline"/>
        <w:rPr>
          <w:rFonts w:ascii="Arial" w:eastAsia="Times New Roman" w:hAnsi="Arial" w:cs="Arial"/>
          <w:sz w:val="24"/>
          <w:szCs w:val="24"/>
          <w:lang w:eastAsia="en-GB"/>
        </w:rPr>
      </w:pPr>
    </w:p>
    <w:p w14:paraId="5F94F4D3" w14:textId="3CBB8D7E" w:rsidR="00D554D8" w:rsidRPr="00D554D8" w:rsidRDefault="007122D4" w:rsidP="00D554D8">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xml:space="preserve">The </w:t>
      </w:r>
      <w:r w:rsidR="00D554D8" w:rsidRPr="00D554D8">
        <w:rPr>
          <w:rFonts w:ascii="Arial" w:eastAsia="Times New Roman" w:hAnsi="Arial" w:cs="Arial"/>
          <w:sz w:val="24"/>
          <w:szCs w:val="24"/>
          <w:lang w:eastAsia="en-GB"/>
        </w:rPr>
        <w:t xml:space="preserve">ICO retention and disposal schedule suggests that sick records should only be kept for three years and then should be destroyed (ICO, 2020).  </w:t>
      </w:r>
    </w:p>
    <w:p w14:paraId="708128A1" w14:textId="77777777" w:rsidR="00D554D8" w:rsidRPr="00D554D8" w:rsidRDefault="00D554D8" w:rsidP="00D554D8">
      <w:pPr>
        <w:spacing w:after="0" w:line="360" w:lineRule="auto"/>
        <w:textAlignment w:val="baseline"/>
        <w:rPr>
          <w:rFonts w:ascii="Arial" w:eastAsia="Times New Roman" w:hAnsi="Arial" w:cs="Arial"/>
          <w:sz w:val="24"/>
          <w:szCs w:val="24"/>
          <w:lang w:eastAsia="en-GB"/>
        </w:rPr>
      </w:pPr>
    </w:p>
    <w:p w14:paraId="26008A7F" w14:textId="578D06A6" w:rsidR="00D554D8" w:rsidRPr="00D554D8"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We should not keep data longer than needed</w:t>
      </w:r>
      <w:r w:rsidR="007E2DB4">
        <w:rPr>
          <w:rFonts w:ascii="Arial" w:eastAsia="Times New Roman" w:hAnsi="Arial" w:cs="Arial"/>
          <w:sz w:val="24"/>
          <w:szCs w:val="24"/>
          <w:lang w:eastAsia="en-GB"/>
        </w:rPr>
        <w:t xml:space="preserve"> other than</w:t>
      </w:r>
      <w:r w:rsidRPr="00D554D8">
        <w:rPr>
          <w:rFonts w:ascii="Arial" w:eastAsia="Times New Roman" w:hAnsi="Arial" w:cs="Arial"/>
          <w:sz w:val="24"/>
          <w:szCs w:val="24"/>
          <w:lang w:eastAsia="en-GB"/>
        </w:rPr>
        <w:t xml:space="preserve"> to defend claims bought by current or previous employees; this mitigates the risk of a data breach and improves employee trust and confidence in the data we handle on their behalf. Belfast Health Trust was fined when they left patient and employee files in an abandoned hospital which could have caused harm to the individuals involved (Connolly, 2012). </w:t>
      </w:r>
    </w:p>
    <w:p w14:paraId="7DCDF416" w14:textId="77777777" w:rsidR="00D554D8" w:rsidRPr="00D554D8" w:rsidRDefault="00D554D8" w:rsidP="00D554D8">
      <w:pPr>
        <w:spacing w:after="0" w:line="360" w:lineRule="auto"/>
        <w:textAlignment w:val="baseline"/>
        <w:rPr>
          <w:rFonts w:ascii="Arial" w:eastAsia="Times New Roman" w:hAnsi="Arial" w:cs="Arial"/>
          <w:sz w:val="24"/>
          <w:szCs w:val="24"/>
          <w:lang w:eastAsia="en-GB"/>
        </w:rPr>
      </w:pPr>
    </w:p>
    <w:p w14:paraId="65F43C84" w14:textId="022FF43E" w:rsidR="007122D4" w:rsidRDefault="00D554D8" w:rsidP="00D554D8">
      <w:pPr>
        <w:spacing w:after="0" w:line="360" w:lineRule="auto"/>
        <w:textAlignment w:val="baseline"/>
        <w:rPr>
          <w:rFonts w:ascii="Arial" w:eastAsia="Times New Roman" w:hAnsi="Arial" w:cs="Arial"/>
          <w:sz w:val="24"/>
          <w:szCs w:val="24"/>
          <w:lang w:eastAsia="en-GB"/>
        </w:rPr>
      </w:pPr>
      <w:r w:rsidRPr="00D554D8">
        <w:rPr>
          <w:rFonts w:ascii="Arial" w:eastAsia="Times New Roman" w:hAnsi="Arial" w:cs="Arial"/>
          <w:sz w:val="24"/>
          <w:szCs w:val="24"/>
          <w:lang w:eastAsia="en-GB"/>
        </w:rPr>
        <w:t>Please refer to the BB's retention &amp; disposal schedule.</w:t>
      </w:r>
      <w:r w:rsidR="007122D4" w:rsidRPr="007122D4">
        <w:rPr>
          <w:rFonts w:ascii="Arial" w:eastAsia="Times New Roman" w:hAnsi="Arial" w:cs="Arial"/>
          <w:sz w:val="24"/>
          <w:szCs w:val="24"/>
          <w:lang w:eastAsia="en-GB"/>
        </w:rPr>
        <w:t> </w:t>
      </w:r>
    </w:p>
    <w:p w14:paraId="04B99D5C" w14:textId="77777777" w:rsidR="00D554D8" w:rsidRPr="007122D4" w:rsidRDefault="00D554D8" w:rsidP="00D554D8">
      <w:pPr>
        <w:spacing w:after="0" w:line="360" w:lineRule="auto"/>
        <w:textAlignment w:val="baseline"/>
        <w:rPr>
          <w:rFonts w:ascii="Arial" w:eastAsia="Times New Roman" w:hAnsi="Arial" w:cs="Arial"/>
          <w:sz w:val="24"/>
          <w:szCs w:val="24"/>
          <w:lang w:eastAsia="en-GB"/>
        </w:rPr>
      </w:pPr>
    </w:p>
    <w:p w14:paraId="65C28E3C"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If you have any queries regarding the above, please come back to me ASAP.  </w:t>
      </w:r>
    </w:p>
    <w:p w14:paraId="5546AB37" w14:textId="77777777" w:rsidR="00360792" w:rsidRPr="001C3CFC" w:rsidRDefault="00360792" w:rsidP="001C3CFC">
      <w:pPr>
        <w:spacing w:after="0" w:line="360" w:lineRule="auto"/>
        <w:textAlignment w:val="baseline"/>
        <w:rPr>
          <w:rFonts w:ascii="Arial" w:eastAsia="Times New Roman" w:hAnsi="Arial" w:cs="Arial"/>
          <w:sz w:val="24"/>
          <w:szCs w:val="24"/>
          <w:lang w:eastAsia="en-GB"/>
        </w:rPr>
      </w:pPr>
    </w:p>
    <w:p w14:paraId="73D77E6B" w14:textId="20AE2ED0"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Kind regards, </w:t>
      </w:r>
    </w:p>
    <w:p w14:paraId="2D19BAEB" w14:textId="5F093B63" w:rsidR="007122D4" w:rsidRPr="007122D4" w:rsidRDefault="007122D4" w:rsidP="001C3CFC">
      <w:pPr>
        <w:spacing w:after="0" w:line="360" w:lineRule="auto"/>
        <w:textAlignment w:val="baseline"/>
        <w:rPr>
          <w:rFonts w:ascii="Arial" w:eastAsia="Times New Roman" w:hAnsi="Arial" w:cs="Arial"/>
          <w:b/>
          <w:bCs/>
          <w:sz w:val="24"/>
          <w:szCs w:val="24"/>
          <w:lang w:eastAsia="en-GB"/>
        </w:rPr>
      </w:pPr>
      <w:r w:rsidRPr="007122D4">
        <w:rPr>
          <w:rFonts w:ascii="Arial" w:eastAsia="Times New Roman" w:hAnsi="Arial" w:cs="Arial"/>
          <w:b/>
          <w:bCs/>
          <w:sz w:val="24"/>
          <w:szCs w:val="24"/>
          <w:lang w:eastAsia="en-GB"/>
        </w:rPr>
        <w:t>HR Advisor</w:t>
      </w:r>
    </w:p>
    <w:p w14:paraId="4F24A083"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4259BEE9" w14:textId="77777777" w:rsidR="007122D4" w:rsidRPr="001C3CFC" w:rsidRDefault="007122D4" w:rsidP="001C3CFC">
      <w:pPr>
        <w:spacing w:line="360" w:lineRule="auto"/>
        <w:rPr>
          <w:rFonts w:ascii="Arial" w:eastAsia="Times New Roman" w:hAnsi="Arial" w:cs="Arial"/>
          <w:sz w:val="24"/>
          <w:szCs w:val="24"/>
          <w:lang w:eastAsia="en-GB"/>
        </w:rPr>
      </w:pPr>
      <w:r w:rsidRPr="001C3CFC">
        <w:rPr>
          <w:rFonts w:ascii="Arial" w:eastAsia="Times New Roman" w:hAnsi="Arial" w:cs="Arial"/>
          <w:sz w:val="24"/>
          <w:szCs w:val="24"/>
          <w:lang w:eastAsia="en-GB"/>
        </w:rPr>
        <w:br w:type="page"/>
      </w:r>
    </w:p>
    <w:p w14:paraId="205C250E" w14:textId="186B5E57" w:rsidR="0084415E" w:rsidRPr="006D22C8" w:rsidRDefault="0084415E" w:rsidP="0084415E">
      <w:pPr>
        <w:pStyle w:val="Heading1"/>
        <w:spacing w:line="360" w:lineRule="auto"/>
        <w:rPr>
          <w:rFonts w:ascii="Arial" w:eastAsia="Times New Roman" w:hAnsi="Arial" w:cs="Arial"/>
          <w:b/>
          <w:bCs/>
          <w:color w:val="44546A" w:themeColor="text2"/>
          <w:sz w:val="24"/>
          <w:szCs w:val="24"/>
          <w:lang w:eastAsia="en-GB"/>
        </w:rPr>
      </w:pPr>
      <w:bookmarkStart w:id="9" w:name="_Toc71466649"/>
      <w:r w:rsidRPr="006D22C8">
        <w:rPr>
          <w:rFonts w:ascii="Arial" w:eastAsia="Times New Roman" w:hAnsi="Arial" w:cs="Arial"/>
          <w:b/>
          <w:bCs/>
          <w:color w:val="44546A" w:themeColor="text2"/>
          <w:sz w:val="24"/>
          <w:szCs w:val="24"/>
          <w:lang w:eastAsia="en-GB"/>
        </w:rPr>
        <w:lastRenderedPageBreak/>
        <w:t>Reference</w:t>
      </w:r>
      <w:bookmarkEnd w:id="9"/>
      <w:r w:rsidR="006D22C8" w:rsidRPr="006D22C8">
        <w:rPr>
          <w:rFonts w:ascii="Arial" w:eastAsia="Times New Roman" w:hAnsi="Arial" w:cs="Arial"/>
          <w:b/>
          <w:bCs/>
          <w:color w:val="44546A" w:themeColor="text2"/>
          <w:sz w:val="24"/>
          <w:szCs w:val="24"/>
          <w:lang w:eastAsia="en-GB"/>
        </w:rPr>
        <w:t>s</w:t>
      </w:r>
    </w:p>
    <w:p w14:paraId="0A0644E9" w14:textId="77777777" w:rsidR="0084415E" w:rsidRPr="00C66052" w:rsidRDefault="0084415E" w:rsidP="0084415E">
      <w:pPr>
        <w:rPr>
          <w:lang w:eastAsia="en-GB"/>
        </w:rPr>
      </w:pPr>
    </w:p>
    <w:p w14:paraId="5DBF1D2B" w14:textId="121BE15D"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(2014) </w:t>
      </w:r>
      <w:r w:rsidRPr="006D22C8">
        <w:rPr>
          <w:rFonts w:ascii="Arial" w:eastAsia="Times New Roman" w:hAnsi="Arial" w:cs="Arial"/>
          <w:i/>
          <w:iCs/>
          <w:sz w:val="24"/>
          <w:szCs w:val="24"/>
          <w:lang w:eastAsia="en-GB"/>
        </w:rPr>
        <w:t>Code of Practice on handling in a reasonable manner requests to work flexibly. </w:t>
      </w:r>
      <w:r w:rsidRPr="006D22C8">
        <w:rPr>
          <w:rFonts w:ascii="Arial" w:eastAsia="Times New Roman" w:hAnsi="Arial" w:cs="Arial"/>
          <w:sz w:val="24"/>
          <w:szCs w:val="24"/>
          <w:lang w:eastAsia="en-GB"/>
        </w:rPr>
        <w:t>Available at: </w:t>
      </w:r>
      <w:hyperlink r:id="rId13" w:tgtFrame="_blank" w:history="1">
        <w:r w:rsidRPr="006D22C8">
          <w:rPr>
            <w:rFonts w:ascii="Arial" w:eastAsia="Times New Roman" w:hAnsi="Arial" w:cs="Arial"/>
            <w:sz w:val="24"/>
            <w:szCs w:val="24"/>
            <w:lang w:eastAsia="en-GB"/>
          </w:rPr>
          <w:t>https://www.acas.org.uk/acas-code-of-practice-on-flexible-working-requests/html</w:t>
        </w:r>
      </w:hyperlink>
      <w:r w:rsidRPr="006D22C8">
        <w:rPr>
          <w:rFonts w:ascii="Arial" w:eastAsia="Times New Roman" w:hAnsi="Arial" w:cs="Arial"/>
          <w:sz w:val="24"/>
          <w:szCs w:val="24"/>
          <w:lang w:eastAsia="en-GB"/>
        </w:rPr>
        <w:t> (Accessed: 25 April 2021). </w:t>
      </w:r>
    </w:p>
    <w:p w14:paraId="52A17072" w14:textId="77777777" w:rsidR="00BE5EFE" w:rsidRDefault="00BE5EFE" w:rsidP="00C74890">
      <w:pPr>
        <w:spacing w:after="0" w:line="360" w:lineRule="auto"/>
        <w:textAlignment w:val="baseline"/>
        <w:rPr>
          <w:rFonts w:ascii="Arial" w:eastAsia="Times New Roman" w:hAnsi="Arial" w:cs="Arial"/>
          <w:sz w:val="24"/>
          <w:szCs w:val="24"/>
          <w:lang w:eastAsia="en-GB"/>
        </w:rPr>
      </w:pPr>
    </w:p>
    <w:p w14:paraId="0B44E46A"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(2015) </w:t>
      </w:r>
      <w:r w:rsidRPr="006D22C8">
        <w:rPr>
          <w:rFonts w:ascii="Arial" w:eastAsia="Times New Roman" w:hAnsi="Arial" w:cs="Arial"/>
          <w:i/>
          <w:iCs/>
          <w:sz w:val="24"/>
          <w:szCs w:val="24"/>
          <w:lang w:eastAsia="en-GB"/>
        </w:rPr>
        <w:t>Code of Practice on disciplinary and grievance procedures. </w:t>
      </w:r>
      <w:r w:rsidRPr="006D22C8">
        <w:rPr>
          <w:rFonts w:ascii="Arial" w:eastAsia="Times New Roman" w:hAnsi="Arial" w:cs="Arial"/>
          <w:sz w:val="24"/>
          <w:szCs w:val="24"/>
          <w:lang w:eastAsia="en-GB"/>
        </w:rPr>
        <w:t>Available at: https://www.acas.org.uk/acas-code-of-practice-for-disciplinary-and-grievance-procedures/html#discipline:-keys-to-handling-disciplinary-issues-in-the-workplace (Accessed: 3 May 2021).  </w:t>
      </w:r>
    </w:p>
    <w:p w14:paraId="6CFB5D9E" w14:textId="77777777" w:rsidR="00C74890" w:rsidRPr="00C66052" w:rsidRDefault="00C74890" w:rsidP="00C74890">
      <w:pPr>
        <w:spacing w:after="0" w:line="360" w:lineRule="auto"/>
        <w:textAlignment w:val="baseline"/>
        <w:rPr>
          <w:rFonts w:ascii="Arial" w:eastAsia="Times New Roman" w:hAnsi="Arial" w:cs="Arial"/>
          <w:sz w:val="24"/>
          <w:szCs w:val="24"/>
          <w:lang w:eastAsia="en-GB"/>
        </w:rPr>
      </w:pPr>
    </w:p>
    <w:p w14:paraId="02436F90"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(2018) </w:t>
      </w:r>
      <w:r w:rsidRPr="006D22C8">
        <w:rPr>
          <w:rFonts w:ascii="Arial" w:eastAsia="Times New Roman" w:hAnsi="Arial" w:cs="Arial"/>
          <w:i/>
          <w:iCs/>
          <w:sz w:val="24"/>
          <w:szCs w:val="24"/>
          <w:lang w:eastAsia="en-GB"/>
        </w:rPr>
        <w:t>Settlement Agreements.</w:t>
      </w:r>
      <w:r w:rsidRPr="006D22C8">
        <w:rPr>
          <w:rFonts w:ascii="Arial" w:eastAsia="Times New Roman" w:hAnsi="Arial" w:cs="Arial"/>
          <w:sz w:val="24"/>
          <w:szCs w:val="24"/>
          <w:lang w:eastAsia="en-GB"/>
        </w:rPr>
        <w:t> Available at: https://www.acas.org.uk/sites/default/files/2021-03/settlement-agreements.pdf (Accessed: 8 May 2021).  </w:t>
      </w:r>
    </w:p>
    <w:p w14:paraId="35E77373" w14:textId="77777777" w:rsidR="00C74890" w:rsidRPr="00C66052" w:rsidRDefault="00C74890" w:rsidP="00C74890">
      <w:pPr>
        <w:spacing w:after="0" w:line="360" w:lineRule="auto"/>
        <w:textAlignment w:val="baseline"/>
        <w:rPr>
          <w:rFonts w:ascii="Arial" w:eastAsia="Times New Roman" w:hAnsi="Arial" w:cs="Arial"/>
          <w:sz w:val="24"/>
          <w:szCs w:val="24"/>
          <w:lang w:eastAsia="en-GB"/>
        </w:rPr>
      </w:pPr>
    </w:p>
    <w:p w14:paraId="648F18F5" w14:textId="701B8FD9"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(2019) </w:t>
      </w:r>
      <w:r w:rsidRPr="006D22C8">
        <w:rPr>
          <w:rFonts w:ascii="Arial" w:eastAsia="Times New Roman" w:hAnsi="Arial" w:cs="Arial"/>
          <w:i/>
          <w:iCs/>
          <w:sz w:val="24"/>
          <w:szCs w:val="24"/>
          <w:lang w:eastAsia="en-GB"/>
        </w:rPr>
        <w:t>Conducting workplace investigations.</w:t>
      </w:r>
      <w:r w:rsidRPr="006D22C8">
        <w:rPr>
          <w:rFonts w:ascii="Arial" w:eastAsia="Times New Roman" w:hAnsi="Arial" w:cs="Arial"/>
          <w:sz w:val="24"/>
          <w:szCs w:val="24"/>
          <w:lang w:eastAsia="en-GB"/>
        </w:rPr>
        <w:t> Available at: https://www.acas.org.uk/sites/default/files/2021-03/conducting-workplace-investigations.pdf (Accessed: 25 April 2021).  </w:t>
      </w:r>
    </w:p>
    <w:p w14:paraId="55C3F36C"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95E5026" w14:textId="4C807DD2"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a) </w:t>
      </w:r>
      <w:r w:rsidRPr="006D22C8">
        <w:rPr>
          <w:rFonts w:ascii="Arial" w:eastAsia="Times New Roman" w:hAnsi="Arial" w:cs="Arial"/>
          <w:i/>
          <w:iCs/>
          <w:sz w:val="24"/>
          <w:szCs w:val="24"/>
          <w:lang w:eastAsia="en-GB"/>
        </w:rPr>
        <w:t>Responding to a flexible working request: Consider the flexible working request</w:t>
      </w:r>
      <w:r w:rsidRPr="006D22C8">
        <w:rPr>
          <w:rFonts w:ascii="Arial" w:eastAsia="Times New Roman" w:hAnsi="Arial" w:cs="Arial"/>
          <w:sz w:val="24"/>
          <w:szCs w:val="24"/>
          <w:lang w:eastAsia="en-GB"/>
        </w:rPr>
        <w:t>. Available at: https://www.acas.org.uk/responding-to-a-flexible-working-request/consider-the-flexible-working-request (Accessed: 25 April 2021)</w:t>
      </w:r>
      <w:r w:rsidR="00E4441C"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w:t>
      </w:r>
    </w:p>
    <w:p w14:paraId="12359A73"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D72DCA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b) </w:t>
      </w:r>
      <w:r w:rsidRPr="006D22C8">
        <w:rPr>
          <w:rFonts w:ascii="Arial" w:eastAsia="Times New Roman" w:hAnsi="Arial" w:cs="Arial"/>
          <w:i/>
          <w:iCs/>
          <w:sz w:val="24"/>
          <w:szCs w:val="24"/>
          <w:lang w:eastAsia="en-GB"/>
        </w:rPr>
        <w:t>Responding to a flexible working request: If your employee appeals your decision.</w:t>
      </w:r>
      <w:r w:rsidRPr="006D22C8">
        <w:rPr>
          <w:rFonts w:ascii="Arial" w:eastAsia="Times New Roman" w:hAnsi="Arial" w:cs="Arial"/>
          <w:sz w:val="24"/>
          <w:szCs w:val="24"/>
          <w:lang w:eastAsia="en-GB"/>
        </w:rPr>
        <w:t> Available at: </w:t>
      </w:r>
      <w:hyperlink r:id="rId14" w:tgtFrame="_blank" w:history="1">
        <w:r w:rsidRPr="006D22C8">
          <w:rPr>
            <w:rFonts w:ascii="Arial" w:eastAsia="Times New Roman" w:hAnsi="Arial" w:cs="Arial"/>
            <w:sz w:val="24"/>
            <w:szCs w:val="24"/>
            <w:lang w:eastAsia="en-GB"/>
          </w:rPr>
          <w:t>https://www.acas.org.uk/responding-to-a-flexible-working-request/if-your-employee-appeals-your-decision</w:t>
        </w:r>
      </w:hyperlink>
      <w:r w:rsidRPr="006D22C8">
        <w:rPr>
          <w:rFonts w:ascii="Arial" w:eastAsia="Times New Roman" w:hAnsi="Arial" w:cs="Arial"/>
          <w:sz w:val="24"/>
          <w:szCs w:val="24"/>
          <w:lang w:eastAsia="en-GB"/>
        </w:rPr>
        <w:t> (Accessed: 25 April 2021). </w:t>
      </w:r>
    </w:p>
    <w:p w14:paraId="2A88F42D" w14:textId="62B504F8" w:rsidR="0084415E" w:rsidRPr="00C66052" w:rsidRDefault="0084415E" w:rsidP="006D22C8">
      <w:pPr>
        <w:spacing w:after="0" w:line="360" w:lineRule="auto"/>
        <w:ind w:firstLine="70"/>
        <w:textAlignment w:val="baseline"/>
        <w:rPr>
          <w:rFonts w:ascii="Arial" w:eastAsia="Times New Roman" w:hAnsi="Arial" w:cs="Arial"/>
          <w:sz w:val="24"/>
          <w:szCs w:val="24"/>
          <w:lang w:eastAsia="en-GB"/>
        </w:rPr>
      </w:pPr>
    </w:p>
    <w:p w14:paraId="630C2A94"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c)</w:t>
      </w:r>
      <w:r w:rsidRPr="006D22C8">
        <w:rPr>
          <w:rFonts w:ascii="Arial" w:eastAsia="Times New Roman" w:hAnsi="Arial" w:cs="Arial"/>
          <w:i/>
          <w:iCs/>
          <w:sz w:val="24"/>
          <w:szCs w:val="24"/>
          <w:lang w:eastAsia="en-GB"/>
        </w:rPr>
        <w:t xml:space="preserve"> Formal grievance procedure: step by step: Step 1: Understanding the options.</w:t>
      </w:r>
      <w:r w:rsidRPr="006D22C8">
        <w:rPr>
          <w:rFonts w:ascii="Arial" w:eastAsia="Times New Roman" w:hAnsi="Arial" w:cs="Arial"/>
          <w:sz w:val="24"/>
          <w:szCs w:val="24"/>
          <w:lang w:eastAsia="en-GB"/>
        </w:rPr>
        <w:t xml:space="preserve"> Available at: </w:t>
      </w:r>
      <w:hyperlink r:id="rId15" w:history="1">
        <w:r w:rsidRPr="006D22C8">
          <w:rPr>
            <w:rStyle w:val="Hyperlink"/>
            <w:rFonts w:ascii="Arial" w:eastAsia="Times New Roman" w:hAnsi="Arial" w:cs="Arial"/>
            <w:color w:val="auto"/>
            <w:sz w:val="24"/>
            <w:szCs w:val="24"/>
            <w:u w:val="none"/>
            <w:lang w:eastAsia="en-GB"/>
          </w:rPr>
          <w:t>https://www.acas.org.uk/grievance-procedure-step-by-step</w:t>
        </w:r>
      </w:hyperlink>
      <w:r w:rsidRPr="006D22C8">
        <w:rPr>
          <w:rFonts w:ascii="Arial" w:eastAsia="Times New Roman" w:hAnsi="Arial" w:cs="Arial"/>
          <w:sz w:val="24"/>
          <w:szCs w:val="24"/>
          <w:lang w:eastAsia="en-GB"/>
        </w:rPr>
        <w:t xml:space="preserve"> (Accessed: 8 May 2021). </w:t>
      </w:r>
    </w:p>
    <w:p w14:paraId="64CA4D80"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00C0A41"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ACAS (no date d) </w:t>
      </w:r>
      <w:r w:rsidRPr="006D22C8">
        <w:rPr>
          <w:rFonts w:ascii="Arial" w:eastAsia="Times New Roman" w:hAnsi="Arial" w:cs="Arial"/>
          <w:i/>
          <w:iCs/>
          <w:sz w:val="24"/>
          <w:szCs w:val="24"/>
          <w:lang w:eastAsia="en-GB"/>
        </w:rPr>
        <w:t>Formal grievance procedure: step by step: Step 2: Raising a formal grievance.</w:t>
      </w:r>
      <w:r w:rsidRPr="006D22C8">
        <w:rPr>
          <w:rFonts w:ascii="Arial" w:eastAsia="Times New Roman" w:hAnsi="Arial" w:cs="Arial"/>
          <w:sz w:val="24"/>
          <w:szCs w:val="24"/>
          <w:lang w:eastAsia="en-GB"/>
        </w:rPr>
        <w:t> Available at: </w:t>
      </w:r>
      <w:hyperlink r:id="rId16" w:tgtFrame="_blank" w:history="1">
        <w:r w:rsidRPr="006D22C8">
          <w:rPr>
            <w:rFonts w:ascii="Arial" w:eastAsia="Times New Roman" w:hAnsi="Arial" w:cs="Arial"/>
            <w:sz w:val="24"/>
            <w:szCs w:val="24"/>
            <w:lang w:eastAsia="en-GB"/>
          </w:rPr>
          <w:t>https://www.acas.org.uk/grievance-procedure-step-by-step/step-2-raising-a-formal-grievance</w:t>
        </w:r>
      </w:hyperlink>
      <w:r w:rsidRPr="006D22C8">
        <w:rPr>
          <w:rFonts w:ascii="Arial" w:eastAsia="Times New Roman" w:hAnsi="Arial" w:cs="Arial"/>
          <w:sz w:val="24"/>
          <w:szCs w:val="24"/>
          <w:lang w:eastAsia="en-GB"/>
        </w:rPr>
        <w:t> (Accessed: 1 May 2021). </w:t>
      </w:r>
    </w:p>
    <w:p w14:paraId="28F248E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1E30E2B" w14:textId="7867B235"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ACAS (no date e) </w:t>
      </w:r>
      <w:r w:rsidRPr="006D22C8">
        <w:rPr>
          <w:rFonts w:ascii="Arial" w:eastAsia="Times New Roman" w:hAnsi="Arial" w:cs="Arial"/>
          <w:i/>
          <w:iCs/>
          <w:sz w:val="24"/>
          <w:szCs w:val="24"/>
          <w:lang w:eastAsia="en-GB"/>
        </w:rPr>
        <w:t>Formal grievance procedure: step by step: Step 4: The grievance meeting</w:t>
      </w:r>
      <w:r w:rsidRPr="006D22C8">
        <w:rPr>
          <w:rFonts w:ascii="Arial" w:eastAsia="Times New Roman" w:hAnsi="Arial" w:cs="Arial"/>
          <w:sz w:val="24"/>
          <w:szCs w:val="24"/>
          <w:lang w:eastAsia="en-GB"/>
        </w:rPr>
        <w:t>. Available at: </w:t>
      </w:r>
      <w:hyperlink r:id="rId17" w:tgtFrame="_blank" w:history="1">
        <w:r w:rsidRPr="006D22C8">
          <w:rPr>
            <w:rFonts w:ascii="Arial" w:eastAsia="Times New Roman" w:hAnsi="Arial" w:cs="Arial"/>
            <w:sz w:val="24"/>
            <w:szCs w:val="24"/>
            <w:lang w:eastAsia="en-GB"/>
          </w:rPr>
          <w:t>https://www.acas.org.uk/grievance-procedure-step-by-step/step-4-the-grievance-meeting</w:t>
        </w:r>
      </w:hyperlink>
      <w:r w:rsidRPr="006D22C8">
        <w:rPr>
          <w:rFonts w:ascii="Arial" w:eastAsia="Times New Roman" w:hAnsi="Arial" w:cs="Arial"/>
          <w:sz w:val="24"/>
          <w:szCs w:val="24"/>
          <w:lang w:eastAsia="en-GB"/>
        </w:rPr>
        <w:t> (Accessed: 1 May 2021)</w:t>
      </w:r>
      <w:r w:rsidR="00E4441C"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w:t>
      </w:r>
    </w:p>
    <w:p w14:paraId="2EA3826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1CF84B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f) </w:t>
      </w:r>
      <w:r w:rsidRPr="006D22C8">
        <w:rPr>
          <w:rFonts w:ascii="Arial" w:eastAsia="Times New Roman" w:hAnsi="Arial" w:cs="Arial"/>
          <w:i/>
          <w:iCs/>
          <w:sz w:val="24"/>
          <w:szCs w:val="24"/>
          <w:lang w:eastAsia="en-GB"/>
        </w:rPr>
        <w:t>Absence from work: Returning to work after absence. </w:t>
      </w:r>
      <w:r w:rsidRPr="006D22C8">
        <w:rPr>
          <w:rFonts w:ascii="Arial" w:eastAsia="Times New Roman" w:hAnsi="Arial" w:cs="Arial"/>
          <w:sz w:val="24"/>
          <w:szCs w:val="24"/>
          <w:lang w:eastAsia="en-GB"/>
        </w:rPr>
        <w:t>Available at: </w:t>
      </w:r>
      <w:hyperlink r:id="rId18" w:tgtFrame="_blank" w:history="1">
        <w:r w:rsidRPr="006D22C8">
          <w:rPr>
            <w:rFonts w:ascii="Arial" w:eastAsia="Times New Roman" w:hAnsi="Arial" w:cs="Arial"/>
            <w:sz w:val="24"/>
            <w:szCs w:val="24"/>
            <w:lang w:eastAsia="en-GB"/>
          </w:rPr>
          <w:t>https://www.acas.org.uk/absence-from-work/returning-to-work-after-absence</w:t>
        </w:r>
      </w:hyperlink>
      <w:r w:rsidRPr="006D22C8">
        <w:rPr>
          <w:rFonts w:ascii="Arial" w:eastAsia="Times New Roman" w:hAnsi="Arial" w:cs="Arial"/>
          <w:sz w:val="24"/>
          <w:szCs w:val="24"/>
          <w:lang w:eastAsia="en-GB"/>
        </w:rPr>
        <w:t> (Accessed: 1 May 2021). </w:t>
      </w:r>
    </w:p>
    <w:p w14:paraId="7755F3A2"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7708C68" w14:textId="66AF571B"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Buddoo</w:t>
      </w:r>
      <w:proofErr w:type="spellEnd"/>
      <w:r w:rsidR="00E4441C" w:rsidRPr="006D22C8">
        <w:rPr>
          <w:rFonts w:ascii="Arial" w:eastAsia="Times New Roman" w:hAnsi="Arial" w:cs="Arial"/>
          <w:sz w:val="24"/>
          <w:szCs w:val="24"/>
          <w:lang w:eastAsia="en-GB"/>
        </w:rPr>
        <w:t xml:space="preserve">, N. </w:t>
      </w:r>
      <w:r w:rsidRPr="006D22C8">
        <w:rPr>
          <w:rFonts w:ascii="Arial" w:eastAsia="Times New Roman" w:hAnsi="Arial" w:cs="Arial"/>
          <w:sz w:val="24"/>
          <w:szCs w:val="24"/>
          <w:lang w:eastAsia="en-GB"/>
        </w:rPr>
        <w:t>(2021) </w:t>
      </w:r>
      <w:r w:rsidRPr="006D22C8">
        <w:rPr>
          <w:rFonts w:ascii="Arial" w:eastAsia="Times New Roman" w:hAnsi="Arial" w:cs="Arial"/>
          <w:i/>
          <w:iCs/>
          <w:sz w:val="24"/>
          <w:szCs w:val="24"/>
          <w:lang w:eastAsia="en-GB"/>
        </w:rPr>
        <w:t>How Covid is shaping health, safety, and wellbeing in construction. </w:t>
      </w:r>
      <w:r w:rsidRPr="006D22C8">
        <w:rPr>
          <w:rFonts w:ascii="Arial" w:eastAsia="Times New Roman" w:hAnsi="Arial" w:cs="Arial"/>
          <w:sz w:val="24"/>
          <w:szCs w:val="24"/>
          <w:lang w:eastAsia="en-GB"/>
        </w:rPr>
        <w:t>Available at: </w:t>
      </w:r>
      <w:hyperlink r:id="rId19" w:tgtFrame="_blank" w:history="1">
        <w:r w:rsidRPr="006D22C8">
          <w:rPr>
            <w:rFonts w:ascii="Arial" w:eastAsia="Times New Roman" w:hAnsi="Arial" w:cs="Arial"/>
            <w:sz w:val="24"/>
            <w:szCs w:val="24"/>
            <w:lang w:eastAsia="en-GB"/>
          </w:rPr>
          <w:t>https://www.newcivilengineer.com/latest/how-covid-is-shaping-health-safety-and-wellbeing-in-construction-25-03-2021/</w:t>
        </w:r>
      </w:hyperlink>
      <w:r w:rsidRPr="006D22C8">
        <w:rPr>
          <w:rFonts w:ascii="Arial" w:eastAsia="Times New Roman" w:hAnsi="Arial" w:cs="Arial"/>
          <w:sz w:val="24"/>
          <w:szCs w:val="24"/>
          <w:lang w:eastAsia="en-GB"/>
        </w:rPr>
        <w:t> (Accessed: 4 May 2021).  </w:t>
      </w:r>
    </w:p>
    <w:p w14:paraId="73C743AD"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1FCA6955" w14:textId="77777777" w:rsidR="006D22C8" w:rsidRDefault="00E4441C"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Cavendish Munro Professional Risks Management Ltd v</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 xml:space="preserve"> Geduld UK</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 xml:space="preserve"> </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2009</w:t>
      </w:r>
      <w:proofErr w:type="gramStart"/>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w:t>
      </w:r>
      <w:r w:rsidRPr="006D22C8">
        <w:rPr>
          <w:rFonts w:ascii="Arial" w:eastAsia="Times New Roman" w:hAnsi="Arial" w:cs="Arial"/>
          <w:sz w:val="24"/>
          <w:szCs w:val="24"/>
          <w:lang w:eastAsia="en-GB"/>
        </w:rPr>
        <w:t>United</w:t>
      </w:r>
      <w:proofErr w:type="gramEnd"/>
      <w:r w:rsidRPr="006D22C8">
        <w:rPr>
          <w:rFonts w:ascii="Arial" w:eastAsia="Times New Roman" w:hAnsi="Arial" w:cs="Arial"/>
          <w:sz w:val="24"/>
          <w:szCs w:val="24"/>
          <w:lang w:eastAsia="en-GB"/>
        </w:rPr>
        <w:t xml:space="preserve"> Kingdom Employment Tribunal, case 325</w:t>
      </w:r>
      <w:r w:rsidR="00C74890" w:rsidRPr="006D22C8">
        <w:rPr>
          <w:rFonts w:ascii="Arial" w:eastAsia="Times New Roman" w:hAnsi="Arial" w:cs="Arial"/>
          <w:sz w:val="24"/>
          <w:szCs w:val="24"/>
          <w:lang w:eastAsia="en-GB"/>
        </w:rPr>
        <w:t xml:space="preserve">. </w:t>
      </w:r>
      <w:r w:rsidR="00C74890" w:rsidRPr="006D22C8">
        <w:rPr>
          <w:rFonts w:ascii="Arial" w:eastAsia="Times New Roman" w:hAnsi="Arial" w:cs="Arial"/>
          <w:i/>
          <w:iCs/>
          <w:sz w:val="24"/>
          <w:szCs w:val="24"/>
          <w:lang w:eastAsia="en-GB"/>
        </w:rPr>
        <w:t>Case mine</w:t>
      </w:r>
      <w:r w:rsidRPr="006D22C8">
        <w:rPr>
          <w:rFonts w:ascii="Arial" w:eastAsia="Times New Roman" w:hAnsi="Arial" w:cs="Arial"/>
          <w:sz w:val="24"/>
          <w:szCs w:val="24"/>
          <w:lang w:eastAsia="en-GB"/>
        </w:rPr>
        <w:t xml:space="preserve"> [online] </w:t>
      </w:r>
      <w:r w:rsidR="0084415E" w:rsidRPr="006D22C8">
        <w:rPr>
          <w:rFonts w:ascii="Arial" w:eastAsia="Times New Roman" w:hAnsi="Arial" w:cs="Arial"/>
          <w:sz w:val="24"/>
          <w:szCs w:val="24"/>
          <w:lang w:eastAsia="en-GB"/>
        </w:rPr>
        <w:t>Available at: https://www.casemine.com/judgement/uk/5</w:t>
      </w:r>
      <w:r w:rsidR="00C74890" w:rsidRPr="006D22C8">
        <w:rPr>
          <w:rFonts w:ascii="Arial" w:eastAsia="Times New Roman" w:hAnsi="Arial" w:cs="Arial"/>
          <w:sz w:val="24"/>
          <w:szCs w:val="24"/>
          <w:lang w:eastAsia="en-GB"/>
        </w:rPr>
        <w:t xml:space="preserve"> </w:t>
      </w:r>
    </w:p>
    <w:p w14:paraId="3D9C774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699B837" w14:textId="2C6A458F"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CIPD (2020a) </w:t>
      </w:r>
      <w:r w:rsidRPr="006D22C8">
        <w:rPr>
          <w:rFonts w:ascii="Arial" w:eastAsia="Times New Roman" w:hAnsi="Arial" w:cs="Arial"/>
          <w:i/>
          <w:iCs/>
          <w:sz w:val="24"/>
          <w:szCs w:val="24"/>
          <w:lang w:eastAsia="en-GB"/>
        </w:rPr>
        <w:t>Unfair dismissal Q&amp;As.</w:t>
      </w:r>
      <w:r w:rsidRPr="006D22C8">
        <w:rPr>
          <w:rFonts w:ascii="Arial" w:eastAsia="Times New Roman" w:hAnsi="Arial" w:cs="Arial"/>
          <w:sz w:val="24"/>
          <w:szCs w:val="24"/>
          <w:lang w:eastAsia="en-GB"/>
        </w:rPr>
        <w:t> Available at: </w:t>
      </w:r>
      <w:hyperlink r:id="rId20" w:tgtFrame="_blank" w:history="1">
        <w:r w:rsidRPr="006D22C8">
          <w:rPr>
            <w:rFonts w:ascii="Arial" w:eastAsia="Times New Roman" w:hAnsi="Arial" w:cs="Arial"/>
            <w:sz w:val="24"/>
            <w:szCs w:val="24"/>
            <w:lang w:eastAsia="en-GB"/>
          </w:rPr>
          <w:t>https://www.cipd.co.uk/knowledge/fundamentals/emp-law/dismissal/unfair-dismissal-questions</w:t>
        </w:r>
      </w:hyperlink>
      <w:r w:rsidRPr="006D22C8">
        <w:rPr>
          <w:rFonts w:ascii="Arial" w:eastAsia="Times New Roman" w:hAnsi="Arial" w:cs="Arial"/>
          <w:sz w:val="24"/>
          <w:szCs w:val="24"/>
          <w:lang w:eastAsia="en-GB"/>
        </w:rPr>
        <w:t> (Accessed: 3 May 2021).  </w:t>
      </w:r>
    </w:p>
    <w:p w14:paraId="03FB556C" w14:textId="5C08B4DF" w:rsidR="00C972B6" w:rsidRDefault="00C972B6" w:rsidP="0084415E">
      <w:pPr>
        <w:spacing w:after="0" w:line="360" w:lineRule="auto"/>
        <w:textAlignment w:val="baseline"/>
        <w:rPr>
          <w:rFonts w:ascii="Arial" w:eastAsia="Times New Roman" w:hAnsi="Arial" w:cs="Arial"/>
          <w:sz w:val="24"/>
          <w:szCs w:val="24"/>
          <w:lang w:eastAsia="en-GB"/>
        </w:rPr>
      </w:pPr>
    </w:p>
    <w:p w14:paraId="106CBEAA"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CIPD (2020b) </w:t>
      </w:r>
      <w:r w:rsidRPr="006D22C8">
        <w:rPr>
          <w:rFonts w:ascii="Arial" w:eastAsia="Times New Roman" w:hAnsi="Arial" w:cs="Arial"/>
          <w:i/>
          <w:iCs/>
          <w:sz w:val="24"/>
          <w:szCs w:val="24"/>
          <w:lang w:eastAsia="en-GB"/>
        </w:rPr>
        <w:t>Wrongful dismissal Q&amp;As.</w:t>
      </w:r>
      <w:r w:rsidRPr="006D22C8">
        <w:rPr>
          <w:rFonts w:ascii="Arial" w:eastAsia="Times New Roman" w:hAnsi="Arial" w:cs="Arial"/>
          <w:sz w:val="24"/>
          <w:szCs w:val="24"/>
          <w:lang w:eastAsia="en-GB"/>
        </w:rPr>
        <w:t xml:space="preserve"> Available at: </w:t>
      </w:r>
      <w:hyperlink r:id="rId21" w:tgtFrame="_blank" w:history="1">
        <w:r w:rsidRPr="006D22C8">
          <w:rPr>
            <w:rFonts w:ascii="Arial" w:eastAsia="Times New Roman" w:hAnsi="Arial" w:cs="Arial"/>
            <w:sz w:val="24"/>
            <w:szCs w:val="24"/>
            <w:lang w:eastAsia="en-GB"/>
          </w:rPr>
          <w:t>https://www.cipd.co.uk/knowledge/fundamentals/emp-law/dismissal/wrongful-dismissal-questions</w:t>
        </w:r>
      </w:hyperlink>
      <w:r w:rsidRPr="006D22C8">
        <w:rPr>
          <w:rFonts w:ascii="Arial" w:eastAsia="Times New Roman" w:hAnsi="Arial" w:cs="Arial"/>
          <w:sz w:val="24"/>
          <w:szCs w:val="24"/>
          <w:lang w:eastAsia="en-GB"/>
        </w:rPr>
        <w:t> (Accessed: 3 May 2021).  </w:t>
      </w:r>
    </w:p>
    <w:p w14:paraId="36DB352F"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1294131C" w14:textId="22B0EDC2"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CIPD (2020c) </w:t>
      </w:r>
      <w:r w:rsidRPr="006D22C8">
        <w:rPr>
          <w:rFonts w:ascii="Arial" w:eastAsia="Times New Roman" w:hAnsi="Arial" w:cs="Arial"/>
          <w:i/>
          <w:iCs/>
          <w:sz w:val="24"/>
          <w:szCs w:val="24"/>
          <w:lang w:eastAsia="en-GB"/>
        </w:rPr>
        <w:t>Working Time Regulations Q&amp;As</w:t>
      </w:r>
      <w:r w:rsidRPr="006D22C8">
        <w:rPr>
          <w:rFonts w:ascii="Arial" w:eastAsia="Times New Roman" w:hAnsi="Arial" w:cs="Arial"/>
          <w:sz w:val="24"/>
          <w:szCs w:val="24"/>
          <w:lang w:eastAsia="en-GB"/>
        </w:rPr>
        <w:t>. Available at: </w:t>
      </w:r>
      <w:hyperlink r:id="rId22" w:tgtFrame="_blank" w:history="1">
        <w:r w:rsidRPr="006D22C8">
          <w:rPr>
            <w:rFonts w:ascii="Arial" w:eastAsia="Times New Roman" w:hAnsi="Arial" w:cs="Arial"/>
            <w:sz w:val="24"/>
            <w:szCs w:val="24"/>
            <w:lang w:eastAsia="en-GB"/>
          </w:rPr>
          <w:t>https://www.cipd.co.uk/knowledge/fundamentals/emp-law/working-time/questions</w:t>
        </w:r>
      </w:hyperlink>
      <w:r w:rsidRPr="006D22C8">
        <w:rPr>
          <w:rFonts w:ascii="Arial" w:eastAsia="Times New Roman" w:hAnsi="Arial" w:cs="Arial"/>
          <w:sz w:val="24"/>
          <w:szCs w:val="24"/>
          <w:lang w:eastAsia="en-GB"/>
        </w:rPr>
        <w:t> (Accessed: 25 April 2021).  </w:t>
      </w:r>
    </w:p>
    <w:p w14:paraId="789DF175" w14:textId="5E45085E" w:rsidR="00C74890" w:rsidRDefault="00C74890" w:rsidP="0084415E">
      <w:pPr>
        <w:spacing w:after="0" w:line="360" w:lineRule="auto"/>
        <w:textAlignment w:val="baseline"/>
        <w:rPr>
          <w:rFonts w:ascii="Arial" w:eastAsia="Times New Roman" w:hAnsi="Arial" w:cs="Arial"/>
          <w:sz w:val="24"/>
          <w:szCs w:val="24"/>
          <w:lang w:eastAsia="en-GB"/>
        </w:rPr>
      </w:pPr>
    </w:p>
    <w:p w14:paraId="69317851"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CIPD (2021a) </w:t>
      </w:r>
      <w:r w:rsidRPr="006D22C8">
        <w:rPr>
          <w:rFonts w:ascii="Arial" w:eastAsia="Times New Roman" w:hAnsi="Arial" w:cs="Arial"/>
          <w:i/>
          <w:iCs/>
          <w:sz w:val="24"/>
          <w:szCs w:val="24"/>
          <w:lang w:eastAsia="en-GB"/>
        </w:rPr>
        <w:t>Tribunal claims Q&amp;As.</w:t>
      </w:r>
      <w:r w:rsidRPr="006D22C8">
        <w:rPr>
          <w:rFonts w:ascii="Arial" w:eastAsia="Times New Roman" w:hAnsi="Arial" w:cs="Arial"/>
          <w:sz w:val="24"/>
          <w:szCs w:val="24"/>
          <w:lang w:eastAsia="en-GB"/>
        </w:rPr>
        <w:t xml:space="preserve"> Available at: https://www.cipd.co.uk/knowledge/fundamentals/emp-law/tribunals/questions (Accessed: 8 May 2021).  </w:t>
      </w:r>
    </w:p>
    <w:p w14:paraId="29E1B5EF" w14:textId="77777777" w:rsidR="00C74890" w:rsidRDefault="00C74890" w:rsidP="00C74890">
      <w:pPr>
        <w:spacing w:after="0" w:line="360" w:lineRule="auto"/>
        <w:textAlignment w:val="baseline"/>
        <w:rPr>
          <w:rFonts w:ascii="Arial" w:eastAsia="Times New Roman" w:hAnsi="Arial" w:cs="Arial"/>
          <w:sz w:val="24"/>
          <w:szCs w:val="24"/>
          <w:lang w:eastAsia="en-GB"/>
        </w:rPr>
      </w:pPr>
    </w:p>
    <w:p w14:paraId="195EE986" w14:textId="44CE4B98"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CIPD (2021b) </w:t>
      </w:r>
      <w:r w:rsidRPr="006D22C8">
        <w:rPr>
          <w:rFonts w:ascii="Arial" w:eastAsia="Times New Roman" w:hAnsi="Arial" w:cs="Arial"/>
          <w:i/>
          <w:iCs/>
          <w:sz w:val="24"/>
          <w:szCs w:val="24"/>
          <w:lang w:eastAsia="en-GB"/>
        </w:rPr>
        <w:t>The role of employment tribunals.</w:t>
      </w:r>
      <w:r w:rsidRPr="006D22C8">
        <w:rPr>
          <w:rFonts w:ascii="Arial" w:eastAsia="Times New Roman" w:hAnsi="Arial" w:cs="Arial"/>
          <w:sz w:val="24"/>
          <w:szCs w:val="24"/>
          <w:lang w:eastAsia="en-GB"/>
        </w:rPr>
        <w:t xml:space="preserve"> Available at: https://www.cipd.co.uk/knowledge/fundamentals/emp-law/tribunals/factsheet#7057 (Accessed: 5 May 2021).  </w:t>
      </w:r>
    </w:p>
    <w:p w14:paraId="77F0E10F" w14:textId="6EF6E68C" w:rsidR="00261CC7" w:rsidRDefault="00261CC7" w:rsidP="0084415E">
      <w:pPr>
        <w:spacing w:after="0" w:line="360" w:lineRule="auto"/>
        <w:textAlignment w:val="baseline"/>
        <w:rPr>
          <w:rFonts w:ascii="Arial" w:eastAsia="Times New Roman" w:hAnsi="Arial" w:cs="Arial"/>
          <w:sz w:val="24"/>
          <w:szCs w:val="24"/>
          <w:lang w:eastAsia="en-GB"/>
        </w:rPr>
      </w:pPr>
    </w:p>
    <w:p w14:paraId="10F76A7F" w14:textId="2587F45E" w:rsidR="00261CC7"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Citizens Advice (2020) </w:t>
      </w:r>
      <w:r w:rsidRPr="006D22C8">
        <w:rPr>
          <w:rFonts w:ascii="Arial" w:eastAsia="Times New Roman" w:hAnsi="Arial" w:cs="Arial"/>
          <w:i/>
          <w:iCs/>
          <w:sz w:val="24"/>
          <w:szCs w:val="24"/>
          <w:lang w:eastAsia="en-GB"/>
        </w:rPr>
        <w:t>Employment tribunals - how to work out your compensatory award if you are claiming unfair dismissal.</w:t>
      </w:r>
      <w:r w:rsidRPr="006D22C8">
        <w:rPr>
          <w:rFonts w:ascii="Arial" w:eastAsia="Times New Roman" w:hAnsi="Arial" w:cs="Arial"/>
          <w:sz w:val="24"/>
          <w:szCs w:val="24"/>
          <w:lang w:eastAsia="en-GB"/>
        </w:rPr>
        <w:t xml:space="preserve"> Available at: https://www.citizensadvice.org.uk/work/problems-at-work/employment-tribunals-from-29-july-2013/employment-tribunals-valuing-a-claim/compensatory-award/employment-tribunals-how-to-work-out-your-compensatory-award-if-you-are-claiming-unfair-dismissal/ (Accessed: 5 May 2021).  </w:t>
      </w:r>
    </w:p>
    <w:p w14:paraId="6CBC2646"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9153F1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Connolly, M. (2012) </w:t>
      </w:r>
      <w:r w:rsidRPr="006D22C8">
        <w:rPr>
          <w:rFonts w:ascii="Arial" w:eastAsia="Times New Roman" w:hAnsi="Arial" w:cs="Arial"/>
          <w:i/>
          <w:iCs/>
          <w:sz w:val="24"/>
          <w:szCs w:val="24"/>
          <w:lang w:eastAsia="en-GB"/>
        </w:rPr>
        <w:t>Belfast Health Trust fined £225,000 over patient records breach.</w:t>
      </w:r>
      <w:r w:rsidRPr="006D22C8">
        <w:rPr>
          <w:rFonts w:ascii="Arial" w:eastAsia="Times New Roman" w:hAnsi="Arial" w:cs="Arial"/>
          <w:sz w:val="24"/>
          <w:szCs w:val="24"/>
          <w:lang w:eastAsia="en-GB"/>
        </w:rPr>
        <w:t> Available at: </w:t>
      </w:r>
      <w:hyperlink r:id="rId23" w:tgtFrame="_blank" w:history="1">
        <w:r w:rsidRPr="006D22C8">
          <w:rPr>
            <w:rFonts w:ascii="Arial" w:eastAsia="Times New Roman" w:hAnsi="Arial" w:cs="Arial"/>
            <w:sz w:val="24"/>
            <w:szCs w:val="24"/>
            <w:lang w:eastAsia="en-GB"/>
          </w:rPr>
          <w:t>https://www.bbc.co.uk/news/uk-northern-ireland-18497161</w:t>
        </w:r>
      </w:hyperlink>
      <w:r w:rsidRPr="006D22C8">
        <w:rPr>
          <w:rFonts w:ascii="Arial" w:eastAsia="Times New Roman" w:hAnsi="Arial" w:cs="Arial"/>
          <w:sz w:val="24"/>
          <w:szCs w:val="24"/>
          <w:lang w:eastAsia="en-GB"/>
        </w:rPr>
        <w:t> (Accessed: 1 May 2021).  </w:t>
      </w:r>
    </w:p>
    <w:p w14:paraId="0CDAFC19" w14:textId="77777777" w:rsidR="00261CC7" w:rsidRDefault="00261CC7" w:rsidP="0084415E">
      <w:pPr>
        <w:spacing w:after="0" w:line="360" w:lineRule="auto"/>
        <w:textAlignment w:val="baseline"/>
        <w:rPr>
          <w:rFonts w:ascii="Arial" w:eastAsia="Times New Roman" w:hAnsi="Arial" w:cs="Arial"/>
          <w:sz w:val="24"/>
          <w:szCs w:val="24"/>
          <w:lang w:eastAsia="en-GB"/>
        </w:rPr>
      </w:pPr>
    </w:p>
    <w:p w14:paraId="0F234D20" w14:textId="51F05ADF" w:rsidR="0084415E"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Data Protection Act 2018.</w:t>
      </w:r>
      <w:r w:rsidRPr="006D22C8">
        <w:rPr>
          <w:rFonts w:ascii="Arial" w:eastAsia="Times New Roman" w:hAnsi="Arial" w:cs="Arial"/>
          <w:sz w:val="24"/>
          <w:szCs w:val="24"/>
          <w:lang w:eastAsia="en-GB"/>
        </w:rPr>
        <w:t xml:space="preserve"> Available at: https://www.legislation.gov.uk/ukpga/2018/12/contents/enacted (Accessed: 1 May 2021).  </w:t>
      </w:r>
    </w:p>
    <w:p w14:paraId="6E6BF3E6"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E78BD5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Department for Business Innovation and Skills (2015) </w:t>
      </w:r>
      <w:r w:rsidRPr="006D22C8">
        <w:rPr>
          <w:rFonts w:ascii="Arial" w:eastAsia="Times New Roman" w:hAnsi="Arial" w:cs="Arial"/>
          <w:i/>
          <w:iCs/>
          <w:sz w:val="24"/>
          <w:szCs w:val="24"/>
          <w:lang w:eastAsia="en-GB"/>
        </w:rPr>
        <w:t>Whistleblowing; Guidance for Employers and Code of Practice. </w:t>
      </w:r>
      <w:r w:rsidRPr="006D22C8">
        <w:rPr>
          <w:rFonts w:ascii="Arial" w:eastAsia="Times New Roman" w:hAnsi="Arial" w:cs="Arial"/>
          <w:sz w:val="24"/>
          <w:szCs w:val="24"/>
          <w:lang w:eastAsia="en-GB"/>
        </w:rPr>
        <w:t>Available at: </w:t>
      </w:r>
      <w:hyperlink r:id="rId24" w:tgtFrame="_blank" w:history="1">
        <w:r w:rsidRPr="006D22C8">
          <w:rPr>
            <w:rFonts w:ascii="Arial" w:eastAsia="Times New Roman" w:hAnsi="Arial" w:cs="Arial"/>
            <w:sz w:val="24"/>
            <w:szCs w:val="24"/>
            <w:lang w:eastAsia="en-GB"/>
          </w:rPr>
          <w:t>https://assets.publishing.service.gov.uk/government/uploads/system/uploads/attachment_data/file/415175/bis-15-200-whistleblowing-guidance-for-employers-and-code-of-practice.pdf</w:t>
        </w:r>
      </w:hyperlink>
      <w:r w:rsidRPr="006D22C8">
        <w:rPr>
          <w:rFonts w:ascii="Arial" w:eastAsia="Times New Roman" w:hAnsi="Arial" w:cs="Arial"/>
          <w:sz w:val="24"/>
          <w:szCs w:val="24"/>
          <w:lang w:eastAsia="en-GB"/>
        </w:rPr>
        <w:t> (Accessed: 3 May 2021).  </w:t>
      </w:r>
    </w:p>
    <w:p w14:paraId="39044C9B"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4FBB14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Dube, P. (2020) </w:t>
      </w:r>
      <w:r w:rsidRPr="006D22C8">
        <w:rPr>
          <w:rFonts w:ascii="Arial" w:eastAsia="Times New Roman" w:hAnsi="Arial" w:cs="Arial"/>
          <w:i/>
          <w:iCs/>
          <w:sz w:val="24"/>
          <w:szCs w:val="24"/>
          <w:lang w:eastAsia="en-GB"/>
        </w:rPr>
        <w:t>Form ET3: Responding to a Tribunal Claim. </w:t>
      </w:r>
      <w:r w:rsidRPr="006D22C8">
        <w:rPr>
          <w:rFonts w:ascii="Arial" w:eastAsia="Times New Roman" w:hAnsi="Arial" w:cs="Arial"/>
          <w:sz w:val="24"/>
          <w:szCs w:val="24"/>
          <w:lang w:eastAsia="en-GB"/>
        </w:rPr>
        <w:t>Available at: </w:t>
      </w:r>
      <w:hyperlink r:id="rId25" w:tgtFrame="_blank" w:history="1">
        <w:r w:rsidRPr="006D22C8">
          <w:rPr>
            <w:rFonts w:ascii="Arial" w:eastAsia="Times New Roman" w:hAnsi="Arial" w:cs="Arial"/>
            <w:sz w:val="24"/>
            <w:szCs w:val="24"/>
            <w:lang w:eastAsia="en-GB"/>
          </w:rPr>
          <w:t>https://www.davidsonmorris.com/et3/</w:t>
        </w:r>
      </w:hyperlink>
      <w:r w:rsidRPr="006D22C8">
        <w:rPr>
          <w:rFonts w:ascii="Arial" w:eastAsia="Times New Roman" w:hAnsi="Arial" w:cs="Arial"/>
          <w:sz w:val="24"/>
          <w:szCs w:val="24"/>
          <w:lang w:eastAsia="en-GB"/>
        </w:rPr>
        <w:t> (Accessed: 3 May 2021).  </w:t>
      </w:r>
    </w:p>
    <w:p w14:paraId="76CC9189"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0F81D2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Edwards, E. (2021) </w:t>
      </w:r>
      <w:r w:rsidRPr="006D22C8">
        <w:rPr>
          <w:rFonts w:ascii="Arial" w:eastAsia="Times New Roman" w:hAnsi="Arial" w:cs="Arial"/>
          <w:i/>
          <w:iCs/>
          <w:sz w:val="24"/>
          <w:szCs w:val="24"/>
          <w:lang w:eastAsia="en-GB"/>
        </w:rPr>
        <w:t>Whistleblowing Compensation</w:t>
      </w:r>
      <w:r w:rsidRPr="006D22C8">
        <w:rPr>
          <w:rFonts w:ascii="Arial" w:eastAsia="Times New Roman" w:hAnsi="Arial" w:cs="Arial"/>
          <w:sz w:val="24"/>
          <w:szCs w:val="24"/>
          <w:lang w:eastAsia="en-GB"/>
        </w:rPr>
        <w:t>. Available at: </w:t>
      </w:r>
      <w:hyperlink r:id="rId26" w:tgtFrame="_blank" w:history="1">
        <w:r w:rsidRPr="006D22C8">
          <w:rPr>
            <w:rFonts w:ascii="Arial" w:eastAsia="Times New Roman" w:hAnsi="Arial" w:cs="Arial"/>
            <w:sz w:val="24"/>
            <w:szCs w:val="24"/>
            <w:lang w:eastAsia="en-GB"/>
          </w:rPr>
          <w:t>https://www.michelmores.com/news-views/news/whistleblowing-compensation</w:t>
        </w:r>
      </w:hyperlink>
      <w:r w:rsidRPr="006D22C8">
        <w:rPr>
          <w:rFonts w:ascii="Arial" w:eastAsia="Times New Roman" w:hAnsi="Arial" w:cs="Arial"/>
          <w:sz w:val="24"/>
          <w:szCs w:val="24"/>
          <w:lang w:eastAsia="en-GB"/>
        </w:rPr>
        <w:t> (Accessed: 8 May 2021).  </w:t>
      </w:r>
    </w:p>
    <w:p w14:paraId="6982EF5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F245004" w14:textId="480611D0"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Embleton S and Redshaw K, (2015)</w:t>
      </w:r>
      <w:r w:rsidRPr="006D22C8">
        <w:rPr>
          <w:rFonts w:ascii="Arial" w:eastAsia="Times New Roman" w:hAnsi="Arial" w:cs="Arial"/>
          <w:i/>
          <w:iCs/>
          <w:sz w:val="24"/>
          <w:szCs w:val="24"/>
          <w:lang w:eastAsia="en-GB"/>
        </w:rPr>
        <w:t> Discrimination by association: what employers need to know</w:t>
      </w:r>
      <w:r w:rsidRPr="006D22C8">
        <w:rPr>
          <w:rFonts w:ascii="Arial" w:eastAsia="Times New Roman" w:hAnsi="Arial" w:cs="Arial"/>
          <w:sz w:val="24"/>
          <w:szCs w:val="24"/>
          <w:lang w:eastAsia="en-GB"/>
        </w:rPr>
        <w:t>. Available at: </w:t>
      </w:r>
      <w:hyperlink r:id="rId27" w:tgtFrame="_blank" w:history="1">
        <w:r w:rsidRPr="006D22C8">
          <w:rPr>
            <w:rFonts w:ascii="Arial" w:eastAsia="Times New Roman" w:hAnsi="Arial" w:cs="Arial"/>
            <w:sz w:val="24"/>
            <w:szCs w:val="24"/>
            <w:lang w:eastAsia="en-GB"/>
          </w:rPr>
          <w:t>https://www.personneltoday.com/hr/discrimination-association-employers-need-know/</w:t>
        </w:r>
      </w:hyperlink>
      <w:r w:rsidRPr="006D22C8">
        <w:rPr>
          <w:rFonts w:ascii="Arial" w:eastAsia="Times New Roman" w:hAnsi="Arial" w:cs="Arial"/>
          <w:sz w:val="24"/>
          <w:szCs w:val="24"/>
          <w:lang w:eastAsia="en-GB"/>
        </w:rPr>
        <w:t> (Accessed: 25 April 2021)</w:t>
      </w:r>
      <w:r w:rsidR="00261CC7"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w:t>
      </w:r>
    </w:p>
    <w:p w14:paraId="0F1E95E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36885D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Act 2002, c. 22.</w:t>
      </w:r>
      <w:r w:rsidRPr="006D22C8">
        <w:rPr>
          <w:rFonts w:ascii="Arial" w:eastAsia="Times New Roman" w:hAnsi="Arial" w:cs="Arial"/>
          <w:sz w:val="24"/>
          <w:szCs w:val="24"/>
          <w:lang w:eastAsia="en-GB"/>
        </w:rPr>
        <w:t> Available at: </w:t>
      </w:r>
      <w:hyperlink r:id="rId28" w:anchor=":~:text=for%20the%20Employment%20Act%202002%2C%20Section%2047.%20%28See,WORKING%2080F%20Statutory%20right%20to%20request%20contract%20variation" w:tgtFrame="_blank" w:history="1">
        <w:r w:rsidRPr="006D22C8">
          <w:rPr>
            <w:rFonts w:ascii="Arial" w:eastAsia="Times New Roman" w:hAnsi="Arial" w:cs="Arial"/>
            <w:sz w:val="24"/>
            <w:szCs w:val="24"/>
            <w:lang w:eastAsia="en-GB"/>
          </w:rPr>
          <w:t>https://www.legislation.gov.uk/ukpga/2002/22/section/47/EmploymentAct2002c22</w:t>
        </w:r>
      </w:hyperlink>
      <w:r w:rsidRPr="006D22C8">
        <w:rPr>
          <w:rFonts w:ascii="Arial" w:eastAsia="Times New Roman" w:hAnsi="Arial" w:cs="Arial"/>
          <w:sz w:val="24"/>
          <w:szCs w:val="24"/>
          <w:lang w:eastAsia="en-GB"/>
        </w:rPr>
        <w:t> (Accessed: 25 April 2021).  </w:t>
      </w:r>
    </w:p>
    <w:p w14:paraId="7BE396A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5171659" w14:textId="53CE190E"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Employment Case Update (2013) </w:t>
      </w:r>
      <w:proofErr w:type="spellStart"/>
      <w:r w:rsidRPr="006D22C8">
        <w:rPr>
          <w:rFonts w:ascii="Arial" w:eastAsia="Times New Roman" w:hAnsi="Arial" w:cs="Arial"/>
          <w:i/>
          <w:iCs/>
          <w:sz w:val="24"/>
          <w:szCs w:val="24"/>
          <w:lang w:eastAsia="en-GB"/>
        </w:rPr>
        <w:t>Lemonious</w:t>
      </w:r>
      <w:proofErr w:type="spellEnd"/>
      <w:r w:rsidRPr="006D22C8">
        <w:rPr>
          <w:rFonts w:ascii="Arial" w:eastAsia="Times New Roman" w:hAnsi="Arial" w:cs="Arial"/>
          <w:i/>
          <w:iCs/>
          <w:sz w:val="24"/>
          <w:szCs w:val="24"/>
          <w:lang w:eastAsia="en-GB"/>
        </w:rPr>
        <w:t> v Church </w:t>
      </w:r>
      <w:r w:rsidR="00261CC7" w:rsidRPr="006D22C8">
        <w:rPr>
          <w:rFonts w:ascii="Arial" w:eastAsia="Times New Roman" w:hAnsi="Arial" w:cs="Arial"/>
          <w:i/>
          <w:iCs/>
          <w:sz w:val="24"/>
          <w:szCs w:val="24"/>
          <w:lang w:eastAsia="en-GB"/>
        </w:rPr>
        <w:t>Commissioners</w:t>
      </w:r>
      <w:r w:rsidRPr="006D22C8">
        <w:rPr>
          <w:rFonts w:ascii="Arial" w:eastAsia="Times New Roman" w:hAnsi="Arial" w:cs="Arial"/>
          <w:i/>
          <w:iCs/>
          <w:sz w:val="24"/>
          <w:szCs w:val="24"/>
          <w:lang w:eastAsia="en-GB"/>
        </w:rPr>
        <w:t> UKEAT/0253/12/KN.</w:t>
      </w:r>
      <w:r w:rsidRPr="006D22C8">
        <w:rPr>
          <w:rFonts w:ascii="Arial" w:eastAsia="Times New Roman" w:hAnsi="Arial" w:cs="Arial"/>
          <w:sz w:val="24"/>
          <w:szCs w:val="24"/>
          <w:lang w:eastAsia="en-GB"/>
        </w:rPr>
        <w:t> Available at: </w:t>
      </w:r>
      <w:hyperlink r:id="rId29" w:tgtFrame="_blank" w:history="1">
        <w:r w:rsidRPr="006D22C8">
          <w:rPr>
            <w:rFonts w:ascii="Arial" w:eastAsia="Times New Roman" w:hAnsi="Arial" w:cs="Arial"/>
            <w:sz w:val="24"/>
            <w:szCs w:val="24"/>
            <w:lang w:eastAsia="en-GB"/>
          </w:rPr>
          <w:t>https://www.employmentcasesupdate.co.uk/site.aspx?i=ed16239</w:t>
        </w:r>
      </w:hyperlink>
      <w:r w:rsidRPr="006D22C8">
        <w:rPr>
          <w:rFonts w:ascii="Arial" w:eastAsia="Times New Roman" w:hAnsi="Arial" w:cs="Arial"/>
          <w:sz w:val="24"/>
          <w:szCs w:val="24"/>
          <w:lang w:eastAsia="en-GB"/>
        </w:rPr>
        <w:t> (Accessed: 8 May 2021).  </w:t>
      </w:r>
    </w:p>
    <w:p w14:paraId="41C14F70"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011663D"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part. 8. </w:t>
      </w:r>
      <w:r w:rsidRPr="006D22C8">
        <w:rPr>
          <w:rFonts w:ascii="Arial" w:eastAsia="Times New Roman" w:hAnsi="Arial" w:cs="Arial"/>
          <w:sz w:val="24"/>
          <w:szCs w:val="24"/>
          <w:lang w:eastAsia="en-GB"/>
        </w:rPr>
        <w:t>Available at: </w:t>
      </w:r>
      <w:hyperlink r:id="rId30" w:tgtFrame="_blank" w:history="1">
        <w:r w:rsidRPr="006D22C8">
          <w:rPr>
            <w:rFonts w:ascii="Arial" w:eastAsia="Times New Roman" w:hAnsi="Arial" w:cs="Arial"/>
            <w:sz w:val="24"/>
            <w:szCs w:val="24"/>
            <w:lang w:eastAsia="en-GB"/>
          </w:rPr>
          <w:t>https://www.legislation.gov.uk/ukpga/1996/18/part/8A</w:t>
        </w:r>
      </w:hyperlink>
      <w:r w:rsidRPr="006D22C8">
        <w:rPr>
          <w:rFonts w:ascii="Arial" w:eastAsia="Times New Roman" w:hAnsi="Arial" w:cs="Arial"/>
          <w:sz w:val="24"/>
          <w:szCs w:val="24"/>
          <w:lang w:eastAsia="en-GB"/>
        </w:rPr>
        <w:t> (Accessed: 25 April 2021).  </w:t>
      </w:r>
    </w:p>
    <w:p w14:paraId="268BF0E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1A49C7C" w14:textId="271E6ED9"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s. 100. </w:t>
      </w:r>
      <w:r w:rsidRPr="006D22C8">
        <w:rPr>
          <w:rFonts w:ascii="Arial" w:eastAsia="Times New Roman" w:hAnsi="Arial" w:cs="Arial"/>
          <w:sz w:val="24"/>
          <w:szCs w:val="24"/>
          <w:lang w:eastAsia="en-GB"/>
        </w:rPr>
        <w:t>Available at: </w:t>
      </w:r>
      <w:hyperlink r:id="rId31" w:tgtFrame="_blank" w:history="1">
        <w:r w:rsidRPr="006D22C8">
          <w:rPr>
            <w:rFonts w:ascii="Arial" w:eastAsia="Times New Roman" w:hAnsi="Arial" w:cs="Arial"/>
            <w:sz w:val="24"/>
            <w:szCs w:val="24"/>
            <w:lang w:eastAsia="en-GB"/>
          </w:rPr>
          <w:t>https://www.legislation.gov.uk/ukpga/1996/18/section/100</w:t>
        </w:r>
      </w:hyperlink>
      <w:r w:rsidRPr="006D22C8">
        <w:rPr>
          <w:rFonts w:ascii="Arial" w:eastAsia="Times New Roman" w:hAnsi="Arial" w:cs="Arial"/>
          <w:sz w:val="24"/>
          <w:szCs w:val="24"/>
          <w:lang w:eastAsia="en-GB"/>
        </w:rPr>
        <w:t> (Accessed: 3 May 2021).  </w:t>
      </w:r>
    </w:p>
    <w:p w14:paraId="48B30239" w14:textId="77777777" w:rsidR="00C74890" w:rsidRDefault="00C74890" w:rsidP="00C74890">
      <w:pPr>
        <w:spacing w:after="0" w:line="360" w:lineRule="auto"/>
        <w:textAlignment w:val="baseline"/>
        <w:rPr>
          <w:rFonts w:ascii="Arial" w:eastAsia="Times New Roman" w:hAnsi="Arial" w:cs="Arial"/>
          <w:i/>
          <w:iCs/>
          <w:sz w:val="24"/>
          <w:szCs w:val="24"/>
          <w:lang w:eastAsia="en-GB"/>
        </w:rPr>
      </w:pPr>
    </w:p>
    <w:p w14:paraId="558F545F" w14:textId="16692584"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s. 80F.</w:t>
      </w:r>
      <w:r w:rsidRPr="006D22C8">
        <w:rPr>
          <w:rFonts w:ascii="Arial" w:eastAsia="Times New Roman" w:hAnsi="Arial" w:cs="Arial"/>
          <w:sz w:val="24"/>
          <w:szCs w:val="24"/>
          <w:lang w:eastAsia="en-GB"/>
        </w:rPr>
        <w:t xml:space="preserve"> Available at: </w:t>
      </w:r>
      <w:hyperlink r:id="rId32" w:history="1">
        <w:r w:rsidRPr="006D22C8">
          <w:rPr>
            <w:rStyle w:val="Hyperlink"/>
            <w:rFonts w:ascii="Arial" w:eastAsia="Times New Roman" w:hAnsi="Arial" w:cs="Arial"/>
            <w:color w:val="auto"/>
            <w:sz w:val="24"/>
            <w:szCs w:val="24"/>
            <w:u w:val="none"/>
            <w:lang w:eastAsia="en-GB"/>
          </w:rPr>
          <w:t>https://www.legislation.gov.uk/ukpga/1996/18/section/80F</w:t>
        </w:r>
      </w:hyperlink>
      <w:r w:rsidRPr="006D22C8">
        <w:rPr>
          <w:rFonts w:ascii="Arial" w:eastAsia="Times New Roman" w:hAnsi="Arial" w:cs="Arial"/>
          <w:sz w:val="24"/>
          <w:szCs w:val="24"/>
          <w:lang w:eastAsia="en-GB"/>
        </w:rPr>
        <w:t xml:space="preserve"> (Accessed: 25 April 2021).  </w:t>
      </w:r>
    </w:p>
    <w:p w14:paraId="03143C75" w14:textId="2528D629" w:rsidR="0084415E" w:rsidRDefault="0084415E" w:rsidP="0084415E">
      <w:pPr>
        <w:spacing w:after="0" w:line="360" w:lineRule="auto"/>
        <w:textAlignment w:val="baseline"/>
        <w:rPr>
          <w:rFonts w:ascii="Arial" w:eastAsia="Times New Roman" w:hAnsi="Arial" w:cs="Arial"/>
          <w:sz w:val="24"/>
          <w:szCs w:val="24"/>
          <w:lang w:eastAsia="en-GB"/>
        </w:rPr>
      </w:pPr>
    </w:p>
    <w:p w14:paraId="3C78B082"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lastRenderedPageBreak/>
        <w:t>Employment Rights Act 1996, s. 98. </w:t>
      </w:r>
      <w:r w:rsidRPr="006D22C8">
        <w:rPr>
          <w:rFonts w:ascii="Arial" w:eastAsia="Times New Roman" w:hAnsi="Arial" w:cs="Arial"/>
          <w:sz w:val="24"/>
          <w:szCs w:val="24"/>
          <w:lang w:eastAsia="en-GB"/>
        </w:rPr>
        <w:t>Available at: </w:t>
      </w:r>
      <w:hyperlink r:id="rId33" w:tgtFrame="_blank" w:history="1">
        <w:r w:rsidRPr="006D22C8">
          <w:rPr>
            <w:rFonts w:ascii="Arial" w:eastAsia="Times New Roman" w:hAnsi="Arial" w:cs="Arial"/>
            <w:sz w:val="24"/>
            <w:szCs w:val="24"/>
            <w:lang w:eastAsia="en-GB"/>
          </w:rPr>
          <w:t>https://www.legislation.gov.uk/ukpga/1996/18/section/98</w:t>
        </w:r>
      </w:hyperlink>
      <w:r w:rsidRPr="006D22C8">
        <w:rPr>
          <w:rFonts w:ascii="Arial" w:eastAsia="Times New Roman" w:hAnsi="Arial" w:cs="Arial"/>
          <w:sz w:val="24"/>
          <w:szCs w:val="24"/>
          <w:lang w:eastAsia="en-GB"/>
        </w:rPr>
        <w:t> (Accessed: 3 May 2021).</w:t>
      </w:r>
    </w:p>
    <w:p w14:paraId="2AACA668" w14:textId="77777777" w:rsidR="00C74890" w:rsidRPr="00C66052" w:rsidRDefault="00C74890" w:rsidP="0084415E">
      <w:pPr>
        <w:spacing w:after="0" w:line="360" w:lineRule="auto"/>
        <w:textAlignment w:val="baseline"/>
        <w:rPr>
          <w:rFonts w:ascii="Arial" w:eastAsia="Times New Roman" w:hAnsi="Arial" w:cs="Arial"/>
          <w:sz w:val="24"/>
          <w:szCs w:val="24"/>
          <w:lang w:eastAsia="en-GB"/>
        </w:rPr>
      </w:pPr>
    </w:p>
    <w:p w14:paraId="3A600E33" w14:textId="40E2E3F5"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s. 103A.</w:t>
      </w:r>
      <w:r w:rsidRPr="006D22C8">
        <w:rPr>
          <w:rFonts w:ascii="Arial" w:eastAsia="Times New Roman" w:hAnsi="Arial" w:cs="Arial"/>
          <w:sz w:val="24"/>
          <w:szCs w:val="24"/>
          <w:lang w:eastAsia="en-GB"/>
        </w:rPr>
        <w:t> Available at: </w:t>
      </w:r>
      <w:hyperlink r:id="rId34" w:tgtFrame="_blank" w:history="1">
        <w:r w:rsidRPr="006D22C8">
          <w:rPr>
            <w:rFonts w:ascii="Arial" w:eastAsia="Times New Roman" w:hAnsi="Arial" w:cs="Arial"/>
            <w:sz w:val="24"/>
            <w:szCs w:val="24"/>
            <w:lang w:eastAsia="en-GB"/>
          </w:rPr>
          <w:t>https://www.legislation.gov.uk/ukpga/1996/18/section/103A</w:t>
        </w:r>
      </w:hyperlink>
      <w:r w:rsidRPr="006D22C8">
        <w:rPr>
          <w:rFonts w:ascii="Arial" w:eastAsia="Times New Roman" w:hAnsi="Arial" w:cs="Arial"/>
          <w:sz w:val="24"/>
          <w:szCs w:val="24"/>
          <w:lang w:eastAsia="en-GB"/>
        </w:rPr>
        <w:t> (Accessed: 3 May 2021).  </w:t>
      </w:r>
    </w:p>
    <w:p w14:paraId="67CD1F3A" w14:textId="77777777" w:rsidR="00C74890" w:rsidRDefault="00C74890" w:rsidP="0084415E">
      <w:pPr>
        <w:spacing w:after="0" w:line="360" w:lineRule="auto"/>
        <w:textAlignment w:val="baseline"/>
        <w:rPr>
          <w:rFonts w:ascii="Arial" w:eastAsia="Times New Roman" w:hAnsi="Arial" w:cs="Arial"/>
          <w:sz w:val="24"/>
          <w:szCs w:val="24"/>
          <w:lang w:eastAsia="en-GB"/>
        </w:rPr>
      </w:pPr>
    </w:p>
    <w:p w14:paraId="0DC500C9" w14:textId="4333EA75"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Employment Rights Act 1996, s. 210. Available at: </w:t>
      </w:r>
      <w:hyperlink r:id="rId35" w:history="1">
        <w:r w:rsidRPr="006D22C8">
          <w:rPr>
            <w:rStyle w:val="Hyperlink"/>
            <w:rFonts w:ascii="Arial" w:eastAsia="Times New Roman" w:hAnsi="Arial" w:cs="Arial"/>
            <w:color w:val="auto"/>
            <w:sz w:val="24"/>
            <w:szCs w:val="24"/>
            <w:u w:val="none"/>
            <w:lang w:eastAsia="en-GB"/>
          </w:rPr>
          <w:t>https://www.legislation.gov.uk/ukpga/1996/18/section/210</w:t>
        </w:r>
      </w:hyperlink>
      <w:r w:rsidRPr="006D22C8">
        <w:rPr>
          <w:rFonts w:ascii="Arial" w:eastAsia="Times New Roman" w:hAnsi="Arial" w:cs="Arial"/>
          <w:sz w:val="24"/>
          <w:szCs w:val="24"/>
          <w:lang w:eastAsia="en-GB"/>
        </w:rPr>
        <w:t xml:space="preserve"> (Accessed: 3 May 2021).</w:t>
      </w:r>
    </w:p>
    <w:p w14:paraId="1578C475"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5158422"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Equality Act 2010, s. 26. </w:t>
      </w:r>
      <w:r w:rsidRPr="006D22C8">
        <w:rPr>
          <w:rFonts w:ascii="Arial" w:eastAsia="Times New Roman" w:hAnsi="Arial" w:cs="Arial"/>
          <w:sz w:val="24"/>
          <w:szCs w:val="24"/>
          <w:lang w:eastAsia="en-GB"/>
        </w:rPr>
        <w:t>Available at: </w:t>
      </w:r>
      <w:hyperlink r:id="rId36" w:tgtFrame="_blank" w:history="1">
        <w:r w:rsidRPr="006D22C8">
          <w:rPr>
            <w:rFonts w:ascii="Arial" w:eastAsia="Times New Roman" w:hAnsi="Arial" w:cs="Arial"/>
            <w:sz w:val="24"/>
            <w:szCs w:val="24"/>
            <w:lang w:eastAsia="en-GB"/>
          </w:rPr>
          <w:t>https://www.legislation.gov.uk/ukpga/2010/15/section/26</w:t>
        </w:r>
      </w:hyperlink>
      <w:r w:rsidRPr="006D22C8">
        <w:rPr>
          <w:rFonts w:ascii="Arial" w:eastAsia="Times New Roman" w:hAnsi="Arial" w:cs="Arial"/>
          <w:sz w:val="24"/>
          <w:szCs w:val="24"/>
          <w:lang w:eastAsia="en-GB"/>
        </w:rPr>
        <w:t> (Accessed: 3 May 2021).  </w:t>
      </w:r>
    </w:p>
    <w:p w14:paraId="357AFF1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A980C8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ESPHR (2017) </w:t>
      </w:r>
      <w:r w:rsidRPr="006D22C8">
        <w:rPr>
          <w:rFonts w:ascii="Arial" w:eastAsia="Times New Roman" w:hAnsi="Arial" w:cs="Arial"/>
          <w:i/>
          <w:iCs/>
          <w:sz w:val="24"/>
          <w:szCs w:val="24"/>
          <w:lang w:eastAsia="en-GB"/>
        </w:rPr>
        <w:t>The test for a fair dismissal – Reasonable investigations [blog]</w:t>
      </w:r>
      <w:r w:rsidRPr="006D22C8">
        <w:rPr>
          <w:rFonts w:ascii="Arial" w:eastAsia="Times New Roman" w:hAnsi="Arial" w:cs="Arial"/>
          <w:sz w:val="24"/>
          <w:szCs w:val="24"/>
          <w:lang w:eastAsia="en-GB"/>
        </w:rPr>
        <w:t>. Available at: </w:t>
      </w:r>
      <w:hyperlink r:id="rId37" w:tgtFrame="_blank" w:history="1">
        <w:r w:rsidRPr="006D22C8">
          <w:rPr>
            <w:rFonts w:ascii="Arial" w:eastAsia="Times New Roman" w:hAnsi="Arial" w:cs="Arial"/>
            <w:sz w:val="24"/>
            <w:szCs w:val="24"/>
            <w:lang w:eastAsia="en-GB"/>
          </w:rPr>
          <w:t>https://esphr.co.uk/news/the-test-for-a-fair-dismissal-reasonable-investigations</w:t>
        </w:r>
      </w:hyperlink>
      <w:r w:rsidRPr="006D22C8">
        <w:rPr>
          <w:rFonts w:ascii="Arial" w:eastAsia="Times New Roman" w:hAnsi="Arial" w:cs="Arial"/>
          <w:sz w:val="24"/>
          <w:szCs w:val="24"/>
          <w:lang w:eastAsia="en-GB"/>
        </w:rPr>
        <w:t> (Accessed: 3 May 2021).  </w:t>
      </w:r>
    </w:p>
    <w:p w14:paraId="4625CA0C"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2C505E0"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Gov (2013) </w:t>
      </w:r>
      <w:r w:rsidRPr="006D22C8">
        <w:rPr>
          <w:rFonts w:ascii="Arial" w:eastAsia="Times New Roman" w:hAnsi="Arial" w:cs="Arial"/>
          <w:i/>
          <w:iCs/>
          <w:sz w:val="24"/>
          <w:szCs w:val="24"/>
          <w:lang w:eastAsia="en-GB"/>
        </w:rPr>
        <w:t>The Public Interest Disclosure Act.</w:t>
      </w:r>
      <w:r w:rsidRPr="006D22C8">
        <w:rPr>
          <w:rFonts w:ascii="Arial" w:eastAsia="Times New Roman" w:hAnsi="Arial" w:cs="Arial"/>
          <w:sz w:val="24"/>
          <w:szCs w:val="24"/>
          <w:lang w:eastAsia="en-GB"/>
        </w:rPr>
        <w:t xml:space="preserve"> Available at: </w:t>
      </w:r>
      <w:hyperlink r:id="rId38" w:tgtFrame="_blank" w:history="1">
        <w:r w:rsidRPr="006D22C8">
          <w:rPr>
            <w:rFonts w:ascii="Arial" w:eastAsia="Times New Roman" w:hAnsi="Arial" w:cs="Arial"/>
            <w:sz w:val="24"/>
            <w:szCs w:val="24"/>
            <w:lang w:eastAsia="en-GB"/>
          </w:rPr>
          <w:t>https://www.gov.uk/government/publications/the-public-interest-disclosure-act/the-public-interest-disclosure-act</w:t>
        </w:r>
      </w:hyperlink>
      <w:r w:rsidRPr="006D22C8">
        <w:rPr>
          <w:rFonts w:ascii="Arial" w:eastAsia="Times New Roman" w:hAnsi="Arial" w:cs="Arial"/>
          <w:sz w:val="24"/>
          <w:szCs w:val="24"/>
          <w:lang w:eastAsia="en-GB"/>
        </w:rPr>
        <w:t> (Accessed: 3 May 2021).  </w:t>
      </w:r>
    </w:p>
    <w:p w14:paraId="4B7F4235"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C1BD14E"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Gov (2019) </w:t>
      </w:r>
      <w:r w:rsidRPr="006D22C8">
        <w:rPr>
          <w:rFonts w:ascii="Arial" w:eastAsia="Times New Roman" w:hAnsi="Arial" w:cs="Arial"/>
          <w:i/>
          <w:iCs/>
          <w:sz w:val="24"/>
          <w:szCs w:val="24"/>
          <w:lang w:eastAsia="en-GB"/>
        </w:rPr>
        <w:t>Base </w:t>
      </w:r>
      <w:proofErr w:type="spellStart"/>
      <w:r w:rsidRPr="006D22C8">
        <w:rPr>
          <w:rFonts w:ascii="Arial" w:eastAsia="Times New Roman" w:hAnsi="Arial" w:cs="Arial"/>
          <w:i/>
          <w:iCs/>
          <w:sz w:val="24"/>
          <w:szCs w:val="24"/>
          <w:lang w:eastAsia="en-GB"/>
        </w:rPr>
        <w:t>Childrenwear</w:t>
      </w:r>
      <w:proofErr w:type="spellEnd"/>
      <w:r w:rsidRPr="006D22C8">
        <w:rPr>
          <w:rFonts w:ascii="Arial" w:eastAsia="Times New Roman" w:hAnsi="Arial" w:cs="Arial"/>
          <w:i/>
          <w:iCs/>
          <w:sz w:val="24"/>
          <w:szCs w:val="24"/>
          <w:lang w:eastAsia="en-GB"/>
        </w:rPr>
        <w:t> Ltd v Miss N </w:t>
      </w:r>
      <w:proofErr w:type="spellStart"/>
      <w:r w:rsidRPr="006D22C8">
        <w:rPr>
          <w:rFonts w:ascii="Arial" w:eastAsia="Times New Roman" w:hAnsi="Arial" w:cs="Arial"/>
          <w:i/>
          <w:iCs/>
          <w:sz w:val="24"/>
          <w:szCs w:val="24"/>
          <w:lang w:eastAsia="en-GB"/>
        </w:rPr>
        <w:t>Lomana</w:t>
      </w:r>
      <w:proofErr w:type="spellEnd"/>
      <w:r w:rsidRPr="006D22C8">
        <w:rPr>
          <w:rFonts w:ascii="Arial" w:eastAsia="Times New Roman" w:hAnsi="Arial" w:cs="Arial"/>
          <w:i/>
          <w:iCs/>
          <w:sz w:val="24"/>
          <w:szCs w:val="24"/>
          <w:lang w:eastAsia="en-GB"/>
        </w:rPr>
        <w:t> </w:t>
      </w:r>
      <w:proofErr w:type="spellStart"/>
      <w:r w:rsidRPr="006D22C8">
        <w:rPr>
          <w:rFonts w:ascii="Arial" w:eastAsia="Times New Roman" w:hAnsi="Arial" w:cs="Arial"/>
          <w:i/>
          <w:iCs/>
          <w:sz w:val="24"/>
          <w:szCs w:val="24"/>
          <w:lang w:eastAsia="en-GB"/>
        </w:rPr>
        <w:t>Otshudi</w:t>
      </w:r>
      <w:proofErr w:type="spellEnd"/>
      <w:r w:rsidRPr="006D22C8">
        <w:rPr>
          <w:rFonts w:ascii="Arial" w:eastAsia="Times New Roman" w:hAnsi="Arial" w:cs="Arial"/>
          <w:i/>
          <w:iCs/>
          <w:sz w:val="24"/>
          <w:szCs w:val="24"/>
          <w:lang w:eastAsia="en-GB"/>
        </w:rPr>
        <w:t>: UKEAT/0267/18/JOJ.</w:t>
      </w:r>
      <w:r w:rsidRPr="006D22C8">
        <w:rPr>
          <w:rFonts w:ascii="Arial" w:eastAsia="Times New Roman" w:hAnsi="Arial" w:cs="Arial"/>
          <w:sz w:val="24"/>
          <w:szCs w:val="24"/>
          <w:lang w:eastAsia="en-GB"/>
        </w:rPr>
        <w:t> Available at: </w:t>
      </w:r>
      <w:hyperlink r:id="rId39" w:tgtFrame="_blank" w:history="1">
        <w:r w:rsidRPr="006D22C8">
          <w:rPr>
            <w:rFonts w:ascii="Arial" w:eastAsia="Times New Roman" w:hAnsi="Arial" w:cs="Arial"/>
            <w:sz w:val="24"/>
            <w:szCs w:val="24"/>
            <w:lang w:eastAsia="en-GB"/>
          </w:rPr>
          <w:t>https://www.gov.uk/employment-appeal-tribunal-decisions/base-childrenwear-ltd-v-miss-n-lomana-otshudi-ukeat-0267-18-joj</w:t>
        </w:r>
      </w:hyperlink>
      <w:r w:rsidRPr="006D22C8">
        <w:rPr>
          <w:rFonts w:ascii="Arial" w:eastAsia="Times New Roman" w:hAnsi="Arial" w:cs="Arial"/>
          <w:sz w:val="24"/>
          <w:szCs w:val="24"/>
          <w:lang w:eastAsia="en-GB"/>
        </w:rPr>
        <w:t> (Accessed: 8 May 2021).  </w:t>
      </w:r>
    </w:p>
    <w:p w14:paraId="0239865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3E270F8"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Gov (2020) </w:t>
      </w:r>
      <w:r w:rsidRPr="006D22C8">
        <w:rPr>
          <w:rFonts w:ascii="Arial" w:eastAsia="Times New Roman" w:hAnsi="Arial" w:cs="Arial"/>
          <w:i/>
          <w:iCs/>
          <w:sz w:val="24"/>
          <w:szCs w:val="24"/>
          <w:lang w:eastAsia="en-GB"/>
        </w:rPr>
        <w:t>Employment Tribunal Claim form</w:t>
      </w:r>
      <w:r w:rsidRPr="006D22C8">
        <w:rPr>
          <w:rFonts w:ascii="Arial" w:eastAsia="Times New Roman" w:hAnsi="Arial" w:cs="Arial"/>
          <w:sz w:val="24"/>
          <w:szCs w:val="24"/>
          <w:lang w:eastAsia="en-GB"/>
        </w:rPr>
        <w:t>. Available at: </w:t>
      </w:r>
      <w:hyperlink r:id="rId40" w:tgtFrame="_blank" w:history="1">
        <w:r w:rsidRPr="006D22C8">
          <w:rPr>
            <w:rFonts w:ascii="Arial" w:eastAsia="Times New Roman" w:hAnsi="Arial" w:cs="Arial"/>
            <w:sz w:val="24"/>
            <w:szCs w:val="24"/>
            <w:lang w:eastAsia="en-GB"/>
          </w:rPr>
          <w:t>https://assets.publishing.service.gov.uk/government/uploads/system/uploads/attachment_data/file/954478/et1-eng.pdf</w:t>
        </w:r>
      </w:hyperlink>
      <w:r w:rsidRPr="006D22C8">
        <w:rPr>
          <w:rFonts w:ascii="Arial" w:eastAsia="Times New Roman" w:hAnsi="Arial" w:cs="Arial"/>
          <w:sz w:val="24"/>
          <w:szCs w:val="24"/>
          <w:lang w:eastAsia="en-GB"/>
        </w:rPr>
        <w:t> (Accessed: 5 May 2021).  </w:t>
      </w:r>
    </w:p>
    <w:p w14:paraId="5114C5F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4FC816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Guinan, G. (2009) </w:t>
      </w:r>
      <w:r w:rsidRPr="006D22C8">
        <w:rPr>
          <w:rFonts w:ascii="Arial" w:eastAsia="Times New Roman" w:hAnsi="Arial" w:cs="Arial"/>
          <w:i/>
          <w:iCs/>
          <w:sz w:val="24"/>
          <w:szCs w:val="24"/>
          <w:lang w:eastAsia="en-GB"/>
        </w:rPr>
        <w:t>Legal Q&amp;A: Return of the Polkey Principle.</w:t>
      </w:r>
      <w:r w:rsidRPr="006D22C8">
        <w:rPr>
          <w:rFonts w:ascii="Arial" w:eastAsia="Times New Roman" w:hAnsi="Arial" w:cs="Arial"/>
          <w:sz w:val="24"/>
          <w:szCs w:val="24"/>
          <w:lang w:eastAsia="en-GB"/>
        </w:rPr>
        <w:t> Available at: </w:t>
      </w:r>
      <w:hyperlink r:id="rId41" w:tgtFrame="_blank" w:history="1">
        <w:r w:rsidRPr="006D22C8">
          <w:rPr>
            <w:rFonts w:ascii="Arial" w:eastAsia="Times New Roman" w:hAnsi="Arial" w:cs="Arial"/>
            <w:sz w:val="24"/>
            <w:szCs w:val="24"/>
            <w:lang w:eastAsia="en-GB"/>
          </w:rPr>
          <w:t>https://www.personneltoday.com/hr/legal-qa-return-of-the-polkey-principle/</w:t>
        </w:r>
      </w:hyperlink>
      <w:r w:rsidRPr="006D22C8">
        <w:rPr>
          <w:rFonts w:ascii="Arial" w:eastAsia="Times New Roman" w:hAnsi="Arial" w:cs="Arial"/>
          <w:sz w:val="24"/>
          <w:szCs w:val="24"/>
          <w:lang w:eastAsia="en-GB"/>
        </w:rPr>
        <w:t> (Accessed: 8 May 2021).  </w:t>
      </w:r>
    </w:p>
    <w:p w14:paraId="05FD4E59"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1B35E7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Health and Safety at Work Act 1974, c. 2.</w:t>
      </w:r>
      <w:r w:rsidRPr="006D22C8">
        <w:rPr>
          <w:rFonts w:ascii="Arial" w:eastAsia="Times New Roman" w:hAnsi="Arial" w:cs="Arial"/>
          <w:sz w:val="24"/>
          <w:szCs w:val="24"/>
          <w:lang w:eastAsia="en-GB"/>
        </w:rPr>
        <w:t xml:space="preserve"> Available at: </w:t>
      </w:r>
      <w:hyperlink r:id="rId42" w:tgtFrame="_blank" w:history="1">
        <w:r w:rsidRPr="006D22C8">
          <w:rPr>
            <w:rFonts w:ascii="Arial" w:eastAsia="Times New Roman" w:hAnsi="Arial" w:cs="Arial"/>
            <w:sz w:val="24"/>
            <w:szCs w:val="24"/>
            <w:lang w:eastAsia="en-GB"/>
          </w:rPr>
          <w:t>https://www.legislation.gov.uk/ukpga/1974/37/section/2</w:t>
        </w:r>
      </w:hyperlink>
      <w:r w:rsidRPr="006D22C8">
        <w:rPr>
          <w:rFonts w:ascii="Arial" w:eastAsia="Times New Roman" w:hAnsi="Arial" w:cs="Arial"/>
          <w:sz w:val="24"/>
          <w:szCs w:val="24"/>
          <w:lang w:eastAsia="en-GB"/>
        </w:rPr>
        <w:t> (Accessed: 1 May 2021).  </w:t>
      </w:r>
    </w:p>
    <w:p w14:paraId="393B9C33"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EE4275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Health and Safety Executive (2014) </w:t>
      </w:r>
      <w:r w:rsidRPr="006D22C8">
        <w:rPr>
          <w:rFonts w:ascii="Arial" w:eastAsia="Times New Roman" w:hAnsi="Arial" w:cs="Arial"/>
          <w:i/>
          <w:iCs/>
          <w:sz w:val="24"/>
          <w:szCs w:val="24"/>
          <w:lang w:eastAsia="en-GB"/>
        </w:rPr>
        <w:t>Whistleblowing and whistle-blowers. </w:t>
      </w:r>
      <w:r w:rsidRPr="006D22C8">
        <w:rPr>
          <w:rFonts w:ascii="Arial" w:eastAsia="Times New Roman" w:hAnsi="Arial" w:cs="Arial"/>
          <w:sz w:val="24"/>
          <w:szCs w:val="24"/>
          <w:lang w:eastAsia="en-GB"/>
        </w:rPr>
        <w:t>Available at: </w:t>
      </w:r>
      <w:hyperlink r:id="rId43" w:tgtFrame="_blank" w:history="1">
        <w:r w:rsidRPr="006D22C8">
          <w:rPr>
            <w:rFonts w:ascii="Arial" w:eastAsia="Times New Roman" w:hAnsi="Arial" w:cs="Arial"/>
            <w:sz w:val="24"/>
            <w:szCs w:val="24"/>
            <w:lang w:eastAsia="en-GB"/>
          </w:rPr>
          <w:t>https://www.hse.gov.uk/foi/internalops/og/og-00033.htm</w:t>
        </w:r>
      </w:hyperlink>
      <w:r w:rsidRPr="006D22C8">
        <w:rPr>
          <w:rFonts w:ascii="Arial" w:eastAsia="Times New Roman" w:hAnsi="Arial" w:cs="Arial"/>
          <w:sz w:val="24"/>
          <w:szCs w:val="24"/>
          <w:lang w:eastAsia="en-GB"/>
        </w:rPr>
        <w:t> (Accessed: 3 May 2021).  </w:t>
      </w:r>
    </w:p>
    <w:p w14:paraId="51C72EF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162AB0D"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Hewitsons</w:t>
      </w:r>
      <w:proofErr w:type="spellEnd"/>
      <w:r w:rsidRPr="006D22C8">
        <w:rPr>
          <w:rFonts w:ascii="Arial" w:eastAsia="Times New Roman" w:hAnsi="Arial" w:cs="Arial"/>
          <w:sz w:val="24"/>
          <w:szCs w:val="24"/>
          <w:lang w:eastAsia="en-GB"/>
        </w:rPr>
        <w:t xml:space="preserve"> (2021) </w:t>
      </w:r>
      <w:r w:rsidRPr="006D22C8">
        <w:rPr>
          <w:rFonts w:ascii="Arial" w:eastAsia="Times New Roman" w:hAnsi="Arial" w:cs="Arial"/>
          <w:i/>
          <w:iCs/>
          <w:sz w:val="24"/>
          <w:szCs w:val="24"/>
          <w:lang w:eastAsia="en-GB"/>
        </w:rPr>
        <w:t xml:space="preserve">Annual increase to employment compensation limits. </w:t>
      </w:r>
      <w:r w:rsidRPr="006D22C8">
        <w:rPr>
          <w:rFonts w:ascii="Arial" w:eastAsia="Times New Roman" w:hAnsi="Arial" w:cs="Arial"/>
          <w:sz w:val="24"/>
          <w:szCs w:val="24"/>
          <w:lang w:eastAsia="en-GB"/>
        </w:rPr>
        <w:t>Available at: </w:t>
      </w:r>
      <w:hyperlink r:id="rId44" w:anchor=":~:text=With%20effect%20from%206%20April%202021%20there%20will,months%E2%80%99%20salary%20or%20%C2%A389%2C493%20%28up%20from%20%C2%A388%2C519%29%3B%20and" w:tgtFrame="_blank" w:history="1">
        <w:r w:rsidRPr="006D22C8">
          <w:rPr>
            <w:rFonts w:ascii="Arial" w:eastAsia="Times New Roman" w:hAnsi="Arial" w:cs="Arial"/>
            <w:sz w:val="24"/>
            <w:szCs w:val="24"/>
            <w:lang w:eastAsia="en-GB"/>
          </w:rPr>
          <w:t>https://www.hewitsons.com/latest/news/annual-increase-to-employment-compensation-limits</w:t>
        </w:r>
      </w:hyperlink>
      <w:r w:rsidRPr="006D22C8">
        <w:rPr>
          <w:rFonts w:ascii="Arial" w:eastAsia="Times New Roman" w:hAnsi="Arial" w:cs="Arial"/>
          <w:sz w:val="24"/>
          <w:szCs w:val="24"/>
          <w:lang w:eastAsia="en-GB"/>
        </w:rPr>
        <w:t> (Accessed: 5 May 2021).  </w:t>
      </w:r>
    </w:p>
    <w:p w14:paraId="2148F75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74510A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HM Courts and Tribunal Service (2021) </w:t>
      </w:r>
      <w:r w:rsidRPr="006D22C8">
        <w:rPr>
          <w:rFonts w:ascii="Arial" w:eastAsia="Times New Roman" w:hAnsi="Arial" w:cs="Arial"/>
          <w:i/>
          <w:iCs/>
          <w:sz w:val="24"/>
          <w:szCs w:val="24"/>
          <w:lang w:eastAsia="en-GB"/>
        </w:rPr>
        <w:t>Responding to a claim to an Employment Tribunal.</w:t>
      </w:r>
      <w:r w:rsidRPr="006D22C8">
        <w:rPr>
          <w:rFonts w:ascii="Arial" w:eastAsia="Times New Roman" w:hAnsi="Arial" w:cs="Arial"/>
          <w:sz w:val="24"/>
          <w:szCs w:val="24"/>
          <w:lang w:eastAsia="en-GB"/>
        </w:rPr>
        <w:t> Available at: </w:t>
      </w:r>
      <w:hyperlink r:id="rId45" w:tgtFrame="_blank" w:history="1">
        <w:r w:rsidRPr="006D22C8">
          <w:rPr>
            <w:rFonts w:ascii="Arial" w:eastAsia="Times New Roman" w:hAnsi="Arial" w:cs="Arial"/>
            <w:sz w:val="24"/>
            <w:szCs w:val="24"/>
            <w:lang w:eastAsia="en-GB"/>
          </w:rPr>
          <w:t>https://assets.publishing.service.gov.uk/government/uploads/system/uploads/attachment_data/file/950243/t422-eng.pdf</w:t>
        </w:r>
      </w:hyperlink>
      <w:r w:rsidRPr="006D22C8">
        <w:rPr>
          <w:rFonts w:ascii="Arial" w:eastAsia="Times New Roman" w:hAnsi="Arial" w:cs="Arial"/>
          <w:sz w:val="24"/>
          <w:szCs w:val="24"/>
          <w:lang w:eastAsia="en-GB"/>
        </w:rPr>
        <w:t> (Accessed: 3 May 2021).  </w:t>
      </w:r>
    </w:p>
    <w:p w14:paraId="7F9DC1C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21F853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Hurst, M. (2018) </w:t>
      </w:r>
      <w:proofErr w:type="spellStart"/>
      <w:r w:rsidRPr="006D22C8">
        <w:rPr>
          <w:rFonts w:ascii="Arial" w:eastAsia="Times New Roman" w:hAnsi="Arial" w:cs="Arial"/>
          <w:i/>
          <w:iCs/>
          <w:sz w:val="24"/>
          <w:szCs w:val="24"/>
          <w:lang w:eastAsia="en-GB"/>
        </w:rPr>
        <w:t>Kilraine</w:t>
      </w:r>
      <w:proofErr w:type="spellEnd"/>
      <w:r w:rsidRPr="006D22C8">
        <w:rPr>
          <w:rFonts w:ascii="Arial" w:eastAsia="Times New Roman" w:hAnsi="Arial" w:cs="Arial"/>
          <w:i/>
          <w:iCs/>
          <w:sz w:val="24"/>
          <w:szCs w:val="24"/>
          <w:lang w:eastAsia="en-GB"/>
        </w:rPr>
        <w:t> V London Borough Of Wandsworth [blog] </w:t>
      </w:r>
      <w:r w:rsidRPr="006D22C8">
        <w:rPr>
          <w:rFonts w:ascii="Arial" w:eastAsia="Times New Roman" w:hAnsi="Arial" w:cs="Arial"/>
          <w:sz w:val="24"/>
          <w:szCs w:val="24"/>
          <w:lang w:eastAsia="en-GB"/>
        </w:rPr>
        <w:t>Available at: </w:t>
      </w:r>
      <w:hyperlink r:id="rId46" w:tgtFrame="_blank" w:history="1">
        <w:r w:rsidRPr="006D22C8">
          <w:rPr>
            <w:rFonts w:ascii="Arial" w:eastAsia="Times New Roman" w:hAnsi="Arial" w:cs="Arial"/>
            <w:sz w:val="24"/>
            <w:szCs w:val="24"/>
            <w:lang w:eastAsia="en-GB"/>
          </w:rPr>
          <w:t>https://www.thomasmansfield.com/kilraine-v-london-borough-of-wandsworth/</w:t>
        </w:r>
      </w:hyperlink>
      <w:r w:rsidRPr="006D22C8">
        <w:rPr>
          <w:rFonts w:ascii="Arial" w:eastAsia="Times New Roman" w:hAnsi="Arial" w:cs="Arial"/>
          <w:sz w:val="24"/>
          <w:szCs w:val="24"/>
          <w:lang w:eastAsia="en-GB"/>
        </w:rPr>
        <w:t> (Accessed 3 May 2021). </w:t>
      </w:r>
    </w:p>
    <w:p w14:paraId="37274B73"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9864D58" w14:textId="1FF35CA1"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ICO (2020) </w:t>
      </w:r>
      <w:r w:rsidRPr="006D22C8">
        <w:rPr>
          <w:rFonts w:ascii="Arial" w:eastAsia="Times New Roman" w:hAnsi="Arial" w:cs="Arial"/>
          <w:i/>
          <w:iCs/>
          <w:sz w:val="24"/>
          <w:szCs w:val="24"/>
          <w:lang w:eastAsia="en-GB"/>
        </w:rPr>
        <w:t>Retention and Disposal Schedule</w:t>
      </w:r>
      <w:r w:rsidRPr="006D22C8">
        <w:rPr>
          <w:rFonts w:ascii="Arial" w:eastAsia="Times New Roman" w:hAnsi="Arial" w:cs="Arial"/>
          <w:sz w:val="24"/>
          <w:szCs w:val="24"/>
          <w:lang w:eastAsia="en-GB"/>
        </w:rPr>
        <w:t>. Available at: </w:t>
      </w:r>
      <w:hyperlink r:id="rId47" w:tgtFrame="_blank" w:history="1">
        <w:r w:rsidRPr="006D22C8">
          <w:rPr>
            <w:rFonts w:ascii="Arial" w:eastAsia="Times New Roman" w:hAnsi="Arial" w:cs="Arial"/>
            <w:sz w:val="24"/>
            <w:szCs w:val="24"/>
            <w:lang w:eastAsia="en-GB"/>
          </w:rPr>
          <w:t>https://ico.org.uk/media/about-the-ico/policies-and-procedures/2618169/retention-schedule-v5_3.pdf</w:t>
        </w:r>
      </w:hyperlink>
      <w:r w:rsidRPr="006D22C8">
        <w:rPr>
          <w:rFonts w:ascii="Arial" w:eastAsia="Times New Roman" w:hAnsi="Arial" w:cs="Arial"/>
          <w:sz w:val="24"/>
          <w:szCs w:val="24"/>
          <w:lang w:eastAsia="en-GB"/>
        </w:rPr>
        <w:t> (Accessed: 1 May 2021). </w:t>
      </w:r>
    </w:p>
    <w:p w14:paraId="03184941" w14:textId="77777777" w:rsidR="00C74890" w:rsidRDefault="00C74890" w:rsidP="00C74890">
      <w:pPr>
        <w:rPr>
          <w:rFonts w:ascii="Arial" w:eastAsia="Times New Roman" w:hAnsi="Arial" w:cs="Arial"/>
          <w:sz w:val="24"/>
          <w:szCs w:val="24"/>
          <w:lang w:eastAsia="en-GB"/>
        </w:rPr>
      </w:pPr>
    </w:p>
    <w:p w14:paraId="6A2E9248" w14:textId="3E31445C" w:rsidR="00C74890" w:rsidRPr="006D22C8" w:rsidRDefault="00C74890" w:rsidP="006D22C8">
      <w:pPr>
        <w:pStyle w:val="ListParagraph"/>
        <w:numPr>
          <w:ilvl w:val="0"/>
          <w:numId w:val="36"/>
        </w:numPr>
        <w:rPr>
          <w:rFonts w:ascii="Arial" w:eastAsia="Times New Roman" w:hAnsi="Arial" w:cs="Arial"/>
          <w:sz w:val="24"/>
          <w:szCs w:val="24"/>
          <w:lang w:eastAsia="en-GB"/>
        </w:rPr>
      </w:pPr>
      <w:r w:rsidRPr="006D22C8">
        <w:rPr>
          <w:rFonts w:ascii="Arial" w:eastAsia="Times New Roman" w:hAnsi="Arial" w:cs="Arial"/>
          <w:sz w:val="24"/>
          <w:szCs w:val="24"/>
          <w:lang w:eastAsia="en-GB"/>
        </w:rPr>
        <w:t>ICO (2021) </w:t>
      </w:r>
      <w:r w:rsidRPr="006D22C8">
        <w:rPr>
          <w:rFonts w:ascii="Arial" w:eastAsia="Times New Roman" w:hAnsi="Arial" w:cs="Arial"/>
          <w:i/>
          <w:iCs/>
          <w:sz w:val="24"/>
          <w:szCs w:val="24"/>
          <w:lang w:eastAsia="en-GB"/>
        </w:rPr>
        <w:t>Guide to the General Data Protection Regulation (GDPR)</w:t>
      </w:r>
      <w:r w:rsidRPr="006D22C8">
        <w:rPr>
          <w:rFonts w:ascii="Arial" w:eastAsia="Times New Roman" w:hAnsi="Arial" w:cs="Arial"/>
          <w:sz w:val="24"/>
          <w:szCs w:val="24"/>
          <w:lang w:eastAsia="en-GB"/>
        </w:rPr>
        <w:t>. Available at: </w:t>
      </w:r>
      <w:hyperlink r:id="rId48" w:tgtFrame="_blank" w:history="1">
        <w:r w:rsidRPr="006D22C8">
          <w:rPr>
            <w:rFonts w:ascii="Arial" w:eastAsia="Times New Roman" w:hAnsi="Arial" w:cs="Arial"/>
            <w:sz w:val="24"/>
            <w:szCs w:val="24"/>
            <w:lang w:eastAsia="en-GB"/>
          </w:rPr>
          <w:t>https://ico.org.uk/media/for-organisations/guide-to-data-protection/guide-to-the-general-data-protection-regulation-gdpr-1-1.pdf</w:t>
        </w:r>
      </w:hyperlink>
      <w:r w:rsidRPr="006D22C8">
        <w:rPr>
          <w:rFonts w:ascii="Arial" w:eastAsia="Times New Roman" w:hAnsi="Arial" w:cs="Arial"/>
          <w:sz w:val="24"/>
          <w:szCs w:val="24"/>
          <w:lang w:eastAsia="en-GB"/>
        </w:rPr>
        <w:t> (Accessed: 1 May 2021).  </w:t>
      </w:r>
    </w:p>
    <w:p w14:paraId="5C7BC40E" w14:textId="131D31B8" w:rsidR="00261CC7" w:rsidRDefault="00261CC7" w:rsidP="0084415E">
      <w:pPr>
        <w:spacing w:after="0" w:line="360" w:lineRule="auto"/>
        <w:textAlignment w:val="baseline"/>
        <w:rPr>
          <w:rFonts w:ascii="Arial" w:eastAsia="Times New Roman" w:hAnsi="Arial" w:cs="Arial"/>
          <w:sz w:val="24"/>
          <w:szCs w:val="24"/>
          <w:lang w:eastAsia="en-GB"/>
        </w:rPr>
      </w:pPr>
    </w:p>
    <w:p w14:paraId="62091125" w14:textId="210912DC" w:rsidR="00261CC7"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 xml:space="preserve">Kanani, A. (2015) </w:t>
      </w:r>
      <w:r w:rsidRPr="006D22C8">
        <w:rPr>
          <w:rFonts w:ascii="Arial" w:eastAsia="Times New Roman" w:hAnsi="Arial" w:cs="Arial"/>
          <w:i/>
          <w:iCs/>
          <w:sz w:val="24"/>
          <w:szCs w:val="24"/>
          <w:lang w:eastAsia="en-GB"/>
        </w:rPr>
        <w:t>Difficult issues arising during notice periods.</w:t>
      </w:r>
      <w:r w:rsidRPr="006D22C8">
        <w:rPr>
          <w:rFonts w:ascii="Arial" w:eastAsia="Times New Roman" w:hAnsi="Arial" w:cs="Arial"/>
          <w:sz w:val="24"/>
          <w:szCs w:val="24"/>
          <w:lang w:eastAsia="en-GB"/>
        </w:rPr>
        <w:t xml:space="preserve"> Available at: https://resources.xperthr.co.uk/podcasts/XpertHR_Weekly_Podcast_31_July_2015.pdf (Accessed: 4 May 2021).  </w:t>
      </w:r>
    </w:p>
    <w:p w14:paraId="0E3ACEE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11FC4CB"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Lewis, D and Sargeant, M. (2020) </w:t>
      </w:r>
      <w:r w:rsidRPr="006D22C8">
        <w:rPr>
          <w:rFonts w:ascii="Arial" w:eastAsia="Times New Roman" w:hAnsi="Arial" w:cs="Arial"/>
          <w:i/>
          <w:iCs/>
          <w:sz w:val="24"/>
          <w:szCs w:val="24"/>
          <w:lang w:eastAsia="en-GB"/>
        </w:rPr>
        <w:t>Employment Law, The Essentials</w:t>
      </w:r>
      <w:r w:rsidRPr="006D22C8">
        <w:rPr>
          <w:rFonts w:ascii="Arial" w:eastAsia="Times New Roman" w:hAnsi="Arial" w:cs="Arial"/>
          <w:sz w:val="24"/>
          <w:szCs w:val="24"/>
          <w:lang w:eastAsia="en-GB"/>
        </w:rPr>
        <w:t>. London: CIPD. </w:t>
      </w:r>
    </w:p>
    <w:p w14:paraId="18EB2DEE" w14:textId="77777777" w:rsidR="00C74890" w:rsidRDefault="00C74890" w:rsidP="0084415E">
      <w:pPr>
        <w:spacing w:after="0" w:line="360" w:lineRule="auto"/>
        <w:textAlignment w:val="baseline"/>
        <w:rPr>
          <w:rFonts w:ascii="Arial" w:eastAsia="Times New Roman" w:hAnsi="Arial" w:cs="Arial"/>
          <w:sz w:val="24"/>
          <w:szCs w:val="24"/>
          <w:lang w:eastAsia="en-GB"/>
        </w:rPr>
      </w:pPr>
    </w:p>
    <w:p w14:paraId="708BB40F" w14:textId="55BEEF32"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McCulloch, A. (2020) </w:t>
      </w:r>
      <w:r w:rsidRPr="006D22C8">
        <w:rPr>
          <w:rFonts w:ascii="Arial" w:eastAsia="Times New Roman" w:hAnsi="Arial" w:cs="Arial"/>
          <w:i/>
          <w:iCs/>
          <w:sz w:val="24"/>
          <w:szCs w:val="24"/>
          <w:lang w:eastAsia="en-GB"/>
        </w:rPr>
        <w:t>Average wait time for tribunal stands at nine months, claim lawyers.</w:t>
      </w:r>
      <w:r w:rsidRPr="006D22C8">
        <w:rPr>
          <w:rFonts w:ascii="Arial" w:eastAsia="Times New Roman" w:hAnsi="Arial" w:cs="Arial"/>
          <w:sz w:val="24"/>
          <w:szCs w:val="24"/>
          <w:lang w:eastAsia="en-GB"/>
        </w:rPr>
        <w:t> Available at: </w:t>
      </w:r>
      <w:hyperlink r:id="rId49" w:tgtFrame="_blank" w:history="1">
        <w:r w:rsidRPr="006D22C8">
          <w:rPr>
            <w:rFonts w:ascii="Arial" w:eastAsia="Times New Roman" w:hAnsi="Arial" w:cs="Arial"/>
            <w:sz w:val="24"/>
            <w:szCs w:val="24"/>
            <w:lang w:eastAsia="en-GB"/>
          </w:rPr>
          <w:t>https://www.personneltoday.com/hr/employment-tribunal-claimants-face-nine-month-wait-for-hearing/</w:t>
        </w:r>
      </w:hyperlink>
      <w:r w:rsidRPr="006D22C8">
        <w:rPr>
          <w:rFonts w:ascii="Arial" w:eastAsia="Times New Roman" w:hAnsi="Arial" w:cs="Arial"/>
          <w:sz w:val="24"/>
          <w:szCs w:val="24"/>
          <w:lang w:eastAsia="en-GB"/>
        </w:rPr>
        <w:t> (Accessed: 5 May 2021).  </w:t>
      </w:r>
    </w:p>
    <w:p w14:paraId="3A87A932"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172C5D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Nairns</w:t>
      </w:r>
      <w:proofErr w:type="spellEnd"/>
      <w:r w:rsidRPr="006D22C8">
        <w:rPr>
          <w:rFonts w:ascii="Arial" w:eastAsia="Times New Roman" w:hAnsi="Arial" w:cs="Arial"/>
          <w:sz w:val="24"/>
          <w:szCs w:val="24"/>
          <w:lang w:eastAsia="en-GB"/>
        </w:rPr>
        <w:t xml:space="preserve">, J. (2011) </w:t>
      </w:r>
      <w:r w:rsidRPr="006D22C8">
        <w:rPr>
          <w:rFonts w:ascii="Arial" w:eastAsia="Times New Roman" w:hAnsi="Arial" w:cs="Arial"/>
          <w:i/>
          <w:iCs/>
          <w:sz w:val="24"/>
          <w:szCs w:val="24"/>
          <w:lang w:eastAsia="en-GB"/>
        </w:rPr>
        <w:t>Employment Law for business students</w:t>
      </w:r>
      <w:r w:rsidRPr="006D22C8">
        <w:rPr>
          <w:rFonts w:ascii="Arial" w:eastAsia="Times New Roman" w:hAnsi="Arial" w:cs="Arial"/>
          <w:sz w:val="24"/>
          <w:szCs w:val="24"/>
          <w:lang w:eastAsia="en-GB"/>
        </w:rPr>
        <w:t xml:space="preserve">. England: Pearson. </w:t>
      </w:r>
    </w:p>
    <w:p w14:paraId="2B1CD1C7"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BA87EC3"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Newtown Solicitors (no date) </w:t>
      </w:r>
      <w:r w:rsidRPr="006D22C8">
        <w:rPr>
          <w:rFonts w:ascii="Arial" w:eastAsia="Times New Roman" w:hAnsi="Arial" w:cs="Arial"/>
          <w:i/>
          <w:iCs/>
          <w:sz w:val="24"/>
          <w:szCs w:val="24"/>
          <w:lang w:eastAsia="en-GB"/>
        </w:rPr>
        <w:t>Employment Tribunal Costs for Employer.</w:t>
      </w:r>
      <w:r w:rsidRPr="006D22C8">
        <w:rPr>
          <w:rFonts w:ascii="Arial" w:eastAsia="Times New Roman" w:hAnsi="Arial" w:cs="Arial"/>
          <w:sz w:val="24"/>
          <w:szCs w:val="24"/>
          <w:lang w:eastAsia="en-GB"/>
        </w:rPr>
        <w:t> Available at: </w:t>
      </w:r>
      <w:hyperlink r:id="rId50" w:tgtFrame="_blank" w:history="1">
        <w:r w:rsidRPr="006D22C8">
          <w:rPr>
            <w:rFonts w:ascii="Arial" w:eastAsia="Times New Roman" w:hAnsi="Arial" w:cs="Arial"/>
            <w:sz w:val="24"/>
            <w:szCs w:val="24"/>
            <w:lang w:eastAsia="en-GB"/>
          </w:rPr>
          <w:t>https://www.newtons.co.uk/business-legal-services/employment-law-for-business/employment-tribunal-costs-for-employer/</w:t>
        </w:r>
      </w:hyperlink>
      <w:r w:rsidRPr="006D22C8">
        <w:rPr>
          <w:rFonts w:ascii="Arial" w:eastAsia="Times New Roman" w:hAnsi="Arial" w:cs="Arial"/>
          <w:sz w:val="24"/>
          <w:szCs w:val="24"/>
          <w:lang w:eastAsia="en-GB"/>
        </w:rPr>
        <w:t> (Accessed: 8 May 2021).  </w:t>
      </w:r>
    </w:p>
    <w:p w14:paraId="5A13B80C"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1888534"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Pure Employment Law (2012) </w:t>
      </w:r>
      <w:r w:rsidRPr="006D22C8">
        <w:rPr>
          <w:rFonts w:ascii="Arial" w:eastAsia="Times New Roman" w:hAnsi="Arial" w:cs="Arial"/>
          <w:i/>
          <w:iCs/>
          <w:sz w:val="24"/>
          <w:szCs w:val="24"/>
          <w:lang w:eastAsia="en-GB"/>
        </w:rPr>
        <w:t>Tribunal remedies – reinstatement and re-engagement.</w:t>
      </w:r>
      <w:r w:rsidRPr="006D22C8">
        <w:rPr>
          <w:rFonts w:ascii="Arial" w:eastAsia="Times New Roman" w:hAnsi="Arial" w:cs="Arial"/>
          <w:sz w:val="24"/>
          <w:szCs w:val="24"/>
          <w:lang w:eastAsia="en-GB"/>
        </w:rPr>
        <w:t> Available at: </w:t>
      </w:r>
      <w:hyperlink r:id="rId51" w:tgtFrame="_blank" w:history="1">
        <w:r w:rsidRPr="006D22C8">
          <w:rPr>
            <w:rFonts w:ascii="Arial" w:eastAsia="Times New Roman" w:hAnsi="Arial" w:cs="Arial"/>
            <w:sz w:val="24"/>
            <w:szCs w:val="24"/>
            <w:lang w:eastAsia="en-GB"/>
          </w:rPr>
          <w:t>https://www.pureemploymentlaw.co.uk/tribunal-remedies-reinstatement-and-re-engagement/</w:t>
        </w:r>
      </w:hyperlink>
      <w:r w:rsidRPr="006D22C8">
        <w:rPr>
          <w:rFonts w:ascii="Arial" w:eastAsia="Times New Roman" w:hAnsi="Arial" w:cs="Arial"/>
          <w:sz w:val="24"/>
          <w:szCs w:val="24"/>
          <w:lang w:eastAsia="en-GB"/>
        </w:rPr>
        <w:t> (Accessed: 5 May 2021).  </w:t>
      </w:r>
    </w:p>
    <w:p w14:paraId="2D6B0025"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CF166A0"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Pure Employment Law (2013) </w:t>
      </w:r>
      <w:r w:rsidRPr="006D22C8">
        <w:rPr>
          <w:rFonts w:ascii="Arial" w:eastAsia="Times New Roman" w:hAnsi="Arial" w:cs="Arial"/>
          <w:i/>
          <w:iCs/>
          <w:sz w:val="24"/>
          <w:szCs w:val="24"/>
          <w:lang w:eastAsia="en-GB"/>
        </w:rPr>
        <w:t>A very useful contribution – all about contributory fault.</w:t>
      </w:r>
      <w:r w:rsidRPr="006D22C8">
        <w:rPr>
          <w:rFonts w:ascii="Arial" w:eastAsia="Times New Roman" w:hAnsi="Arial" w:cs="Arial"/>
          <w:sz w:val="24"/>
          <w:szCs w:val="24"/>
          <w:lang w:eastAsia="en-GB"/>
        </w:rPr>
        <w:t xml:space="preserve"> </w:t>
      </w:r>
      <w:proofErr w:type="spellStart"/>
      <w:r w:rsidRPr="006D22C8">
        <w:rPr>
          <w:rFonts w:ascii="Arial" w:eastAsia="Times New Roman" w:hAnsi="Arial" w:cs="Arial"/>
          <w:sz w:val="24"/>
          <w:szCs w:val="24"/>
          <w:lang w:val="fr-FR" w:eastAsia="en-GB"/>
        </w:rPr>
        <w:t>Available</w:t>
      </w:r>
      <w:proofErr w:type="spellEnd"/>
      <w:r w:rsidRPr="006D22C8">
        <w:rPr>
          <w:rFonts w:ascii="Arial" w:eastAsia="Times New Roman" w:hAnsi="Arial" w:cs="Arial"/>
          <w:sz w:val="24"/>
          <w:szCs w:val="24"/>
          <w:lang w:val="fr-FR" w:eastAsia="en-GB"/>
        </w:rPr>
        <w:t xml:space="preserve"> at: </w:t>
      </w:r>
      <w:hyperlink r:id="rId52" w:anchor=":~:text=Contributory%20fault%20%28otherwise%20known%20as%20contributory%20conduct%29%20is,of%20which%20is%20for%20the%20Tribunal%20to%20decide" w:tgtFrame="_blank" w:history="1">
        <w:r w:rsidRPr="006D22C8">
          <w:rPr>
            <w:rFonts w:ascii="Arial" w:eastAsia="Times New Roman" w:hAnsi="Arial" w:cs="Arial"/>
            <w:sz w:val="24"/>
            <w:szCs w:val="24"/>
            <w:lang w:val="fr-FR" w:eastAsia="en-GB"/>
          </w:rPr>
          <w:t>https://www.pureemploymentlaw.co.uk/a-very-useful-contribution-all-about-contributory-fault</w:t>
        </w:r>
      </w:hyperlink>
      <w:r w:rsidRPr="006D22C8">
        <w:rPr>
          <w:rFonts w:ascii="Arial" w:eastAsia="Times New Roman" w:hAnsi="Arial" w:cs="Arial"/>
          <w:sz w:val="24"/>
          <w:szCs w:val="24"/>
          <w:lang w:val="fr-FR" w:eastAsia="en-GB"/>
        </w:rPr>
        <w:t xml:space="preserve">. </w:t>
      </w:r>
      <w:r w:rsidRPr="006D22C8">
        <w:rPr>
          <w:rFonts w:ascii="Arial" w:eastAsia="Times New Roman" w:hAnsi="Arial" w:cs="Arial"/>
          <w:sz w:val="24"/>
          <w:szCs w:val="24"/>
          <w:lang w:eastAsia="en-GB"/>
        </w:rPr>
        <w:t>(Accessed: 8 May 2021).  </w:t>
      </w:r>
    </w:p>
    <w:p w14:paraId="53FB0A80"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0CEAC6F" w14:textId="4B0CF834" w:rsidR="0084415E"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w:t>
      </w:r>
      <w:proofErr w:type="spellStart"/>
      <w:r w:rsidR="0084415E" w:rsidRPr="006D22C8">
        <w:rPr>
          <w:rFonts w:ascii="Arial" w:eastAsia="Times New Roman" w:hAnsi="Arial" w:cs="Arial"/>
          <w:i/>
          <w:iCs/>
          <w:sz w:val="24"/>
          <w:szCs w:val="24"/>
          <w:lang w:eastAsia="en-GB"/>
        </w:rPr>
        <w:t>Rembiszewski</w:t>
      </w:r>
      <w:proofErr w:type="spellEnd"/>
      <w:r w:rsidR="0084415E" w:rsidRPr="006D22C8">
        <w:rPr>
          <w:rFonts w:ascii="Arial" w:eastAsia="Times New Roman" w:hAnsi="Arial" w:cs="Arial"/>
          <w:i/>
          <w:iCs/>
          <w:sz w:val="24"/>
          <w:szCs w:val="24"/>
          <w:lang w:eastAsia="en-GB"/>
        </w:rPr>
        <w:t> v Atkins Ltd</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 xml:space="preserve"> (2012).</w:t>
      </w:r>
      <w:r w:rsidRPr="00C74890">
        <w:t xml:space="preserve"> </w:t>
      </w:r>
      <w:r w:rsidRPr="006D22C8">
        <w:rPr>
          <w:rFonts w:ascii="Arial" w:eastAsia="Times New Roman" w:hAnsi="Arial" w:cs="Arial"/>
          <w:i/>
          <w:iCs/>
          <w:sz w:val="24"/>
          <w:szCs w:val="24"/>
          <w:lang w:eastAsia="en-GB"/>
        </w:rPr>
        <w:t xml:space="preserve">United Kingdom Employment Appeal Tribunal, case </w:t>
      </w:r>
      <w:r w:rsidR="00C74890" w:rsidRPr="006D22C8">
        <w:rPr>
          <w:rFonts w:ascii="Arial" w:eastAsia="Times New Roman" w:hAnsi="Arial" w:cs="Arial"/>
          <w:i/>
          <w:iCs/>
          <w:sz w:val="24"/>
          <w:szCs w:val="24"/>
          <w:lang w:eastAsia="en-GB"/>
        </w:rPr>
        <w:t xml:space="preserve">0402/11/ZT. </w:t>
      </w:r>
      <w:proofErr w:type="spellStart"/>
      <w:r w:rsidR="00C74890" w:rsidRPr="006D22C8">
        <w:rPr>
          <w:rFonts w:ascii="Arial" w:eastAsia="Times New Roman" w:hAnsi="Arial" w:cs="Arial"/>
          <w:i/>
          <w:iCs/>
          <w:sz w:val="24"/>
          <w:szCs w:val="24"/>
          <w:lang w:eastAsia="en-GB"/>
        </w:rPr>
        <w:t>Bailii</w:t>
      </w:r>
      <w:proofErr w:type="spellEnd"/>
      <w:r w:rsidR="00C74890" w:rsidRPr="006D22C8">
        <w:rPr>
          <w:rFonts w:ascii="Arial" w:eastAsia="Times New Roman" w:hAnsi="Arial" w:cs="Arial"/>
          <w:i/>
          <w:iCs/>
          <w:sz w:val="24"/>
          <w:szCs w:val="24"/>
          <w:lang w:eastAsia="en-GB"/>
        </w:rPr>
        <w:t xml:space="preserve"> [online]</w:t>
      </w:r>
      <w:r w:rsidR="0084415E" w:rsidRPr="006D22C8">
        <w:rPr>
          <w:rFonts w:ascii="Arial" w:eastAsia="Times New Roman" w:hAnsi="Arial" w:cs="Arial"/>
          <w:sz w:val="24"/>
          <w:szCs w:val="24"/>
          <w:lang w:eastAsia="en-GB"/>
        </w:rPr>
        <w:t xml:space="preserve"> Available at: </w:t>
      </w:r>
      <w:hyperlink r:id="rId53" w:tgtFrame="_blank" w:history="1">
        <w:r w:rsidR="0084415E" w:rsidRPr="006D22C8">
          <w:rPr>
            <w:rFonts w:ascii="Arial" w:eastAsia="Times New Roman" w:hAnsi="Arial" w:cs="Arial"/>
            <w:sz w:val="24"/>
            <w:szCs w:val="24"/>
            <w:lang w:eastAsia="en-GB"/>
          </w:rPr>
          <w:t>http://www.bailii.org/uk/cases/UKEAT/2012/0402_11_1010.html</w:t>
        </w:r>
      </w:hyperlink>
      <w:r w:rsidR="0084415E" w:rsidRPr="006D22C8">
        <w:rPr>
          <w:rFonts w:ascii="Arial" w:eastAsia="Times New Roman" w:hAnsi="Arial" w:cs="Arial"/>
          <w:sz w:val="24"/>
          <w:szCs w:val="24"/>
          <w:lang w:eastAsia="en-GB"/>
        </w:rPr>
        <w:t> (Accessed: 5 May 2021).  </w:t>
      </w:r>
    </w:p>
    <w:p w14:paraId="73BA19A7"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5771B1F" w14:textId="4B9AD229"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Sefton, J</w:t>
      </w:r>
      <w:r w:rsidR="00C74890"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xml:space="preserve"> (2019) </w:t>
      </w:r>
      <w:r w:rsidRPr="006D22C8">
        <w:rPr>
          <w:rFonts w:ascii="Arial" w:eastAsia="Times New Roman" w:hAnsi="Arial" w:cs="Arial"/>
          <w:i/>
          <w:iCs/>
          <w:sz w:val="24"/>
          <w:szCs w:val="24"/>
          <w:lang w:eastAsia="en-GB"/>
        </w:rPr>
        <w:t>Reinstatement and Re-Engagement</w:t>
      </w:r>
      <w:r w:rsidRPr="006D22C8">
        <w:rPr>
          <w:rFonts w:ascii="Arial" w:eastAsia="Times New Roman" w:hAnsi="Arial" w:cs="Arial"/>
          <w:sz w:val="24"/>
          <w:szCs w:val="24"/>
          <w:lang w:eastAsia="en-GB"/>
        </w:rPr>
        <w:t xml:space="preserve">. Available at: </w:t>
      </w:r>
      <w:hyperlink r:id="rId54" w:history="1">
        <w:r w:rsidRPr="006D22C8">
          <w:rPr>
            <w:rStyle w:val="Hyperlink"/>
            <w:rFonts w:ascii="Arial" w:eastAsia="Times New Roman" w:hAnsi="Arial" w:cs="Arial"/>
            <w:color w:val="auto"/>
            <w:sz w:val="24"/>
            <w:szCs w:val="24"/>
            <w:u w:val="none"/>
            <w:lang w:eastAsia="en-GB"/>
          </w:rPr>
          <w:t>https://mitchelllaw.co.uk/reinstatement-and-re-engagement/</w:t>
        </w:r>
      </w:hyperlink>
      <w:r w:rsidRPr="006D22C8">
        <w:rPr>
          <w:rFonts w:ascii="Arial" w:eastAsia="Times New Roman" w:hAnsi="Arial" w:cs="Arial"/>
          <w:sz w:val="24"/>
          <w:szCs w:val="24"/>
          <w:lang w:eastAsia="en-GB"/>
        </w:rPr>
        <w:t xml:space="preserve"> (Accessed: 5 May 2021). </w:t>
      </w:r>
    </w:p>
    <w:p w14:paraId="05584D0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790CEEE"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Swinn</w:t>
      </w:r>
      <w:proofErr w:type="spellEnd"/>
      <w:r w:rsidRPr="006D22C8">
        <w:rPr>
          <w:rFonts w:ascii="Arial" w:eastAsia="Times New Roman" w:hAnsi="Arial" w:cs="Arial"/>
          <w:sz w:val="24"/>
          <w:szCs w:val="24"/>
          <w:lang w:eastAsia="en-GB"/>
        </w:rPr>
        <w:t xml:space="preserve">, K. (2018) </w:t>
      </w:r>
      <w:r w:rsidRPr="006D22C8">
        <w:rPr>
          <w:rFonts w:ascii="Arial" w:eastAsia="Times New Roman" w:hAnsi="Arial" w:cs="Arial"/>
          <w:i/>
          <w:iCs/>
          <w:sz w:val="24"/>
          <w:szCs w:val="24"/>
          <w:lang w:eastAsia="en-GB"/>
        </w:rPr>
        <w:t>Unfair Dismissal Claims: “Polkey deduction” or “No difference rule”.</w:t>
      </w:r>
      <w:r w:rsidRPr="006D22C8">
        <w:rPr>
          <w:rFonts w:ascii="Arial" w:eastAsia="Times New Roman" w:hAnsi="Arial" w:cs="Arial"/>
          <w:sz w:val="24"/>
          <w:szCs w:val="24"/>
          <w:lang w:eastAsia="en-GB"/>
        </w:rPr>
        <w:t xml:space="preserve"> Available at: </w:t>
      </w:r>
      <w:hyperlink r:id="rId55" w:tgtFrame="_blank" w:history="1">
        <w:r w:rsidRPr="006D22C8">
          <w:rPr>
            <w:rFonts w:ascii="Arial" w:eastAsia="Times New Roman" w:hAnsi="Arial" w:cs="Arial"/>
            <w:sz w:val="24"/>
            <w:szCs w:val="24"/>
            <w:lang w:eastAsia="en-GB"/>
          </w:rPr>
          <w:t>https://www.truthlegal.com/polkey-deduction-or-no-difference-rule/</w:t>
        </w:r>
      </w:hyperlink>
      <w:r w:rsidRPr="006D22C8">
        <w:rPr>
          <w:rFonts w:ascii="Arial" w:eastAsia="Times New Roman" w:hAnsi="Arial" w:cs="Arial"/>
          <w:sz w:val="24"/>
          <w:szCs w:val="24"/>
          <w:lang w:eastAsia="en-GB"/>
        </w:rPr>
        <w:t> (Accessed: 8 May 2021).  </w:t>
      </w:r>
    </w:p>
    <w:p w14:paraId="795F46D1" w14:textId="77777777" w:rsidR="0084415E" w:rsidRPr="00C66052" w:rsidRDefault="0084415E" w:rsidP="0084415E">
      <w:pPr>
        <w:spacing w:after="0" w:line="360" w:lineRule="auto"/>
        <w:textAlignment w:val="baseline"/>
        <w:rPr>
          <w:rFonts w:ascii="Arial" w:eastAsia="Times New Roman" w:hAnsi="Arial" w:cs="Arial"/>
          <w:color w:val="44546A" w:themeColor="text2"/>
          <w:sz w:val="24"/>
          <w:szCs w:val="24"/>
          <w:lang w:eastAsia="en-GB"/>
        </w:rPr>
      </w:pPr>
    </w:p>
    <w:p w14:paraId="572CAF4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Taylor, S. (2021) </w:t>
      </w:r>
      <w:r w:rsidRPr="006D22C8">
        <w:rPr>
          <w:rFonts w:ascii="Arial" w:eastAsia="Times New Roman" w:hAnsi="Arial" w:cs="Arial"/>
          <w:i/>
          <w:iCs/>
          <w:sz w:val="24"/>
          <w:szCs w:val="24"/>
          <w:lang w:eastAsia="en-GB"/>
        </w:rPr>
        <w:t>Employment law update for CIPD tutors and students.</w:t>
      </w:r>
      <w:r w:rsidRPr="006D22C8">
        <w:rPr>
          <w:rFonts w:ascii="Arial" w:eastAsia="Times New Roman" w:hAnsi="Arial" w:cs="Arial"/>
          <w:sz w:val="24"/>
          <w:szCs w:val="24"/>
          <w:lang w:eastAsia="en-GB"/>
        </w:rPr>
        <w:t xml:space="preserve"> Available at: </w:t>
      </w:r>
      <w:hyperlink r:id="rId56" w:history="1">
        <w:r w:rsidRPr="006D22C8">
          <w:rPr>
            <w:rStyle w:val="Hyperlink"/>
            <w:rFonts w:ascii="Arial" w:eastAsia="Times New Roman" w:hAnsi="Arial" w:cs="Arial"/>
            <w:color w:val="auto"/>
            <w:sz w:val="24"/>
            <w:szCs w:val="24"/>
            <w:u w:val="none"/>
            <w:lang w:eastAsia="en-GB"/>
          </w:rPr>
          <w:t>https://www.cipd.co.uk/Images/employment-law-update-Jan21%20v2_tcm18-37458.pdf</w:t>
        </w:r>
      </w:hyperlink>
      <w:r w:rsidRPr="006D22C8">
        <w:rPr>
          <w:rFonts w:ascii="Arial" w:eastAsia="Times New Roman" w:hAnsi="Arial" w:cs="Arial"/>
          <w:sz w:val="24"/>
          <w:szCs w:val="24"/>
          <w:lang w:eastAsia="en-GB"/>
        </w:rPr>
        <w:t xml:space="preserve"> (Accessed: 8 May 2021). </w:t>
      </w:r>
    </w:p>
    <w:p w14:paraId="684CC0E8"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3917220"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The Management of Health and Safety at Work Regulation 1999, r. 14.</w:t>
      </w:r>
      <w:r w:rsidRPr="006D22C8">
        <w:rPr>
          <w:rFonts w:ascii="Arial" w:eastAsia="Times New Roman" w:hAnsi="Arial" w:cs="Arial"/>
          <w:sz w:val="24"/>
          <w:szCs w:val="24"/>
          <w:lang w:eastAsia="en-GB"/>
        </w:rPr>
        <w:t xml:space="preserve"> Available at: </w:t>
      </w:r>
      <w:hyperlink r:id="rId57" w:tgtFrame="_blank" w:history="1">
        <w:r w:rsidRPr="006D22C8">
          <w:rPr>
            <w:rFonts w:ascii="Arial" w:eastAsia="Times New Roman" w:hAnsi="Arial" w:cs="Arial"/>
            <w:sz w:val="24"/>
            <w:szCs w:val="24"/>
            <w:lang w:eastAsia="en-GB"/>
          </w:rPr>
          <w:t>https://www.legislation.gov.uk/uksi/1999/3242/regulation/12/made</w:t>
        </w:r>
      </w:hyperlink>
      <w:r w:rsidRPr="006D22C8">
        <w:rPr>
          <w:rFonts w:ascii="Arial" w:eastAsia="Times New Roman" w:hAnsi="Arial" w:cs="Arial"/>
          <w:sz w:val="24"/>
          <w:szCs w:val="24"/>
          <w:lang w:eastAsia="en-GB"/>
        </w:rPr>
        <w:t> (Accessed: 3 May 2021).  </w:t>
      </w:r>
    </w:p>
    <w:p w14:paraId="5DD41A67"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D05C70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The Working Time Regulations 1998</w:t>
      </w:r>
      <w:r w:rsidRPr="006D22C8">
        <w:rPr>
          <w:rFonts w:ascii="Arial" w:eastAsia="Times New Roman" w:hAnsi="Arial" w:cs="Arial"/>
          <w:sz w:val="24"/>
          <w:szCs w:val="24"/>
          <w:lang w:eastAsia="en-GB"/>
        </w:rPr>
        <w:t>. Available at: </w:t>
      </w:r>
      <w:hyperlink r:id="rId58" w:tgtFrame="_blank" w:history="1">
        <w:r w:rsidRPr="006D22C8">
          <w:rPr>
            <w:rFonts w:ascii="Arial" w:eastAsia="Times New Roman" w:hAnsi="Arial" w:cs="Arial"/>
            <w:sz w:val="24"/>
            <w:szCs w:val="24"/>
            <w:lang w:eastAsia="en-GB"/>
          </w:rPr>
          <w:t>https://www.legislation.gov.uk/uksi/1998/1833/contents/made</w:t>
        </w:r>
      </w:hyperlink>
      <w:r w:rsidRPr="006D22C8">
        <w:rPr>
          <w:rFonts w:ascii="Arial" w:eastAsia="Times New Roman" w:hAnsi="Arial" w:cs="Arial"/>
          <w:sz w:val="24"/>
          <w:szCs w:val="24"/>
          <w:lang w:eastAsia="en-GB"/>
        </w:rPr>
        <w:t> Accessed: 25 April 2021).  </w:t>
      </w:r>
    </w:p>
    <w:p w14:paraId="51B0F058"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C013E88"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Trade Union and Labour Relations (Consolidation) Act 1992, s.199.</w:t>
      </w:r>
      <w:r w:rsidRPr="006D22C8">
        <w:rPr>
          <w:rFonts w:ascii="Arial" w:eastAsia="Times New Roman" w:hAnsi="Arial" w:cs="Arial"/>
          <w:sz w:val="24"/>
          <w:szCs w:val="24"/>
          <w:lang w:eastAsia="en-GB"/>
        </w:rPr>
        <w:t xml:space="preserve"> Available at: https://www.legislation.gov.uk/ukpga/1992/52/section/199. (Accessed: 8 May 2021).  </w:t>
      </w:r>
    </w:p>
    <w:p w14:paraId="058CDF62" w14:textId="77777777" w:rsidR="00C74890" w:rsidRDefault="00C74890" w:rsidP="0084415E">
      <w:pPr>
        <w:spacing w:after="0" w:line="360" w:lineRule="auto"/>
        <w:textAlignment w:val="baseline"/>
        <w:rPr>
          <w:rFonts w:ascii="Arial" w:eastAsia="Times New Roman" w:hAnsi="Arial" w:cs="Arial"/>
          <w:i/>
          <w:iCs/>
          <w:sz w:val="24"/>
          <w:szCs w:val="24"/>
          <w:lang w:eastAsia="en-GB"/>
        </w:rPr>
      </w:pPr>
    </w:p>
    <w:p w14:paraId="7A3DD282" w14:textId="79E29C23"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Trade Union and Labour Relations (Consolidation) Act 1992, s.207A.</w:t>
      </w:r>
      <w:r w:rsidRPr="006D22C8">
        <w:rPr>
          <w:rFonts w:ascii="Arial" w:eastAsia="Times New Roman" w:hAnsi="Arial" w:cs="Arial"/>
          <w:sz w:val="24"/>
          <w:szCs w:val="24"/>
          <w:lang w:eastAsia="en-GB"/>
        </w:rPr>
        <w:t xml:space="preserve"> Available at: https://www.legislation.gov.uk/ukpga/1992/52/section/207A (Accessed: 8 May 2021).  </w:t>
      </w:r>
    </w:p>
    <w:p w14:paraId="30C1D16B"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168BCA0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Tyrer, A. (2008)</w:t>
      </w:r>
      <w:r w:rsidRPr="006D22C8">
        <w:rPr>
          <w:rFonts w:ascii="Arial" w:eastAsia="Times New Roman" w:hAnsi="Arial" w:cs="Arial"/>
          <w:i/>
          <w:iCs/>
          <w:sz w:val="24"/>
          <w:szCs w:val="24"/>
          <w:lang w:eastAsia="en-GB"/>
        </w:rPr>
        <w:t> Coleman v Attridge Law.</w:t>
      </w:r>
      <w:r w:rsidRPr="006D22C8">
        <w:rPr>
          <w:rFonts w:ascii="Arial" w:eastAsia="Times New Roman" w:hAnsi="Arial" w:cs="Arial"/>
          <w:sz w:val="24"/>
          <w:szCs w:val="24"/>
          <w:lang w:eastAsia="en-GB"/>
        </w:rPr>
        <w:t> Available at: </w:t>
      </w:r>
      <w:hyperlink r:id="rId59" w:tgtFrame="_blank" w:history="1">
        <w:r w:rsidRPr="006D22C8">
          <w:rPr>
            <w:rFonts w:ascii="Arial" w:eastAsia="Times New Roman" w:hAnsi="Arial" w:cs="Arial"/>
            <w:sz w:val="24"/>
            <w:szCs w:val="24"/>
            <w:lang w:eastAsia="en-GB"/>
          </w:rPr>
          <w:t>https://www.stammeringlaw.org.uk/coleman-v-attridge-law/</w:t>
        </w:r>
      </w:hyperlink>
      <w:r w:rsidRPr="006D22C8">
        <w:rPr>
          <w:rFonts w:ascii="Arial" w:eastAsia="Times New Roman" w:hAnsi="Arial" w:cs="Arial"/>
          <w:sz w:val="24"/>
          <w:szCs w:val="24"/>
          <w:lang w:eastAsia="en-GB"/>
        </w:rPr>
        <w:t> (Accessed: 3 May 2021).  </w:t>
      </w:r>
    </w:p>
    <w:p w14:paraId="0BD1D49F"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BD6911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Walker Morris (2020) </w:t>
      </w:r>
      <w:r w:rsidRPr="006D22C8">
        <w:rPr>
          <w:rFonts w:ascii="Arial" w:eastAsia="Times New Roman" w:hAnsi="Arial" w:cs="Arial"/>
          <w:i/>
          <w:iCs/>
          <w:sz w:val="24"/>
          <w:szCs w:val="24"/>
          <w:lang w:eastAsia="en-GB"/>
        </w:rPr>
        <w:t>How to deal with flexible working requests as people return to the workplace.</w:t>
      </w:r>
      <w:r w:rsidRPr="006D22C8">
        <w:rPr>
          <w:rFonts w:ascii="Arial" w:eastAsia="Times New Roman" w:hAnsi="Arial" w:cs="Arial"/>
          <w:sz w:val="24"/>
          <w:szCs w:val="24"/>
          <w:lang w:eastAsia="en-GB"/>
        </w:rPr>
        <w:t> Available at: </w:t>
      </w:r>
      <w:hyperlink r:id="rId60" w:tgtFrame="_blank" w:history="1">
        <w:r w:rsidRPr="006D22C8">
          <w:rPr>
            <w:rFonts w:ascii="Arial" w:eastAsia="Times New Roman" w:hAnsi="Arial" w:cs="Arial"/>
            <w:sz w:val="24"/>
            <w:szCs w:val="24"/>
            <w:lang w:eastAsia="en-GB"/>
          </w:rPr>
          <w:t>https://www.walkermorris.co.uk/publications/how-to-deal-with-flexible-working-requests-as-people-return-to-the-workplace/</w:t>
        </w:r>
      </w:hyperlink>
      <w:r w:rsidRPr="006D22C8">
        <w:rPr>
          <w:rFonts w:ascii="Arial" w:eastAsia="Times New Roman" w:hAnsi="Arial" w:cs="Arial"/>
          <w:sz w:val="24"/>
          <w:szCs w:val="24"/>
          <w:lang w:eastAsia="en-GB"/>
        </w:rPr>
        <w:t> (Accessed: 25 April 2021). </w:t>
      </w:r>
    </w:p>
    <w:p w14:paraId="4188AABF"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30B2C3E"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XpertHR</w:t>
      </w:r>
      <w:proofErr w:type="spellEnd"/>
      <w:r w:rsidRPr="006D22C8">
        <w:rPr>
          <w:rFonts w:ascii="Arial" w:eastAsia="Times New Roman" w:hAnsi="Arial" w:cs="Arial"/>
          <w:sz w:val="24"/>
          <w:szCs w:val="24"/>
          <w:lang w:eastAsia="en-GB"/>
        </w:rPr>
        <w:t> (no date) </w:t>
      </w:r>
      <w:r w:rsidRPr="006D22C8">
        <w:rPr>
          <w:rFonts w:ascii="Arial" w:eastAsia="Times New Roman" w:hAnsi="Arial" w:cs="Arial"/>
          <w:i/>
          <w:iCs/>
          <w:sz w:val="24"/>
          <w:szCs w:val="24"/>
          <w:lang w:eastAsia="en-GB"/>
        </w:rPr>
        <w:t>What is the unfair dismissal compensatory award.</w:t>
      </w:r>
      <w:r w:rsidRPr="006D22C8">
        <w:rPr>
          <w:rFonts w:ascii="Arial" w:eastAsia="Times New Roman" w:hAnsi="Arial" w:cs="Arial"/>
          <w:sz w:val="24"/>
          <w:szCs w:val="24"/>
          <w:lang w:eastAsia="en-GB"/>
        </w:rPr>
        <w:t> Available at: https://www.xperthr.co.uk/faq/what-is-the-unfair-dismissal-compensatory-award/ (Accessed: 5 May 2021).  </w:t>
      </w:r>
    </w:p>
    <w:p w14:paraId="4EAD0B9B" w14:textId="77777777" w:rsidR="0084415E" w:rsidRPr="007122D4" w:rsidRDefault="0084415E" w:rsidP="0084415E">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5FA32547" w14:textId="77777777" w:rsidR="0084415E" w:rsidRDefault="0084415E" w:rsidP="0084415E"/>
    <w:p w14:paraId="4D68B383"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44BB8E6B"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6A5372F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1E6D59C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6418D83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282AA78B"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076A4DE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143A3DB4"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195DE621"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44AAABB3" w14:textId="77777777" w:rsidR="00FE54FE" w:rsidRPr="001C3CFC" w:rsidRDefault="00FE54FE" w:rsidP="001C3CFC">
      <w:pPr>
        <w:spacing w:line="360" w:lineRule="auto"/>
        <w:rPr>
          <w:rFonts w:ascii="Arial" w:hAnsi="Arial" w:cs="Arial"/>
          <w:sz w:val="24"/>
          <w:szCs w:val="24"/>
        </w:rPr>
      </w:pPr>
    </w:p>
    <w:sectPr w:rsidR="00FE54FE" w:rsidRPr="001C3CFC" w:rsidSect="00BE5EFE">
      <w:footerReference w:type="default" r:id="rId61"/>
      <w:pgSz w:w="11906" w:h="16838"/>
      <w:pgMar w:top="1440" w:right="1418" w:bottom="1440"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BAA0E" w14:textId="77777777" w:rsidR="00507182" w:rsidRDefault="00507182" w:rsidP="00BE5EFE">
      <w:pPr>
        <w:spacing w:after="0" w:line="240" w:lineRule="auto"/>
      </w:pPr>
      <w:r>
        <w:separator/>
      </w:r>
    </w:p>
  </w:endnote>
  <w:endnote w:type="continuationSeparator" w:id="0">
    <w:p w14:paraId="79D1CB3E" w14:textId="77777777" w:rsidR="00507182" w:rsidRDefault="00507182" w:rsidP="00BE5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969784"/>
      <w:docPartObj>
        <w:docPartGallery w:val="Page Numbers (Bottom of Page)"/>
        <w:docPartUnique/>
      </w:docPartObj>
    </w:sdtPr>
    <w:sdtEndPr>
      <w:rPr>
        <w:noProof/>
      </w:rPr>
    </w:sdtEndPr>
    <w:sdtContent>
      <w:p w14:paraId="0DE73B9B" w14:textId="71AAC663" w:rsidR="002739A1" w:rsidRDefault="002739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5F3432" w14:textId="54897EE2" w:rsidR="00BE5EFE" w:rsidRDefault="00BE5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FE559" w14:textId="77777777" w:rsidR="00507182" w:rsidRDefault="00507182" w:rsidP="00BE5EFE">
      <w:pPr>
        <w:spacing w:after="0" w:line="240" w:lineRule="auto"/>
      </w:pPr>
      <w:r>
        <w:separator/>
      </w:r>
    </w:p>
  </w:footnote>
  <w:footnote w:type="continuationSeparator" w:id="0">
    <w:p w14:paraId="5997B85B" w14:textId="77777777" w:rsidR="00507182" w:rsidRDefault="00507182" w:rsidP="00BE5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16CE"/>
    <w:multiLevelType w:val="multilevel"/>
    <w:tmpl w:val="26D8B8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A4B74"/>
    <w:multiLevelType w:val="hybridMultilevel"/>
    <w:tmpl w:val="AE0CB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20E87"/>
    <w:multiLevelType w:val="multilevel"/>
    <w:tmpl w:val="E1A2C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E1AD4"/>
    <w:multiLevelType w:val="multilevel"/>
    <w:tmpl w:val="D31C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86D2A"/>
    <w:multiLevelType w:val="hybridMultilevel"/>
    <w:tmpl w:val="AF56E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7343A"/>
    <w:multiLevelType w:val="hybridMultilevel"/>
    <w:tmpl w:val="AC8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B12F88"/>
    <w:multiLevelType w:val="multilevel"/>
    <w:tmpl w:val="46FE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640133"/>
    <w:multiLevelType w:val="multilevel"/>
    <w:tmpl w:val="84764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E03C43"/>
    <w:multiLevelType w:val="multilevel"/>
    <w:tmpl w:val="4734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F06859"/>
    <w:multiLevelType w:val="hybridMultilevel"/>
    <w:tmpl w:val="EFBCC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0D626E"/>
    <w:multiLevelType w:val="multilevel"/>
    <w:tmpl w:val="D6D2EF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4446BF"/>
    <w:multiLevelType w:val="multilevel"/>
    <w:tmpl w:val="A204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8F7286"/>
    <w:multiLevelType w:val="hybridMultilevel"/>
    <w:tmpl w:val="B22A81DA"/>
    <w:lvl w:ilvl="0" w:tplc="76F2B7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7160AA"/>
    <w:multiLevelType w:val="hybridMultilevel"/>
    <w:tmpl w:val="FB42B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852AB5"/>
    <w:multiLevelType w:val="multilevel"/>
    <w:tmpl w:val="59D220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116293"/>
    <w:multiLevelType w:val="multilevel"/>
    <w:tmpl w:val="BE322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7117B8"/>
    <w:multiLevelType w:val="multilevel"/>
    <w:tmpl w:val="29842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CF281D"/>
    <w:multiLevelType w:val="multilevel"/>
    <w:tmpl w:val="2758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400F98"/>
    <w:multiLevelType w:val="hybridMultilevel"/>
    <w:tmpl w:val="3E1E9588"/>
    <w:lvl w:ilvl="0" w:tplc="3DFEBA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92E4927"/>
    <w:multiLevelType w:val="multilevel"/>
    <w:tmpl w:val="1C72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AA40F7"/>
    <w:multiLevelType w:val="hybridMultilevel"/>
    <w:tmpl w:val="377AAFC2"/>
    <w:lvl w:ilvl="0" w:tplc="FA36B1B6">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974ECC"/>
    <w:multiLevelType w:val="multilevel"/>
    <w:tmpl w:val="68FCED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0F1E46"/>
    <w:multiLevelType w:val="multilevel"/>
    <w:tmpl w:val="1C96F2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096734"/>
    <w:multiLevelType w:val="hybridMultilevel"/>
    <w:tmpl w:val="08FC2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751F25"/>
    <w:multiLevelType w:val="hybridMultilevel"/>
    <w:tmpl w:val="E676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887341"/>
    <w:multiLevelType w:val="multilevel"/>
    <w:tmpl w:val="9D5A25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CF5DCC"/>
    <w:multiLevelType w:val="hybridMultilevel"/>
    <w:tmpl w:val="6C403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A82037"/>
    <w:multiLevelType w:val="multilevel"/>
    <w:tmpl w:val="4894C3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A060EA"/>
    <w:multiLevelType w:val="multilevel"/>
    <w:tmpl w:val="19B0E0A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F249B0"/>
    <w:multiLevelType w:val="multilevel"/>
    <w:tmpl w:val="5596E9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5958E0"/>
    <w:multiLevelType w:val="multilevel"/>
    <w:tmpl w:val="91A014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D8660B"/>
    <w:multiLevelType w:val="multilevel"/>
    <w:tmpl w:val="F698D3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783861"/>
    <w:multiLevelType w:val="multilevel"/>
    <w:tmpl w:val="20EA11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C0581E"/>
    <w:multiLevelType w:val="multilevel"/>
    <w:tmpl w:val="763437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3B36F4"/>
    <w:multiLevelType w:val="hybridMultilevel"/>
    <w:tmpl w:val="E612D5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7A072187"/>
    <w:multiLevelType w:val="hybridMultilevel"/>
    <w:tmpl w:val="07000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14"/>
  </w:num>
  <w:num w:numId="5">
    <w:abstractNumId w:val="30"/>
  </w:num>
  <w:num w:numId="6">
    <w:abstractNumId w:val="10"/>
  </w:num>
  <w:num w:numId="7">
    <w:abstractNumId w:val="32"/>
  </w:num>
  <w:num w:numId="8">
    <w:abstractNumId w:val="19"/>
  </w:num>
  <w:num w:numId="9">
    <w:abstractNumId w:val="29"/>
  </w:num>
  <w:num w:numId="10">
    <w:abstractNumId w:val="21"/>
  </w:num>
  <w:num w:numId="11">
    <w:abstractNumId w:val="22"/>
  </w:num>
  <w:num w:numId="12">
    <w:abstractNumId w:val="27"/>
  </w:num>
  <w:num w:numId="13">
    <w:abstractNumId w:val="15"/>
  </w:num>
  <w:num w:numId="14">
    <w:abstractNumId w:val="31"/>
  </w:num>
  <w:num w:numId="15">
    <w:abstractNumId w:val="33"/>
  </w:num>
  <w:num w:numId="16">
    <w:abstractNumId w:val="28"/>
  </w:num>
  <w:num w:numId="17">
    <w:abstractNumId w:val="17"/>
  </w:num>
  <w:num w:numId="18">
    <w:abstractNumId w:val="6"/>
  </w:num>
  <w:num w:numId="19">
    <w:abstractNumId w:val="16"/>
  </w:num>
  <w:num w:numId="20">
    <w:abstractNumId w:val="0"/>
  </w:num>
  <w:num w:numId="21">
    <w:abstractNumId w:val="8"/>
  </w:num>
  <w:num w:numId="22">
    <w:abstractNumId w:val="25"/>
  </w:num>
  <w:num w:numId="23">
    <w:abstractNumId w:val="11"/>
  </w:num>
  <w:num w:numId="24">
    <w:abstractNumId w:val="1"/>
  </w:num>
  <w:num w:numId="25">
    <w:abstractNumId w:val="12"/>
  </w:num>
  <w:num w:numId="26">
    <w:abstractNumId w:val="23"/>
  </w:num>
  <w:num w:numId="27">
    <w:abstractNumId w:val="5"/>
  </w:num>
  <w:num w:numId="28">
    <w:abstractNumId w:val="13"/>
  </w:num>
  <w:num w:numId="29">
    <w:abstractNumId w:val="34"/>
  </w:num>
  <w:num w:numId="30">
    <w:abstractNumId w:val="35"/>
  </w:num>
  <w:num w:numId="31">
    <w:abstractNumId w:val="18"/>
  </w:num>
  <w:num w:numId="32">
    <w:abstractNumId w:val="26"/>
  </w:num>
  <w:num w:numId="33">
    <w:abstractNumId w:val="9"/>
  </w:num>
  <w:num w:numId="34">
    <w:abstractNumId w:val="20"/>
  </w:num>
  <w:num w:numId="35">
    <w:abstractNumId w:val="24"/>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2D4"/>
    <w:rsid w:val="000635A4"/>
    <w:rsid w:val="000B332E"/>
    <w:rsid w:val="000B54B9"/>
    <w:rsid w:val="000F68B1"/>
    <w:rsid w:val="001504E8"/>
    <w:rsid w:val="00150560"/>
    <w:rsid w:val="001C3CFC"/>
    <w:rsid w:val="00246E5B"/>
    <w:rsid w:val="00261CC7"/>
    <w:rsid w:val="002739A1"/>
    <w:rsid w:val="00360792"/>
    <w:rsid w:val="00360FD8"/>
    <w:rsid w:val="003A442F"/>
    <w:rsid w:val="003A6C7B"/>
    <w:rsid w:val="003C5A8C"/>
    <w:rsid w:val="003D0E97"/>
    <w:rsid w:val="004418D1"/>
    <w:rsid w:val="004C4F70"/>
    <w:rsid w:val="00507182"/>
    <w:rsid w:val="005145E6"/>
    <w:rsid w:val="005A4B81"/>
    <w:rsid w:val="005E5ACC"/>
    <w:rsid w:val="0064591F"/>
    <w:rsid w:val="00666B56"/>
    <w:rsid w:val="006D22C8"/>
    <w:rsid w:val="006F5030"/>
    <w:rsid w:val="007122D4"/>
    <w:rsid w:val="007545C5"/>
    <w:rsid w:val="0077549E"/>
    <w:rsid w:val="0078164D"/>
    <w:rsid w:val="007E2DB4"/>
    <w:rsid w:val="0084415E"/>
    <w:rsid w:val="00876E86"/>
    <w:rsid w:val="00882057"/>
    <w:rsid w:val="008B24A2"/>
    <w:rsid w:val="009231DA"/>
    <w:rsid w:val="00992B20"/>
    <w:rsid w:val="009D1503"/>
    <w:rsid w:val="00A31F52"/>
    <w:rsid w:val="00A41C72"/>
    <w:rsid w:val="00AA7E05"/>
    <w:rsid w:val="00B2502C"/>
    <w:rsid w:val="00B37512"/>
    <w:rsid w:val="00B54143"/>
    <w:rsid w:val="00BE5EFE"/>
    <w:rsid w:val="00BE7526"/>
    <w:rsid w:val="00C74890"/>
    <w:rsid w:val="00C972B6"/>
    <w:rsid w:val="00CB29E6"/>
    <w:rsid w:val="00CD3E3F"/>
    <w:rsid w:val="00D554D8"/>
    <w:rsid w:val="00E4441C"/>
    <w:rsid w:val="00ED2D6C"/>
    <w:rsid w:val="00F60394"/>
    <w:rsid w:val="00FE5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7349E"/>
  <w15:chartTrackingRefBased/>
  <w15:docId w15:val="{277A20EE-171A-4619-A811-0EA76685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2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22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22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122D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122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122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7122D4"/>
  </w:style>
  <w:style w:type="character" w:customStyle="1" w:styleId="normaltextrun">
    <w:name w:val="normaltextrun"/>
    <w:basedOn w:val="DefaultParagraphFont"/>
    <w:rsid w:val="007122D4"/>
  </w:style>
  <w:style w:type="character" w:customStyle="1" w:styleId="eop">
    <w:name w:val="eop"/>
    <w:basedOn w:val="DefaultParagraphFont"/>
    <w:rsid w:val="007122D4"/>
  </w:style>
  <w:style w:type="paragraph" w:customStyle="1" w:styleId="outlineelement">
    <w:name w:val="outlineelement"/>
    <w:basedOn w:val="Normal"/>
    <w:rsid w:val="007122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7122D4"/>
  </w:style>
  <w:style w:type="character" w:customStyle="1" w:styleId="pagebreakblob">
    <w:name w:val="pagebreakblob"/>
    <w:basedOn w:val="DefaultParagraphFont"/>
    <w:rsid w:val="007122D4"/>
  </w:style>
  <w:style w:type="character" w:customStyle="1" w:styleId="pagebreakborderspan">
    <w:name w:val="pagebreakborderspan"/>
    <w:basedOn w:val="DefaultParagraphFont"/>
    <w:rsid w:val="007122D4"/>
  </w:style>
  <w:style w:type="character" w:customStyle="1" w:styleId="pagebreaktextspan">
    <w:name w:val="pagebreaktextspan"/>
    <w:basedOn w:val="DefaultParagraphFont"/>
    <w:rsid w:val="007122D4"/>
  </w:style>
  <w:style w:type="character" w:styleId="Hyperlink">
    <w:name w:val="Hyperlink"/>
    <w:basedOn w:val="DefaultParagraphFont"/>
    <w:uiPriority w:val="99"/>
    <w:unhideWhenUsed/>
    <w:rsid w:val="007122D4"/>
    <w:rPr>
      <w:color w:val="0000FF"/>
      <w:u w:val="single"/>
    </w:rPr>
  </w:style>
  <w:style w:type="character" w:styleId="FollowedHyperlink">
    <w:name w:val="FollowedHyperlink"/>
    <w:basedOn w:val="DefaultParagraphFont"/>
    <w:uiPriority w:val="99"/>
    <w:semiHidden/>
    <w:unhideWhenUsed/>
    <w:rsid w:val="007122D4"/>
    <w:rPr>
      <w:color w:val="800080"/>
      <w:u w:val="single"/>
    </w:rPr>
  </w:style>
  <w:style w:type="character" w:customStyle="1" w:styleId="Heading1Char">
    <w:name w:val="Heading 1 Char"/>
    <w:basedOn w:val="DefaultParagraphFont"/>
    <w:link w:val="Heading1"/>
    <w:uiPriority w:val="9"/>
    <w:rsid w:val="007122D4"/>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7122D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7122D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122D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122D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122D4"/>
    <w:pPr>
      <w:ind w:left="720"/>
      <w:contextualSpacing/>
    </w:pPr>
  </w:style>
  <w:style w:type="character" w:styleId="UnresolvedMention">
    <w:name w:val="Unresolved Mention"/>
    <w:basedOn w:val="DefaultParagraphFont"/>
    <w:uiPriority w:val="99"/>
    <w:semiHidden/>
    <w:unhideWhenUsed/>
    <w:rsid w:val="00246E5B"/>
    <w:rPr>
      <w:color w:val="605E5C"/>
      <w:shd w:val="clear" w:color="auto" w:fill="E1DFDD"/>
    </w:rPr>
  </w:style>
  <w:style w:type="paragraph" w:styleId="NoSpacing">
    <w:name w:val="No Spacing"/>
    <w:link w:val="NoSpacingChar"/>
    <w:uiPriority w:val="1"/>
    <w:qFormat/>
    <w:rsid w:val="001C3C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3CFC"/>
    <w:rPr>
      <w:rFonts w:eastAsiaTheme="minorEastAsia"/>
      <w:lang w:val="en-US"/>
    </w:rPr>
  </w:style>
  <w:style w:type="paragraph" w:styleId="Title">
    <w:name w:val="Title"/>
    <w:basedOn w:val="Normal"/>
    <w:next w:val="Normal"/>
    <w:link w:val="TitleChar"/>
    <w:uiPriority w:val="10"/>
    <w:qFormat/>
    <w:rsid w:val="001C3CF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3CF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3CF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1C3CFC"/>
    <w:rPr>
      <w:rFonts w:eastAsiaTheme="minorEastAsia" w:cs="Times New Roman"/>
      <w:color w:val="5A5A5A" w:themeColor="text1" w:themeTint="A5"/>
      <w:spacing w:val="15"/>
      <w:lang w:val="en-US"/>
    </w:rPr>
  </w:style>
  <w:style w:type="paragraph" w:styleId="TableofFigures">
    <w:name w:val="table of figures"/>
    <w:basedOn w:val="Normal"/>
    <w:next w:val="Normal"/>
    <w:uiPriority w:val="99"/>
    <w:unhideWhenUsed/>
    <w:rsid w:val="0084415E"/>
    <w:pPr>
      <w:spacing w:after="0"/>
    </w:pPr>
    <w:rPr>
      <w:rFonts w:cstheme="minorHAnsi"/>
      <w:i/>
      <w:iCs/>
      <w:sz w:val="20"/>
      <w:szCs w:val="20"/>
    </w:rPr>
  </w:style>
  <w:style w:type="paragraph" w:styleId="TOCHeading">
    <w:name w:val="TOC Heading"/>
    <w:basedOn w:val="Heading1"/>
    <w:next w:val="Normal"/>
    <w:uiPriority w:val="39"/>
    <w:unhideWhenUsed/>
    <w:qFormat/>
    <w:rsid w:val="00BE5EFE"/>
    <w:pPr>
      <w:outlineLvl w:val="9"/>
    </w:pPr>
    <w:rPr>
      <w:lang w:val="en-US"/>
    </w:rPr>
  </w:style>
  <w:style w:type="paragraph" w:styleId="TOC1">
    <w:name w:val="toc 1"/>
    <w:basedOn w:val="Normal"/>
    <w:next w:val="Normal"/>
    <w:autoRedefine/>
    <w:uiPriority w:val="39"/>
    <w:unhideWhenUsed/>
    <w:rsid w:val="00BE5EFE"/>
    <w:pPr>
      <w:spacing w:after="100"/>
    </w:pPr>
  </w:style>
  <w:style w:type="paragraph" w:styleId="TOC2">
    <w:name w:val="toc 2"/>
    <w:basedOn w:val="Normal"/>
    <w:next w:val="Normal"/>
    <w:autoRedefine/>
    <w:uiPriority w:val="39"/>
    <w:unhideWhenUsed/>
    <w:rsid w:val="00BE5EFE"/>
    <w:pPr>
      <w:spacing w:after="100"/>
      <w:ind w:left="220"/>
    </w:pPr>
  </w:style>
  <w:style w:type="paragraph" w:styleId="TOC3">
    <w:name w:val="toc 3"/>
    <w:basedOn w:val="Normal"/>
    <w:next w:val="Normal"/>
    <w:autoRedefine/>
    <w:uiPriority w:val="39"/>
    <w:unhideWhenUsed/>
    <w:rsid w:val="00BE5EFE"/>
    <w:pPr>
      <w:spacing w:after="100"/>
      <w:ind w:left="440"/>
    </w:pPr>
  </w:style>
  <w:style w:type="paragraph" w:styleId="Header">
    <w:name w:val="header"/>
    <w:basedOn w:val="Normal"/>
    <w:link w:val="HeaderChar"/>
    <w:uiPriority w:val="99"/>
    <w:unhideWhenUsed/>
    <w:rsid w:val="00BE5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EFE"/>
  </w:style>
  <w:style w:type="paragraph" w:styleId="Footer">
    <w:name w:val="footer"/>
    <w:basedOn w:val="Normal"/>
    <w:link w:val="FooterChar"/>
    <w:uiPriority w:val="99"/>
    <w:unhideWhenUsed/>
    <w:rsid w:val="00BE5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64806">
      <w:bodyDiv w:val="1"/>
      <w:marLeft w:val="0"/>
      <w:marRight w:val="0"/>
      <w:marTop w:val="0"/>
      <w:marBottom w:val="0"/>
      <w:divBdr>
        <w:top w:val="none" w:sz="0" w:space="0" w:color="auto"/>
        <w:left w:val="none" w:sz="0" w:space="0" w:color="auto"/>
        <w:bottom w:val="none" w:sz="0" w:space="0" w:color="auto"/>
        <w:right w:val="none" w:sz="0" w:space="0" w:color="auto"/>
      </w:divBdr>
    </w:div>
    <w:div w:id="305353220">
      <w:bodyDiv w:val="1"/>
      <w:marLeft w:val="0"/>
      <w:marRight w:val="0"/>
      <w:marTop w:val="0"/>
      <w:marBottom w:val="0"/>
      <w:divBdr>
        <w:top w:val="none" w:sz="0" w:space="0" w:color="auto"/>
        <w:left w:val="none" w:sz="0" w:space="0" w:color="auto"/>
        <w:bottom w:val="none" w:sz="0" w:space="0" w:color="auto"/>
        <w:right w:val="none" w:sz="0" w:space="0" w:color="auto"/>
      </w:divBdr>
      <w:divsChild>
        <w:div w:id="967081301">
          <w:marLeft w:val="0"/>
          <w:marRight w:val="0"/>
          <w:marTop w:val="0"/>
          <w:marBottom w:val="0"/>
          <w:divBdr>
            <w:top w:val="none" w:sz="0" w:space="0" w:color="auto"/>
            <w:left w:val="none" w:sz="0" w:space="0" w:color="auto"/>
            <w:bottom w:val="none" w:sz="0" w:space="0" w:color="auto"/>
            <w:right w:val="none" w:sz="0" w:space="0" w:color="auto"/>
          </w:divBdr>
        </w:div>
        <w:div w:id="1695763893">
          <w:marLeft w:val="0"/>
          <w:marRight w:val="0"/>
          <w:marTop w:val="0"/>
          <w:marBottom w:val="0"/>
          <w:divBdr>
            <w:top w:val="none" w:sz="0" w:space="0" w:color="auto"/>
            <w:left w:val="none" w:sz="0" w:space="0" w:color="auto"/>
            <w:bottom w:val="none" w:sz="0" w:space="0" w:color="auto"/>
            <w:right w:val="none" w:sz="0" w:space="0" w:color="auto"/>
          </w:divBdr>
        </w:div>
        <w:div w:id="1123234808">
          <w:marLeft w:val="0"/>
          <w:marRight w:val="0"/>
          <w:marTop w:val="0"/>
          <w:marBottom w:val="0"/>
          <w:divBdr>
            <w:top w:val="none" w:sz="0" w:space="0" w:color="auto"/>
            <w:left w:val="none" w:sz="0" w:space="0" w:color="auto"/>
            <w:bottom w:val="none" w:sz="0" w:space="0" w:color="auto"/>
            <w:right w:val="none" w:sz="0" w:space="0" w:color="auto"/>
          </w:divBdr>
        </w:div>
        <w:div w:id="1236084781">
          <w:marLeft w:val="0"/>
          <w:marRight w:val="0"/>
          <w:marTop w:val="0"/>
          <w:marBottom w:val="0"/>
          <w:divBdr>
            <w:top w:val="none" w:sz="0" w:space="0" w:color="auto"/>
            <w:left w:val="none" w:sz="0" w:space="0" w:color="auto"/>
            <w:bottom w:val="none" w:sz="0" w:space="0" w:color="auto"/>
            <w:right w:val="none" w:sz="0" w:space="0" w:color="auto"/>
          </w:divBdr>
        </w:div>
        <w:div w:id="1209074703">
          <w:marLeft w:val="0"/>
          <w:marRight w:val="0"/>
          <w:marTop w:val="0"/>
          <w:marBottom w:val="0"/>
          <w:divBdr>
            <w:top w:val="none" w:sz="0" w:space="0" w:color="auto"/>
            <w:left w:val="none" w:sz="0" w:space="0" w:color="auto"/>
            <w:bottom w:val="none" w:sz="0" w:space="0" w:color="auto"/>
            <w:right w:val="none" w:sz="0" w:space="0" w:color="auto"/>
          </w:divBdr>
        </w:div>
        <w:div w:id="796069182">
          <w:marLeft w:val="0"/>
          <w:marRight w:val="0"/>
          <w:marTop w:val="0"/>
          <w:marBottom w:val="0"/>
          <w:divBdr>
            <w:top w:val="none" w:sz="0" w:space="0" w:color="auto"/>
            <w:left w:val="none" w:sz="0" w:space="0" w:color="auto"/>
            <w:bottom w:val="none" w:sz="0" w:space="0" w:color="auto"/>
            <w:right w:val="none" w:sz="0" w:space="0" w:color="auto"/>
          </w:divBdr>
        </w:div>
        <w:div w:id="243532066">
          <w:marLeft w:val="0"/>
          <w:marRight w:val="0"/>
          <w:marTop w:val="0"/>
          <w:marBottom w:val="0"/>
          <w:divBdr>
            <w:top w:val="none" w:sz="0" w:space="0" w:color="auto"/>
            <w:left w:val="none" w:sz="0" w:space="0" w:color="auto"/>
            <w:bottom w:val="none" w:sz="0" w:space="0" w:color="auto"/>
            <w:right w:val="none" w:sz="0" w:space="0" w:color="auto"/>
          </w:divBdr>
        </w:div>
        <w:div w:id="1900632682">
          <w:marLeft w:val="0"/>
          <w:marRight w:val="0"/>
          <w:marTop w:val="0"/>
          <w:marBottom w:val="0"/>
          <w:divBdr>
            <w:top w:val="none" w:sz="0" w:space="0" w:color="auto"/>
            <w:left w:val="none" w:sz="0" w:space="0" w:color="auto"/>
            <w:bottom w:val="none" w:sz="0" w:space="0" w:color="auto"/>
            <w:right w:val="none" w:sz="0" w:space="0" w:color="auto"/>
          </w:divBdr>
        </w:div>
        <w:div w:id="832792078">
          <w:marLeft w:val="0"/>
          <w:marRight w:val="0"/>
          <w:marTop w:val="0"/>
          <w:marBottom w:val="0"/>
          <w:divBdr>
            <w:top w:val="none" w:sz="0" w:space="0" w:color="auto"/>
            <w:left w:val="none" w:sz="0" w:space="0" w:color="auto"/>
            <w:bottom w:val="none" w:sz="0" w:space="0" w:color="auto"/>
            <w:right w:val="none" w:sz="0" w:space="0" w:color="auto"/>
          </w:divBdr>
        </w:div>
        <w:div w:id="1191917994">
          <w:marLeft w:val="0"/>
          <w:marRight w:val="0"/>
          <w:marTop w:val="0"/>
          <w:marBottom w:val="0"/>
          <w:divBdr>
            <w:top w:val="none" w:sz="0" w:space="0" w:color="auto"/>
            <w:left w:val="none" w:sz="0" w:space="0" w:color="auto"/>
            <w:bottom w:val="none" w:sz="0" w:space="0" w:color="auto"/>
            <w:right w:val="none" w:sz="0" w:space="0" w:color="auto"/>
          </w:divBdr>
        </w:div>
        <w:div w:id="267935743">
          <w:marLeft w:val="0"/>
          <w:marRight w:val="0"/>
          <w:marTop w:val="0"/>
          <w:marBottom w:val="0"/>
          <w:divBdr>
            <w:top w:val="none" w:sz="0" w:space="0" w:color="auto"/>
            <w:left w:val="none" w:sz="0" w:space="0" w:color="auto"/>
            <w:bottom w:val="none" w:sz="0" w:space="0" w:color="auto"/>
            <w:right w:val="none" w:sz="0" w:space="0" w:color="auto"/>
          </w:divBdr>
          <w:divsChild>
            <w:div w:id="1212770463">
              <w:marLeft w:val="0"/>
              <w:marRight w:val="0"/>
              <w:marTop w:val="0"/>
              <w:marBottom w:val="0"/>
              <w:divBdr>
                <w:top w:val="none" w:sz="0" w:space="0" w:color="auto"/>
                <w:left w:val="none" w:sz="0" w:space="0" w:color="auto"/>
                <w:bottom w:val="none" w:sz="0" w:space="0" w:color="auto"/>
                <w:right w:val="none" w:sz="0" w:space="0" w:color="auto"/>
              </w:divBdr>
            </w:div>
            <w:div w:id="1153984758">
              <w:marLeft w:val="0"/>
              <w:marRight w:val="0"/>
              <w:marTop w:val="0"/>
              <w:marBottom w:val="0"/>
              <w:divBdr>
                <w:top w:val="none" w:sz="0" w:space="0" w:color="auto"/>
                <w:left w:val="none" w:sz="0" w:space="0" w:color="auto"/>
                <w:bottom w:val="none" w:sz="0" w:space="0" w:color="auto"/>
                <w:right w:val="none" w:sz="0" w:space="0" w:color="auto"/>
              </w:divBdr>
            </w:div>
            <w:div w:id="1535999944">
              <w:marLeft w:val="0"/>
              <w:marRight w:val="0"/>
              <w:marTop w:val="0"/>
              <w:marBottom w:val="0"/>
              <w:divBdr>
                <w:top w:val="none" w:sz="0" w:space="0" w:color="auto"/>
                <w:left w:val="none" w:sz="0" w:space="0" w:color="auto"/>
                <w:bottom w:val="none" w:sz="0" w:space="0" w:color="auto"/>
                <w:right w:val="none" w:sz="0" w:space="0" w:color="auto"/>
              </w:divBdr>
            </w:div>
            <w:div w:id="1552959900">
              <w:marLeft w:val="0"/>
              <w:marRight w:val="0"/>
              <w:marTop w:val="0"/>
              <w:marBottom w:val="0"/>
              <w:divBdr>
                <w:top w:val="none" w:sz="0" w:space="0" w:color="auto"/>
                <w:left w:val="none" w:sz="0" w:space="0" w:color="auto"/>
                <w:bottom w:val="none" w:sz="0" w:space="0" w:color="auto"/>
                <w:right w:val="none" w:sz="0" w:space="0" w:color="auto"/>
              </w:divBdr>
            </w:div>
            <w:div w:id="1940333761">
              <w:marLeft w:val="0"/>
              <w:marRight w:val="0"/>
              <w:marTop w:val="0"/>
              <w:marBottom w:val="0"/>
              <w:divBdr>
                <w:top w:val="none" w:sz="0" w:space="0" w:color="auto"/>
                <w:left w:val="none" w:sz="0" w:space="0" w:color="auto"/>
                <w:bottom w:val="none" w:sz="0" w:space="0" w:color="auto"/>
                <w:right w:val="none" w:sz="0" w:space="0" w:color="auto"/>
              </w:divBdr>
            </w:div>
            <w:div w:id="479809665">
              <w:marLeft w:val="0"/>
              <w:marRight w:val="0"/>
              <w:marTop w:val="0"/>
              <w:marBottom w:val="0"/>
              <w:divBdr>
                <w:top w:val="none" w:sz="0" w:space="0" w:color="auto"/>
                <w:left w:val="none" w:sz="0" w:space="0" w:color="auto"/>
                <w:bottom w:val="none" w:sz="0" w:space="0" w:color="auto"/>
                <w:right w:val="none" w:sz="0" w:space="0" w:color="auto"/>
              </w:divBdr>
            </w:div>
          </w:divsChild>
        </w:div>
        <w:div w:id="1568227097">
          <w:marLeft w:val="0"/>
          <w:marRight w:val="0"/>
          <w:marTop w:val="0"/>
          <w:marBottom w:val="0"/>
          <w:divBdr>
            <w:top w:val="none" w:sz="0" w:space="0" w:color="auto"/>
            <w:left w:val="none" w:sz="0" w:space="0" w:color="auto"/>
            <w:bottom w:val="none" w:sz="0" w:space="0" w:color="auto"/>
            <w:right w:val="none" w:sz="0" w:space="0" w:color="auto"/>
          </w:divBdr>
        </w:div>
        <w:div w:id="1206335246">
          <w:marLeft w:val="0"/>
          <w:marRight w:val="0"/>
          <w:marTop w:val="0"/>
          <w:marBottom w:val="0"/>
          <w:divBdr>
            <w:top w:val="none" w:sz="0" w:space="0" w:color="auto"/>
            <w:left w:val="none" w:sz="0" w:space="0" w:color="auto"/>
            <w:bottom w:val="none" w:sz="0" w:space="0" w:color="auto"/>
            <w:right w:val="none" w:sz="0" w:space="0" w:color="auto"/>
          </w:divBdr>
        </w:div>
        <w:div w:id="466120168">
          <w:marLeft w:val="0"/>
          <w:marRight w:val="0"/>
          <w:marTop w:val="0"/>
          <w:marBottom w:val="0"/>
          <w:divBdr>
            <w:top w:val="none" w:sz="0" w:space="0" w:color="auto"/>
            <w:left w:val="none" w:sz="0" w:space="0" w:color="auto"/>
            <w:bottom w:val="none" w:sz="0" w:space="0" w:color="auto"/>
            <w:right w:val="none" w:sz="0" w:space="0" w:color="auto"/>
          </w:divBdr>
        </w:div>
        <w:div w:id="1964577520">
          <w:marLeft w:val="0"/>
          <w:marRight w:val="0"/>
          <w:marTop w:val="0"/>
          <w:marBottom w:val="0"/>
          <w:divBdr>
            <w:top w:val="none" w:sz="0" w:space="0" w:color="auto"/>
            <w:left w:val="none" w:sz="0" w:space="0" w:color="auto"/>
            <w:bottom w:val="none" w:sz="0" w:space="0" w:color="auto"/>
            <w:right w:val="none" w:sz="0" w:space="0" w:color="auto"/>
          </w:divBdr>
        </w:div>
        <w:div w:id="136921778">
          <w:marLeft w:val="0"/>
          <w:marRight w:val="0"/>
          <w:marTop w:val="0"/>
          <w:marBottom w:val="0"/>
          <w:divBdr>
            <w:top w:val="none" w:sz="0" w:space="0" w:color="auto"/>
            <w:left w:val="none" w:sz="0" w:space="0" w:color="auto"/>
            <w:bottom w:val="none" w:sz="0" w:space="0" w:color="auto"/>
            <w:right w:val="none" w:sz="0" w:space="0" w:color="auto"/>
          </w:divBdr>
        </w:div>
        <w:div w:id="1628975781">
          <w:marLeft w:val="0"/>
          <w:marRight w:val="0"/>
          <w:marTop w:val="0"/>
          <w:marBottom w:val="0"/>
          <w:divBdr>
            <w:top w:val="none" w:sz="0" w:space="0" w:color="auto"/>
            <w:left w:val="none" w:sz="0" w:space="0" w:color="auto"/>
            <w:bottom w:val="none" w:sz="0" w:space="0" w:color="auto"/>
            <w:right w:val="none" w:sz="0" w:space="0" w:color="auto"/>
          </w:divBdr>
          <w:divsChild>
            <w:div w:id="1279607733">
              <w:marLeft w:val="0"/>
              <w:marRight w:val="0"/>
              <w:marTop w:val="0"/>
              <w:marBottom w:val="0"/>
              <w:divBdr>
                <w:top w:val="none" w:sz="0" w:space="0" w:color="auto"/>
                <w:left w:val="none" w:sz="0" w:space="0" w:color="auto"/>
                <w:bottom w:val="none" w:sz="0" w:space="0" w:color="auto"/>
                <w:right w:val="none" w:sz="0" w:space="0" w:color="auto"/>
              </w:divBdr>
            </w:div>
            <w:div w:id="17195175">
              <w:marLeft w:val="0"/>
              <w:marRight w:val="0"/>
              <w:marTop w:val="0"/>
              <w:marBottom w:val="0"/>
              <w:divBdr>
                <w:top w:val="none" w:sz="0" w:space="0" w:color="auto"/>
                <w:left w:val="none" w:sz="0" w:space="0" w:color="auto"/>
                <w:bottom w:val="none" w:sz="0" w:space="0" w:color="auto"/>
                <w:right w:val="none" w:sz="0" w:space="0" w:color="auto"/>
              </w:divBdr>
            </w:div>
            <w:div w:id="1875651108">
              <w:marLeft w:val="0"/>
              <w:marRight w:val="0"/>
              <w:marTop w:val="0"/>
              <w:marBottom w:val="0"/>
              <w:divBdr>
                <w:top w:val="none" w:sz="0" w:space="0" w:color="auto"/>
                <w:left w:val="none" w:sz="0" w:space="0" w:color="auto"/>
                <w:bottom w:val="none" w:sz="0" w:space="0" w:color="auto"/>
                <w:right w:val="none" w:sz="0" w:space="0" w:color="auto"/>
              </w:divBdr>
            </w:div>
            <w:div w:id="1094284024">
              <w:marLeft w:val="0"/>
              <w:marRight w:val="0"/>
              <w:marTop w:val="0"/>
              <w:marBottom w:val="0"/>
              <w:divBdr>
                <w:top w:val="none" w:sz="0" w:space="0" w:color="auto"/>
                <w:left w:val="none" w:sz="0" w:space="0" w:color="auto"/>
                <w:bottom w:val="none" w:sz="0" w:space="0" w:color="auto"/>
                <w:right w:val="none" w:sz="0" w:space="0" w:color="auto"/>
              </w:divBdr>
            </w:div>
            <w:div w:id="1353804460">
              <w:marLeft w:val="0"/>
              <w:marRight w:val="0"/>
              <w:marTop w:val="0"/>
              <w:marBottom w:val="0"/>
              <w:divBdr>
                <w:top w:val="none" w:sz="0" w:space="0" w:color="auto"/>
                <w:left w:val="none" w:sz="0" w:space="0" w:color="auto"/>
                <w:bottom w:val="none" w:sz="0" w:space="0" w:color="auto"/>
                <w:right w:val="none" w:sz="0" w:space="0" w:color="auto"/>
              </w:divBdr>
            </w:div>
          </w:divsChild>
        </w:div>
        <w:div w:id="297993925">
          <w:marLeft w:val="0"/>
          <w:marRight w:val="0"/>
          <w:marTop w:val="0"/>
          <w:marBottom w:val="0"/>
          <w:divBdr>
            <w:top w:val="none" w:sz="0" w:space="0" w:color="auto"/>
            <w:left w:val="none" w:sz="0" w:space="0" w:color="auto"/>
            <w:bottom w:val="none" w:sz="0" w:space="0" w:color="auto"/>
            <w:right w:val="none" w:sz="0" w:space="0" w:color="auto"/>
          </w:divBdr>
          <w:divsChild>
            <w:div w:id="2122527488">
              <w:marLeft w:val="0"/>
              <w:marRight w:val="0"/>
              <w:marTop w:val="0"/>
              <w:marBottom w:val="0"/>
              <w:divBdr>
                <w:top w:val="none" w:sz="0" w:space="0" w:color="auto"/>
                <w:left w:val="none" w:sz="0" w:space="0" w:color="auto"/>
                <w:bottom w:val="none" w:sz="0" w:space="0" w:color="auto"/>
                <w:right w:val="none" w:sz="0" w:space="0" w:color="auto"/>
              </w:divBdr>
            </w:div>
            <w:div w:id="394476290">
              <w:marLeft w:val="0"/>
              <w:marRight w:val="0"/>
              <w:marTop w:val="0"/>
              <w:marBottom w:val="0"/>
              <w:divBdr>
                <w:top w:val="none" w:sz="0" w:space="0" w:color="auto"/>
                <w:left w:val="none" w:sz="0" w:space="0" w:color="auto"/>
                <w:bottom w:val="none" w:sz="0" w:space="0" w:color="auto"/>
                <w:right w:val="none" w:sz="0" w:space="0" w:color="auto"/>
              </w:divBdr>
            </w:div>
            <w:div w:id="1803958910">
              <w:marLeft w:val="0"/>
              <w:marRight w:val="0"/>
              <w:marTop w:val="0"/>
              <w:marBottom w:val="0"/>
              <w:divBdr>
                <w:top w:val="none" w:sz="0" w:space="0" w:color="auto"/>
                <w:left w:val="none" w:sz="0" w:space="0" w:color="auto"/>
                <w:bottom w:val="none" w:sz="0" w:space="0" w:color="auto"/>
                <w:right w:val="none" w:sz="0" w:space="0" w:color="auto"/>
              </w:divBdr>
            </w:div>
            <w:div w:id="1187524144">
              <w:marLeft w:val="0"/>
              <w:marRight w:val="0"/>
              <w:marTop w:val="0"/>
              <w:marBottom w:val="0"/>
              <w:divBdr>
                <w:top w:val="none" w:sz="0" w:space="0" w:color="auto"/>
                <w:left w:val="none" w:sz="0" w:space="0" w:color="auto"/>
                <w:bottom w:val="none" w:sz="0" w:space="0" w:color="auto"/>
                <w:right w:val="none" w:sz="0" w:space="0" w:color="auto"/>
              </w:divBdr>
            </w:div>
            <w:div w:id="751394052">
              <w:marLeft w:val="0"/>
              <w:marRight w:val="0"/>
              <w:marTop w:val="0"/>
              <w:marBottom w:val="0"/>
              <w:divBdr>
                <w:top w:val="none" w:sz="0" w:space="0" w:color="auto"/>
                <w:left w:val="none" w:sz="0" w:space="0" w:color="auto"/>
                <w:bottom w:val="none" w:sz="0" w:space="0" w:color="auto"/>
                <w:right w:val="none" w:sz="0" w:space="0" w:color="auto"/>
              </w:divBdr>
            </w:div>
          </w:divsChild>
        </w:div>
        <w:div w:id="296490501">
          <w:marLeft w:val="0"/>
          <w:marRight w:val="0"/>
          <w:marTop w:val="0"/>
          <w:marBottom w:val="0"/>
          <w:divBdr>
            <w:top w:val="none" w:sz="0" w:space="0" w:color="auto"/>
            <w:left w:val="none" w:sz="0" w:space="0" w:color="auto"/>
            <w:bottom w:val="none" w:sz="0" w:space="0" w:color="auto"/>
            <w:right w:val="none" w:sz="0" w:space="0" w:color="auto"/>
          </w:divBdr>
          <w:divsChild>
            <w:div w:id="731198024">
              <w:marLeft w:val="0"/>
              <w:marRight w:val="0"/>
              <w:marTop w:val="0"/>
              <w:marBottom w:val="0"/>
              <w:divBdr>
                <w:top w:val="none" w:sz="0" w:space="0" w:color="auto"/>
                <w:left w:val="none" w:sz="0" w:space="0" w:color="auto"/>
                <w:bottom w:val="none" w:sz="0" w:space="0" w:color="auto"/>
                <w:right w:val="none" w:sz="0" w:space="0" w:color="auto"/>
              </w:divBdr>
            </w:div>
            <w:div w:id="216934621">
              <w:marLeft w:val="0"/>
              <w:marRight w:val="0"/>
              <w:marTop w:val="0"/>
              <w:marBottom w:val="0"/>
              <w:divBdr>
                <w:top w:val="none" w:sz="0" w:space="0" w:color="auto"/>
                <w:left w:val="none" w:sz="0" w:space="0" w:color="auto"/>
                <w:bottom w:val="none" w:sz="0" w:space="0" w:color="auto"/>
                <w:right w:val="none" w:sz="0" w:space="0" w:color="auto"/>
              </w:divBdr>
            </w:div>
            <w:div w:id="1783110888">
              <w:marLeft w:val="0"/>
              <w:marRight w:val="0"/>
              <w:marTop w:val="0"/>
              <w:marBottom w:val="0"/>
              <w:divBdr>
                <w:top w:val="none" w:sz="0" w:space="0" w:color="auto"/>
                <w:left w:val="none" w:sz="0" w:space="0" w:color="auto"/>
                <w:bottom w:val="none" w:sz="0" w:space="0" w:color="auto"/>
                <w:right w:val="none" w:sz="0" w:space="0" w:color="auto"/>
              </w:divBdr>
            </w:div>
          </w:divsChild>
        </w:div>
        <w:div w:id="1887714610">
          <w:marLeft w:val="0"/>
          <w:marRight w:val="0"/>
          <w:marTop w:val="0"/>
          <w:marBottom w:val="0"/>
          <w:divBdr>
            <w:top w:val="none" w:sz="0" w:space="0" w:color="auto"/>
            <w:left w:val="none" w:sz="0" w:space="0" w:color="auto"/>
            <w:bottom w:val="none" w:sz="0" w:space="0" w:color="auto"/>
            <w:right w:val="none" w:sz="0" w:space="0" w:color="auto"/>
          </w:divBdr>
          <w:divsChild>
            <w:div w:id="999115252">
              <w:marLeft w:val="0"/>
              <w:marRight w:val="0"/>
              <w:marTop w:val="0"/>
              <w:marBottom w:val="0"/>
              <w:divBdr>
                <w:top w:val="none" w:sz="0" w:space="0" w:color="auto"/>
                <w:left w:val="none" w:sz="0" w:space="0" w:color="auto"/>
                <w:bottom w:val="none" w:sz="0" w:space="0" w:color="auto"/>
                <w:right w:val="none" w:sz="0" w:space="0" w:color="auto"/>
              </w:divBdr>
            </w:div>
            <w:div w:id="705832294">
              <w:marLeft w:val="0"/>
              <w:marRight w:val="0"/>
              <w:marTop w:val="0"/>
              <w:marBottom w:val="0"/>
              <w:divBdr>
                <w:top w:val="none" w:sz="0" w:space="0" w:color="auto"/>
                <w:left w:val="none" w:sz="0" w:space="0" w:color="auto"/>
                <w:bottom w:val="none" w:sz="0" w:space="0" w:color="auto"/>
                <w:right w:val="none" w:sz="0" w:space="0" w:color="auto"/>
              </w:divBdr>
            </w:div>
            <w:div w:id="117577047">
              <w:marLeft w:val="0"/>
              <w:marRight w:val="0"/>
              <w:marTop w:val="0"/>
              <w:marBottom w:val="0"/>
              <w:divBdr>
                <w:top w:val="none" w:sz="0" w:space="0" w:color="auto"/>
                <w:left w:val="none" w:sz="0" w:space="0" w:color="auto"/>
                <w:bottom w:val="none" w:sz="0" w:space="0" w:color="auto"/>
                <w:right w:val="none" w:sz="0" w:space="0" w:color="auto"/>
              </w:divBdr>
            </w:div>
            <w:div w:id="992027041">
              <w:marLeft w:val="0"/>
              <w:marRight w:val="0"/>
              <w:marTop w:val="0"/>
              <w:marBottom w:val="0"/>
              <w:divBdr>
                <w:top w:val="none" w:sz="0" w:space="0" w:color="auto"/>
                <w:left w:val="none" w:sz="0" w:space="0" w:color="auto"/>
                <w:bottom w:val="none" w:sz="0" w:space="0" w:color="auto"/>
                <w:right w:val="none" w:sz="0" w:space="0" w:color="auto"/>
              </w:divBdr>
            </w:div>
            <w:div w:id="693700607">
              <w:marLeft w:val="0"/>
              <w:marRight w:val="0"/>
              <w:marTop w:val="0"/>
              <w:marBottom w:val="0"/>
              <w:divBdr>
                <w:top w:val="none" w:sz="0" w:space="0" w:color="auto"/>
                <w:left w:val="none" w:sz="0" w:space="0" w:color="auto"/>
                <w:bottom w:val="none" w:sz="0" w:space="0" w:color="auto"/>
                <w:right w:val="none" w:sz="0" w:space="0" w:color="auto"/>
              </w:divBdr>
            </w:div>
            <w:div w:id="1330717998">
              <w:marLeft w:val="0"/>
              <w:marRight w:val="0"/>
              <w:marTop w:val="0"/>
              <w:marBottom w:val="0"/>
              <w:divBdr>
                <w:top w:val="none" w:sz="0" w:space="0" w:color="auto"/>
                <w:left w:val="none" w:sz="0" w:space="0" w:color="auto"/>
                <w:bottom w:val="none" w:sz="0" w:space="0" w:color="auto"/>
                <w:right w:val="none" w:sz="0" w:space="0" w:color="auto"/>
              </w:divBdr>
            </w:div>
          </w:divsChild>
        </w:div>
        <w:div w:id="340477815">
          <w:marLeft w:val="0"/>
          <w:marRight w:val="0"/>
          <w:marTop w:val="0"/>
          <w:marBottom w:val="0"/>
          <w:divBdr>
            <w:top w:val="none" w:sz="0" w:space="0" w:color="auto"/>
            <w:left w:val="none" w:sz="0" w:space="0" w:color="auto"/>
            <w:bottom w:val="none" w:sz="0" w:space="0" w:color="auto"/>
            <w:right w:val="none" w:sz="0" w:space="0" w:color="auto"/>
          </w:divBdr>
          <w:divsChild>
            <w:div w:id="1758864975">
              <w:marLeft w:val="0"/>
              <w:marRight w:val="0"/>
              <w:marTop w:val="0"/>
              <w:marBottom w:val="0"/>
              <w:divBdr>
                <w:top w:val="none" w:sz="0" w:space="0" w:color="auto"/>
                <w:left w:val="none" w:sz="0" w:space="0" w:color="auto"/>
                <w:bottom w:val="none" w:sz="0" w:space="0" w:color="auto"/>
                <w:right w:val="none" w:sz="0" w:space="0" w:color="auto"/>
              </w:divBdr>
            </w:div>
            <w:div w:id="668754744">
              <w:marLeft w:val="0"/>
              <w:marRight w:val="0"/>
              <w:marTop w:val="0"/>
              <w:marBottom w:val="0"/>
              <w:divBdr>
                <w:top w:val="none" w:sz="0" w:space="0" w:color="auto"/>
                <w:left w:val="none" w:sz="0" w:space="0" w:color="auto"/>
                <w:bottom w:val="none" w:sz="0" w:space="0" w:color="auto"/>
                <w:right w:val="none" w:sz="0" w:space="0" w:color="auto"/>
              </w:divBdr>
            </w:div>
            <w:div w:id="321126949">
              <w:marLeft w:val="0"/>
              <w:marRight w:val="0"/>
              <w:marTop w:val="0"/>
              <w:marBottom w:val="0"/>
              <w:divBdr>
                <w:top w:val="none" w:sz="0" w:space="0" w:color="auto"/>
                <w:left w:val="none" w:sz="0" w:space="0" w:color="auto"/>
                <w:bottom w:val="none" w:sz="0" w:space="0" w:color="auto"/>
                <w:right w:val="none" w:sz="0" w:space="0" w:color="auto"/>
              </w:divBdr>
            </w:div>
            <w:div w:id="1086607259">
              <w:marLeft w:val="0"/>
              <w:marRight w:val="0"/>
              <w:marTop w:val="0"/>
              <w:marBottom w:val="0"/>
              <w:divBdr>
                <w:top w:val="none" w:sz="0" w:space="0" w:color="auto"/>
                <w:left w:val="none" w:sz="0" w:space="0" w:color="auto"/>
                <w:bottom w:val="none" w:sz="0" w:space="0" w:color="auto"/>
                <w:right w:val="none" w:sz="0" w:space="0" w:color="auto"/>
              </w:divBdr>
            </w:div>
          </w:divsChild>
        </w:div>
        <w:div w:id="1812017275">
          <w:marLeft w:val="0"/>
          <w:marRight w:val="0"/>
          <w:marTop w:val="0"/>
          <w:marBottom w:val="0"/>
          <w:divBdr>
            <w:top w:val="none" w:sz="0" w:space="0" w:color="auto"/>
            <w:left w:val="none" w:sz="0" w:space="0" w:color="auto"/>
            <w:bottom w:val="none" w:sz="0" w:space="0" w:color="auto"/>
            <w:right w:val="none" w:sz="0" w:space="0" w:color="auto"/>
          </w:divBdr>
          <w:divsChild>
            <w:div w:id="1034385543">
              <w:marLeft w:val="0"/>
              <w:marRight w:val="0"/>
              <w:marTop w:val="0"/>
              <w:marBottom w:val="0"/>
              <w:divBdr>
                <w:top w:val="none" w:sz="0" w:space="0" w:color="auto"/>
                <w:left w:val="none" w:sz="0" w:space="0" w:color="auto"/>
                <w:bottom w:val="none" w:sz="0" w:space="0" w:color="auto"/>
                <w:right w:val="none" w:sz="0" w:space="0" w:color="auto"/>
              </w:divBdr>
            </w:div>
            <w:div w:id="83957166">
              <w:marLeft w:val="0"/>
              <w:marRight w:val="0"/>
              <w:marTop w:val="0"/>
              <w:marBottom w:val="0"/>
              <w:divBdr>
                <w:top w:val="none" w:sz="0" w:space="0" w:color="auto"/>
                <w:left w:val="none" w:sz="0" w:space="0" w:color="auto"/>
                <w:bottom w:val="none" w:sz="0" w:space="0" w:color="auto"/>
                <w:right w:val="none" w:sz="0" w:space="0" w:color="auto"/>
              </w:divBdr>
            </w:div>
            <w:div w:id="929774547">
              <w:marLeft w:val="0"/>
              <w:marRight w:val="0"/>
              <w:marTop w:val="0"/>
              <w:marBottom w:val="0"/>
              <w:divBdr>
                <w:top w:val="none" w:sz="0" w:space="0" w:color="auto"/>
                <w:left w:val="none" w:sz="0" w:space="0" w:color="auto"/>
                <w:bottom w:val="none" w:sz="0" w:space="0" w:color="auto"/>
                <w:right w:val="none" w:sz="0" w:space="0" w:color="auto"/>
              </w:divBdr>
            </w:div>
            <w:div w:id="948586487">
              <w:marLeft w:val="0"/>
              <w:marRight w:val="0"/>
              <w:marTop w:val="0"/>
              <w:marBottom w:val="0"/>
              <w:divBdr>
                <w:top w:val="none" w:sz="0" w:space="0" w:color="auto"/>
                <w:left w:val="none" w:sz="0" w:space="0" w:color="auto"/>
                <w:bottom w:val="none" w:sz="0" w:space="0" w:color="auto"/>
                <w:right w:val="none" w:sz="0" w:space="0" w:color="auto"/>
              </w:divBdr>
            </w:div>
          </w:divsChild>
        </w:div>
        <w:div w:id="119494591">
          <w:marLeft w:val="0"/>
          <w:marRight w:val="0"/>
          <w:marTop w:val="0"/>
          <w:marBottom w:val="0"/>
          <w:divBdr>
            <w:top w:val="none" w:sz="0" w:space="0" w:color="auto"/>
            <w:left w:val="none" w:sz="0" w:space="0" w:color="auto"/>
            <w:bottom w:val="none" w:sz="0" w:space="0" w:color="auto"/>
            <w:right w:val="none" w:sz="0" w:space="0" w:color="auto"/>
          </w:divBdr>
        </w:div>
        <w:div w:id="1315916639">
          <w:marLeft w:val="0"/>
          <w:marRight w:val="0"/>
          <w:marTop w:val="0"/>
          <w:marBottom w:val="0"/>
          <w:divBdr>
            <w:top w:val="none" w:sz="0" w:space="0" w:color="auto"/>
            <w:left w:val="none" w:sz="0" w:space="0" w:color="auto"/>
            <w:bottom w:val="none" w:sz="0" w:space="0" w:color="auto"/>
            <w:right w:val="none" w:sz="0" w:space="0" w:color="auto"/>
          </w:divBdr>
        </w:div>
        <w:div w:id="573591451">
          <w:marLeft w:val="0"/>
          <w:marRight w:val="0"/>
          <w:marTop w:val="0"/>
          <w:marBottom w:val="0"/>
          <w:divBdr>
            <w:top w:val="none" w:sz="0" w:space="0" w:color="auto"/>
            <w:left w:val="none" w:sz="0" w:space="0" w:color="auto"/>
            <w:bottom w:val="none" w:sz="0" w:space="0" w:color="auto"/>
            <w:right w:val="none" w:sz="0" w:space="0" w:color="auto"/>
          </w:divBdr>
        </w:div>
        <w:div w:id="430397592">
          <w:marLeft w:val="0"/>
          <w:marRight w:val="0"/>
          <w:marTop w:val="0"/>
          <w:marBottom w:val="0"/>
          <w:divBdr>
            <w:top w:val="none" w:sz="0" w:space="0" w:color="auto"/>
            <w:left w:val="none" w:sz="0" w:space="0" w:color="auto"/>
            <w:bottom w:val="none" w:sz="0" w:space="0" w:color="auto"/>
            <w:right w:val="none" w:sz="0" w:space="0" w:color="auto"/>
          </w:divBdr>
        </w:div>
        <w:div w:id="1583639607">
          <w:marLeft w:val="0"/>
          <w:marRight w:val="0"/>
          <w:marTop w:val="0"/>
          <w:marBottom w:val="0"/>
          <w:divBdr>
            <w:top w:val="none" w:sz="0" w:space="0" w:color="auto"/>
            <w:left w:val="none" w:sz="0" w:space="0" w:color="auto"/>
            <w:bottom w:val="none" w:sz="0" w:space="0" w:color="auto"/>
            <w:right w:val="none" w:sz="0" w:space="0" w:color="auto"/>
          </w:divBdr>
        </w:div>
        <w:div w:id="565606990">
          <w:marLeft w:val="0"/>
          <w:marRight w:val="0"/>
          <w:marTop w:val="0"/>
          <w:marBottom w:val="0"/>
          <w:divBdr>
            <w:top w:val="none" w:sz="0" w:space="0" w:color="auto"/>
            <w:left w:val="none" w:sz="0" w:space="0" w:color="auto"/>
            <w:bottom w:val="none" w:sz="0" w:space="0" w:color="auto"/>
            <w:right w:val="none" w:sz="0" w:space="0" w:color="auto"/>
          </w:divBdr>
        </w:div>
        <w:div w:id="664477539">
          <w:marLeft w:val="0"/>
          <w:marRight w:val="0"/>
          <w:marTop w:val="0"/>
          <w:marBottom w:val="0"/>
          <w:divBdr>
            <w:top w:val="none" w:sz="0" w:space="0" w:color="auto"/>
            <w:left w:val="none" w:sz="0" w:space="0" w:color="auto"/>
            <w:bottom w:val="none" w:sz="0" w:space="0" w:color="auto"/>
            <w:right w:val="none" w:sz="0" w:space="0" w:color="auto"/>
          </w:divBdr>
        </w:div>
        <w:div w:id="640160745">
          <w:marLeft w:val="0"/>
          <w:marRight w:val="0"/>
          <w:marTop w:val="0"/>
          <w:marBottom w:val="0"/>
          <w:divBdr>
            <w:top w:val="none" w:sz="0" w:space="0" w:color="auto"/>
            <w:left w:val="none" w:sz="0" w:space="0" w:color="auto"/>
            <w:bottom w:val="none" w:sz="0" w:space="0" w:color="auto"/>
            <w:right w:val="none" w:sz="0" w:space="0" w:color="auto"/>
          </w:divBdr>
        </w:div>
        <w:div w:id="1549992817">
          <w:marLeft w:val="0"/>
          <w:marRight w:val="0"/>
          <w:marTop w:val="0"/>
          <w:marBottom w:val="0"/>
          <w:divBdr>
            <w:top w:val="none" w:sz="0" w:space="0" w:color="auto"/>
            <w:left w:val="none" w:sz="0" w:space="0" w:color="auto"/>
            <w:bottom w:val="none" w:sz="0" w:space="0" w:color="auto"/>
            <w:right w:val="none" w:sz="0" w:space="0" w:color="auto"/>
          </w:divBdr>
        </w:div>
        <w:div w:id="419908201">
          <w:marLeft w:val="0"/>
          <w:marRight w:val="0"/>
          <w:marTop w:val="0"/>
          <w:marBottom w:val="0"/>
          <w:divBdr>
            <w:top w:val="none" w:sz="0" w:space="0" w:color="auto"/>
            <w:left w:val="none" w:sz="0" w:space="0" w:color="auto"/>
            <w:bottom w:val="none" w:sz="0" w:space="0" w:color="auto"/>
            <w:right w:val="none" w:sz="0" w:space="0" w:color="auto"/>
          </w:divBdr>
        </w:div>
        <w:div w:id="1119493729">
          <w:marLeft w:val="0"/>
          <w:marRight w:val="0"/>
          <w:marTop w:val="0"/>
          <w:marBottom w:val="0"/>
          <w:divBdr>
            <w:top w:val="none" w:sz="0" w:space="0" w:color="auto"/>
            <w:left w:val="none" w:sz="0" w:space="0" w:color="auto"/>
            <w:bottom w:val="none" w:sz="0" w:space="0" w:color="auto"/>
            <w:right w:val="none" w:sz="0" w:space="0" w:color="auto"/>
          </w:divBdr>
        </w:div>
        <w:div w:id="2114476037">
          <w:marLeft w:val="0"/>
          <w:marRight w:val="0"/>
          <w:marTop w:val="0"/>
          <w:marBottom w:val="0"/>
          <w:divBdr>
            <w:top w:val="none" w:sz="0" w:space="0" w:color="auto"/>
            <w:left w:val="none" w:sz="0" w:space="0" w:color="auto"/>
            <w:bottom w:val="none" w:sz="0" w:space="0" w:color="auto"/>
            <w:right w:val="none" w:sz="0" w:space="0" w:color="auto"/>
          </w:divBdr>
        </w:div>
        <w:div w:id="1293056917">
          <w:marLeft w:val="0"/>
          <w:marRight w:val="0"/>
          <w:marTop w:val="0"/>
          <w:marBottom w:val="0"/>
          <w:divBdr>
            <w:top w:val="none" w:sz="0" w:space="0" w:color="auto"/>
            <w:left w:val="none" w:sz="0" w:space="0" w:color="auto"/>
            <w:bottom w:val="none" w:sz="0" w:space="0" w:color="auto"/>
            <w:right w:val="none" w:sz="0" w:space="0" w:color="auto"/>
          </w:divBdr>
        </w:div>
        <w:div w:id="735276213">
          <w:marLeft w:val="0"/>
          <w:marRight w:val="0"/>
          <w:marTop w:val="0"/>
          <w:marBottom w:val="0"/>
          <w:divBdr>
            <w:top w:val="none" w:sz="0" w:space="0" w:color="auto"/>
            <w:left w:val="none" w:sz="0" w:space="0" w:color="auto"/>
            <w:bottom w:val="none" w:sz="0" w:space="0" w:color="auto"/>
            <w:right w:val="none" w:sz="0" w:space="0" w:color="auto"/>
          </w:divBdr>
        </w:div>
        <w:div w:id="46222049">
          <w:marLeft w:val="0"/>
          <w:marRight w:val="0"/>
          <w:marTop w:val="0"/>
          <w:marBottom w:val="0"/>
          <w:divBdr>
            <w:top w:val="none" w:sz="0" w:space="0" w:color="auto"/>
            <w:left w:val="none" w:sz="0" w:space="0" w:color="auto"/>
            <w:bottom w:val="none" w:sz="0" w:space="0" w:color="auto"/>
            <w:right w:val="none" w:sz="0" w:space="0" w:color="auto"/>
          </w:divBdr>
        </w:div>
        <w:div w:id="873882069">
          <w:marLeft w:val="0"/>
          <w:marRight w:val="0"/>
          <w:marTop w:val="0"/>
          <w:marBottom w:val="0"/>
          <w:divBdr>
            <w:top w:val="none" w:sz="0" w:space="0" w:color="auto"/>
            <w:left w:val="none" w:sz="0" w:space="0" w:color="auto"/>
            <w:bottom w:val="none" w:sz="0" w:space="0" w:color="auto"/>
            <w:right w:val="none" w:sz="0" w:space="0" w:color="auto"/>
          </w:divBdr>
        </w:div>
        <w:div w:id="1441145253">
          <w:marLeft w:val="0"/>
          <w:marRight w:val="0"/>
          <w:marTop w:val="0"/>
          <w:marBottom w:val="0"/>
          <w:divBdr>
            <w:top w:val="none" w:sz="0" w:space="0" w:color="auto"/>
            <w:left w:val="none" w:sz="0" w:space="0" w:color="auto"/>
            <w:bottom w:val="none" w:sz="0" w:space="0" w:color="auto"/>
            <w:right w:val="none" w:sz="0" w:space="0" w:color="auto"/>
          </w:divBdr>
        </w:div>
        <w:div w:id="1398481489">
          <w:marLeft w:val="0"/>
          <w:marRight w:val="0"/>
          <w:marTop w:val="0"/>
          <w:marBottom w:val="0"/>
          <w:divBdr>
            <w:top w:val="none" w:sz="0" w:space="0" w:color="auto"/>
            <w:left w:val="none" w:sz="0" w:space="0" w:color="auto"/>
            <w:bottom w:val="none" w:sz="0" w:space="0" w:color="auto"/>
            <w:right w:val="none" w:sz="0" w:space="0" w:color="auto"/>
          </w:divBdr>
        </w:div>
        <w:div w:id="562955371">
          <w:marLeft w:val="0"/>
          <w:marRight w:val="0"/>
          <w:marTop w:val="0"/>
          <w:marBottom w:val="0"/>
          <w:divBdr>
            <w:top w:val="none" w:sz="0" w:space="0" w:color="auto"/>
            <w:left w:val="none" w:sz="0" w:space="0" w:color="auto"/>
            <w:bottom w:val="none" w:sz="0" w:space="0" w:color="auto"/>
            <w:right w:val="none" w:sz="0" w:space="0" w:color="auto"/>
          </w:divBdr>
        </w:div>
        <w:div w:id="2002811578">
          <w:marLeft w:val="0"/>
          <w:marRight w:val="0"/>
          <w:marTop w:val="0"/>
          <w:marBottom w:val="0"/>
          <w:divBdr>
            <w:top w:val="none" w:sz="0" w:space="0" w:color="auto"/>
            <w:left w:val="none" w:sz="0" w:space="0" w:color="auto"/>
            <w:bottom w:val="none" w:sz="0" w:space="0" w:color="auto"/>
            <w:right w:val="none" w:sz="0" w:space="0" w:color="auto"/>
          </w:divBdr>
          <w:divsChild>
            <w:div w:id="2062896400">
              <w:marLeft w:val="0"/>
              <w:marRight w:val="0"/>
              <w:marTop w:val="0"/>
              <w:marBottom w:val="0"/>
              <w:divBdr>
                <w:top w:val="none" w:sz="0" w:space="0" w:color="auto"/>
                <w:left w:val="none" w:sz="0" w:space="0" w:color="auto"/>
                <w:bottom w:val="none" w:sz="0" w:space="0" w:color="auto"/>
                <w:right w:val="none" w:sz="0" w:space="0" w:color="auto"/>
              </w:divBdr>
            </w:div>
            <w:div w:id="72821892">
              <w:marLeft w:val="0"/>
              <w:marRight w:val="0"/>
              <w:marTop w:val="0"/>
              <w:marBottom w:val="0"/>
              <w:divBdr>
                <w:top w:val="none" w:sz="0" w:space="0" w:color="auto"/>
                <w:left w:val="none" w:sz="0" w:space="0" w:color="auto"/>
                <w:bottom w:val="none" w:sz="0" w:space="0" w:color="auto"/>
                <w:right w:val="none" w:sz="0" w:space="0" w:color="auto"/>
              </w:divBdr>
            </w:div>
            <w:div w:id="2089224699">
              <w:marLeft w:val="0"/>
              <w:marRight w:val="0"/>
              <w:marTop w:val="0"/>
              <w:marBottom w:val="0"/>
              <w:divBdr>
                <w:top w:val="none" w:sz="0" w:space="0" w:color="auto"/>
                <w:left w:val="none" w:sz="0" w:space="0" w:color="auto"/>
                <w:bottom w:val="none" w:sz="0" w:space="0" w:color="auto"/>
                <w:right w:val="none" w:sz="0" w:space="0" w:color="auto"/>
              </w:divBdr>
            </w:div>
            <w:div w:id="2022929988">
              <w:marLeft w:val="0"/>
              <w:marRight w:val="0"/>
              <w:marTop w:val="0"/>
              <w:marBottom w:val="0"/>
              <w:divBdr>
                <w:top w:val="none" w:sz="0" w:space="0" w:color="auto"/>
                <w:left w:val="none" w:sz="0" w:space="0" w:color="auto"/>
                <w:bottom w:val="none" w:sz="0" w:space="0" w:color="auto"/>
                <w:right w:val="none" w:sz="0" w:space="0" w:color="auto"/>
              </w:divBdr>
            </w:div>
            <w:div w:id="1428191247">
              <w:marLeft w:val="0"/>
              <w:marRight w:val="0"/>
              <w:marTop w:val="0"/>
              <w:marBottom w:val="0"/>
              <w:divBdr>
                <w:top w:val="none" w:sz="0" w:space="0" w:color="auto"/>
                <w:left w:val="none" w:sz="0" w:space="0" w:color="auto"/>
                <w:bottom w:val="none" w:sz="0" w:space="0" w:color="auto"/>
                <w:right w:val="none" w:sz="0" w:space="0" w:color="auto"/>
              </w:divBdr>
            </w:div>
          </w:divsChild>
        </w:div>
        <w:div w:id="1467429316">
          <w:marLeft w:val="0"/>
          <w:marRight w:val="0"/>
          <w:marTop w:val="0"/>
          <w:marBottom w:val="0"/>
          <w:divBdr>
            <w:top w:val="none" w:sz="0" w:space="0" w:color="auto"/>
            <w:left w:val="none" w:sz="0" w:space="0" w:color="auto"/>
            <w:bottom w:val="none" w:sz="0" w:space="0" w:color="auto"/>
            <w:right w:val="none" w:sz="0" w:space="0" w:color="auto"/>
          </w:divBdr>
          <w:divsChild>
            <w:div w:id="1687248652">
              <w:marLeft w:val="0"/>
              <w:marRight w:val="0"/>
              <w:marTop w:val="0"/>
              <w:marBottom w:val="0"/>
              <w:divBdr>
                <w:top w:val="none" w:sz="0" w:space="0" w:color="auto"/>
                <w:left w:val="none" w:sz="0" w:space="0" w:color="auto"/>
                <w:bottom w:val="none" w:sz="0" w:space="0" w:color="auto"/>
                <w:right w:val="none" w:sz="0" w:space="0" w:color="auto"/>
              </w:divBdr>
            </w:div>
            <w:div w:id="1762098434">
              <w:marLeft w:val="0"/>
              <w:marRight w:val="0"/>
              <w:marTop w:val="0"/>
              <w:marBottom w:val="0"/>
              <w:divBdr>
                <w:top w:val="none" w:sz="0" w:space="0" w:color="auto"/>
                <w:left w:val="none" w:sz="0" w:space="0" w:color="auto"/>
                <w:bottom w:val="none" w:sz="0" w:space="0" w:color="auto"/>
                <w:right w:val="none" w:sz="0" w:space="0" w:color="auto"/>
              </w:divBdr>
            </w:div>
            <w:div w:id="1934430314">
              <w:marLeft w:val="0"/>
              <w:marRight w:val="0"/>
              <w:marTop w:val="0"/>
              <w:marBottom w:val="0"/>
              <w:divBdr>
                <w:top w:val="none" w:sz="0" w:space="0" w:color="auto"/>
                <w:left w:val="none" w:sz="0" w:space="0" w:color="auto"/>
                <w:bottom w:val="none" w:sz="0" w:space="0" w:color="auto"/>
                <w:right w:val="none" w:sz="0" w:space="0" w:color="auto"/>
              </w:divBdr>
            </w:div>
            <w:div w:id="1062606401">
              <w:marLeft w:val="0"/>
              <w:marRight w:val="0"/>
              <w:marTop w:val="0"/>
              <w:marBottom w:val="0"/>
              <w:divBdr>
                <w:top w:val="none" w:sz="0" w:space="0" w:color="auto"/>
                <w:left w:val="none" w:sz="0" w:space="0" w:color="auto"/>
                <w:bottom w:val="none" w:sz="0" w:space="0" w:color="auto"/>
                <w:right w:val="none" w:sz="0" w:space="0" w:color="auto"/>
              </w:divBdr>
            </w:div>
            <w:div w:id="1183085642">
              <w:marLeft w:val="0"/>
              <w:marRight w:val="0"/>
              <w:marTop w:val="0"/>
              <w:marBottom w:val="0"/>
              <w:divBdr>
                <w:top w:val="none" w:sz="0" w:space="0" w:color="auto"/>
                <w:left w:val="none" w:sz="0" w:space="0" w:color="auto"/>
                <w:bottom w:val="none" w:sz="0" w:space="0" w:color="auto"/>
                <w:right w:val="none" w:sz="0" w:space="0" w:color="auto"/>
              </w:divBdr>
            </w:div>
          </w:divsChild>
        </w:div>
        <w:div w:id="1061254126">
          <w:marLeft w:val="0"/>
          <w:marRight w:val="0"/>
          <w:marTop w:val="0"/>
          <w:marBottom w:val="0"/>
          <w:divBdr>
            <w:top w:val="none" w:sz="0" w:space="0" w:color="auto"/>
            <w:left w:val="none" w:sz="0" w:space="0" w:color="auto"/>
            <w:bottom w:val="none" w:sz="0" w:space="0" w:color="auto"/>
            <w:right w:val="none" w:sz="0" w:space="0" w:color="auto"/>
          </w:divBdr>
        </w:div>
        <w:div w:id="560487253">
          <w:marLeft w:val="0"/>
          <w:marRight w:val="0"/>
          <w:marTop w:val="0"/>
          <w:marBottom w:val="0"/>
          <w:divBdr>
            <w:top w:val="none" w:sz="0" w:space="0" w:color="auto"/>
            <w:left w:val="none" w:sz="0" w:space="0" w:color="auto"/>
            <w:bottom w:val="none" w:sz="0" w:space="0" w:color="auto"/>
            <w:right w:val="none" w:sz="0" w:space="0" w:color="auto"/>
          </w:divBdr>
        </w:div>
        <w:div w:id="2107653970">
          <w:marLeft w:val="0"/>
          <w:marRight w:val="0"/>
          <w:marTop w:val="0"/>
          <w:marBottom w:val="0"/>
          <w:divBdr>
            <w:top w:val="none" w:sz="0" w:space="0" w:color="auto"/>
            <w:left w:val="none" w:sz="0" w:space="0" w:color="auto"/>
            <w:bottom w:val="none" w:sz="0" w:space="0" w:color="auto"/>
            <w:right w:val="none" w:sz="0" w:space="0" w:color="auto"/>
          </w:divBdr>
        </w:div>
        <w:div w:id="1059937331">
          <w:marLeft w:val="0"/>
          <w:marRight w:val="0"/>
          <w:marTop w:val="0"/>
          <w:marBottom w:val="0"/>
          <w:divBdr>
            <w:top w:val="none" w:sz="0" w:space="0" w:color="auto"/>
            <w:left w:val="none" w:sz="0" w:space="0" w:color="auto"/>
            <w:bottom w:val="none" w:sz="0" w:space="0" w:color="auto"/>
            <w:right w:val="none" w:sz="0" w:space="0" w:color="auto"/>
          </w:divBdr>
        </w:div>
        <w:div w:id="853156702">
          <w:marLeft w:val="0"/>
          <w:marRight w:val="0"/>
          <w:marTop w:val="0"/>
          <w:marBottom w:val="0"/>
          <w:divBdr>
            <w:top w:val="none" w:sz="0" w:space="0" w:color="auto"/>
            <w:left w:val="none" w:sz="0" w:space="0" w:color="auto"/>
            <w:bottom w:val="none" w:sz="0" w:space="0" w:color="auto"/>
            <w:right w:val="none" w:sz="0" w:space="0" w:color="auto"/>
          </w:divBdr>
        </w:div>
        <w:div w:id="1754281353">
          <w:marLeft w:val="0"/>
          <w:marRight w:val="0"/>
          <w:marTop w:val="0"/>
          <w:marBottom w:val="0"/>
          <w:divBdr>
            <w:top w:val="none" w:sz="0" w:space="0" w:color="auto"/>
            <w:left w:val="none" w:sz="0" w:space="0" w:color="auto"/>
            <w:bottom w:val="none" w:sz="0" w:space="0" w:color="auto"/>
            <w:right w:val="none" w:sz="0" w:space="0" w:color="auto"/>
          </w:divBdr>
        </w:div>
        <w:div w:id="1383869689">
          <w:marLeft w:val="0"/>
          <w:marRight w:val="0"/>
          <w:marTop w:val="0"/>
          <w:marBottom w:val="0"/>
          <w:divBdr>
            <w:top w:val="none" w:sz="0" w:space="0" w:color="auto"/>
            <w:left w:val="none" w:sz="0" w:space="0" w:color="auto"/>
            <w:bottom w:val="none" w:sz="0" w:space="0" w:color="auto"/>
            <w:right w:val="none" w:sz="0" w:space="0" w:color="auto"/>
          </w:divBdr>
        </w:div>
        <w:div w:id="1923874864">
          <w:marLeft w:val="0"/>
          <w:marRight w:val="0"/>
          <w:marTop w:val="0"/>
          <w:marBottom w:val="0"/>
          <w:divBdr>
            <w:top w:val="none" w:sz="0" w:space="0" w:color="auto"/>
            <w:left w:val="none" w:sz="0" w:space="0" w:color="auto"/>
            <w:bottom w:val="none" w:sz="0" w:space="0" w:color="auto"/>
            <w:right w:val="none" w:sz="0" w:space="0" w:color="auto"/>
          </w:divBdr>
        </w:div>
        <w:div w:id="703675969">
          <w:marLeft w:val="0"/>
          <w:marRight w:val="0"/>
          <w:marTop w:val="0"/>
          <w:marBottom w:val="0"/>
          <w:divBdr>
            <w:top w:val="none" w:sz="0" w:space="0" w:color="auto"/>
            <w:left w:val="none" w:sz="0" w:space="0" w:color="auto"/>
            <w:bottom w:val="none" w:sz="0" w:space="0" w:color="auto"/>
            <w:right w:val="none" w:sz="0" w:space="0" w:color="auto"/>
          </w:divBdr>
        </w:div>
        <w:div w:id="1811053414">
          <w:marLeft w:val="0"/>
          <w:marRight w:val="0"/>
          <w:marTop w:val="0"/>
          <w:marBottom w:val="0"/>
          <w:divBdr>
            <w:top w:val="none" w:sz="0" w:space="0" w:color="auto"/>
            <w:left w:val="none" w:sz="0" w:space="0" w:color="auto"/>
            <w:bottom w:val="none" w:sz="0" w:space="0" w:color="auto"/>
            <w:right w:val="none" w:sz="0" w:space="0" w:color="auto"/>
          </w:divBdr>
        </w:div>
        <w:div w:id="780564967">
          <w:marLeft w:val="0"/>
          <w:marRight w:val="0"/>
          <w:marTop w:val="0"/>
          <w:marBottom w:val="0"/>
          <w:divBdr>
            <w:top w:val="none" w:sz="0" w:space="0" w:color="auto"/>
            <w:left w:val="none" w:sz="0" w:space="0" w:color="auto"/>
            <w:bottom w:val="none" w:sz="0" w:space="0" w:color="auto"/>
            <w:right w:val="none" w:sz="0" w:space="0" w:color="auto"/>
          </w:divBdr>
        </w:div>
        <w:div w:id="1378972727">
          <w:marLeft w:val="0"/>
          <w:marRight w:val="0"/>
          <w:marTop w:val="0"/>
          <w:marBottom w:val="0"/>
          <w:divBdr>
            <w:top w:val="none" w:sz="0" w:space="0" w:color="auto"/>
            <w:left w:val="none" w:sz="0" w:space="0" w:color="auto"/>
            <w:bottom w:val="none" w:sz="0" w:space="0" w:color="auto"/>
            <w:right w:val="none" w:sz="0" w:space="0" w:color="auto"/>
          </w:divBdr>
        </w:div>
        <w:div w:id="10038260">
          <w:marLeft w:val="0"/>
          <w:marRight w:val="0"/>
          <w:marTop w:val="0"/>
          <w:marBottom w:val="0"/>
          <w:divBdr>
            <w:top w:val="none" w:sz="0" w:space="0" w:color="auto"/>
            <w:left w:val="none" w:sz="0" w:space="0" w:color="auto"/>
            <w:bottom w:val="none" w:sz="0" w:space="0" w:color="auto"/>
            <w:right w:val="none" w:sz="0" w:space="0" w:color="auto"/>
          </w:divBdr>
        </w:div>
        <w:div w:id="1134445849">
          <w:marLeft w:val="0"/>
          <w:marRight w:val="0"/>
          <w:marTop w:val="0"/>
          <w:marBottom w:val="0"/>
          <w:divBdr>
            <w:top w:val="none" w:sz="0" w:space="0" w:color="auto"/>
            <w:left w:val="none" w:sz="0" w:space="0" w:color="auto"/>
            <w:bottom w:val="none" w:sz="0" w:space="0" w:color="auto"/>
            <w:right w:val="none" w:sz="0" w:space="0" w:color="auto"/>
          </w:divBdr>
        </w:div>
        <w:div w:id="1711416892">
          <w:marLeft w:val="0"/>
          <w:marRight w:val="0"/>
          <w:marTop w:val="0"/>
          <w:marBottom w:val="0"/>
          <w:divBdr>
            <w:top w:val="none" w:sz="0" w:space="0" w:color="auto"/>
            <w:left w:val="none" w:sz="0" w:space="0" w:color="auto"/>
            <w:bottom w:val="none" w:sz="0" w:space="0" w:color="auto"/>
            <w:right w:val="none" w:sz="0" w:space="0" w:color="auto"/>
          </w:divBdr>
        </w:div>
        <w:div w:id="1283731930">
          <w:marLeft w:val="0"/>
          <w:marRight w:val="0"/>
          <w:marTop w:val="0"/>
          <w:marBottom w:val="0"/>
          <w:divBdr>
            <w:top w:val="none" w:sz="0" w:space="0" w:color="auto"/>
            <w:left w:val="none" w:sz="0" w:space="0" w:color="auto"/>
            <w:bottom w:val="none" w:sz="0" w:space="0" w:color="auto"/>
            <w:right w:val="none" w:sz="0" w:space="0" w:color="auto"/>
          </w:divBdr>
        </w:div>
        <w:div w:id="570388968">
          <w:marLeft w:val="0"/>
          <w:marRight w:val="0"/>
          <w:marTop w:val="0"/>
          <w:marBottom w:val="0"/>
          <w:divBdr>
            <w:top w:val="none" w:sz="0" w:space="0" w:color="auto"/>
            <w:left w:val="none" w:sz="0" w:space="0" w:color="auto"/>
            <w:bottom w:val="none" w:sz="0" w:space="0" w:color="auto"/>
            <w:right w:val="none" w:sz="0" w:space="0" w:color="auto"/>
          </w:divBdr>
        </w:div>
        <w:div w:id="20783102">
          <w:marLeft w:val="0"/>
          <w:marRight w:val="0"/>
          <w:marTop w:val="0"/>
          <w:marBottom w:val="0"/>
          <w:divBdr>
            <w:top w:val="none" w:sz="0" w:space="0" w:color="auto"/>
            <w:left w:val="none" w:sz="0" w:space="0" w:color="auto"/>
            <w:bottom w:val="none" w:sz="0" w:space="0" w:color="auto"/>
            <w:right w:val="none" w:sz="0" w:space="0" w:color="auto"/>
          </w:divBdr>
        </w:div>
        <w:div w:id="1555773632">
          <w:marLeft w:val="0"/>
          <w:marRight w:val="0"/>
          <w:marTop w:val="0"/>
          <w:marBottom w:val="0"/>
          <w:divBdr>
            <w:top w:val="none" w:sz="0" w:space="0" w:color="auto"/>
            <w:left w:val="none" w:sz="0" w:space="0" w:color="auto"/>
            <w:bottom w:val="none" w:sz="0" w:space="0" w:color="auto"/>
            <w:right w:val="none" w:sz="0" w:space="0" w:color="auto"/>
          </w:divBdr>
        </w:div>
        <w:div w:id="757749797">
          <w:marLeft w:val="0"/>
          <w:marRight w:val="0"/>
          <w:marTop w:val="0"/>
          <w:marBottom w:val="0"/>
          <w:divBdr>
            <w:top w:val="none" w:sz="0" w:space="0" w:color="auto"/>
            <w:left w:val="none" w:sz="0" w:space="0" w:color="auto"/>
            <w:bottom w:val="none" w:sz="0" w:space="0" w:color="auto"/>
            <w:right w:val="none" w:sz="0" w:space="0" w:color="auto"/>
          </w:divBdr>
        </w:div>
        <w:div w:id="904416676">
          <w:marLeft w:val="0"/>
          <w:marRight w:val="0"/>
          <w:marTop w:val="0"/>
          <w:marBottom w:val="0"/>
          <w:divBdr>
            <w:top w:val="none" w:sz="0" w:space="0" w:color="auto"/>
            <w:left w:val="none" w:sz="0" w:space="0" w:color="auto"/>
            <w:bottom w:val="none" w:sz="0" w:space="0" w:color="auto"/>
            <w:right w:val="none" w:sz="0" w:space="0" w:color="auto"/>
          </w:divBdr>
        </w:div>
        <w:div w:id="718554255">
          <w:marLeft w:val="0"/>
          <w:marRight w:val="0"/>
          <w:marTop w:val="0"/>
          <w:marBottom w:val="0"/>
          <w:divBdr>
            <w:top w:val="none" w:sz="0" w:space="0" w:color="auto"/>
            <w:left w:val="none" w:sz="0" w:space="0" w:color="auto"/>
            <w:bottom w:val="none" w:sz="0" w:space="0" w:color="auto"/>
            <w:right w:val="none" w:sz="0" w:space="0" w:color="auto"/>
          </w:divBdr>
        </w:div>
        <w:div w:id="1245921297">
          <w:marLeft w:val="0"/>
          <w:marRight w:val="0"/>
          <w:marTop w:val="0"/>
          <w:marBottom w:val="0"/>
          <w:divBdr>
            <w:top w:val="none" w:sz="0" w:space="0" w:color="auto"/>
            <w:left w:val="none" w:sz="0" w:space="0" w:color="auto"/>
            <w:bottom w:val="none" w:sz="0" w:space="0" w:color="auto"/>
            <w:right w:val="none" w:sz="0" w:space="0" w:color="auto"/>
          </w:divBdr>
        </w:div>
        <w:div w:id="1689286085">
          <w:marLeft w:val="0"/>
          <w:marRight w:val="0"/>
          <w:marTop w:val="0"/>
          <w:marBottom w:val="0"/>
          <w:divBdr>
            <w:top w:val="none" w:sz="0" w:space="0" w:color="auto"/>
            <w:left w:val="none" w:sz="0" w:space="0" w:color="auto"/>
            <w:bottom w:val="none" w:sz="0" w:space="0" w:color="auto"/>
            <w:right w:val="none" w:sz="0" w:space="0" w:color="auto"/>
          </w:divBdr>
        </w:div>
        <w:div w:id="654072381">
          <w:marLeft w:val="0"/>
          <w:marRight w:val="0"/>
          <w:marTop w:val="0"/>
          <w:marBottom w:val="0"/>
          <w:divBdr>
            <w:top w:val="none" w:sz="0" w:space="0" w:color="auto"/>
            <w:left w:val="none" w:sz="0" w:space="0" w:color="auto"/>
            <w:bottom w:val="none" w:sz="0" w:space="0" w:color="auto"/>
            <w:right w:val="none" w:sz="0" w:space="0" w:color="auto"/>
          </w:divBdr>
        </w:div>
        <w:div w:id="2007055202">
          <w:marLeft w:val="0"/>
          <w:marRight w:val="0"/>
          <w:marTop w:val="0"/>
          <w:marBottom w:val="0"/>
          <w:divBdr>
            <w:top w:val="none" w:sz="0" w:space="0" w:color="auto"/>
            <w:left w:val="none" w:sz="0" w:space="0" w:color="auto"/>
            <w:bottom w:val="none" w:sz="0" w:space="0" w:color="auto"/>
            <w:right w:val="none" w:sz="0" w:space="0" w:color="auto"/>
          </w:divBdr>
        </w:div>
        <w:div w:id="1179733288">
          <w:marLeft w:val="0"/>
          <w:marRight w:val="0"/>
          <w:marTop w:val="0"/>
          <w:marBottom w:val="0"/>
          <w:divBdr>
            <w:top w:val="none" w:sz="0" w:space="0" w:color="auto"/>
            <w:left w:val="none" w:sz="0" w:space="0" w:color="auto"/>
            <w:bottom w:val="none" w:sz="0" w:space="0" w:color="auto"/>
            <w:right w:val="none" w:sz="0" w:space="0" w:color="auto"/>
          </w:divBdr>
        </w:div>
        <w:div w:id="128861396">
          <w:marLeft w:val="0"/>
          <w:marRight w:val="0"/>
          <w:marTop w:val="0"/>
          <w:marBottom w:val="0"/>
          <w:divBdr>
            <w:top w:val="none" w:sz="0" w:space="0" w:color="auto"/>
            <w:left w:val="none" w:sz="0" w:space="0" w:color="auto"/>
            <w:bottom w:val="none" w:sz="0" w:space="0" w:color="auto"/>
            <w:right w:val="none" w:sz="0" w:space="0" w:color="auto"/>
          </w:divBdr>
        </w:div>
        <w:div w:id="595140386">
          <w:marLeft w:val="0"/>
          <w:marRight w:val="0"/>
          <w:marTop w:val="0"/>
          <w:marBottom w:val="0"/>
          <w:divBdr>
            <w:top w:val="none" w:sz="0" w:space="0" w:color="auto"/>
            <w:left w:val="none" w:sz="0" w:space="0" w:color="auto"/>
            <w:bottom w:val="none" w:sz="0" w:space="0" w:color="auto"/>
            <w:right w:val="none" w:sz="0" w:space="0" w:color="auto"/>
          </w:divBdr>
          <w:divsChild>
            <w:div w:id="558905936">
              <w:marLeft w:val="0"/>
              <w:marRight w:val="0"/>
              <w:marTop w:val="0"/>
              <w:marBottom w:val="0"/>
              <w:divBdr>
                <w:top w:val="none" w:sz="0" w:space="0" w:color="auto"/>
                <w:left w:val="none" w:sz="0" w:space="0" w:color="auto"/>
                <w:bottom w:val="none" w:sz="0" w:space="0" w:color="auto"/>
                <w:right w:val="none" w:sz="0" w:space="0" w:color="auto"/>
              </w:divBdr>
            </w:div>
            <w:div w:id="602998550">
              <w:marLeft w:val="0"/>
              <w:marRight w:val="0"/>
              <w:marTop w:val="0"/>
              <w:marBottom w:val="0"/>
              <w:divBdr>
                <w:top w:val="none" w:sz="0" w:space="0" w:color="auto"/>
                <w:left w:val="none" w:sz="0" w:space="0" w:color="auto"/>
                <w:bottom w:val="none" w:sz="0" w:space="0" w:color="auto"/>
                <w:right w:val="none" w:sz="0" w:space="0" w:color="auto"/>
              </w:divBdr>
            </w:div>
            <w:div w:id="749541648">
              <w:marLeft w:val="0"/>
              <w:marRight w:val="0"/>
              <w:marTop w:val="0"/>
              <w:marBottom w:val="0"/>
              <w:divBdr>
                <w:top w:val="none" w:sz="0" w:space="0" w:color="auto"/>
                <w:left w:val="none" w:sz="0" w:space="0" w:color="auto"/>
                <w:bottom w:val="none" w:sz="0" w:space="0" w:color="auto"/>
                <w:right w:val="none" w:sz="0" w:space="0" w:color="auto"/>
              </w:divBdr>
            </w:div>
            <w:div w:id="293488200">
              <w:marLeft w:val="0"/>
              <w:marRight w:val="0"/>
              <w:marTop w:val="0"/>
              <w:marBottom w:val="0"/>
              <w:divBdr>
                <w:top w:val="none" w:sz="0" w:space="0" w:color="auto"/>
                <w:left w:val="none" w:sz="0" w:space="0" w:color="auto"/>
                <w:bottom w:val="none" w:sz="0" w:space="0" w:color="auto"/>
                <w:right w:val="none" w:sz="0" w:space="0" w:color="auto"/>
              </w:divBdr>
            </w:div>
            <w:div w:id="1538353441">
              <w:marLeft w:val="0"/>
              <w:marRight w:val="0"/>
              <w:marTop w:val="0"/>
              <w:marBottom w:val="0"/>
              <w:divBdr>
                <w:top w:val="none" w:sz="0" w:space="0" w:color="auto"/>
                <w:left w:val="none" w:sz="0" w:space="0" w:color="auto"/>
                <w:bottom w:val="none" w:sz="0" w:space="0" w:color="auto"/>
                <w:right w:val="none" w:sz="0" w:space="0" w:color="auto"/>
              </w:divBdr>
            </w:div>
            <w:div w:id="1126855185">
              <w:marLeft w:val="0"/>
              <w:marRight w:val="0"/>
              <w:marTop w:val="0"/>
              <w:marBottom w:val="0"/>
              <w:divBdr>
                <w:top w:val="none" w:sz="0" w:space="0" w:color="auto"/>
                <w:left w:val="none" w:sz="0" w:space="0" w:color="auto"/>
                <w:bottom w:val="none" w:sz="0" w:space="0" w:color="auto"/>
                <w:right w:val="none" w:sz="0" w:space="0" w:color="auto"/>
              </w:divBdr>
            </w:div>
          </w:divsChild>
        </w:div>
        <w:div w:id="1149130875">
          <w:marLeft w:val="0"/>
          <w:marRight w:val="0"/>
          <w:marTop w:val="0"/>
          <w:marBottom w:val="0"/>
          <w:divBdr>
            <w:top w:val="none" w:sz="0" w:space="0" w:color="auto"/>
            <w:left w:val="none" w:sz="0" w:space="0" w:color="auto"/>
            <w:bottom w:val="none" w:sz="0" w:space="0" w:color="auto"/>
            <w:right w:val="none" w:sz="0" w:space="0" w:color="auto"/>
          </w:divBdr>
          <w:divsChild>
            <w:div w:id="1535191174">
              <w:marLeft w:val="0"/>
              <w:marRight w:val="0"/>
              <w:marTop w:val="0"/>
              <w:marBottom w:val="0"/>
              <w:divBdr>
                <w:top w:val="none" w:sz="0" w:space="0" w:color="auto"/>
                <w:left w:val="none" w:sz="0" w:space="0" w:color="auto"/>
                <w:bottom w:val="none" w:sz="0" w:space="0" w:color="auto"/>
                <w:right w:val="none" w:sz="0" w:space="0" w:color="auto"/>
              </w:divBdr>
            </w:div>
            <w:div w:id="547643781">
              <w:marLeft w:val="0"/>
              <w:marRight w:val="0"/>
              <w:marTop w:val="0"/>
              <w:marBottom w:val="0"/>
              <w:divBdr>
                <w:top w:val="none" w:sz="0" w:space="0" w:color="auto"/>
                <w:left w:val="none" w:sz="0" w:space="0" w:color="auto"/>
                <w:bottom w:val="none" w:sz="0" w:space="0" w:color="auto"/>
                <w:right w:val="none" w:sz="0" w:space="0" w:color="auto"/>
              </w:divBdr>
            </w:div>
          </w:divsChild>
        </w:div>
        <w:div w:id="1742681722">
          <w:marLeft w:val="0"/>
          <w:marRight w:val="0"/>
          <w:marTop w:val="0"/>
          <w:marBottom w:val="0"/>
          <w:divBdr>
            <w:top w:val="none" w:sz="0" w:space="0" w:color="auto"/>
            <w:left w:val="none" w:sz="0" w:space="0" w:color="auto"/>
            <w:bottom w:val="none" w:sz="0" w:space="0" w:color="auto"/>
            <w:right w:val="none" w:sz="0" w:space="0" w:color="auto"/>
          </w:divBdr>
          <w:divsChild>
            <w:div w:id="71706550">
              <w:marLeft w:val="0"/>
              <w:marRight w:val="0"/>
              <w:marTop w:val="0"/>
              <w:marBottom w:val="0"/>
              <w:divBdr>
                <w:top w:val="none" w:sz="0" w:space="0" w:color="auto"/>
                <w:left w:val="none" w:sz="0" w:space="0" w:color="auto"/>
                <w:bottom w:val="none" w:sz="0" w:space="0" w:color="auto"/>
                <w:right w:val="none" w:sz="0" w:space="0" w:color="auto"/>
              </w:divBdr>
            </w:div>
            <w:div w:id="202910395">
              <w:marLeft w:val="0"/>
              <w:marRight w:val="0"/>
              <w:marTop w:val="0"/>
              <w:marBottom w:val="0"/>
              <w:divBdr>
                <w:top w:val="none" w:sz="0" w:space="0" w:color="auto"/>
                <w:left w:val="none" w:sz="0" w:space="0" w:color="auto"/>
                <w:bottom w:val="none" w:sz="0" w:space="0" w:color="auto"/>
                <w:right w:val="none" w:sz="0" w:space="0" w:color="auto"/>
              </w:divBdr>
            </w:div>
            <w:div w:id="1544051403">
              <w:marLeft w:val="0"/>
              <w:marRight w:val="0"/>
              <w:marTop w:val="0"/>
              <w:marBottom w:val="0"/>
              <w:divBdr>
                <w:top w:val="none" w:sz="0" w:space="0" w:color="auto"/>
                <w:left w:val="none" w:sz="0" w:space="0" w:color="auto"/>
                <w:bottom w:val="none" w:sz="0" w:space="0" w:color="auto"/>
                <w:right w:val="none" w:sz="0" w:space="0" w:color="auto"/>
              </w:divBdr>
            </w:div>
            <w:div w:id="622033171">
              <w:marLeft w:val="0"/>
              <w:marRight w:val="0"/>
              <w:marTop w:val="0"/>
              <w:marBottom w:val="0"/>
              <w:divBdr>
                <w:top w:val="none" w:sz="0" w:space="0" w:color="auto"/>
                <w:left w:val="none" w:sz="0" w:space="0" w:color="auto"/>
                <w:bottom w:val="none" w:sz="0" w:space="0" w:color="auto"/>
                <w:right w:val="none" w:sz="0" w:space="0" w:color="auto"/>
              </w:divBdr>
            </w:div>
          </w:divsChild>
        </w:div>
        <w:div w:id="1387409085">
          <w:marLeft w:val="0"/>
          <w:marRight w:val="0"/>
          <w:marTop w:val="0"/>
          <w:marBottom w:val="0"/>
          <w:divBdr>
            <w:top w:val="none" w:sz="0" w:space="0" w:color="auto"/>
            <w:left w:val="none" w:sz="0" w:space="0" w:color="auto"/>
            <w:bottom w:val="none" w:sz="0" w:space="0" w:color="auto"/>
            <w:right w:val="none" w:sz="0" w:space="0" w:color="auto"/>
          </w:divBdr>
          <w:divsChild>
            <w:div w:id="746652885">
              <w:marLeft w:val="0"/>
              <w:marRight w:val="0"/>
              <w:marTop w:val="0"/>
              <w:marBottom w:val="0"/>
              <w:divBdr>
                <w:top w:val="none" w:sz="0" w:space="0" w:color="auto"/>
                <w:left w:val="none" w:sz="0" w:space="0" w:color="auto"/>
                <w:bottom w:val="none" w:sz="0" w:space="0" w:color="auto"/>
                <w:right w:val="none" w:sz="0" w:space="0" w:color="auto"/>
              </w:divBdr>
            </w:div>
            <w:div w:id="1523284109">
              <w:marLeft w:val="0"/>
              <w:marRight w:val="0"/>
              <w:marTop w:val="0"/>
              <w:marBottom w:val="0"/>
              <w:divBdr>
                <w:top w:val="none" w:sz="0" w:space="0" w:color="auto"/>
                <w:left w:val="none" w:sz="0" w:space="0" w:color="auto"/>
                <w:bottom w:val="none" w:sz="0" w:space="0" w:color="auto"/>
                <w:right w:val="none" w:sz="0" w:space="0" w:color="auto"/>
              </w:divBdr>
            </w:div>
            <w:div w:id="1385254535">
              <w:marLeft w:val="0"/>
              <w:marRight w:val="0"/>
              <w:marTop w:val="0"/>
              <w:marBottom w:val="0"/>
              <w:divBdr>
                <w:top w:val="none" w:sz="0" w:space="0" w:color="auto"/>
                <w:left w:val="none" w:sz="0" w:space="0" w:color="auto"/>
                <w:bottom w:val="none" w:sz="0" w:space="0" w:color="auto"/>
                <w:right w:val="none" w:sz="0" w:space="0" w:color="auto"/>
              </w:divBdr>
            </w:div>
            <w:div w:id="670792727">
              <w:marLeft w:val="0"/>
              <w:marRight w:val="0"/>
              <w:marTop w:val="0"/>
              <w:marBottom w:val="0"/>
              <w:divBdr>
                <w:top w:val="none" w:sz="0" w:space="0" w:color="auto"/>
                <w:left w:val="none" w:sz="0" w:space="0" w:color="auto"/>
                <w:bottom w:val="none" w:sz="0" w:space="0" w:color="auto"/>
                <w:right w:val="none" w:sz="0" w:space="0" w:color="auto"/>
              </w:divBdr>
            </w:div>
            <w:div w:id="807627182">
              <w:marLeft w:val="0"/>
              <w:marRight w:val="0"/>
              <w:marTop w:val="0"/>
              <w:marBottom w:val="0"/>
              <w:divBdr>
                <w:top w:val="none" w:sz="0" w:space="0" w:color="auto"/>
                <w:left w:val="none" w:sz="0" w:space="0" w:color="auto"/>
                <w:bottom w:val="none" w:sz="0" w:space="0" w:color="auto"/>
                <w:right w:val="none" w:sz="0" w:space="0" w:color="auto"/>
              </w:divBdr>
            </w:div>
          </w:divsChild>
        </w:div>
        <w:div w:id="1180000815">
          <w:marLeft w:val="0"/>
          <w:marRight w:val="0"/>
          <w:marTop w:val="0"/>
          <w:marBottom w:val="0"/>
          <w:divBdr>
            <w:top w:val="none" w:sz="0" w:space="0" w:color="auto"/>
            <w:left w:val="none" w:sz="0" w:space="0" w:color="auto"/>
            <w:bottom w:val="none" w:sz="0" w:space="0" w:color="auto"/>
            <w:right w:val="none" w:sz="0" w:space="0" w:color="auto"/>
          </w:divBdr>
          <w:divsChild>
            <w:div w:id="1391999902">
              <w:marLeft w:val="-75"/>
              <w:marRight w:val="0"/>
              <w:marTop w:val="30"/>
              <w:marBottom w:val="30"/>
              <w:divBdr>
                <w:top w:val="none" w:sz="0" w:space="0" w:color="auto"/>
                <w:left w:val="none" w:sz="0" w:space="0" w:color="auto"/>
                <w:bottom w:val="none" w:sz="0" w:space="0" w:color="auto"/>
                <w:right w:val="none" w:sz="0" w:space="0" w:color="auto"/>
              </w:divBdr>
              <w:divsChild>
                <w:div w:id="1986885321">
                  <w:marLeft w:val="0"/>
                  <w:marRight w:val="0"/>
                  <w:marTop w:val="0"/>
                  <w:marBottom w:val="0"/>
                  <w:divBdr>
                    <w:top w:val="none" w:sz="0" w:space="0" w:color="auto"/>
                    <w:left w:val="none" w:sz="0" w:space="0" w:color="auto"/>
                    <w:bottom w:val="none" w:sz="0" w:space="0" w:color="auto"/>
                    <w:right w:val="none" w:sz="0" w:space="0" w:color="auto"/>
                  </w:divBdr>
                  <w:divsChild>
                    <w:div w:id="406994935">
                      <w:marLeft w:val="0"/>
                      <w:marRight w:val="0"/>
                      <w:marTop w:val="0"/>
                      <w:marBottom w:val="0"/>
                      <w:divBdr>
                        <w:top w:val="none" w:sz="0" w:space="0" w:color="auto"/>
                        <w:left w:val="none" w:sz="0" w:space="0" w:color="auto"/>
                        <w:bottom w:val="none" w:sz="0" w:space="0" w:color="auto"/>
                        <w:right w:val="none" w:sz="0" w:space="0" w:color="auto"/>
                      </w:divBdr>
                    </w:div>
                  </w:divsChild>
                </w:div>
                <w:div w:id="850068413">
                  <w:marLeft w:val="0"/>
                  <w:marRight w:val="0"/>
                  <w:marTop w:val="0"/>
                  <w:marBottom w:val="0"/>
                  <w:divBdr>
                    <w:top w:val="none" w:sz="0" w:space="0" w:color="auto"/>
                    <w:left w:val="none" w:sz="0" w:space="0" w:color="auto"/>
                    <w:bottom w:val="none" w:sz="0" w:space="0" w:color="auto"/>
                    <w:right w:val="none" w:sz="0" w:space="0" w:color="auto"/>
                  </w:divBdr>
                  <w:divsChild>
                    <w:div w:id="983242158">
                      <w:marLeft w:val="0"/>
                      <w:marRight w:val="0"/>
                      <w:marTop w:val="0"/>
                      <w:marBottom w:val="0"/>
                      <w:divBdr>
                        <w:top w:val="none" w:sz="0" w:space="0" w:color="auto"/>
                        <w:left w:val="none" w:sz="0" w:space="0" w:color="auto"/>
                        <w:bottom w:val="none" w:sz="0" w:space="0" w:color="auto"/>
                        <w:right w:val="none" w:sz="0" w:space="0" w:color="auto"/>
                      </w:divBdr>
                    </w:div>
                  </w:divsChild>
                </w:div>
                <w:div w:id="1202092871">
                  <w:marLeft w:val="0"/>
                  <w:marRight w:val="0"/>
                  <w:marTop w:val="0"/>
                  <w:marBottom w:val="0"/>
                  <w:divBdr>
                    <w:top w:val="none" w:sz="0" w:space="0" w:color="auto"/>
                    <w:left w:val="none" w:sz="0" w:space="0" w:color="auto"/>
                    <w:bottom w:val="none" w:sz="0" w:space="0" w:color="auto"/>
                    <w:right w:val="none" w:sz="0" w:space="0" w:color="auto"/>
                  </w:divBdr>
                  <w:divsChild>
                    <w:div w:id="13653246">
                      <w:marLeft w:val="0"/>
                      <w:marRight w:val="0"/>
                      <w:marTop w:val="0"/>
                      <w:marBottom w:val="0"/>
                      <w:divBdr>
                        <w:top w:val="none" w:sz="0" w:space="0" w:color="auto"/>
                        <w:left w:val="none" w:sz="0" w:space="0" w:color="auto"/>
                        <w:bottom w:val="none" w:sz="0" w:space="0" w:color="auto"/>
                        <w:right w:val="none" w:sz="0" w:space="0" w:color="auto"/>
                      </w:divBdr>
                    </w:div>
                  </w:divsChild>
                </w:div>
                <w:div w:id="1482305680">
                  <w:marLeft w:val="0"/>
                  <w:marRight w:val="0"/>
                  <w:marTop w:val="0"/>
                  <w:marBottom w:val="0"/>
                  <w:divBdr>
                    <w:top w:val="none" w:sz="0" w:space="0" w:color="auto"/>
                    <w:left w:val="none" w:sz="0" w:space="0" w:color="auto"/>
                    <w:bottom w:val="none" w:sz="0" w:space="0" w:color="auto"/>
                    <w:right w:val="none" w:sz="0" w:space="0" w:color="auto"/>
                  </w:divBdr>
                  <w:divsChild>
                    <w:div w:id="2086603732">
                      <w:marLeft w:val="0"/>
                      <w:marRight w:val="0"/>
                      <w:marTop w:val="0"/>
                      <w:marBottom w:val="0"/>
                      <w:divBdr>
                        <w:top w:val="none" w:sz="0" w:space="0" w:color="auto"/>
                        <w:left w:val="none" w:sz="0" w:space="0" w:color="auto"/>
                        <w:bottom w:val="none" w:sz="0" w:space="0" w:color="auto"/>
                        <w:right w:val="none" w:sz="0" w:space="0" w:color="auto"/>
                      </w:divBdr>
                    </w:div>
                  </w:divsChild>
                </w:div>
                <w:div w:id="1957374063">
                  <w:marLeft w:val="0"/>
                  <w:marRight w:val="0"/>
                  <w:marTop w:val="0"/>
                  <w:marBottom w:val="0"/>
                  <w:divBdr>
                    <w:top w:val="none" w:sz="0" w:space="0" w:color="auto"/>
                    <w:left w:val="none" w:sz="0" w:space="0" w:color="auto"/>
                    <w:bottom w:val="none" w:sz="0" w:space="0" w:color="auto"/>
                    <w:right w:val="none" w:sz="0" w:space="0" w:color="auto"/>
                  </w:divBdr>
                  <w:divsChild>
                    <w:div w:id="604924978">
                      <w:marLeft w:val="0"/>
                      <w:marRight w:val="0"/>
                      <w:marTop w:val="0"/>
                      <w:marBottom w:val="0"/>
                      <w:divBdr>
                        <w:top w:val="none" w:sz="0" w:space="0" w:color="auto"/>
                        <w:left w:val="none" w:sz="0" w:space="0" w:color="auto"/>
                        <w:bottom w:val="none" w:sz="0" w:space="0" w:color="auto"/>
                        <w:right w:val="none" w:sz="0" w:space="0" w:color="auto"/>
                      </w:divBdr>
                    </w:div>
                  </w:divsChild>
                </w:div>
                <w:div w:id="254049025">
                  <w:marLeft w:val="0"/>
                  <w:marRight w:val="0"/>
                  <w:marTop w:val="0"/>
                  <w:marBottom w:val="0"/>
                  <w:divBdr>
                    <w:top w:val="none" w:sz="0" w:space="0" w:color="auto"/>
                    <w:left w:val="none" w:sz="0" w:space="0" w:color="auto"/>
                    <w:bottom w:val="none" w:sz="0" w:space="0" w:color="auto"/>
                    <w:right w:val="none" w:sz="0" w:space="0" w:color="auto"/>
                  </w:divBdr>
                  <w:divsChild>
                    <w:div w:id="1230000788">
                      <w:marLeft w:val="0"/>
                      <w:marRight w:val="0"/>
                      <w:marTop w:val="0"/>
                      <w:marBottom w:val="0"/>
                      <w:divBdr>
                        <w:top w:val="none" w:sz="0" w:space="0" w:color="auto"/>
                        <w:left w:val="none" w:sz="0" w:space="0" w:color="auto"/>
                        <w:bottom w:val="none" w:sz="0" w:space="0" w:color="auto"/>
                        <w:right w:val="none" w:sz="0" w:space="0" w:color="auto"/>
                      </w:divBdr>
                    </w:div>
                  </w:divsChild>
                </w:div>
                <w:div w:id="774596264">
                  <w:marLeft w:val="0"/>
                  <w:marRight w:val="0"/>
                  <w:marTop w:val="0"/>
                  <w:marBottom w:val="0"/>
                  <w:divBdr>
                    <w:top w:val="none" w:sz="0" w:space="0" w:color="auto"/>
                    <w:left w:val="none" w:sz="0" w:space="0" w:color="auto"/>
                    <w:bottom w:val="none" w:sz="0" w:space="0" w:color="auto"/>
                    <w:right w:val="none" w:sz="0" w:space="0" w:color="auto"/>
                  </w:divBdr>
                  <w:divsChild>
                    <w:div w:id="169760705">
                      <w:marLeft w:val="0"/>
                      <w:marRight w:val="0"/>
                      <w:marTop w:val="0"/>
                      <w:marBottom w:val="0"/>
                      <w:divBdr>
                        <w:top w:val="none" w:sz="0" w:space="0" w:color="auto"/>
                        <w:left w:val="none" w:sz="0" w:space="0" w:color="auto"/>
                        <w:bottom w:val="none" w:sz="0" w:space="0" w:color="auto"/>
                        <w:right w:val="none" w:sz="0" w:space="0" w:color="auto"/>
                      </w:divBdr>
                    </w:div>
                  </w:divsChild>
                </w:div>
                <w:div w:id="1079522239">
                  <w:marLeft w:val="0"/>
                  <w:marRight w:val="0"/>
                  <w:marTop w:val="0"/>
                  <w:marBottom w:val="0"/>
                  <w:divBdr>
                    <w:top w:val="none" w:sz="0" w:space="0" w:color="auto"/>
                    <w:left w:val="none" w:sz="0" w:space="0" w:color="auto"/>
                    <w:bottom w:val="none" w:sz="0" w:space="0" w:color="auto"/>
                    <w:right w:val="none" w:sz="0" w:space="0" w:color="auto"/>
                  </w:divBdr>
                  <w:divsChild>
                    <w:div w:id="1531256395">
                      <w:marLeft w:val="0"/>
                      <w:marRight w:val="0"/>
                      <w:marTop w:val="0"/>
                      <w:marBottom w:val="0"/>
                      <w:divBdr>
                        <w:top w:val="none" w:sz="0" w:space="0" w:color="auto"/>
                        <w:left w:val="none" w:sz="0" w:space="0" w:color="auto"/>
                        <w:bottom w:val="none" w:sz="0" w:space="0" w:color="auto"/>
                        <w:right w:val="none" w:sz="0" w:space="0" w:color="auto"/>
                      </w:divBdr>
                    </w:div>
                  </w:divsChild>
                </w:div>
                <w:div w:id="1545944792">
                  <w:marLeft w:val="0"/>
                  <w:marRight w:val="0"/>
                  <w:marTop w:val="0"/>
                  <w:marBottom w:val="0"/>
                  <w:divBdr>
                    <w:top w:val="none" w:sz="0" w:space="0" w:color="auto"/>
                    <w:left w:val="none" w:sz="0" w:space="0" w:color="auto"/>
                    <w:bottom w:val="none" w:sz="0" w:space="0" w:color="auto"/>
                    <w:right w:val="none" w:sz="0" w:space="0" w:color="auto"/>
                  </w:divBdr>
                  <w:divsChild>
                    <w:div w:id="1087537143">
                      <w:marLeft w:val="0"/>
                      <w:marRight w:val="0"/>
                      <w:marTop w:val="0"/>
                      <w:marBottom w:val="0"/>
                      <w:divBdr>
                        <w:top w:val="none" w:sz="0" w:space="0" w:color="auto"/>
                        <w:left w:val="none" w:sz="0" w:space="0" w:color="auto"/>
                        <w:bottom w:val="none" w:sz="0" w:space="0" w:color="auto"/>
                        <w:right w:val="none" w:sz="0" w:space="0" w:color="auto"/>
                      </w:divBdr>
                    </w:div>
                  </w:divsChild>
                </w:div>
                <w:div w:id="1309245194">
                  <w:marLeft w:val="0"/>
                  <w:marRight w:val="0"/>
                  <w:marTop w:val="0"/>
                  <w:marBottom w:val="0"/>
                  <w:divBdr>
                    <w:top w:val="none" w:sz="0" w:space="0" w:color="auto"/>
                    <w:left w:val="none" w:sz="0" w:space="0" w:color="auto"/>
                    <w:bottom w:val="none" w:sz="0" w:space="0" w:color="auto"/>
                    <w:right w:val="none" w:sz="0" w:space="0" w:color="auto"/>
                  </w:divBdr>
                  <w:divsChild>
                    <w:div w:id="2139761639">
                      <w:marLeft w:val="0"/>
                      <w:marRight w:val="0"/>
                      <w:marTop w:val="0"/>
                      <w:marBottom w:val="0"/>
                      <w:divBdr>
                        <w:top w:val="none" w:sz="0" w:space="0" w:color="auto"/>
                        <w:left w:val="none" w:sz="0" w:space="0" w:color="auto"/>
                        <w:bottom w:val="none" w:sz="0" w:space="0" w:color="auto"/>
                        <w:right w:val="none" w:sz="0" w:space="0" w:color="auto"/>
                      </w:divBdr>
                    </w:div>
                  </w:divsChild>
                </w:div>
                <w:div w:id="118845933">
                  <w:marLeft w:val="0"/>
                  <w:marRight w:val="0"/>
                  <w:marTop w:val="0"/>
                  <w:marBottom w:val="0"/>
                  <w:divBdr>
                    <w:top w:val="none" w:sz="0" w:space="0" w:color="auto"/>
                    <w:left w:val="none" w:sz="0" w:space="0" w:color="auto"/>
                    <w:bottom w:val="none" w:sz="0" w:space="0" w:color="auto"/>
                    <w:right w:val="none" w:sz="0" w:space="0" w:color="auto"/>
                  </w:divBdr>
                  <w:divsChild>
                    <w:div w:id="1483426805">
                      <w:marLeft w:val="0"/>
                      <w:marRight w:val="0"/>
                      <w:marTop w:val="0"/>
                      <w:marBottom w:val="0"/>
                      <w:divBdr>
                        <w:top w:val="none" w:sz="0" w:space="0" w:color="auto"/>
                        <w:left w:val="none" w:sz="0" w:space="0" w:color="auto"/>
                        <w:bottom w:val="none" w:sz="0" w:space="0" w:color="auto"/>
                        <w:right w:val="none" w:sz="0" w:space="0" w:color="auto"/>
                      </w:divBdr>
                    </w:div>
                  </w:divsChild>
                </w:div>
                <w:div w:id="2116319800">
                  <w:marLeft w:val="0"/>
                  <w:marRight w:val="0"/>
                  <w:marTop w:val="0"/>
                  <w:marBottom w:val="0"/>
                  <w:divBdr>
                    <w:top w:val="none" w:sz="0" w:space="0" w:color="auto"/>
                    <w:left w:val="none" w:sz="0" w:space="0" w:color="auto"/>
                    <w:bottom w:val="none" w:sz="0" w:space="0" w:color="auto"/>
                    <w:right w:val="none" w:sz="0" w:space="0" w:color="auto"/>
                  </w:divBdr>
                  <w:divsChild>
                    <w:div w:id="1051611979">
                      <w:marLeft w:val="0"/>
                      <w:marRight w:val="0"/>
                      <w:marTop w:val="0"/>
                      <w:marBottom w:val="0"/>
                      <w:divBdr>
                        <w:top w:val="none" w:sz="0" w:space="0" w:color="auto"/>
                        <w:left w:val="none" w:sz="0" w:space="0" w:color="auto"/>
                        <w:bottom w:val="none" w:sz="0" w:space="0" w:color="auto"/>
                        <w:right w:val="none" w:sz="0" w:space="0" w:color="auto"/>
                      </w:divBdr>
                    </w:div>
                  </w:divsChild>
                </w:div>
                <w:div w:id="1894193716">
                  <w:marLeft w:val="0"/>
                  <w:marRight w:val="0"/>
                  <w:marTop w:val="0"/>
                  <w:marBottom w:val="0"/>
                  <w:divBdr>
                    <w:top w:val="none" w:sz="0" w:space="0" w:color="auto"/>
                    <w:left w:val="none" w:sz="0" w:space="0" w:color="auto"/>
                    <w:bottom w:val="none" w:sz="0" w:space="0" w:color="auto"/>
                    <w:right w:val="none" w:sz="0" w:space="0" w:color="auto"/>
                  </w:divBdr>
                  <w:divsChild>
                    <w:div w:id="1873155453">
                      <w:marLeft w:val="0"/>
                      <w:marRight w:val="0"/>
                      <w:marTop w:val="0"/>
                      <w:marBottom w:val="0"/>
                      <w:divBdr>
                        <w:top w:val="none" w:sz="0" w:space="0" w:color="auto"/>
                        <w:left w:val="none" w:sz="0" w:space="0" w:color="auto"/>
                        <w:bottom w:val="none" w:sz="0" w:space="0" w:color="auto"/>
                        <w:right w:val="none" w:sz="0" w:space="0" w:color="auto"/>
                      </w:divBdr>
                    </w:div>
                  </w:divsChild>
                </w:div>
                <w:div w:id="1422680456">
                  <w:marLeft w:val="0"/>
                  <w:marRight w:val="0"/>
                  <w:marTop w:val="0"/>
                  <w:marBottom w:val="0"/>
                  <w:divBdr>
                    <w:top w:val="none" w:sz="0" w:space="0" w:color="auto"/>
                    <w:left w:val="none" w:sz="0" w:space="0" w:color="auto"/>
                    <w:bottom w:val="none" w:sz="0" w:space="0" w:color="auto"/>
                    <w:right w:val="none" w:sz="0" w:space="0" w:color="auto"/>
                  </w:divBdr>
                  <w:divsChild>
                    <w:div w:id="1214074717">
                      <w:marLeft w:val="0"/>
                      <w:marRight w:val="0"/>
                      <w:marTop w:val="0"/>
                      <w:marBottom w:val="0"/>
                      <w:divBdr>
                        <w:top w:val="none" w:sz="0" w:space="0" w:color="auto"/>
                        <w:left w:val="none" w:sz="0" w:space="0" w:color="auto"/>
                        <w:bottom w:val="none" w:sz="0" w:space="0" w:color="auto"/>
                        <w:right w:val="none" w:sz="0" w:space="0" w:color="auto"/>
                      </w:divBdr>
                    </w:div>
                  </w:divsChild>
                </w:div>
                <w:div w:id="1215462869">
                  <w:marLeft w:val="0"/>
                  <w:marRight w:val="0"/>
                  <w:marTop w:val="0"/>
                  <w:marBottom w:val="0"/>
                  <w:divBdr>
                    <w:top w:val="none" w:sz="0" w:space="0" w:color="auto"/>
                    <w:left w:val="none" w:sz="0" w:space="0" w:color="auto"/>
                    <w:bottom w:val="none" w:sz="0" w:space="0" w:color="auto"/>
                    <w:right w:val="none" w:sz="0" w:space="0" w:color="auto"/>
                  </w:divBdr>
                  <w:divsChild>
                    <w:div w:id="826291035">
                      <w:marLeft w:val="0"/>
                      <w:marRight w:val="0"/>
                      <w:marTop w:val="0"/>
                      <w:marBottom w:val="0"/>
                      <w:divBdr>
                        <w:top w:val="none" w:sz="0" w:space="0" w:color="auto"/>
                        <w:left w:val="none" w:sz="0" w:space="0" w:color="auto"/>
                        <w:bottom w:val="none" w:sz="0" w:space="0" w:color="auto"/>
                        <w:right w:val="none" w:sz="0" w:space="0" w:color="auto"/>
                      </w:divBdr>
                    </w:div>
                  </w:divsChild>
                </w:div>
                <w:div w:id="1024403667">
                  <w:marLeft w:val="0"/>
                  <w:marRight w:val="0"/>
                  <w:marTop w:val="0"/>
                  <w:marBottom w:val="0"/>
                  <w:divBdr>
                    <w:top w:val="none" w:sz="0" w:space="0" w:color="auto"/>
                    <w:left w:val="none" w:sz="0" w:space="0" w:color="auto"/>
                    <w:bottom w:val="none" w:sz="0" w:space="0" w:color="auto"/>
                    <w:right w:val="none" w:sz="0" w:space="0" w:color="auto"/>
                  </w:divBdr>
                  <w:divsChild>
                    <w:div w:id="1986350524">
                      <w:marLeft w:val="0"/>
                      <w:marRight w:val="0"/>
                      <w:marTop w:val="0"/>
                      <w:marBottom w:val="0"/>
                      <w:divBdr>
                        <w:top w:val="none" w:sz="0" w:space="0" w:color="auto"/>
                        <w:left w:val="none" w:sz="0" w:space="0" w:color="auto"/>
                        <w:bottom w:val="none" w:sz="0" w:space="0" w:color="auto"/>
                        <w:right w:val="none" w:sz="0" w:space="0" w:color="auto"/>
                      </w:divBdr>
                    </w:div>
                  </w:divsChild>
                </w:div>
                <w:div w:id="798912788">
                  <w:marLeft w:val="0"/>
                  <w:marRight w:val="0"/>
                  <w:marTop w:val="0"/>
                  <w:marBottom w:val="0"/>
                  <w:divBdr>
                    <w:top w:val="none" w:sz="0" w:space="0" w:color="auto"/>
                    <w:left w:val="none" w:sz="0" w:space="0" w:color="auto"/>
                    <w:bottom w:val="none" w:sz="0" w:space="0" w:color="auto"/>
                    <w:right w:val="none" w:sz="0" w:space="0" w:color="auto"/>
                  </w:divBdr>
                  <w:divsChild>
                    <w:div w:id="124494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04329">
          <w:marLeft w:val="0"/>
          <w:marRight w:val="0"/>
          <w:marTop w:val="0"/>
          <w:marBottom w:val="0"/>
          <w:divBdr>
            <w:top w:val="none" w:sz="0" w:space="0" w:color="auto"/>
            <w:left w:val="none" w:sz="0" w:space="0" w:color="auto"/>
            <w:bottom w:val="none" w:sz="0" w:space="0" w:color="auto"/>
            <w:right w:val="none" w:sz="0" w:space="0" w:color="auto"/>
          </w:divBdr>
        </w:div>
        <w:div w:id="2044599133">
          <w:marLeft w:val="0"/>
          <w:marRight w:val="0"/>
          <w:marTop w:val="0"/>
          <w:marBottom w:val="0"/>
          <w:divBdr>
            <w:top w:val="none" w:sz="0" w:space="0" w:color="auto"/>
            <w:left w:val="none" w:sz="0" w:space="0" w:color="auto"/>
            <w:bottom w:val="none" w:sz="0" w:space="0" w:color="auto"/>
            <w:right w:val="none" w:sz="0" w:space="0" w:color="auto"/>
          </w:divBdr>
        </w:div>
        <w:div w:id="1267931897">
          <w:marLeft w:val="0"/>
          <w:marRight w:val="0"/>
          <w:marTop w:val="0"/>
          <w:marBottom w:val="0"/>
          <w:divBdr>
            <w:top w:val="none" w:sz="0" w:space="0" w:color="auto"/>
            <w:left w:val="none" w:sz="0" w:space="0" w:color="auto"/>
            <w:bottom w:val="none" w:sz="0" w:space="0" w:color="auto"/>
            <w:right w:val="none" w:sz="0" w:space="0" w:color="auto"/>
          </w:divBdr>
        </w:div>
        <w:div w:id="1333148124">
          <w:marLeft w:val="0"/>
          <w:marRight w:val="0"/>
          <w:marTop w:val="0"/>
          <w:marBottom w:val="0"/>
          <w:divBdr>
            <w:top w:val="none" w:sz="0" w:space="0" w:color="auto"/>
            <w:left w:val="none" w:sz="0" w:space="0" w:color="auto"/>
            <w:bottom w:val="none" w:sz="0" w:space="0" w:color="auto"/>
            <w:right w:val="none" w:sz="0" w:space="0" w:color="auto"/>
          </w:divBdr>
        </w:div>
        <w:div w:id="1400636872">
          <w:marLeft w:val="0"/>
          <w:marRight w:val="0"/>
          <w:marTop w:val="0"/>
          <w:marBottom w:val="0"/>
          <w:divBdr>
            <w:top w:val="none" w:sz="0" w:space="0" w:color="auto"/>
            <w:left w:val="none" w:sz="0" w:space="0" w:color="auto"/>
            <w:bottom w:val="none" w:sz="0" w:space="0" w:color="auto"/>
            <w:right w:val="none" w:sz="0" w:space="0" w:color="auto"/>
          </w:divBdr>
        </w:div>
        <w:div w:id="620380603">
          <w:marLeft w:val="0"/>
          <w:marRight w:val="0"/>
          <w:marTop w:val="0"/>
          <w:marBottom w:val="0"/>
          <w:divBdr>
            <w:top w:val="none" w:sz="0" w:space="0" w:color="auto"/>
            <w:left w:val="none" w:sz="0" w:space="0" w:color="auto"/>
            <w:bottom w:val="none" w:sz="0" w:space="0" w:color="auto"/>
            <w:right w:val="none" w:sz="0" w:space="0" w:color="auto"/>
          </w:divBdr>
          <w:divsChild>
            <w:div w:id="1370570055">
              <w:marLeft w:val="0"/>
              <w:marRight w:val="0"/>
              <w:marTop w:val="0"/>
              <w:marBottom w:val="0"/>
              <w:divBdr>
                <w:top w:val="none" w:sz="0" w:space="0" w:color="auto"/>
                <w:left w:val="none" w:sz="0" w:space="0" w:color="auto"/>
                <w:bottom w:val="none" w:sz="0" w:space="0" w:color="auto"/>
                <w:right w:val="none" w:sz="0" w:space="0" w:color="auto"/>
              </w:divBdr>
            </w:div>
            <w:div w:id="1675764075">
              <w:marLeft w:val="0"/>
              <w:marRight w:val="0"/>
              <w:marTop w:val="0"/>
              <w:marBottom w:val="0"/>
              <w:divBdr>
                <w:top w:val="none" w:sz="0" w:space="0" w:color="auto"/>
                <w:left w:val="none" w:sz="0" w:space="0" w:color="auto"/>
                <w:bottom w:val="none" w:sz="0" w:space="0" w:color="auto"/>
                <w:right w:val="none" w:sz="0" w:space="0" w:color="auto"/>
              </w:divBdr>
            </w:div>
            <w:div w:id="1574201820">
              <w:marLeft w:val="0"/>
              <w:marRight w:val="0"/>
              <w:marTop w:val="0"/>
              <w:marBottom w:val="0"/>
              <w:divBdr>
                <w:top w:val="none" w:sz="0" w:space="0" w:color="auto"/>
                <w:left w:val="none" w:sz="0" w:space="0" w:color="auto"/>
                <w:bottom w:val="none" w:sz="0" w:space="0" w:color="auto"/>
                <w:right w:val="none" w:sz="0" w:space="0" w:color="auto"/>
              </w:divBdr>
            </w:div>
            <w:div w:id="938760132">
              <w:marLeft w:val="0"/>
              <w:marRight w:val="0"/>
              <w:marTop w:val="0"/>
              <w:marBottom w:val="0"/>
              <w:divBdr>
                <w:top w:val="none" w:sz="0" w:space="0" w:color="auto"/>
                <w:left w:val="none" w:sz="0" w:space="0" w:color="auto"/>
                <w:bottom w:val="none" w:sz="0" w:space="0" w:color="auto"/>
                <w:right w:val="none" w:sz="0" w:space="0" w:color="auto"/>
              </w:divBdr>
            </w:div>
          </w:divsChild>
        </w:div>
        <w:div w:id="2065136145">
          <w:marLeft w:val="0"/>
          <w:marRight w:val="0"/>
          <w:marTop w:val="0"/>
          <w:marBottom w:val="0"/>
          <w:divBdr>
            <w:top w:val="none" w:sz="0" w:space="0" w:color="auto"/>
            <w:left w:val="none" w:sz="0" w:space="0" w:color="auto"/>
            <w:bottom w:val="none" w:sz="0" w:space="0" w:color="auto"/>
            <w:right w:val="none" w:sz="0" w:space="0" w:color="auto"/>
          </w:divBdr>
          <w:divsChild>
            <w:div w:id="165637798">
              <w:marLeft w:val="0"/>
              <w:marRight w:val="0"/>
              <w:marTop w:val="0"/>
              <w:marBottom w:val="0"/>
              <w:divBdr>
                <w:top w:val="none" w:sz="0" w:space="0" w:color="auto"/>
                <w:left w:val="none" w:sz="0" w:space="0" w:color="auto"/>
                <w:bottom w:val="none" w:sz="0" w:space="0" w:color="auto"/>
                <w:right w:val="none" w:sz="0" w:space="0" w:color="auto"/>
              </w:divBdr>
            </w:div>
          </w:divsChild>
        </w:div>
        <w:div w:id="1991907529">
          <w:marLeft w:val="0"/>
          <w:marRight w:val="0"/>
          <w:marTop w:val="0"/>
          <w:marBottom w:val="0"/>
          <w:divBdr>
            <w:top w:val="none" w:sz="0" w:space="0" w:color="auto"/>
            <w:left w:val="none" w:sz="0" w:space="0" w:color="auto"/>
            <w:bottom w:val="none" w:sz="0" w:space="0" w:color="auto"/>
            <w:right w:val="none" w:sz="0" w:space="0" w:color="auto"/>
          </w:divBdr>
          <w:divsChild>
            <w:div w:id="229584509">
              <w:marLeft w:val="0"/>
              <w:marRight w:val="0"/>
              <w:marTop w:val="0"/>
              <w:marBottom w:val="0"/>
              <w:divBdr>
                <w:top w:val="none" w:sz="0" w:space="0" w:color="auto"/>
                <w:left w:val="none" w:sz="0" w:space="0" w:color="auto"/>
                <w:bottom w:val="none" w:sz="0" w:space="0" w:color="auto"/>
                <w:right w:val="none" w:sz="0" w:space="0" w:color="auto"/>
              </w:divBdr>
            </w:div>
            <w:div w:id="2097243218">
              <w:marLeft w:val="0"/>
              <w:marRight w:val="0"/>
              <w:marTop w:val="0"/>
              <w:marBottom w:val="0"/>
              <w:divBdr>
                <w:top w:val="none" w:sz="0" w:space="0" w:color="auto"/>
                <w:left w:val="none" w:sz="0" w:space="0" w:color="auto"/>
                <w:bottom w:val="none" w:sz="0" w:space="0" w:color="auto"/>
                <w:right w:val="none" w:sz="0" w:space="0" w:color="auto"/>
              </w:divBdr>
            </w:div>
            <w:div w:id="1208420890">
              <w:marLeft w:val="0"/>
              <w:marRight w:val="0"/>
              <w:marTop w:val="0"/>
              <w:marBottom w:val="0"/>
              <w:divBdr>
                <w:top w:val="none" w:sz="0" w:space="0" w:color="auto"/>
                <w:left w:val="none" w:sz="0" w:space="0" w:color="auto"/>
                <w:bottom w:val="none" w:sz="0" w:space="0" w:color="auto"/>
                <w:right w:val="none" w:sz="0" w:space="0" w:color="auto"/>
              </w:divBdr>
            </w:div>
            <w:div w:id="296104807">
              <w:marLeft w:val="0"/>
              <w:marRight w:val="0"/>
              <w:marTop w:val="0"/>
              <w:marBottom w:val="0"/>
              <w:divBdr>
                <w:top w:val="none" w:sz="0" w:space="0" w:color="auto"/>
                <w:left w:val="none" w:sz="0" w:space="0" w:color="auto"/>
                <w:bottom w:val="none" w:sz="0" w:space="0" w:color="auto"/>
                <w:right w:val="none" w:sz="0" w:space="0" w:color="auto"/>
              </w:divBdr>
            </w:div>
            <w:div w:id="751126029">
              <w:marLeft w:val="0"/>
              <w:marRight w:val="0"/>
              <w:marTop w:val="0"/>
              <w:marBottom w:val="0"/>
              <w:divBdr>
                <w:top w:val="none" w:sz="0" w:space="0" w:color="auto"/>
                <w:left w:val="none" w:sz="0" w:space="0" w:color="auto"/>
                <w:bottom w:val="none" w:sz="0" w:space="0" w:color="auto"/>
                <w:right w:val="none" w:sz="0" w:space="0" w:color="auto"/>
              </w:divBdr>
            </w:div>
            <w:div w:id="1996058064">
              <w:marLeft w:val="0"/>
              <w:marRight w:val="0"/>
              <w:marTop w:val="0"/>
              <w:marBottom w:val="0"/>
              <w:divBdr>
                <w:top w:val="none" w:sz="0" w:space="0" w:color="auto"/>
                <w:left w:val="none" w:sz="0" w:space="0" w:color="auto"/>
                <w:bottom w:val="none" w:sz="0" w:space="0" w:color="auto"/>
                <w:right w:val="none" w:sz="0" w:space="0" w:color="auto"/>
              </w:divBdr>
            </w:div>
          </w:divsChild>
        </w:div>
        <w:div w:id="1921452218">
          <w:marLeft w:val="0"/>
          <w:marRight w:val="0"/>
          <w:marTop w:val="0"/>
          <w:marBottom w:val="0"/>
          <w:divBdr>
            <w:top w:val="none" w:sz="0" w:space="0" w:color="auto"/>
            <w:left w:val="none" w:sz="0" w:space="0" w:color="auto"/>
            <w:bottom w:val="none" w:sz="0" w:space="0" w:color="auto"/>
            <w:right w:val="none" w:sz="0" w:space="0" w:color="auto"/>
          </w:divBdr>
        </w:div>
        <w:div w:id="1270775215">
          <w:marLeft w:val="0"/>
          <w:marRight w:val="0"/>
          <w:marTop w:val="0"/>
          <w:marBottom w:val="0"/>
          <w:divBdr>
            <w:top w:val="none" w:sz="0" w:space="0" w:color="auto"/>
            <w:left w:val="none" w:sz="0" w:space="0" w:color="auto"/>
            <w:bottom w:val="none" w:sz="0" w:space="0" w:color="auto"/>
            <w:right w:val="none" w:sz="0" w:space="0" w:color="auto"/>
          </w:divBdr>
        </w:div>
        <w:div w:id="1259365712">
          <w:marLeft w:val="0"/>
          <w:marRight w:val="0"/>
          <w:marTop w:val="0"/>
          <w:marBottom w:val="0"/>
          <w:divBdr>
            <w:top w:val="none" w:sz="0" w:space="0" w:color="auto"/>
            <w:left w:val="none" w:sz="0" w:space="0" w:color="auto"/>
            <w:bottom w:val="none" w:sz="0" w:space="0" w:color="auto"/>
            <w:right w:val="none" w:sz="0" w:space="0" w:color="auto"/>
          </w:divBdr>
        </w:div>
        <w:div w:id="1712069023">
          <w:marLeft w:val="0"/>
          <w:marRight w:val="0"/>
          <w:marTop w:val="0"/>
          <w:marBottom w:val="0"/>
          <w:divBdr>
            <w:top w:val="none" w:sz="0" w:space="0" w:color="auto"/>
            <w:left w:val="none" w:sz="0" w:space="0" w:color="auto"/>
            <w:bottom w:val="none" w:sz="0" w:space="0" w:color="auto"/>
            <w:right w:val="none" w:sz="0" w:space="0" w:color="auto"/>
          </w:divBdr>
        </w:div>
        <w:div w:id="6949031">
          <w:marLeft w:val="0"/>
          <w:marRight w:val="0"/>
          <w:marTop w:val="0"/>
          <w:marBottom w:val="0"/>
          <w:divBdr>
            <w:top w:val="none" w:sz="0" w:space="0" w:color="auto"/>
            <w:left w:val="none" w:sz="0" w:space="0" w:color="auto"/>
            <w:bottom w:val="none" w:sz="0" w:space="0" w:color="auto"/>
            <w:right w:val="none" w:sz="0" w:space="0" w:color="auto"/>
          </w:divBdr>
        </w:div>
        <w:div w:id="69543296">
          <w:marLeft w:val="0"/>
          <w:marRight w:val="0"/>
          <w:marTop w:val="0"/>
          <w:marBottom w:val="0"/>
          <w:divBdr>
            <w:top w:val="none" w:sz="0" w:space="0" w:color="auto"/>
            <w:left w:val="none" w:sz="0" w:space="0" w:color="auto"/>
            <w:bottom w:val="none" w:sz="0" w:space="0" w:color="auto"/>
            <w:right w:val="none" w:sz="0" w:space="0" w:color="auto"/>
          </w:divBdr>
        </w:div>
        <w:div w:id="1003435557">
          <w:marLeft w:val="0"/>
          <w:marRight w:val="0"/>
          <w:marTop w:val="0"/>
          <w:marBottom w:val="0"/>
          <w:divBdr>
            <w:top w:val="none" w:sz="0" w:space="0" w:color="auto"/>
            <w:left w:val="none" w:sz="0" w:space="0" w:color="auto"/>
            <w:bottom w:val="none" w:sz="0" w:space="0" w:color="auto"/>
            <w:right w:val="none" w:sz="0" w:space="0" w:color="auto"/>
          </w:divBdr>
        </w:div>
        <w:div w:id="1007515961">
          <w:marLeft w:val="0"/>
          <w:marRight w:val="0"/>
          <w:marTop w:val="0"/>
          <w:marBottom w:val="0"/>
          <w:divBdr>
            <w:top w:val="none" w:sz="0" w:space="0" w:color="auto"/>
            <w:left w:val="none" w:sz="0" w:space="0" w:color="auto"/>
            <w:bottom w:val="none" w:sz="0" w:space="0" w:color="auto"/>
            <w:right w:val="none" w:sz="0" w:space="0" w:color="auto"/>
          </w:divBdr>
        </w:div>
        <w:div w:id="737744880">
          <w:marLeft w:val="0"/>
          <w:marRight w:val="0"/>
          <w:marTop w:val="0"/>
          <w:marBottom w:val="0"/>
          <w:divBdr>
            <w:top w:val="none" w:sz="0" w:space="0" w:color="auto"/>
            <w:left w:val="none" w:sz="0" w:space="0" w:color="auto"/>
            <w:bottom w:val="none" w:sz="0" w:space="0" w:color="auto"/>
            <w:right w:val="none" w:sz="0" w:space="0" w:color="auto"/>
          </w:divBdr>
        </w:div>
        <w:div w:id="1622149436">
          <w:marLeft w:val="0"/>
          <w:marRight w:val="0"/>
          <w:marTop w:val="0"/>
          <w:marBottom w:val="0"/>
          <w:divBdr>
            <w:top w:val="none" w:sz="0" w:space="0" w:color="auto"/>
            <w:left w:val="none" w:sz="0" w:space="0" w:color="auto"/>
            <w:bottom w:val="none" w:sz="0" w:space="0" w:color="auto"/>
            <w:right w:val="none" w:sz="0" w:space="0" w:color="auto"/>
          </w:divBdr>
        </w:div>
        <w:div w:id="1433041097">
          <w:marLeft w:val="0"/>
          <w:marRight w:val="0"/>
          <w:marTop w:val="0"/>
          <w:marBottom w:val="0"/>
          <w:divBdr>
            <w:top w:val="none" w:sz="0" w:space="0" w:color="auto"/>
            <w:left w:val="none" w:sz="0" w:space="0" w:color="auto"/>
            <w:bottom w:val="none" w:sz="0" w:space="0" w:color="auto"/>
            <w:right w:val="none" w:sz="0" w:space="0" w:color="auto"/>
          </w:divBdr>
        </w:div>
        <w:div w:id="1526020354">
          <w:marLeft w:val="0"/>
          <w:marRight w:val="0"/>
          <w:marTop w:val="0"/>
          <w:marBottom w:val="0"/>
          <w:divBdr>
            <w:top w:val="none" w:sz="0" w:space="0" w:color="auto"/>
            <w:left w:val="none" w:sz="0" w:space="0" w:color="auto"/>
            <w:bottom w:val="none" w:sz="0" w:space="0" w:color="auto"/>
            <w:right w:val="none" w:sz="0" w:space="0" w:color="auto"/>
          </w:divBdr>
        </w:div>
        <w:div w:id="300500539">
          <w:marLeft w:val="0"/>
          <w:marRight w:val="0"/>
          <w:marTop w:val="0"/>
          <w:marBottom w:val="0"/>
          <w:divBdr>
            <w:top w:val="none" w:sz="0" w:space="0" w:color="auto"/>
            <w:left w:val="none" w:sz="0" w:space="0" w:color="auto"/>
            <w:bottom w:val="none" w:sz="0" w:space="0" w:color="auto"/>
            <w:right w:val="none" w:sz="0" w:space="0" w:color="auto"/>
          </w:divBdr>
        </w:div>
        <w:div w:id="1668827182">
          <w:marLeft w:val="0"/>
          <w:marRight w:val="0"/>
          <w:marTop w:val="0"/>
          <w:marBottom w:val="0"/>
          <w:divBdr>
            <w:top w:val="none" w:sz="0" w:space="0" w:color="auto"/>
            <w:left w:val="none" w:sz="0" w:space="0" w:color="auto"/>
            <w:bottom w:val="none" w:sz="0" w:space="0" w:color="auto"/>
            <w:right w:val="none" w:sz="0" w:space="0" w:color="auto"/>
          </w:divBdr>
        </w:div>
        <w:div w:id="470097391">
          <w:marLeft w:val="0"/>
          <w:marRight w:val="0"/>
          <w:marTop w:val="0"/>
          <w:marBottom w:val="0"/>
          <w:divBdr>
            <w:top w:val="none" w:sz="0" w:space="0" w:color="auto"/>
            <w:left w:val="none" w:sz="0" w:space="0" w:color="auto"/>
            <w:bottom w:val="none" w:sz="0" w:space="0" w:color="auto"/>
            <w:right w:val="none" w:sz="0" w:space="0" w:color="auto"/>
          </w:divBdr>
        </w:div>
        <w:div w:id="1987783764">
          <w:marLeft w:val="0"/>
          <w:marRight w:val="0"/>
          <w:marTop w:val="0"/>
          <w:marBottom w:val="0"/>
          <w:divBdr>
            <w:top w:val="none" w:sz="0" w:space="0" w:color="auto"/>
            <w:left w:val="none" w:sz="0" w:space="0" w:color="auto"/>
            <w:bottom w:val="none" w:sz="0" w:space="0" w:color="auto"/>
            <w:right w:val="none" w:sz="0" w:space="0" w:color="auto"/>
          </w:divBdr>
        </w:div>
        <w:div w:id="775833078">
          <w:marLeft w:val="0"/>
          <w:marRight w:val="0"/>
          <w:marTop w:val="0"/>
          <w:marBottom w:val="0"/>
          <w:divBdr>
            <w:top w:val="none" w:sz="0" w:space="0" w:color="auto"/>
            <w:left w:val="none" w:sz="0" w:space="0" w:color="auto"/>
            <w:bottom w:val="none" w:sz="0" w:space="0" w:color="auto"/>
            <w:right w:val="none" w:sz="0" w:space="0" w:color="auto"/>
          </w:divBdr>
        </w:div>
        <w:div w:id="2053577551">
          <w:marLeft w:val="0"/>
          <w:marRight w:val="0"/>
          <w:marTop w:val="0"/>
          <w:marBottom w:val="0"/>
          <w:divBdr>
            <w:top w:val="none" w:sz="0" w:space="0" w:color="auto"/>
            <w:left w:val="none" w:sz="0" w:space="0" w:color="auto"/>
            <w:bottom w:val="none" w:sz="0" w:space="0" w:color="auto"/>
            <w:right w:val="none" w:sz="0" w:space="0" w:color="auto"/>
          </w:divBdr>
        </w:div>
        <w:div w:id="932933511">
          <w:marLeft w:val="0"/>
          <w:marRight w:val="0"/>
          <w:marTop w:val="0"/>
          <w:marBottom w:val="0"/>
          <w:divBdr>
            <w:top w:val="none" w:sz="0" w:space="0" w:color="auto"/>
            <w:left w:val="none" w:sz="0" w:space="0" w:color="auto"/>
            <w:bottom w:val="none" w:sz="0" w:space="0" w:color="auto"/>
            <w:right w:val="none" w:sz="0" w:space="0" w:color="auto"/>
          </w:divBdr>
        </w:div>
        <w:div w:id="1182089111">
          <w:marLeft w:val="0"/>
          <w:marRight w:val="0"/>
          <w:marTop w:val="0"/>
          <w:marBottom w:val="0"/>
          <w:divBdr>
            <w:top w:val="none" w:sz="0" w:space="0" w:color="auto"/>
            <w:left w:val="none" w:sz="0" w:space="0" w:color="auto"/>
            <w:bottom w:val="none" w:sz="0" w:space="0" w:color="auto"/>
            <w:right w:val="none" w:sz="0" w:space="0" w:color="auto"/>
          </w:divBdr>
        </w:div>
        <w:div w:id="508955634">
          <w:marLeft w:val="0"/>
          <w:marRight w:val="0"/>
          <w:marTop w:val="0"/>
          <w:marBottom w:val="0"/>
          <w:divBdr>
            <w:top w:val="none" w:sz="0" w:space="0" w:color="auto"/>
            <w:left w:val="none" w:sz="0" w:space="0" w:color="auto"/>
            <w:bottom w:val="none" w:sz="0" w:space="0" w:color="auto"/>
            <w:right w:val="none" w:sz="0" w:space="0" w:color="auto"/>
          </w:divBdr>
        </w:div>
        <w:div w:id="1382830050">
          <w:marLeft w:val="0"/>
          <w:marRight w:val="0"/>
          <w:marTop w:val="0"/>
          <w:marBottom w:val="0"/>
          <w:divBdr>
            <w:top w:val="none" w:sz="0" w:space="0" w:color="auto"/>
            <w:left w:val="none" w:sz="0" w:space="0" w:color="auto"/>
            <w:bottom w:val="none" w:sz="0" w:space="0" w:color="auto"/>
            <w:right w:val="none" w:sz="0" w:space="0" w:color="auto"/>
          </w:divBdr>
        </w:div>
        <w:div w:id="658776034">
          <w:marLeft w:val="0"/>
          <w:marRight w:val="0"/>
          <w:marTop w:val="0"/>
          <w:marBottom w:val="0"/>
          <w:divBdr>
            <w:top w:val="none" w:sz="0" w:space="0" w:color="auto"/>
            <w:left w:val="none" w:sz="0" w:space="0" w:color="auto"/>
            <w:bottom w:val="none" w:sz="0" w:space="0" w:color="auto"/>
            <w:right w:val="none" w:sz="0" w:space="0" w:color="auto"/>
          </w:divBdr>
        </w:div>
        <w:div w:id="595753972">
          <w:marLeft w:val="0"/>
          <w:marRight w:val="0"/>
          <w:marTop w:val="0"/>
          <w:marBottom w:val="0"/>
          <w:divBdr>
            <w:top w:val="none" w:sz="0" w:space="0" w:color="auto"/>
            <w:left w:val="none" w:sz="0" w:space="0" w:color="auto"/>
            <w:bottom w:val="none" w:sz="0" w:space="0" w:color="auto"/>
            <w:right w:val="none" w:sz="0" w:space="0" w:color="auto"/>
          </w:divBdr>
        </w:div>
        <w:div w:id="2127920900">
          <w:marLeft w:val="0"/>
          <w:marRight w:val="0"/>
          <w:marTop w:val="0"/>
          <w:marBottom w:val="0"/>
          <w:divBdr>
            <w:top w:val="none" w:sz="0" w:space="0" w:color="auto"/>
            <w:left w:val="none" w:sz="0" w:space="0" w:color="auto"/>
            <w:bottom w:val="none" w:sz="0" w:space="0" w:color="auto"/>
            <w:right w:val="none" w:sz="0" w:space="0" w:color="auto"/>
          </w:divBdr>
        </w:div>
        <w:div w:id="1663197707">
          <w:marLeft w:val="0"/>
          <w:marRight w:val="0"/>
          <w:marTop w:val="0"/>
          <w:marBottom w:val="0"/>
          <w:divBdr>
            <w:top w:val="none" w:sz="0" w:space="0" w:color="auto"/>
            <w:left w:val="none" w:sz="0" w:space="0" w:color="auto"/>
            <w:bottom w:val="none" w:sz="0" w:space="0" w:color="auto"/>
            <w:right w:val="none" w:sz="0" w:space="0" w:color="auto"/>
          </w:divBdr>
        </w:div>
        <w:div w:id="1734541728">
          <w:marLeft w:val="0"/>
          <w:marRight w:val="0"/>
          <w:marTop w:val="0"/>
          <w:marBottom w:val="0"/>
          <w:divBdr>
            <w:top w:val="none" w:sz="0" w:space="0" w:color="auto"/>
            <w:left w:val="none" w:sz="0" w:space="0" w:color="auto"/>
            <w:bottom w:val="none" w:sz="0" w:space="0" w:color="auto"/>
            <w:right w:val="none" w:sz="0" w:space="0" w:color="auto"/>
          </w:divBdr>
        </w:div>
        <w:div w:id="1353455464">
          <w:marLeft w:val="0"/>
          <w:marRight w:val="0"/>
          <w:marTop w:val="0"/>
          <w:marBottom w:val="0"/>
          <w:divBdr>
            <w:top w:val="none" w:sz="0" w:space="0" w:color="auto"/>
            <w:left w:val="none" w:sz="0" w:space="0" w:color="auto"/>
            <w:bottom w:val="none" w:sz="0" w:space="0" w:color="auto"/>
            <w:right w:val="none" w:sz="0" w:space="0" w:color="auto"/>
          </w:divBdr>
        </w:div>
        <w:div w:id="292367431">
          <w:marLeft w:val="0"/>
          <w:marRight w:val="0"/>
          <w:marTop w:val="0"/>
          <w:marBottom w:val="0"/>
          <w:divBdr>
            <w:top w:val="none" w:sz="0" w:space="0" w:color="auto"/>
            <w:left w:val="none" w:sz="0" w:space="0" w:color="auto"/>
            <w:bottom w:val="none" w:sz="0" w:space="0" w:color="auto"/>
            <w:right w:val="none" w:sz="0" w:space="0" w:color="auto"/>
          </w:divBdr>
        </w:div>
        <w:div w:id="1199197622">
          <w:marLeft w:val="0"/>
          <w:marRight w:val="0"/>
          <w:marTop w:val="0"/>
          <w:marBottom w:val="0"/>
          <w:divBdr>
            <w:top w:val="none" w:sz="0" w:space="0" w:color="auto"/>
            <w:left w:val="none" w:sz="0" w:space="0" w:color="auto"/>
            <w:bottom w:val="none" w:sz="0" w:space="0" w:color="auto"/>
            <w:right w:val="none" w:sz="0" w:space="0" w:color="auto"/>
          </w:divBdr>
        </w:div>
        <w:div w:id="1566795617">
          <w:marLeft w:val="0"/>
          <w:marRight w:val="0"/>
          <w:marTop w:val="0"/>
          <w:marBottom w:val="0"/>
          <w:divBdr>
            <w:top w:val="none" w:sz="0" w:space="0" w:color="auto"/>
            <w:left w:val="none" w:sz="0" w:space="0" w:color="auto"/>
            <w:bottom w:val="none" w:sz="0" w:space="0" w:color="auto"/>
            <w:right w:val="none" w:sz="0" w:space="0" w:color="auto"/>
          </w:divBdr>
        </w:div>
        <w:div w:id="161094334">
          <w:marLeft w:val="0"/>
          <w:marRight w:val="0"/>
          <w:marTop w:val="0"/>
          <w:marBottom w:val="0"/>
          <w:divBdr>
            <w:top w:val="none" w:sz="0" w:space="0" w:color="auto"/>
            <w:left w:val="none" w:sz="0" w:space="0" w:color="auto"/>
            <w:bottom w:val="none" w:sz="0" w:space="0" w:color="auto"/>
            <w:right w:val="none" w:sz="0" w:space="0" w:color="auto"/>
          </w:divBdr>
        </w:div>
        <w:div w:id="210508327">
          <w:marLeft w:val="0"/>
          <w:marRight w:val="0"/>
          <w:marTop w:val="0"/>
          <w:marBottom w:val="0"/>
          <w:divBdr>
            <w:top w:val="none" w:sz="0" w:space="0" w:color="auto"/>
            <w:left w:val="none" w:sz="0" w:space="0" w:color="auto"/>
            <w:bottom w:val="none" w:sz="0" w:space="0" w:color="auto"/>
            <w:right w:val="none" w:sz="0" w:space="0" w:color="auto"/>
          </w:divBdr>
        </w:div>
        <w:div w:id="1587496925">
          <w:marLeft w:val="0"/>
          <w:marRight w:val="0"/>
          <w:marTop w:val="0"/>
          <w:marBottom w:val="0"/>
          <w:divBdr>
            <w:top w:val="none" w:sz="0" w:space="0" w:color="auto"/>
            <w:left w:val="none" w:sz="0" w:space="0" w:color="auto"/>
            <w:bottom w:val="none" w:sz="0" w:space="0" w:color="auto"/>
            <w:right w:val="none" w:sz="0" w:space="0" w:color="auto"/>
          </w:divBdr>
        </w:div>
        <w:div w:id="247885722">
          <w:marLeft w:val="0"/>
          <w:marRight w:val="0"/>
          <w:marTop w:val="0"/>
          <w:marBottom w:val="0"/>
          <w:divBdr>
            <w:top w:val="none" w:sz="0" w:space="0" w:color="auto"/>
            <w:left w:val="none" w:sz="0" w:space="0" w:color="auto"/>
            <w:bottom w:val="none" w:sz="0" w:space="0" w:color="auto"/>
            <w:right w:val="none" w:sz="0" w:space="0" w:color="auto"/>
          </w:divBdr>
        </w:div>
        <w:div w:id="300959475">
          <w:marLeft w:val="0"/>
          <w:marRight w:val="0"/>
          <w:marTop w:val="0"/>
          <w:marBottom w:val="0"/>
          <w:divBdr>
            <w:top w:val="none" w:sz="0" w:space="0" w:color="auto"/>
            <w:left w:val="none" w:sz="0" w:space="0" w:color="auto"/>
            <w:bottom w:val="none" w:sz="0" w:space="0" w:color="auto"/>
            <w:right w:val="none" w:sz="0" w:space="0" w:color="auto"/>
          </w:divBdr>
        </w:div>
        <w:div w:id="1760641638">
          <w:marLeft w:val="0"/>
          <w:marRight w:val="0"/>
          <w:marTop w:val="0"/>
          <w:marBottom w:val="0"/>
          <w:divBdr>
            <w:top w:val="none" w:sz="0" w:space="0" w:color="auto"/>
            <w:left w:val="none" w:sz="0" w:space="0" w:color="auto"/>
            <w:bottom w:val="none" w:sz="0" w:space="0" w:color="auto"/>
            <w:right w:val="none" w:sz="0" w:space="0" w:color="auto"/>
          </w:divBdr>
        </w:div>
        <w:div w:id="1867793596">
          <w:marLeft w:val="0"/>
          <w:marRight w:val="0"/>
          <w:marTop w:val="0"/>
          <w:marBottom w:val="0"/>
          <w:divBdr>
            <w:top w:val="none" w:sz="0" w:space="0" w:color="auto"/>
            <w:left w:val="none" w:sz="0" w:space="0" w:color="auto"/>
            <w:bottom w:val="none" w:sz="0" w:space="0" w:color="auto"/>
            <w:right w:val="none" w:sz="0" w:space="0" w:color="auto"/>
          </w:divBdr>
        </w:div>
        <w:div w:id="2029208947">
          <w:marLeft w:val="0"/>
          <w:marRight w:val="0"/>
          <w:marTop w:val="0"/>
          <w:marBottom w:val="0"/>
          <w:divBdr>
            <w:top w:val="none" w:sz="0" w:space="0" w:color="auto"/>
            <w:left w:val="none" w:sz="0" w:space="0" w:color="auto"/>
            <w:bottom w:val="none" w:sz="0" w:space="0" w:color="auto"/>
            <w:right w:val="none" w:sz="0" w:space="0" w:color="auto"/>
          </w:divBdr>
        </w:div>
        <w:div w:id="1947081440">
          <w:marLeft w:val="0"/>
          <w:marRight w:val="0"/>
          <w:marTop w:val="0"/>
          <w:marBottom w:val="0"/>
          <w:divBdr>
            <w:top w:val="none" w:sz="0" w:space="0" w:color="auto"/>
            <w:left w:val="none" w:sz="0" w:space="0" w:color="auto"/>
            <w:bottom w:val="none" w:sz="0" w:space="0" w:color="auto"/>
            <w:right w:val="none" w:sz="0" w:space="0" w:color="auto"/>
          </w:divBdr>
        </w:div>
        <w:div w:id="346294190">
          <w:marLeft w:val="0"/>
          <w:marRight w:val="0"/>
          <w:marTop w:val="0"/>
          <w:marBottom w:val="0"/>
          <w:divBdr>
            <w:top w:val="none" w:sz="0" w:space="0" w:color="auto"/>
            <w:left w:val="none" w:sz="0" w:space="0" w:color="auto"/>
            <w:bottom w:val="none" w:sz="0" w:space="0" w:color="auto"/>
            <w:right w:val="none" w:sz="0" w:space="0" w:color="auto"/>
          </w:divBdr>
        </w:div>
        <w:div w:id="499933125">
          <w:marLeft w:val="0"/>
          <w:marRight w:val="0"/>
          <w:marTop w:val="0"/>
          <w:marBottom w:val="0"/>
          <w:divBdr>
            <w:top w:val="none" w:sz="0" w:space="0" w:color="auto"/>
            <w:left w:val="none" w:sz="0" w:space="0" w:color="auto"/>
            <w:bottom w:val="none" w:sz="0" w:space="0" w:color="auto"/>
            <w:right w:val="none" w:sz="0" w:space="0" w:color="auto"/>
          </w:divBdr>
        </w:div>
        <w:div w:id="574318894">
          <w:marLeft w:val="0"/>
          <w:marRight w:val="0"/>
          <w:marTop w:val="0"/>
          <w:marBottom w:val="0"/>
          <w:divBdr>
            <w:top w:val="none" w:sz="0" w:space="0" w:color="auto"/>
            <w:left w:val="none" w:sz="0" w:space="0" w:color="auto"/>
            <w:bottom w:val="none" w:sz="0" w:space="0" w:color="auto"/>
            <w:right w:val="none" w:sz="0" w:space="0" w:color="auto"/>
          </w:divBdr>
        </w:div>
        <w:div w:id="970786402">
          <w:marLeft w:val="0"/>
          <w:marRight w:val="0"/>
          <w:marTop w:val="0"/>
          <w:marBottom w:val="0"/>
          <w:divBdr>
            <w:top w:val="none" w:sz="0" w:space="0" w:color="auto"/>
            <w:left w:val="none" w:sz="0" w:space="0" w:color="auto"/>
            <w:bottom w:val="none" w:sz="0" w:space="0" w:color="auto"/>
            <w:right w:val="none" w:sz="0" w:space="0" w:color="auto"/>
          </w:divBdr>
        </w:div>
        <w:div w:id="1994751394">
          <w:marLeft w:val="0"/>
          <w:marRight w:val="0"/>
          <w:marTop w:val="0"/>
          <w:marBottom w:val="0"/>
          <w:divBdr>
            <w:top w:val="none" w:sz="0" w:space="0" w:color="auto"/>
            <w:left w:val="none" w:sz="0" w:space="0" w:color="auto"/>
            <w:bottom w:val="none" w:sz="0" w:space="0" w:color="auto"/>
            <w:right w:val="none" w:sz="0" w:space="0" w:color="auto"/>
          </w:divBdr>
        </w:div>
        <w:div w:id="1255746055">
          <w:marLeft w:val="0"/>
          <w:marRight w:val="0"/>
          <w:marTop w:val="0"/>
          <w:marBottom w:val="0"/>
          <w:divBdr>
            <w:top w:val="none" w:sz="0" w:space="0" w:color="auto"/>
            <w:left w:val="none" w:sz="0" w:space="0" w:color="auto"/>
            <w:bottom w:val="none" w:sz="0" w:space="0" w:color="auto"/>
            <w:right w:val="none" w:sz="0" w:space="0" w:color="auto"/>
          </w:divBdr>
        </w:div>
        <w:div w:id="1431050273">
          <w:marLeft w:val="0"/>
          <w:marRight w:val="0"/>
          <w:marTop w:val="0"/>
          <w:marBottom w:val="0"/>
          <w:divBdr>
            <w:top w:val="none" w:sz="0" w:space="0" w:color="auto"/>
            <w:left w:val="none" w:sz="0" w:space="0" w:color="auto"/>
            <w:bottom w:val="none" w:sz="0" w:space="0" w:color="auto"/>
            <w:right w:val="none" w:sz="0" w:space="0" w:color="auto"/>
          </w:divBdr>
        </w:div>
        <w:div w:id="1138231119">
          <w:marLeft w:val="0"/>
          <w:marRight w:val="0"/>
          <w:marTop w:val="0"/>
          <w:marBottom w:val="0"/>
          <w:divBdr>
            <w:top w:val="none" w:sz="0" w:space="0" w:color="auto"/>
            <w:left w:val="none" w:sz="0" w:space="0" w:color="auto"/>
            <w:bottom w:val="none" w:sz="0" w:space="0" w:color="auto"/>
            <w:right w:val="none" w:sz="0" w:space="0" w:color="auto"/>
          </w:divBdr>
        </w:div>
        <w:div w:id="1885294307">
          <w:marLeft w:val="0"/>
          <w:marRight w:val="0"/>
          <w:marTop w:val="0"/>
          <w:marBottom w:val="0"/>
          <w:divBdr>
            <w:top w:val="none" w:sz="0" w:space="0" w:color="auto"/>
            <w:left w:val="none" w:sz="0" w:space="0" w:color="auto"/>
            <w:bottom w:val="none" w:sz="0" w:space="0" w:color="auto"/>
            <w:right w:val="none" w:sz="0" w:space="0" w:color="auto"/>
          </w:divBdr>
        </w:div>
        <w:div w:id="2105418112">
          <w:marLeft w:val="0"/>
          <w:marRight w:val="0"/>
          <w:marTop w:val="0"/>
          <w:marBottom w:val="0"/>
          <w:divBdr>
            <w:top w:val="none" w:sz="0" w:space="0" w:color="auto"/>
            <w:left w:val="none" w:sz="0" w:space="0" w:color="auto"/>
            <w:bottom w:val="none" w:sz="0" w:space="0" w:color="auto"/>
            <w:right w:val="none" w:sz="0" w:space="0" w:color="auto"/>
          </w:divBdr>
        </w:div>
        <w:div w:id="1309506446">
          <w:marLeft w:val="0"/>
          <w:marRight w:val="0"/>
          <w:marTop w:val="0"/>
          <w:marBottom w:val="0"/>
          <w:divBdr>
            <w:top w:val="none" w:sz="0" w:space="0" w:color="auto"/>
            <w:left w:val="none" w:sz="0" w:space="0" w:color="auto"/>
            <w:bottom w:val="none" w:sz="0" w:space="0" w:color="auto"/>
            <w:right w:val="none" w:sz="0" w:space="0" w:color="auto"/>
          </w:divBdr>
        </w:div>
        <w:div w:id="380788397">
          <w:marLeft w:val="0"/>
          <w:marRight w:val="0"/>
          <w:marTop w:val="0"/>
          <w:marBottom w:val="0"/>
          <w:divBdr>
            <w:top w:val="none" w:sz="0" w:space="0" w:color="auto"/>
            <w:left w:val="none" w:sz="0" w:space="0" w:color="auto"/>
            <w:bottom w:val="none" w:sz="0" w:space="0" w:color="auto"/>
            <w:right w:val="none" w:sz="0" w:space="0" w:color="auto"/>
          </w:divBdr>
        </w:div>
        <w:div w:id="1140807927">
          <w:marLeft w:val="0"/>
          <w:marRight w:val="0"/>
          <w:marTop w:val="0"/>
          <w:marBottom w:val="0"/>
          <w:divBdr>
            <w:top w:val="none" w:sz="0" w:space="0" w:color="auto"/>
            <w:left w:val="none" w:sz="0" w:space="0" w:color="auto"/>
            <w:bottom w:val="none" w:sz="0" w:space="0" w:color="auto"/>
            <w:right w:val="none" w:sz="0" w:space="0" w:color="auto"/>
          </w:divBdr>
        </w:div>
        <w:div w:id="292295968">
          <w:marLeft w:val="0"/>
          <w:marRight w:val="0"/>
          <w:marTop w:val="0"/>
          <w:marBottom w:val="0"/>
          <w:divBdr>
            <w:top w:val="none" w:sz="0" w:space="0" w:color="auto"/>
            <w:left w:val="none" w:sz="0" w:space="0" w:color="auto"/>
            <w:bottom w:val="none" w:sz="0" w:space="0" w:color="auto"/>
            <w:right w:val="none" w:sz="0" w:space="0" w:color="auto"/>
          </w:divBdr>
        </w:div>
        <w:div w:id="1929338569">
          <w:marLeft w:val="0"/>
          <w:marRight w:val="0"/>
          <w:marTop w:val="0"/>
          <w:marBottom w:val="0"/>
          <w:divBdr>
            <w:top w:val="none" w:sz="0" w:space="0" w:color="auto"/>
            <w:left w:val="none" w:sz="0" w:space="0" w:color="auto"/>
            <w:bottom w:val="none" w:sz="0" w:space="0" w:color="auto"/>
            <w:right w:val="none" w:sz="0" w:space="0" w:color="auto"/>
          </w:divBdr>
        </w:div>
        <w:div w:id="1822842091">
          <w:marLeft w:val="0"/>
          <w:marRight w:val="0"/>
          <w:marTop w:val="0"/>
          <w:marBottom w:val="0"/>
          <w:divBdr>
            <w:top w:val="none" w:sz="0" w:space="0" w:color="auto"/>
            <w:left w:val="none" w:sz="0" w:space="0" w:color="auto"/>
            <w:bottom w:val="none" w:sz="0" w:space="0" w:color="auto"/>
            <w:right w:val="none" w:sz="0" w:space="0" w:color="auto"/>
          </w:divBdr>
        </w:div>
        <w:div w:id="1509251589">
          <w:marLeft w:val="0"/>
          <w:marRight w:val="0"/>
          <w:marTop w:val="0"/>
          <w:marBottom w:val="0"/>
          <w:divBdr>
            <w:top w:val="none" w:sz="0" w:space="0" w:color="auto"/>
            <w:left w:val="none" w:sz="0" w:space="0" w:color="auto"/>
            <w:bottom w:val="none" w:sz="0" w:space="0" w:color="auto"/>
            <w:right w:val="none" w:sz="0" w:space="0" w:color="auto"/>
          </w:divBdr>
        </w:div>
        <w:div w:id="73628272">
          <w:marLeft w:val="0"/>
          <w:marRight w:val="0"/>
          <w:marTop w:val="0"/>
          <w:marBottom w:val="0"/>
          <w:divBdr>
            <w:top w:val="none" w:sz="0" w:space="0" w:color="auto"/>
            <w:left w:val="none" w:sz="0" w:space="0" w:color="auto"/>
            <w:bottom w:val="none" w:sz="0" w:space="0" w:color="auto"/>
            <w:right w:val="none" w:sz="0" w:space="0" w:color="auto"/>
          </w:divBdr>
        </w:div>
        <w:div w:id="1245795780">
          <w:marLeft w:val="0"/>
          <w:marRight w:val="0"/>
          <w:marTop w:val="0"/>
          <w:marBottom w:val="0"/>
          <w:divBdr>
            <w:top w:val="none" w:sz="0" w:space="0" w:color="auto"/>
            <w:left w:val="none" w:sz="0" w:space="0" w:color="auto"/>
            <w:bottom w:val="none" w:sz="0" w:space="0" w:color="auto"/>
            <w:right w:val="none" w:sz="0" w:space="0" w:color="auto"/>
          </w:divBdr>
        </w:div>
        <w:div w:id="1509363513">
          <w:marLeft w:val="0"/>
          <w:marRight w:val="0"/>
          <w:marTop w:val="0"/>
          <w:marBottom w:val="0"/>
          <w:divBdr>
            <w:top w:val="none" w:sz="0" w:space="0" w:color="auto"/>
            <w:left w:val="none" w:sz="0" w:space="0" w:color="auto"/>
            <w:bottom w:val="none" w:sz="0" w:space="0" w:color="auto"/>
            <w:right w:val="none" w:sz="0" w:space="0" w:color="auto"/>
          </w:divBdr>
        </w:div>
        <w:div w:id="146173513">
          <w:marLeft w:val="0"/>
          <w:marRight w:val="0"/>
          <w:marTop w:val="0"/>
          <w:marBottom w:val="0"/>
          <w:divBdr>
            <w:top w:val="none" w:sz="0" w:space="0" w:color="auto"/>
            <w:left w:val="none" w:sz="0" w:space="0" w:color="auto"/>
            <w:bottom w:val="none" w:sz="0" w:space="0" w:color="auto"/>
            <w:right w:val="none" w:sz="0" w:space="0" w:color="auto"/>
          </w:divBdr>
        </w:div>
        <w:div w:id="481117833">
          <w:marLeft w:val="0"/>
          <w:marRight w:val="0"/>
          <w:marTop w:val="0"/>
          <w:marBottom w:val="0"/>
          <w:divBdr>
            <w:top w:val="none" w:sz="0" w:space="0" w:color="auto"/>
            <w:left w:val="none" w:sz="0" w:space="0" w:color="auto"/>
            <w:bottom w:val="none" w:sz="0" w:space="0" w:color="auto"/>
            <w:right w:val="none" w:sz="0" w:space="0" w:color="auto"/>
          </w:divBdr>
        </w:div>
        <w:div w:id="422799418">
          <w:marLeft w:val="0"/>
          <w:marRight w:val="0"/>
          <w:marTop w:val="0"/>
          <w:marBottom w:val="0"/>
          <w:divBdr>
            <w:top w:val="none" w:sz="0" w:space="0" w:color="auto"/>
            <w:left w:val="none" w:sz="0" w:space="0" w:color="auto"/>
            <w:bottom w:val="none" w:sz="0" w:space="0" w:color="auto"/>
            <w:right w:val="none" w:sz="0" w:space="0" w:color="auto"/>
          </w:divBdr>
        </w:div>
        <w:div w:id="398016590">
          <w:marLeft w:val="0"/>
          <w:marRight w:val="0"/>
          <w:marTop w:val="0"/>
          <w:marBottom w:val="0"/>
          <w:divBdr>
            <w:top w:val="none" w:sz="0" w:space="0" w:color="auto"/>
            <w:left w:val="none" w:sz="0" w:space="0" w:color="auto"/>
            <w:bottom w:val="none" w:sz="0" w:space="0" w:color="auto"/>
            <w:right w:val="none" w:sz="0" w:space="0" w:color="auto"/>
          </w:divBdr>
        </w:div>
        <w:div w:id="96600891">
          <w:marLeft w:val="0"/>
          <w:marRight w:val="0"/>
          <w:marTop w:val="0"/>
          <w:marBottom w:val="0"/>
          <w:divBdr>
            <w:top w:val="none" w:sz="0" w:space="0" w:color="auto"/>
            <w:left w:val="none" w:sz="0" w:space="0" w:color="auto"/>
            <w:bottom w:val="none" w:sz="0" w:space="0" w:color="auto"/>
            <w:right w:val="none" w:sz="0" w:space="0" w:color="auto"/>
          </w:divBdr>
        </w:div>
        <w:div w:id="2104180498">
          <w:marLeft w:val="0"/>
          <w:marRight w:val="0"/>
          <w:marTop w:val="0"/>
          <w:marBottom w:val="0"/>
          <w:divBdr>
            <w:top w:val="none" w:sz="0" w:space="0" w:color="auto"/>
            <w:left w:val="none" w:sz="0" w:space="0" w:color="auto"/>
            <w:bottom w:val="none" w:sz="0" w:space="0" w:color="auto"/>
            <w:right w:val="none" w:sz="0" w:space="0" w:color="auto"/>
          </w:divBdr>
        </w:div>
        <w:div w:id="706563876">
          <w:marLeft w:val="0"/>
          <w:marRight w:val="0"/>
          <w:marTop w:val="0"/>
          <w:marBottom w:val="0"/>
          <w:divBdr>
            <w:top w:val="none" w:sz="0" w:space="0" w:color="auto"/>
            <w:left w:val="none" w:sz="0" w:space="0" w:color="auto"/>
            <w:bottom w:val="none" w:sz="0" w:space="0" w:color="auto"/>
            <w:right w:val="none" w:sz="0" w:space="0" w:color="auto"/>
          </w:divBdr>
        </w:div>
        <w:div w:id="1123771548">
          <w:marLeft w:val="0"/>
          <w:marRight w:val="0"/>
          <w:marTop w:val="0"/>
          <w:marBottom w:val="0"/>
          <w:divBdr>
            <w:top w:val="none" w:sz="0" w:space="0" w:color="auto"/>
            <w:left w:val="none" w:sz="0" w:space="0" w:color="auto"/>
            <w:bottom w:val="none" w:sz="0" w:space="0" w:color="auto"/>
            <w:right w:val="none" w:sz="0" w:space="0" w:color="auto"/>
          </w:divBdr>
        </w:div>
        <w:div w:id="1503161181">
          <w:marLeft w:val="0"/>
          <w:marRight w:val="0"/>
          <w:marTop w:val="0"/>
          <w:marBottom w:val="0"/>
          <w:divBdr>
            <w:top w:val="none" w:sz="0" w:space="0" w:color="auto"/>
            <w:left w:val="none" w:sz="0" w:space="0" w:color="auto"/>
            <w:bottom w:val="none" w:sz="0" w:space="0" w:color="auto"/>
            <w:right w:val="none" w:sz="0" w:space="0" w:color="auto"/>
          </w:divBdr>
        </w:div>
        <w:div w:id="2051609161">
          <w:marLeft w:val="0"/>
          <w:marRight w:val="0"/>
          <w:marTop w:val="0"/>
          <w:marBottom w:val="0"/>
          <w:divBdr>
            <w:top w:val="none" w:sz="0" w:space="0" w:color="auto"/>
            <w:left w:val="none" w:sz="0" w:space="0" w:color="auto"/>
            <w:bottom w:val="none" w:sz="0" w:space="0" w:color="auto"/>
            <w:right w:val="none" w:sz="0" w:space="0" w:color="auto"/>
          </w:divBdr>
        </w:div>
        <w:div w:id="88478044">
          <w:marLeft w:val="0"/>
          <w:marRight w:val="0"/>
          <w:marTop w:val="0"/>
          <w:marBottom w:val="0"/>
          <w:divBdr>
            <w:top w:val="none" w:sz="0" w:space="0" w:color="auto"/>
            <w:left w:val="none" w:sz="0" w:space="0" w:color="auto"/>
            <w:bottom w:val="none" w:sz="0" w:space="0" w:color="auto"/>
            <w:right w:val="none" w:sz="0" w:space="0" w:color="auto"/>
          </w:divBdr>
        </w:div>
        <w:div w:id="1907183041">
          <w:marLeft w:val="0"/>
          <w:marRight w:val="0"/>
          <w:marTop w:val="0"/>
          <w:marBottom w:val="0"/>
          <w:divBdr>
            <w:top w:val="none" w:sz="0" w:space="0" w:color="auto"/>
            <w:left w:val="none" w:sz="0" w:space="0" w:color="auto"/>
            <w:bottom w:val="none" w:sz="0" w:space="0" w:color="auto"/>
            <w:right w:val="none" w:sz="0" w:space="0" w:color="auto"/>
          </w:divBdr>
        </w:div>
        <w:div w:id="2090155963">
          <w:marLeft w:val="0"/>
          <w:marRight w:val="0"/>
          <w:marTop w:val="0"/>
          <w:marBottom w:val="0"/>
          <w:divBdr>
            <w:top w:val="none" w:sz="0" w:space="0" w:color="auto"/>
            <w:left w:val="none" w:sz="0" w:space="0" w:color="auto"/>
            <w:bottom w:val="none" w:sz="0" w:space="0" w:color="auto"/>
            <w:right w:val="none" w:sz="0" w:space="0" w:color="auto"/>
          </w:divBdr>
        </w:div>
        <w:div w:id="238290675">
          <w:marLeft w:val="0"/>
          <w:marRight w:val="0"/>
          <w:marTop w:val="0"/>
          <w:marBottom w:val="0"/>
          <w:divBdr>
            <w:top w:val="none" w:sz="0" w:space="0" w:color="auto"/>
            <w:left w:val="none" w:sz="0" w:space="0" w:color="auto"/>
            <w:bottom w:val="none" w:sz="0" w:space="0" w:color="auto"/>
            <w:right w:val="none" w:sz="0" w:space="0" w:color="auto"/>
          </w:divBdr>
        </w:div>
        <w:div w:id="483936214">
          <w:marLeft w:val="0"/>
          <w:marRight w:val="0"/>
          <w:marTop w:val="0"/>
          <w:marBottom w:val="0"/>
          <w:divBdr>
            <w:top w:val="none" w:sz="0" w:space="0" w:color="auto"/>
            <w:left w:val="none" w:sz="0" w:space="0" w:color="auto"/>
            <w:bottom w:val="none" w:sz="0" w:space="0" w:color="auto"/>
            <w:right w:val="none" w:sz="0" w:space="0" w:color="auto"/>
          </w:divBdr>
        </w:div>
        <w:div w:id="2104954265">
          <w:marLeft w:val="0"/>
          <w:marRight w:val="0"/>
          <w:marTop w:val="0"/>
          <w:marBottom w:val="0"/>
          <w:divBdr>
            <w:top w:val="none" w:sz="0" w:space="0" w:color="auto"/>
            <w:left w:val="none" w:sz="0" w:space="0" w:color="auto"/>
            <w:bottom w:val="none" w:sz="0" w:space="0" w:color="auto"/>
            <w:right w:val="none" w:sz="0" w:space="0" w:color="auto"/>
          </w:divBdr>
        </w:div>
        <w:div w:id="530918309">
          <w:marLeft w:val="0"/>
          <w:marRight w:val="0"/>
          <w:marTop w:val="0"/>
          <w:marBottom w:val="0"/>
          <w:divBdr>
            <w:top w:val="none" w:sz="0" w:space="0" w:color="auto"/>
            <w:left w:val="none" w:sz="0" w:space="0" w:color="auto"/>
            <w:bottom w:val="none" w:sz="0" w:space="0" w:color="auto"/>
            <w:right w:val="none" w:sz="0" w:space="0" w:color="auto"/>
          </w:divBdr>
        </w:div>
        <w:div w:id="2019304728">
          <w:marLeft w:val="0"/>
          <w:marRight w:val="0"/>
          <w:marTop w:val="0"/>
          <w:marBottom w:val="0"/>
          <w:divBdr>
            <w:top w:val="none" w:sz="0" w:space="0" w:color="auto"/>
            <w:left w:val="none" w:sz="0" w:space="0" w:color="auto"/>
            <w:bottom w:val="none" w:sz="0" w:space="0" w:color="auto"/>
            <w:right w:val="none" w:sz="0" w:space="0" w:color="auto"/>
          </w:divBdr>
        </w:div>
        <w:div w:id="213085784">
          <w:marLeft w:val="0"/>
          <w:marRight w:val="0"/>
          <w:marTop w:val="0"/>
          <w:marBottom w:val="0"/>
          <w:divBdr>
            <w:top w:val="none" w:sz="0" w:space="0" w:color="auto"/>
            <w:left w:val="none" w:sz="0" w:space="0" w:color="auto"/>
            <w:bottom w:val="none" w:sz="0" w:space="0" w:color="auto"/>
            <w:right w:val="none" w:sz="0" w:space="0" w:color="auto"/>
          </w:divBdr>
        </w:div>
        <w:div w:id="1454013927">
          <w:marLeft w:val="0"/>
          <w:marRight w:val="0"/>
          <w:marTop w:val="0"/>
          <w:marBottom w:val="0"/>
          <w:divBdr>
            <w:top w:val="none" w:sz="0" w:space="0" w:color="auto"/>
            <w:left w:val="none" w:sz="0" w:space="0" w:color="auto"/>
            <w:bottom w:val="none" w:sz="0" w:space="0" w:color="auto"/>
            <w:right w:val="none" w:sz="0" w:space="0" w:color="auto"/>
          </w:divBdr>
        </w:div>
        <w:div w:id="1010251847">
          <w:marLeft w:val="0"/>
          <w:marRight w:val="0"/>
          <w:marTop w:val="0"/>
          <w:marBottom w:val="0"/>
          <w:divBdr>
            <w:top w:val="none" w:sz="0" w:space="0" w:color="auto"/>
            <w:left w:val="none" w:sz="0" w:space="0" w:color="auto"/>
            <w:bottom w:val="none" w:sz="0" w:space="0" w:color="auto"/>
            <w:right w:val="none" w:sz="0" w:space="0" w:color="auto"/>
          </w:divBdr>
        </w:div>
        <w:div w:id="164127029">
          <w:marLeft w:val="0"/>
          <w:marRight w:val="0"/>
          <w:marTop w:val="0"/>
          <w:marBottom w:val="0"/>
          <w:divBdr>
            <w:top w:val="none" w:sz="0" w:space="0" w:color="auto"/>
            <w:left w:val="none" w:sz="0" w:space="0" w:color="auto"/>
            <w:bottom w:val="none" w:sz="0" w:space="0" w:color="auto"/>
            <w:right w:val="none" w:sz="0" w:space="0" w:color="auto"/>
          </w:divBdr>
        </w:div>
        <w:div w:id="1605460309">
          <w:marLeft w:val="0"/>
          <w:marRight w:val="0"/>
          <w:marTop w:val="0"/>
          <w:marBottom w:val="0"/>
          <w:divBdr>
            <w:top w:val="none" w:sz="0" w:space="0" w:color="auto"/>
            <w:left w:val="none" w:sz="0" w:space="0" w:color="auto"/>
            <w:bottom w:val="none" w:sz="0" w:space="0" w:color="auto"/>
            <w:right w:val="none" w:sz="0" w:space="0" w:color="auto"/>
          </w:divBdr>
        </w:div>
        <w:div w:id="714813267">
          <w:marLeft w:val="0"/>
          <w:marRight w:val="0"/>
          <w:marTop w:val="0"/>
          <w:marBottom w:val="0"/>
          <w:divBdr>
            <w:top w:val="none" w:sz="0" w:space="0" w:color="auto"/>
            <w:left w:val="none" w:sz="0" w:space="0" w:color="auto"/>
            <w:bottom w:val="none" w:sz="0" w:space="0" w:color="auto"/>
            <w:right w:val="none" w:sz="0" w:space="0" w:color="auto"/>
          </w:divBdr>
        </w:div>
        <w:div w:id="578561159">
          <w:marLeft w:val="0"/>
          <w:marRight w:val="0"/>
          <w:marTop w:val="0"/>
          <w:marBottom w:val="0"/>
          <w:divBdr>
            <w:top w:val="none" w:sz="0" w:space="0" w:color="auto"/>
            <w:left w:val="none" w:sz="0" w:space="0" w:color="auto"/>
            <w:bottom w:val="none" w:sz="0" w:space="0" w:color="auto"/>
            <w:right w:val="none" w:sz="0" w:space="0" w:color="auto"/>
          </w:divBdr>
        </w:div>
        <w:div w:id="1527597826">
          <w:marLeft w:val="0"/>
          <w:marRight w:val="0"/>
          <w:marTop w:val="0"/>
          <w:marBottom w:val="0"/>
          <w:divBdr>
            <w:top w:val="none" w:sz="0" w:space="0" w:color="auto"/>
            <w:left w:val="none" w:sz="0" w:space="0" w:color="auto"/>
            <w:bottom w:val="none" w:sz="0" w:space="0" w:color="auto"/>
            <w:right w:val="none" w:sz="0" w:space="0" w:color="auto"/>
          </w:divBdr>
        </w:div>
        <w:div w:id="628510641">
          <w:marLeft w:val="0"/>
          <w:marRight w:val="0"/>
          <w:marTop w:val="0"/>
          <w:marBottom w:val="0"/>
          <w:divBdr>
            <w:top w:val="none" w:sz="0" w:space="0" w:color="auto"/>
            <w:left w:val="none" w:sz="0" w:space="0" w:color="auto"/>
            <w:bottom w:val="none" w:sz="0" w:space="0" w:color="auto"/>
            <w:right w:val="none" w:sz="0" w:space="0" w:color="auto"/>
          </w:divBdr>
        </w:div>
        <w:div w:id="1230918529">
          <w:marLeft w:val="0"/>
          <w:marRight w:val="0"/>
          <w:marTop w:val="0"/>
          <w:marBottom w:val="0"/>
          <w:divBdr>
            <w:top w:val="none" w:sz="0" w:space="0" w:color="auto"/>
            <w:left w:val="none" w:sz="0" w:space="0" w:color="auto"/>
            <w:bottom w:val="none" w:sz="0" w:space="0" w:color="auto"/>
            <w:right w:val="none" w:sz="0" w:space="0" w:color="auto"/>
          </w:divBdr>
        </w:div>
        <w:div w:id="331836125">
          <w:marLeft w:val="0"/>
          <w:marRight w:val="0"/>
          <w:marTop w:val="0"/>
          <w:marBottom w:val="0"/>
          <w:divBdr>
            <w:top w:val="none" w:sz="0" w:space="0" w:color="auto"/>
            <w:left w:val="none" w:sz="0" w:space="0" w:color="auto"/>
            <w:bottom w:val="none" w:sz="0" w:space="0" w:color="auto"/>
            <w:right w:val="none" w:sz="0" w:space="0" w:color="auto"/>
          </w:divBdr>
        </w:div>
        <w:div w:id="1284313310">
          <w:marLeft w:val="0"/>
          <w:marRight w:val="0"/>
          <w:marTop w:val="0"/>
          <w:marBottom w:val="0"/>
          <w:divBdr>
            <w:top w:val="none" w:sz="0" w:space="0" w:color="auto"/>
            <w:left w:val="none" w:sz="0" w:space="0" w:color="auto"/>
            <w:bottom w:val="none" w:sz="0" w:space="0" w:color="auto"/>
            <w:right w:val="none" w:sz="0" w:space="0" w:color="auto"/>
          </w:divBdr>
        </w:div>
      </w:divsChild>
    </w:div>
    <w:div w:id="96384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acas-code-of-practice-on-flexible-working-requests/html" TargetMode="External"/><Relationship Id="rId18" Type="http://schemas.openxmlformats.org/officeDocument/2006/relationships/hyperlink" Target="https://www.acas.org.uk/absence-from-work/returning-to-work-after-absence" TargetMode="External"/><Relationship Id="rId26" Type="http://schemas.openxmlformats.org/officeDocument/2006/relationships/hyperlink" Target="https://www.michelmores.com/news-views/news/whistleblowing-compensation" TargetMode="External"/><Relationship Id="rId39" Type="http://schemas.openxmlformats.org/officeDocument/2006/relationships/hyperlink" Target="https://www.gov.uk/employment-appeal-tribunal-decisions/base-childrenwear-ltd-v-miss-n-lomana-otshudi-ukeat-0267-18-joj" TargetMode="External"/><Relationship Id="rId21" Type="http://schemas.openxmlformats.org/officeDocument/2006/relationships/hyperlink" Target="https://www.cipd.co.uk/knowledge/fundamentals/emp-law/dismissal/wrongful-dismissal-questions" TargetMode="External"/><Relationship Id="rId34" Type="http://schemas.openxmlformats.org/officeDocument/2006/relationships/hyperlink" Target="https://www.legislation.gov.uk/ukpga/1996/18/section/103A" TargetMode="External"/><Relationship Id="rId42" Type="http://schemas.openxmlformats.org/officeDocument/2006/relationships/hyperlink" Target="https://www.legislation.gov.uk/ukpga/1974/37/section/2" TargetMode="External"/><Relationship Id="rId47" Type="http://schemas.openxmlformats.org/officeDocument/2006/relationships/hyperlink" Target="https://ico.org.uk/media/about-the-ico/policies-and-procedures/2618169/retention-schedule-v5_3.pdf" TargetMode="External"/><Relationship Id="rId50" Type="http://schemas.openxmlformats.org/officeDocument/2006/relationships/hyperlink" Target="https://www.newtons.co.uk/business-legal-services/employment-law-for-business/employment-tribunal-costs-for-employer/" TargetMode="External"/><Relationship Id="rId55" Type="http://schemas.openxmlformats.org/officeDocument/2006/relationships/hyperlink" Target="https://www.truthlegal.com/polkey-deduction-or-no-difference-rule/"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cas.org.uk/grievance-procedure-step-by-step/step-2-raising-a-formal-grievance" TargetMode="External"/><Relationship Id="rId29" Type="http://schemas.openxmlformats.org/officeDocument/2006/relationships/hyperlink" Target="https://www.employmentcasesupdate.co.uk/site.aspx?i=ed16239" TargetMode="External"/><Relationship Id="rId11" Type="http://schemas.openxmlformats.org/officeDocument/2006/relationships/image" Target="media/image3.png"/><Relationship Id="rId24" Type="http://schemas.openxmlformats.org/officeDocument/2006/relationships/hyperlink" Target="https://assets.publishing.service.gov.uk/government/uploads/system/uploads/attachment_data/file/415175/bis-15-200-whistleblowing-guidance-for-employers-and-code-of-practice.pdf" TargetMode="External"/><Relationship Id="rId32" Type="http://schemas.openxmlformats.org/officeDocument/2006/relationships/hyperlink" Target="https://www.legislation.gov.uk/ukpga/1996/18/section/80F" TargetMode="External"/><Relationship Id="rId37" Type="http://schemas.openxmlformats.org/officeDocument/2006/relationships/hyperlink" Target="https://esphr.co.uk/news/the-test-for-a-fair-dismissal-reasonable-investigations" TargetMode="External"/><Relationship Id="rId40" Type="http://schemas.openxmlformats.org/officeDocument/2006/relationships/hyperlink" Target="https://assets.publishing.service.gov.uk/government/uploads/system/uploads/attachment_data/file/954478/et1-eng.pdf" TargetMode="External"/><Relationship Id="rId45" Type="http://schemas.openxmlformats.org/officeDocument/2006/relationships/hyperlink" Target="https://assets.publishing.service.gov.uk/government/uploads/system/uploads/attachment_data/file/950243/t422-eng.pdf" TargetMode="External"/><Relationship Id="rId53" Type="http://schemas.openxmlformats.org/officeDocument/2006/relationships/hyperlink" Target="http://www.bailii.org/uk/cases/UKEAT/2012/0402_11_1010.html" TargetMode="External"/><Relationship Id="rId58" Type="http://schemas.openxmlformats.org/officeDocument/2006/relationships/hyperlink" Target="https://www.legislation.gov.uk/uksi/1998/1833/contents/made"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s://www.newcivilengineer.com/latest/how-covid-is-shaping-health-safety-and-wellbeing-in-construction-25-03-2021/" TargetMode="External"/><Relationship Id="rId14" Type="http://schemas.openxmlformats.org/officeDocument/2006/relationships/hyperlink" Target="https://www.acas.org.uk/responding-to-a-flexible-working-request/if-your-employee-appeals-your-decision" TargetMode="External"/><Relationship Id="rId22" Type="http://schemas.openxmlformats.org/officeDocument/2006/relationships/hyperlink" Target="https://www.cipd.co.uk/knowledge/fundamentals/emp-law/working-time/questions" TargetMode="External"/><Relationship Id="rId27" Type="http://schemas.openxmlformats.org/officeDocument/2006/relationships/hyperlink" Target="https://www.personneltoday.com/hr/discrimination-association-employers-need-know/" TargetMode="External"/><Relationship Id="rId30" Type="http://schemas.openxmlformats.org/officeDocument/2006/relationships/hyperlink" Target="https://www.legislation.gov.uk/ukpga/1996/18/part/8A" TargetMode="External"/><Relationship Id="rId35" Type="http://schemas.openxmlformats.org/officeDocument/2006/relationships/hyperlink" Target="https://www.legislation.gov.uk/ukpga/1996/18/section/210" TargetMode="External"/><Relationship Id="rId43" Type="http://schemas.openxmlformats.org/officeDocument/2006/relationships/hyperlink" Target="https://www.hse.gov.uk/foi/internalops/og/og-00033.htm" TargetMode="External"/><Relationship Id="rId48" Type="http://schemas.openxmlformats.org/officeDocument/2006/relationships/hyperlink" Target="https://ico.org.uk/media/for-organisations/guide-to-data-protection/guide-to-the-general-data-protection-regulation-gdpr-1-1.pdf" TargetMode="External"/><Relationship Id="rId56" Type="http://schemas.openxmlformats.org/officeDocument/2006/relationships/hyperlink" Target="https://www.cipd.co.uk/Images/employment-law-update-Jan21%20v2_tcm18-37458.pdf" TargetMode="External"/><Relationship Id="rId8" Type="http://schemas.openxmlformats.org/officeDocument/2006/relationships/endnotes" Target="endnotes.xml"/><Relationship Id="rId51" Type="http://schemas.openxmlformats.org/officeDocument/2006/relationships/hyperlink" Target="https://www.pureemploymentlaw.co.uk/tribunal-remedies-reinstatement-and-re-engagement/"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acas.org.uk/grievance-procedure-step-by-step/step-4-the-grievance-meeting" TargetMode="External"/><Relationship Id="rId25" Type="http://schemas.openxmlformats.org/officeDocument/2006/relationships/hyperlink" Target="https://www.davidsonmorris.com/et3/" TargetMode="External"/><Relationship Id="rId33" Type="http://schemas.openxmlformats.org/officeDocument/2006/relationships/hyperlink" Target="https://www.legislation.gov.uk/ukpga/1996/18/section/98" TargetMode="External"/><Relationship Id="rId38" Type="http://schemas.openxmlformats.org/officeDocument/2006/relationships/hyperlink" Target="https://www.gov.uk/government/publications/the-public-interest-disclosure-act/the-public-interest-disclosure-act" TargetMode="External"/><Relationship Id="rId46" Type="http://schemas.openxmlformats.org/officeDocument/2006/relationships/hyperlink" Target="https://www.thomasmansfield.com/kilraine-v-london-borough-of-wandsworth/" TargetMode="External"/><Relationship Id="rId59" Type="http://schemas.openxmlformats.org/officeDocument/2006/relationships/hyperlink" Target="https://www.stammeringlaw.org.uk/coleman-v-attridge-law/" TargetMode="External"/><Relationship Id="rId20" Type="http://schemas.openxmlformats.org/officeDocument/2006/relationships/hyperlink" Target="https://www.cipd.co.uk/knowledge/fundamentals/emp-law/dismissal/unfair-dismissal-questions" TargetMode="External"/><Relationship Id="rId41" Type="http://schemas.openxmlformats.org/officeDocument/2006/relationships/hyperlink" Target="https://www.personneltoday.com/hr/legal-qa-return-of-the-polkey-principle/" TargetMode="External"/><Relationship Id="rId54" Type="http://schemas.openxmlformats.org/officeDocument/2006/relationships/hyperlink" Target="https://mitchelllaw.co.uk/reinstatement-and-re-engagemen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cas.org.uk/grievance-procedure-step-by-step" TargetMode="External"/><Relationship Id="rId23" Type="http://schemas.openxmlformats.org/officeDocument/2006/relationships/hyperlink" Target="https://www.bbc.co.uk/news/uk-northern-ireland-18497161" TargetMode="External"/><Relationship Id="rId28" Type="http://schemas.openxmlformats.org/officeDocument/2006/relationships/hyperlink" Target="https://www.legislation.gov.uk/ukpga/2002/22/section/47/data.pdf" TargetMode="External"/><Relationship Id="rId36" Type="http://schemas.openxmlformats.org/officeDocument/2006/relationships/hyperlink" Target="https://www.legislation.gov.uk/ukpga/2010/15/section/26" TargetMode="External"/><Relationship Id="rId49" Type="http://schemas.openxmlformats.org/officeDocument/2006/relationships/hyperlink" Target="https://www.personneltoday.com/hr/employment-tribunal-claimants-face-nine-month-wait-for-hearing/" TargetMode="External"/><Relationship Id="rId57" Type="http://schemas.openxmlformats.org/officeDocument/2006/relationships/hyperlink" Target="https://www.legislation.gov.uk/uksi/1999/3242/regulation/12/made" TargetMode="External"/><Relationship Id="rId10" Type="http://schemas.openxmlformats.org/officeDocument/2006/relationships/image" Target="media/image2.png"/><Relationship Id="rId31" Type="http://schemas.openxmlformats.org/officeDocument/2006/relationships/hyperlink" Target="https://www.legislation.gov.uk/ukpga/1996/18/section/100" TargetMode="External"/><Relationship Id="rId44" Type="http://schemas.openxmlformats.org/officeDocument/2006/relationships/hyperlink" Target="https://www.hewitsons.com/latest/news/annual-increase-to-employment-compensation-limits" TargetMode="External"/><Relationship Id="rId52" Type="http://schemas.openxmlformats.org/officeDocument/2006/relationships/hyperlink" Target="https://www.pureemploymentlaw.co.uk/a-very-useful-contribution-all-about-contributory-fault/" TargetMode="External"/><Relationship Id="rId60" Type="http://schemas.openxmlformats.org/officeDocument/2006/relationships/hyperlink" Target="https://www.walkermorris.co.uk/publications/how-to-deal-with-flexible-working-requests-as-people-return-to-the-workplace/"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 </Abstract>
  <CompanyAddress>Word count: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C305FF-8571-4CA9-AD91-789A88BDA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31</Pages>
  <Words>7275</Words>
  <Characters>41474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HRM issues at Big Buses Limited</vt:lpstr>
    </vt:vector>
  </TitlesOfParts>
  <Company>Word count: 4949</Company>
  <LinksUpToDate>false</LinksUpToDate>
  <CharactersWithSpaces>48652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issues at Big Buses Limited</dc:title>
  <dc:subject/>
  <dc:creator>Katherine Lena Hobbs (1550595)</dc:creator>
  <cp:keywords/>
  <dc:description/>
  <cp:lastModifiedBy>Katherine Lena Hobbs (1550595)</cp:lastModifiedBy>
  <cp:revision>22</cp:revision>
  <dcterms:created xsi:type="dcterms:W3CDTF">2021-05-08T16:41:00Z</dcterms:created>
  <dcterms:modified xsi:type="dcterms:W3CDTF">2021-05-09T15:07:00Z</dcterms:modified>
</cp:coreProperties>
</file>