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7C416B" w14:textId="44008621" w:rsidR="00B70933" w:rsidRDefault="008E125B" w:rsidP="001E15E3">
      <w:r w:rsidRPr="00F919D9">
        <w:rPr>
          <w:b/>
          <w:bCs/>
          <w:u w:val="single"/>
        </w:rPr>
        <w:t xml:space="preserve">Managing employee relations </w:t>
      </w:r>
      <w:r w:rsidR="00F919D9" w:rsidRPr="00F919D9">
        <w:rPr>
          <w:b/>
          <w:bCs/>
          <w:u w:val="single"/>
        </w:rPr>
        <w:t>Assignment one</w:t>
      </w:r>
      <w:r w:rsidR="00F919D9" w:rsidRPr="00F919D9">
        <w:rPr>
          <w:b/>
          <w:bCs/>
          <w:u w:val="single"/>
        </w:rPr>
        <w:br/>
        <w:t>Sophie Suzanne Morgan (101822)</w:t>
      </w:r>
      <w:r>
        <w:br/>
      </w:r>
      <w:r>
        <w:br/>
      </w:r>
      <w:r w:rsidR="00072BC3">
        <w:t xml:space="preserve">The term employee relations has replaced the term industrial relations and according to the CIPD it is concerned with the relationship that is shared between the employer and employees of any given organisation. In the current day employee relations centre around building a relationship off trust, engagement and communication and by doing this it has the ability to both positively impact organisations objectives and the wellbeing of its employees </w:t>
      </w:r>
      <w:sdt>
        <w:sdtPr>
          <w:id w:val="121040685"/>
          <w:citation/>
        </w:sdtPr>
        <w:sdtContent>
          <w:r w:rsidR="00072BC3">
            <w:fldChar w:fldCharType="begin"/>
          </w:r>
          <w:r w:rsidR="00072BC3">
            <w:instrText xml:space="preserve"> CITATION CIP201 \l 2057 </w:instrText>
          </w:r>
          <w:r w:rsidR="00072BC3">
            <w:fldChar w:fldCharType="separate"/>
          </w:r>
          <w:r w:rsidR="00072BC3">
            <w:rPr>
              <w:noProof/>
            </w:rPr>
            <w:t>(CIPD, 2020)</w:t>
          </w:r>
          <w:r w:rsidR="00072BC3">
            <w:fldChar w:fldCharType="end"/>
          </w:r>
        </w:sdtContent>
      </w:sdt>
      <w:r w:rsidR="00072BC3">
        <w:t>.</w:t>
      </w:r>
      <w:r w:rsidR="00072BC3">
        <w:br/>
      </w:r>
      <w:r w:rsidR="00072BC3">
        <w:br/>
      </w:r>
      <w:r>
        <w:t xml:space="preserve">The requirement for effective employee relations is nothing new to the workplace and could be argued that it is needed more than ever with the direction the current economy is advancing with the aftermath of Brexit, Covid-19 and increased automation for example. </w:t>
      </w:r>
      <w:r w:rsidR="00CC5215">
        <w:t xml:space="preserve">In 2018, the Mental Health Foundation’s study disclosed that a staggering 74% out of 4,619 respondents have felt severely stressed or overwhelmed </w:t>
      </w:r>
      <w:sdt>
        <w:sdtPr>
          <w:id w:val="1268665319"/>
          <w:citation/>
        </w:sdtPr>
        <w:sdtContent>
          <w:r w:rsidR="00CC5215">
            <w:fldChar w:fldCharType="begin"/>
          </w:r>
          <w:r w:rsidR="00CC5215">
            <w:instrText xml:space="preserve">CITATION Men18 \l 2057 </w:instrText>
          </w:r>
          <w:r w:rsidR="00CC5215">
            <w:fldChar w:fldCharType="separate"/>
          </w:r>
          <w:r w:rsidR="00CC5215">
            <w:rPr>
              <w:noProof/>
            </w:rPr>
            <w:t>(Mental Health Foundation, 2018)</w:t>
          </w:r>
          <w:r w:rsidR="00CC5215">
            <w:fldChar w:fldCharType="end"/>
          </w:r>
        </w:sdtContent>
      </w:sdt>
      <w:r w:rsidR="00CC5215">
        <w:t xml:space="preserve">. With </w:t>
      </w:r>
      <w:r w:rsidR="00A6548B">
        <w:t xml:space="preserve">increasing internal and external factors effecting both people’s personal and work lives it is crucial for employers not to neglect their employer and employee relationship, Forbes (2017) state that if you construct a positive and solid relationship with employee’s they will grow as professionals and organisations will see a much more productive return on investment in their workforce </w:t>
      </w:r>
      <w:sdt>
        <w:sdtPr>
          <w:id w:val="639694212"/>
          <w:citation/>
        </w:sdtPr>
        <w:sdtContent>
          <w:r w:rsidR="00A6548B">
            <w:fldChar w:fldCharType="begin"/>
          </w:r>
          <w:r w:rsidR="00A6548B">
            <w:instrText xml:space="preserve"> CITATION Wil17 \l 2057 </w:instrText>
          </w:r>
          <w:r w:rsidR="00A6548B">
            <w:fldChar w:fldCharType="separate"/>
          </w:r>
          <w:r w:rsidR="00A6548B">
            <w:rPr>
              <w:noProof/>
            </w:rPr>
            <w:t>(Craig, 2017)</w:t>
          </w:r>
          <w:r w:rsidR="00A6548B">
            <w:fldChar w:fldCharType="end"/>
          </w:r>
        </w:sdtContent>
      </w:sdt>
      <w:r w:rsidR="00A6548B">
        <w:t>.</w:t>
      </w:r>
      <w:r w:rsidR="00072BC3">
        <w:t xml:space="preserve"> </w:t>
      </w:r>
      <w:r w:rsidR="00A6548B">
        <w:t xml:space="preserve"> </w:t>
      </w:r>
      <w:r w:rsidR="00072BC3">
        <w:br/>
      </w:r>
      <w:r w:rsidR="00072BC3">
        <w:br/>
      </w:r>
      <w:r w:rsidR="00B86D04">
        <w:t xml:space="preserve">To better understand the scope of </w:t>
      </w:r>
      <w:r w:rsidR="00324614">
        <w:t xml:space="preserve">the </w:t>
      </w:r>
      <w:r w:rsidR="00B86D04">
        <w:t xml:space="preserve">employee relations framework in the United Kingdom, undertaking a PESTLE allows organisations to analyse both their external and internal position and has proven a useful tool in identifying strategic risk </w:t>
      </w:r>
      <w:sdt>
        <w:sdtPr>
          <w:id w:val="-299845864"/>
          <w:citation/>
        </w:sdtPr>
        <w:sdtContent>
          <w:r w:rsidR="00B86D04">
            <w:fldChar w:fldCharType="begin"/>
          </w:r>
          <w:r w:rsidR="00B86D04">
            <w:instrText xml:space="preserve"> CITATION Tan15 \l 2057 </w:instrText>
          </w:r>
          <w:r w:rsidR="00B86D04">
            <w:fldChar w:fldCharType="separate"/>
          </w:r>
          <w:r w:rsidR="00B86D04">
            <w:rPr>
              <w:noProof/>
            </w:rPr>
            <w:t>(Tanya Sammut-Bonnici, 2015)</w:t>
          </w:r>
          <w:r w:rsidR="00B86D04">
            <w:fldChar w:fldCharType="end"/>
          </w:r>
        </w:sdtContent>
      </w:sdt>
      <w:r w:rsidR="00B86D04">
        <w:t xml:space="preserve">. </w:t>
      </w:r>
      <w:r w:rsidR="00324614">
        <w:t>Firstly,</w:t>
      </w:r>
      <w:r w:rsidR="00B86D04">
        <w:t xml:space="preserve"> taking the </w:t>
      </w:r>
      <w:r w:rsidR="00324614">
        <w:t>P</w:t>
      </w:r>
      <w:r w:rsidR="00B86D04">
        <w:t xml:space="preserve">olitical factors into consideration that have helped shape </w:t>
      </w:r>
      <w:r w:rsidR="00324614">
        <w:t xml:space="preserve">employee relations as it stands today. After the new labour government was introduced in 1997, the ‘fairness at work’ programme and the Employment relations act </w:t>
      </w:r>
      <w:r w:rsidR="00AD22E6">
        <w:t xml:space="preserve">introduced new rights from trade unions and employees. This new agenda being introduced attracted engagement with the European union, extension of rights for employees and trade unions and a national minimum wage </w:t>
      </w:r>
      <w:sdt>
        <w:sdtPr>
          <w:id w:val="-838455201"/>
          <w:citation/>
        </w:sdtPr>
        <w:sdtContent>
          <w:r w:rsidR="00AD22E6">
            <w:fldChar w:fldCharType="begin"/>
          </w:r>
          <w:r w:rsidR="00AD22E6">
            <w:instrText xml:space="preserve"> CITATION Nic00 \l 2057 </w:instrText>
          </w:r>
          <w:r w:rsidR="00AD22E6">
            <w:fldChar w:fldCharType="separate"/>
          </w:r>
          <w:r w:rsidR="00AD22E6">
            <w:rPr>
              <w:noProof/>
            </w:rPr>
            <w:t>(Nicholas Bacon, 2000)</w:t>
          </w:r>
          <w:r w:rsidR="00AD22E6">
            <w:fldChar w:fldCharType="end"/>
          </w:r>
        </w:sdtContent>
      </w:sdt>
      <w:r w:rsidR="00AD22E6">
        <w:t xml:space="preserve">. </w:t>
      </w:r>
      <w:r w:rsidR="00AD22E6">
        <w:br/>
      </w:r>
      <w:r w:rsidR="00AD22E6">
        <w:br/>
        <w:t>However, with the national referendum in 2016 announcing that the United Kingdom will become independent from the European Union otherwise known as ‘Brexit’ has resulted in real uncertainty regarding their economical, political and legal position.</w:t>
      </w:r>
      <w:r w:rsidR="00F66C06">
        <w:t xml:space="preserve"> Brexit has caused much uncertainty across organisations within the United Kingdom with many having to downsize their operations such as Jaguar, Nissan and Land Rover for example </w:t>
      </w:r>
      <w:sdt>
        <w:sdtPr>
          <w:id w:val="-230930980"/>
          <w:citation/>
        </w:sdtPr>
        <w:sdtContent>
          <w:r w:rsidR="00F66C06">
            <w:fldChar w:fldCharType="begin"/>
          </w:r>
          <w:r w:rsidR="00F66C06">
            <w:instrText xml:space="preserve"> CITATION BCh19 \l 2057 </w:instrText>
          </w:r>
          <w:r w:rsidR="00F66C06">
            <w:fldChar w:fldCharType="separate"/>
          </w:r>
          <w:r w:rsidR="00F66C06">
            <w:rPr>
              <w:noProof/>
            </w:rPr>
            <w:t>(Chapman, 2019)</w:t>
          </w:r>
          <w:r w:rsidR="00F66C06">
            <w:fldChar w:fldCharType="end"/>
          </w:r>
        </w:sdtContent>
      </w:sdt>
      <w:r w:rsidR="00F66C06">
        <w:t xml:space="preserve">. Due to the unpredictability that Brexit has on organisations in the UK it is difficult to calculate what this means for Human Resource professionals and the implementation of a strategic employee relations framework within the workplace.  </w:t>
      </w:r>
      <w:r w:rsidR="00AD22E6">
        <w:t xml:space="preserve"> </w:t>
      </w:r>
      <w:r w:rsidR="00F66C06">
        <w:br/>
      </w:r>
      <w:r w:rsidR="00EE79A1">
        <w:br/>
      </w:r>
      <w:r w:rsidR="00EA667B">
        <w:t xml:space="preserve">Moving forward, </w:t>
      </w:r>
      <w:r w:rsidR="00401254">
        <w:t xml:space="preserve">Economic factors that can </w:t>
      </w:r>
      <w:r w:rsidR="001F1FC0">
        <w:t>e</w:t>
      </w:r>
      <w:r w:rsidR="00401254">
        <w:t xml:space="preserve">ffect employee relations in UK organisations involve employee’s wages, benefits, salaries, these factors have the potential to either positively or negatively affect the decision on the employment relationship in the organisation </w:t>
      </w:r>
      <w:sdt>
        <w:sdtPr>
          <w:id w:val="351691801"/>
          <w:citation/>
        </w:sdtPr>
        <w:sdtContent>
          <w:r w:rsidR="00401254">
            <w:fldChar w:fldCharType="begin"/>
          </w:r>
          <w:r w:rsidR="00401254">
            <w:instrText xml:space="preserve"> CITATION Ric04 \l 2057 </w:instrText>
          </w:r>
          <w:r w:rsidR="00401254">
            <w:fldChar w:fldCharType="separate"/>
          </w:r>
          <w:r w:rsidR="00401254">
            <w:rPr>
              <w:noProof/>
            </w:rPr>
            <w:t>(Richard N. Block, 2004)</w:t>
          </w:r>
          <w:r w:rsidR="00401254">
            <w:fldChar w:fldCharType="end"/>
          </w:r>
        </w:sdtContent>
      </w:sdt>
      <w:r w:rsidR="00401254">
        <w:t xml:space="preserve">. It Is important that if an organisation wishes to have encouraging employee relations within the workplace that employers pay their staff fairly. In addition, the availability of potential benefits such as bonuses is much more likely to make employees feel appreciated in their role and see improved retention levels. </w:t>
      </w:r>
      <w:r w:rsidR="00364D57">
        <w:br/>
      </w:r>
      <w:r w:rsidR="00364D57">
        <w:br/>
      </w:r>
      <w:r w:rsidR="001F1FC0">
        <w:t xml:space="preserve">Equally important are the sociological factors that have the potential to negatively impinge on employee relations and even more so due to the catastrophic effect that the COVID-19 virus has had on both physical and mental health of the population. </w:t>
      </w:r>
      <w:r w:rsidR="00C835DF">
        <w:t xml:space="preserve">In November of this year the UK Parliament </w:t>
      </w:r>
      <w:r w:rsidR="00C835DF">
        <w:lastRenderedPageBreak/>
        <w:t xml:space="preserve">released a statement regarding Coronavirus and states how there has been a severe increase in unemployment levels and that redundancy records are at their highest since 1995  </w:t>
      </w:r>
      <w:sdt>
        <w:sdtPr>
          <w:id w:val="1813987894"/>
          <w:citation/>
        </w:sdtPr>
        <w:sdtContent>
          <w:r w:rsidR="00C835DF">
            <w:fldChar w:fldCharType="begin"/>
          </w:r>
          <w:r w:rsidR="00C835DF">
            <w:instrText xml:space="preserve"> CITATION And20 \l 2057 </w:instrText>
          </w:r>
          <w:r w:rsidR="00C835DF">
            <w:fldChar w:fldCharType="separate"/>
          </w:r>
          <w:r w:rsidR="00C835DF">
            <w:rPr>
              <w:noProof/>
            </w:rPr>
            <w:t>(Andy Powell, 2020)</w:t>
          </w:r>
          <w:r w:rsidR="00C835DF">
            <w:fldChar w:fldCharType="end"/>
          </w:r>
        </w:sdtContent>
      </w:sdt>
      <w:r w:rsidR="00C835DF">
        <w:t xml:space="preserve">. This is an unprecedented time for both employers and its </w:t>
      </w:r>
      <w:r w:rsidR="004D28F4">
        <w:t>employees,</w:t>
      </w:r>
      <w:r w:rsidR="00C835DF">
        <w:t xml:space="preserve"> but it is crucial for companies to put measures in place to help safeguard and protect its workforce as </w:t>
      </w:r>
      <w:r w:rsidR="004D28F4">
        <w:t xml:space="preserve">prior statistics from the </w:t>
      </w:r>
      <w:r w:rsidR="00DE5D4C">
        <w:t>M</w:t>
      </w:r>
      <w:r w:rsidR="004D28F4">
        <w:t xml:space="preserve">ental </w:t>
      </w:r>
      <w:r w:rsidR="00DE5D4C">
        <w:t>H</w:t>
      </w:r>
      <w:r w:rsidR="004D28F4">
        <w:t xml:space="preserve">ealth </w:t>
      </w:r>
      <w:r w:rsidR="00DE5D4C">
        <w:t>F</w:t>
      </w:r>
      <w:r w:rsidR="004D28F4">
        <w:t xml:space="preserve">oundation have shown the impact circumstances like these have on individuals. </w:t>
      </w:r>
      <w:r w:rsidR="00AE6CEE">
        <w:t>For employers to uphold a healthy work relationship with its employees</w:t>
      </w:r>
      <w:r w:rsidR="003A3231">
        <w:t>, the given workload needs to be controlled and dispersed fairly to help aid with the stress that COVID-19 has on</w:t>
      </w:r>
      <w:r w:rsidR="00F919D9">
        <w:t xml:space="preserve"> both the psychological health and physical</w:t>
      </w:r>
      <w:r w:rsidR="003A3231">
        <w:t xml:space="preserve"> health of </w:t>
      </w:r>
      <w:r w:rsidR="00F919D9">
        <w:t>people</w:t>
      </w:r>
      <w:r w:rsidR="003A3231">
        <w:t xml:space="preserve">. Statistics show that 69% of workers are generally satisfied with their </w:t>
      </w:r>
      <w:r w:rsidR="00487778">
        <w:t>employers’</w:t>
      </w:r>
      <w:r w:rsidR="003A3231">
        <w:t xml:space="preserve"> response during the pandemic, however there is always room for improvement for dealing with this pandemic. </w:t>
      </w:r>
      <w:r w:rsidR="00487778">
        <w:t xml:space="preserve">The CIPD states that 2 in 10 of employees attending the normal workplace do not feel supported by their management during the virus outbreak </w:t>
      </w:r>
      <w:sdt>
        <w:sdtPr>
          <w:id w:val="630988931"/>
          <w:citation/>
        </w:sdtPr>
        <w:sdtContent>
          <w:r w:rsidR="00487778">
            <w:fldChar w:fldCharType="begin"/>
          </w:r>
          <w:r w:rsidR="00487778">
            <w:instrText xml:space="preserve"> CITATION CIP202 \l 2057 </w:instrText>
          </w:r>
          <w:r w:rsidR="00487778">
            <w:fldChar w:fldCharType="separate"/>
          </w:r>
          <w:r w:rsidR="00487778">
            <w:rPr>
              <w:noProof/>
            </w:rPr>
            <w:t>(CIPD, 2020)</w:t>
          </w:r>
          <w:r w:rsidR="00487778">
            <w:fldChar w:fldCharType="end"/>
          </w:r>
        </w:sdtContent>
      </w:sdt>
      <w:r w:rsidR="00487778">
        <w:t xml:space="preserve"> , employers must take these concerns seriously and have effective communication throughout the pandemic with its employees to ensure that all parties are satisfied. </w:t>
      </w:r>
      <w:r w:rsidR="00401254">
        <w:br/>
      </w:r>
      <w:r w:rsidR="00401254">
        <w:br/>
      </w:r>
      <w:r w:rsidR="00487778">
        <w:t xml:space="preserve">Moving forward, </w:t>
      </w:r>
      <w:r w:rsidR="00A02C5F">
        <w:t xml:space="preserve">over the years the workplace has seen vast new advancements in technology and automation in the workplace and there is no sign of it slowing down. Technological changes in the workplace can often be met with hesitancy from employees of a company, nevertheless there are various ways that employers can relieve the concerns of its workforce. </w:t>
      </w:r>
      <w:r w:rsidR="00AA2650">
        <w:t>One of the first things companies should do when introducing new technology is invest into the employees training so the workforce has the correct knowledge and skills in order to carry out their roles effectively. According to (Dauda &amp; Akingbade 2011) employers must make a conscious effort to</w:t>
      </w:r>
      <w:r w:rsidR="00157D22">
        <w:t xml:space="preserve"> motivate its employees to openly adapt to any new technology introduced into the workplace and also to offer incentives to see a better work performance in return </w:t>
      </w:r>
      <w:sdt>
        <w:sdtPr>
          <w:id w:val="4948672"/>
          <w:citation/>
        </w:sdtPr>
        <w:sdtContent>
          <w:r w:rsidR="00157D22">
            <w:fldChar w:fldCharType="begin"/>
          </w:r>
          <w:r w:rsidR="00157D22">
            <w:instrText xml:space="preserve"> CITATION Muh14 \l 2057 </w:instrText>
          </w:r>
          <w:r w:rsidR="00157D22">
            <w:fldChar w:fldCharType="separate"/>
          </w:r>
          <w:r w:rsidR="00157D22">
            <w:rPr>
              <w:noProof/>
            </w:rPr>
            <w:t>(Imran, 2014)</w:t>
          </w:r>
          <w:r w:rsidR="00157D22">
            <w:fldChar w:fldCharType="end"/>
          </w:r>
        </w:sdtContent>
      </w:sdt>
      <w:r w:rsidR="00157D22">
        <w:t>.</w:t>
      </w:r>
      <w:r w:rsidR="00D25D5F">
        <w:br/>
      </w:r>
      <w:r w:rsidR="00D25D5F">
        <w:br/>
        <w:t>Employee relations in the UK has not always been how we know it</w:t>
      </w:r>
      <w:r w:rsidR="00F3722E">
        <w:t xml:space="preserve"> to be</w:t>
      </w:r>
      <w:r w:rsidR="00D25D5F">
        <w:t>, there have been various historical events that have led and helped mould the employee relations framework we have in the UK today.</w:t>
      </w:r>
      <w:r w:rsidR="00F3722E">
        <w:t xml:space="preserve"> The first noted event was the winter of discontent between the years 1978-79 where on the 22</w:t>
      </w:r>
      <w:r w:rsidR="00F3722E" w:rsidRPr="00F3722E">
        <w:rPr>
          <w:vertAlign w:val="superscript"/>
        </w:rPr>
        <w:t>nd</w:t>
      </w:r>
      <w:r w:rsidR="00F3722E">
        <w:t xml:space="preserve"> of January 1979 a one day strike was held by the public sector workforce standing against low wages and to shorten the average working week </w:t>
      </w:r>
      <w:sdt>
        <w:sdtPr>
          <w:id w:val="2045089095"/>
          <w:citation/>
        </w:sdtPr>
        <w:sdtContent>
          <w:r w:rsidR="00F3722E">
            <w:fldChar w:fldCharType="begin"/>
          </w:r>
          <w:r w:rsidR="00F3722E">
            <w:instrText xml:space="preserve"> CITATION The192 \l 2057 </w:instrText>
          </w:r>
          <w:r w:rsidR="00F3722E">
            <w:fldChar w:fldCharType="separate"/>
          </w:r>
          <w:r w:rsidR="00F3722E">
            <w:rPr>
              <w:noProof/>
            </w:rPr>
            <w:t>(The Socialist Newspaper, 2019)</w:t>
          </w:r>
          <w:r w:rsidR="00F3722E">
            <w:fldChar w:fldCharType="end"/>
          </w:r>
        </w:sdtContent>
      </w:sdt>
      <w:r w:rsidR="00C14254">
        <w:t>, Also</w:t>
      </w:r>
      <w:r w:rsidR="00F3722E">
        <w:t xml:space="preserve"> </w:t>
      </w:r>
      <w:r w:rsidR="00C14254">
        <w:t xml:space="preserve">around this time the current labour government and the trade unions would clash over the high inflation rates. </w:t>
      </w:r>
      <w:r w:rsidR="00C14254">
        <w:br/>
      </w:r>
      <w:r w:rsidR="00C14254">
        <w:br/>
        <w:t xml:space="preserve">In 1985, under Margret Thatcher’s Conservative government </w:t>
      </w:r>
      <w:r w:rsidR="004E0E17">
        <w:t xml:space="preserve">new policies were introduced which involved the selling of public owned industries and sold into private ownership. Due to this, confrontations heightened between the government and the trade unions at this time and the 1984-85 Miner’s strike took place at the peak of the rising tension between them. The strike was called upon due to the proposed closure of 174 mines which would result in the loss of approximately 20,000 jobs and was feared to be the start of far more closures to come. The strike ended in the same year and it was a defeat for the miners who left the strike without any deal </w:t>
      </w:r>
      <w:sdt>
        <w:sdtPr>
          <w:id w:val="1386681714"/>
          <w:citation/>
        </w:sdtPr>
        <w:sdtContent>
          <w:r w:rsidR="004E0E17">
            <w:fldChar w:fldCharType="begin"/>
          </w:r>
          <w:r w:rsidR="004E0E17">
            <w:instrText xml:space="preserve"> CITATION NCM \l 2057 </w:instrText>
          </w:r>
          <w:r w:rsidR="004E0E17">
            <w:fldChar w:fldCharType="separate"/>
          </w:r>
          <w:r w:rsidR="004E0E17">
            <w:rPr>
              <w:noProof/>
            </w:rPr>
            <w:t>(NCM)</w:t>
          </w:r>
          <w:r w:rsidR="004E0E17">
            <w:fldChar w:fldCharType="end"/>
          </w:r>
        </w:sdtContent>
      </w:sdt>
      <w:r w:rsidR="004E0E17">
        <w:t xml:space="preserve">. </w:t>
      </w:r>
      <w:r w:rsidR="00D25D5F">
        <w:br/>
      </w:r>
      <w:r w:rsidR="00D25D5F">
        <w:br/>
      </w:r>
      <w:r w:rsidR="00526A2A">
        <w:t>Under the Tory government trade unions lost a lot of their power, however with the most recent Trade union act in 2016</w:t>
      </w:r>
      <w:r w:rsidR="0073450E">
        <w:t xml:space="preserve"> it has had a vast impact on trade unions with updated regulations and restrictions. Under the updated act the Government has introduced restrictions such as industrial action only being allowed to proceed if the ballot has turned out 50% or more </w:t>
      </w:r>
      <w:sdt>
        <w:sdtPr>
          <w:id w:val="-896277581"/>
          <w:citation/>
        </w:sdtPr>
        <w:sdtContent>
          <w:r w:rsidR="0073450E">
            <w:fldChar w:fldCharType="begin"/>
          </w:r>
          <w:r w:rsidR="0073450E">
            <w:instrText xml:space="preserve"> CITATION Nic16 \l 2057 </w:instrText>
          </w:r>
          <w:r w:rsidR="0073450E">
            <w:fldChar w:fldCharType="separate"/>
          </w:r>
          <w:r w:rsidR="0073450E">
            <w:rPr>
              <w:noProof/>
            </w:rPr>
            <w:t>(Boles, 2016)</w:t>
          </w:r>
          <w:r w:rsidR="0073450E">
            <w:fldChar w:fldCharType="end"/>
          </w:r>
        </w:sdtContent>
      </w:sdt>
      <w:r w:rsidR="0073450E">
        <w:t>. The Trade Union Committee otherwise known as the TUC argues that the trade union act i</w:t>
      </w:r>
      <w:r w:rsidR="001A6CB8">
        <w:t>s</w:t>
      </w:r>
      <w:r w:rsidR="0073450E">
        <w:t xml:space="preserve"> damaging and </w:t>
      </w:r>
      <w:r w:rsidR="001A6CB8">
        <w:t xml:space="preserve">troublesome and has introduced unnecessary restrictions on trade unions and its members. For example, new balloting procedures are complicated and designed to make it more difficult for </w:t>
      </w:r>
      <w:r w:rsidR="001A6CB8">
        <w:lastRenderedPageBreak/>
        <w:t xml:space="preserve">unions to organise their activities </w:t>
      </w:r>
      <w:sdt>
        <w:sdtPr>
          <w:id w:val="-1391957022"/>
          <w:citation/>
        </w:sdtPr>
        <w:sdtContent>
          <w:r w:rsidR="001A6CB8">
            <w:fldChar w:fldCharType="begin"/>
          </w:r>
          <w:r w:rsidR="001A6CB8">
            <w:instrText xml:space="preserve"> CITATION TUC17 \l 2057 </w:instrText>
          </w:r>
          <w:r w:rsidR="001A6CB8">
            <w:fldChar w:fldCharType="separate"/>
          </w:r>
          <w:r w:rsidR="001A6CB8">
            <w:rPr>
              <w:noProof/>
            </w:rPr>
            <w:t>(TUC, 2017)</w:t>
          </w:r>
          <w:r w:rsidR="001A6CB8">
            <w:fldChar w:fldCharType="end"/>
          </w:r>
        </w:sdtContent>
      </w:sdt>
      <w:r w:rsidR="001A6CB8">
        <w:t xml:space="preserve">. </w:t>
      </w:r>
      <w:r w:rsidR="0073450E">
        <w:t xml:space="preserve"> </w:t>
      </w:r>
      <w:r w:rsidR="001A6CB8">
        <w:br/>
      </w:r>
    </w:p>
    <w:p w14:paraId="4D10C33F" w14:textId="77777777" w:rsidR="00F919D9" w:rsidRDefault="001E15E3" w:rsidP="009D5604">
      <w:r>
        <w:t>In more current years</w:t>
      </w:r>
      <w:r w:rsidR="00B70933">
        <w:t>, the focus has widened out to take into consideration the benefits of retaining high performing and productive individuals. The workplace does not only have to be a source of income but has the potential to provide a place of purpose, status and new opportunities and it is down to the line managers to implement and manage these employee relations daily in order to get the best performance from their workforce</w:t>
      </w:r>
      <w:r w:rsidR="00840A67">
        <w:t xml:space="preserve"> </w:t>
      </w:r>
      <w:sdt>
        <w:sdtPr>
          <w:id w:val="1944252872"/>
          <w:citation/>
        </w:sdtPr>
        <w:sdtContent>
          <w:r w:rsidR="00840A67">
            <w:fldChar w:fldCharType="begin"/>
          </w:r>
          <w:r w:rsidR="00840A67">
            <w:instrText xml:space="preserve"> CITATION Aca11 \l 2057 </w:instrText>
          </w:r>
          <w:r w:rsidR="00840A67">
            <w:fldChar w:fldCharType="separate"/>
          </w:r>
          <w:r w:rsidR="00840A67">
            <w:rPr>
              <w:noProof/>
            </w:rPr>
            <w:t>(Acas, 2011)</w:t>
          </w:r>
          <w:r w:rsidR="00840A67">
            <w:fldChar w:fldCharType="end"/>
          </w:r>
        </w:sdtContent>
      </w:sdt>
      <w:r w:rsidR="00840A67">
        <w:t xml:space="preserve">. With so much being invested by both employers and employees individually, employee relations have never been so essential.  </w:t>
      </w:r>
      <w:r w:rsidR="001A6CB8">
        <w:br/>
      </w:r>
      <w:r w:rsidR="00840A67">
        <w:br/>
      </w:r>
      <w:r w:rsidR="00B45531">
        <w:t xml:space="preserve">The biggest threat on the current employee relations framework in the United Kingdom is the COVID-19 Virus. With constant regulation changes, lockdowns and quarantines it is of great importance for employers and employees to keep their relationship strong and navigate the ever-changing environment collectively. </w:t>
      </w:r>
      <w:r w:rsidR="00520089">
        <w:t xml:space="preserve">An example of how businesses are tackling job retention amidst the pandemic is by offering furlough to its staff and this furlough scheme has been extended until March 2021. </w:t>
      </w:r>
      <w:r w:rsidR="007639B8">
        <w:t xml:space="preserve">During this scheme, employees will continue to receive 80% of their regular wages </w:t>
      </w:r>
      <w:sdt>
        <w:sdtPr>
          <w:id w:val="332881329"/>
          <w:citation/>
        </w:sdtPr>
        <w:sdtContent>
          <w:r w:rsidR="007639B8">
            <w:fldChar w:fldCharType="begin"/>
          </w:r>
          <w:r w:rsidR="007639B8">
            <w:instrText xml:space="preserve"> CITATION Bur20 \l 2057 </w:instrText>
          </w:r>
          <w:r w:rsidR="007639B8">
            <w:fldChar w:fldCharType="separate"/>
          </w:r>
          <w:r w:rsidR="007639B8">
            <w:rPr>
              <w:noProof/>
            </w:rPr>
            <w:t>(Burges Salmon, 2020)</w:t>
          </w:r>
          <w:r w:rsidR="007639B8">
            <w:fldChar w:fldCharType="end"/>
          </w:r>
        </w:sdtContent>
      </w:sdt>
      <w:r w:rsidR="007639B8">
        <w:t xml:space="preserve">. By allowing employees to receive furlough pay throughout the pandemic will help relieve stress levels in individuals and provides job security which means it is a lot less likely to lose a large portion of the workforce to alternative job roles. </w:t>
      </w:r>
      <w:r w:rsidR="007639B8">
        <w:br/>
      </w:r>
      <w:r w:rsidR="007639B8">
        <w:br/>
      </w:r>
      <w:r w:rsidR="00542B23">
        <w:t xml:space="preserve">A recent case in 2018 involving the rights of trade union members and their right not to be unfairly dismissed for being involved in their union activities was held in the Court of Appeal. The case of Morris V Metrolink RATP Dev Ltd highlighted the tensions that can arise between unionists and employers. The Court of Appeal agreed that the union representative in this case was unfairly dismissed by management and made a point of ensuring protection against dismissal for being involved in trade union activities is known </w:t>
      </w:r>
      <w:sdt>
        <w:sdtPr>
          <w:id w:val="-1042742963"/>
          <w:citation/>
        </w:sdtPr>
        <w:sdtContent>
          <w:r w:rsidR="00542B23">
            <w:fldChar w:fldCharType="begin"/>
          </w:r>
          <w:r w:rsidR="00542B23">
            <w:instrText xml:space="preserve"> CITATION Per19 \l 2057 </w:instrText>
          </w:r>
          <w:r w:rsidR="00542B23">
            <w:fldChar w:fldCharType="separate"/>
          </w:r>
          <w:r w:rsidR="00542B23">
            <w:rPr>
              <w:noProof/>
            </w:rPr>
            <w:t>(Personnel Today, 2019)</w:t>
          </w:r>
          <w:r w:rsidR="00542B23">
            <w:fldChar w:fldCharType="end"/>
          </w:r>
        </w:sdtContent>
      </w:sdt>
      <w:r w:rsidR="00542B23">
        <w:t>.</w:t>
      </w:r>
      <w:r w:rsidR="007D5155">
        <w:t xml:space="preserve"> This case shows how careful employers need to be when looking to take disciplinary action against trade union members for non-union related activities. </w:t>
      </w:r>
      <w:r w:rsidR="004D1D7B">
        <w:br/>
      </w:r>
      <w:r w:rsidR="004D1D7B">
        <w:br/>
        <w:t xml:space="preserve">In regard to the current uncertainty in the economy from the aftermath of Brexit and the present COVID-19 pandemic, communication between both employers and employees is arguably the greatest necessity in ensuring a strong and continuous employee relation. Good communication is one of many strategies to enforce effective employee relations, but it is food for thought that without tackling and implementing communication between employees and employers then the other strategies simply could not be fulfilled. It is imperative that employees are aware on what is going on and are provided the correct resources to articulate their needs, complaints, wishes and goals as </w:t>
      </w:r>
      <w:r w:rsidR="000A29F6">
        <w:t xml:space="preserve">lack lustre communication leads to confusion and stress </w:t>
      </w:r>
      <w:sdt>
        <w:sdtPr>
          <w:id w:val="1901331963"/>
          <w:citation/>
        </w:sdtPr>
        <w:sdtContent>
          <w:r w:rsidR="000A29F6">
            <w:fldChar w:fldCharType="begin"/>
          </w:r>
          <w:r w:rsidR="000A29F6">
            <w:instrText xml:space="preserve"> CITATION hra \l 2057 </w:instrText>
          </w:r>
          <w:r w:rsidR="000A29F6">
            <w:fldChar w:fldCharType="separate"/>
          </w:r>
          <w:r w:rsidR="000A29F6">
            <w:rPr>
              <w:noProof/>
            </w:rPr>
            <w:t>(hraffiliates)</w:t>
          </w:r>
          <w:r w:rsidR="000A29F6">
            <w:fldChar w:fldCharType="end"/>
          </w:r>
        </w:sdtContent>
      </w:sdt>
      <w:r w:rsidR="000A29F6">
        <w:t xml:space="preserve">. The need for communication is crucial to navigate the workforce through the ever-changing environment that the faces the UK and worldwide. </w:t>
      </w:r>
      <w:r w:rsidR="004D1D7B">
        <w:br/>
      </w:r>
      <w:r w:rsidR="004D1D7B">
        <w:br/>
      </w:r>
      <w:r w:rsidR="000A29F6">
        <w:t xml:space="preserve">ACAS, otherwise known as </w:t>
      </w:r>
      <w:r w:rsidR="000A29F6" w:rsidRPr="000A29F6">
        <w:t>the Advisory, Conciliation and Arbitration Service</w:t>
      </w:r>
      <w:r w:rsidR="000A29F6">
        <w:t xml:space="preserve"> is a supporting body dedicated to improving relationships in the workplace. Acas</w:t>
      </w:r>
      <w:r w:rsidR="003D74E0">
        <w:t xml:space="preserve"> describes employee communication as the involvement and development of people in the organisation, the supporting body further goes on to describe how no matter the size of a firm, unionised or not unionised, the workforce will only perform at their best ability if they are comfortable that they have the opportunities to voice their views to management on both positive and negative issues that may affect them </w:t>
      </w:r>
      <w:sdt>
        <w:sdtPr>
          <w:id w:val="1841580896"/>
          <w:citation/>
        </w:sdtPr>
        <w:sdtContent>
          <w:r w:rsidR="003D74E0">
            <w:fldChar w:fldCharType="begin"/>
          </w:r>
          <w:r w:rsidR="003D74E0">
            <w:instrText xml:space="preserve"> CITATION Aca14 \l 2057 </w:instrText>
          </w:r>
          <w:r w:rsidR="003D74E0">
            <w:fldChar w:fldCharType="separate"/>
          </w:r>
          <w:r w:rsidR="003D74E0">
            <w:rPr>
              <w:noProof/>
            </w:rPr>
            <w:t>(Acas, 2014)</w:t>
          </w:r>
          <w:r w:rsidR="003D74E0">
            <w:fldChar w:fldCharType="end"/>
          </w:r>
        </w:sdtContent>
      </w:sdt>
      <w:r w:rsidR="003D74E0">
        <w:t>.</w:t>
      </w:r>
      <w:r w:rsidR="003D74E0">
        <w:br/>
      </w:r>
      <w:r w:rsidR="003D74E0">
        <w:br/>
      </w:r>
      <w:r w:rsidR="00EE5BCF">
        <w:t xml:space="preserve">Having a good relationship between </w:t>
      </w:r>
      <w:r w:rsidR="009E7929">
        <w:t xml:space="preserve">both the employer and employee does not come without </w:t>
      </w:r>
      <w:r w:rsidR="005C0D1F">
        <w:lastRenderedPageBreak/>
        <w:t xml:space="preserve">implementing employment relation strategies. The application of active employee relations is critical in today’s competitive business environment, factors involving job satisfaction for example is only achieved when there is a heathy and balanced working relationship between employees and management according to (Boyle, 2006). Firms can have skilled, knowledgeable and motivated employees but if there is friction at the place of work then having good performance levels could be in jeopardy. (Bhattacharya, 2008) states that the relationship between both the employer and employee is very important and employers must pay close attention to the working relationship if they intend for the business to grow and objectives to be met. In addition to this, (Pearce and Robinson, 2009) puts forward that firms should always seek good employee relations regardless if they are bound by union contracts </w:t>
      </w:r>
      <w:sdt>
        <w:sdtPr>
          <w:id w:val="-1018609867"/>
          <w:citation/>
        </w:sdtPr>
        <w:sdtContent>
          <w:r w:rsidR="005C0D1F">
            <w:fldChar w:fldCharType="begin"/>
          </w:r>
          <w:r w:rsidR="005C0D1F">
            <w:instrText xml:space="preserve"> CITATION DrJ18 \l 2057 </w:instrText>
          </w:r>
          <w:r w:rsidR="005C0D1F">
            <w:fldChar w:fldCharType="separate"/>
          </w:r>
          <w:r w:rsidR="005C0D1F">
            <w:rPr>
              <w:noProof/>
            </w:rPr>
            <w:t>(Samwel, 2018)</w:t>
          </w:r>
          <w:r w:rsidR="005C0D1F">
            <w:fldChar w:fldCharType="end"/>
          </w:r>
        </w:sdtContent>
      </w:sdt>
      <w:r w:rsidR="005C0D1F">
        <w:t xml:space="preserve">.  </w:t>
      </w:r>
      <w:r w:rsidR="00781BFC">
        <w:br/>
      </w:r>
      <w:r w:rsidR="00781BFC">
        <w:br/>
      </w:r>
      <w:r w:rsidR="0068299C">
        <w:t xml:space="preserve">Furthermore, in todays modern society to ensure a well-rounded working relationship between employer and employee’s, management need to be active in their efforts to prevent workplace discrimination. Employers can do this by implementing diversity strategies for the workforce, to ensure that employees are satisfied with these strategies Human resource professionals should take charge and hold regular reviews </w:t>
      </w:r>
      <w:sdt>
        <w:sdtPr>
          <w:id w:val="-713732348"/>
          <w:citation/>
        </w:sdtPr>
        <w:sdtContent>
          <w:r w:rsidR="0068299C">
            <w:fldChar w:fldCharType="begin"/>
          </w:r>
          <w:r w:rsidR="0068299C">
            <w:instrText xml:space="preserve"> CITATION Bri \l 2057 </w:instrText>
          </w:r>
          <w:r w:rsidR="0068299C">
            <w:fldChar w:fldCharType="separate"/>
          </w:r>
          <w:r w:rsidR="0068299C">
            <w:rPr>
              <w:noProof/>
            </w:rPr>
            <w:t>(Bright HR)</w:t>
          </w:r>
          <w:r w:rsidR="0068299C">
            <w:fldChar w:fldCharType="end"/>
          </w:r>
        </w:sdtContent>
      </w:sdt>
      <w:r w:rsidR="0068299C">
        <w:t xml:space="preserve">. </w:t>
      </w:r>
      <w:r w:rsidR="0068299C">
        <w:br/>
      </w:r>
      <w:r w:rsidR="0068299C">
        <w:br/>
        <w:t xml:space="preserve">The EHRC, otherwise referred to as the body for equality of human rights supports equality training for employers. The EHRC puts forward that if you </w:t>
      </w:r>
      <w:r w:rsidR="00F75AB3">
        <w:t>actively pursue effective equality practices in your firm then you are greatly lessen the likelihood of being involved in unlawful discrimination. To further this, by implementing fair equality practices in the workplace then it will significantly reduce the chances of face legal retributions for unlawful discrimination claims</w:t>
      </w:r>
      <w:r w:rsidR="009D5604">
        <w:t>. It is common law that organisations must not discriminate or harass individuals who work for or used to work for any given workplace. The EHRC further goes on to say how important it is that both management and employees have a clear understanding of what is going on and are taking active measures to improve the organisations equality performance</w:t>
      </w:r>
      <w:r w:rsidR="00F919D9">
        <w:t>, this can involve making effort in devising equality police or to provide equality training for the employees</w:t>
      </w:r>
      <w:r w:rsidR="009D5604">
        <w:t xml:space="preserve"> </w:t>
      </w:r>
      <w:r w:rsidR="00F75AB3">
        <w:t xml:space="preserve"> </w:t>
      </w:r>
      <w:sdt>
        <w:sdtPr>
          <w:id w:val="758337148"/>
          <w:citation/>
        </w:sdtPr>
        <w:sdtContent>
          <w:r w:rsidR="00F75AB3">
            <w:fldChar w:fldCharType="begin"/>
          </w:r>
          <w:r w:rsidR="00F75AB3">
            <w:instrText xml:space="preserve"> CITATION Equ10 \l 2057 </w:instrText>
          </w:r>
          <w:r w:rsidR="00F75AB3">
            <w:fldChar w:fldCharType="separate"/>
          </w:r>
          <w:r w:rsidR="00F75AB3">
            <w:rPr>
              <w:noProof/>
            </w:rPr>
            <w:t>(Commission, 2010)</w:t>
          </w:r>
          <w:r w:rsidR="00F75AB3">
            <w:fldChar w:fldCharType="end"/>
          </w:r>
        </w:sdtContent>
      </w:sdt>
      <w:r w:rsidR="00F75AB3">
        <w:t>.</w:t>
      </w:r>
      <w:r w:rsidR="009D5604">
        <w:br/>
      </w:r>
      <w:r w:rsidR="009D5604">
        <w:br/>
      </w:r>
      <w:r w:rsidR="00F75AB3">
        <w:t xml:space="preserve">In conclusion, it is evident the importance of having strong and effective employee relations conducted throughout any given organisations workforce with the necessity for these work relationships growing over the years through facing unprecedented events such a Brexit and the current COVID-19 pandemic. It is </w:t>
      </w:r>
      <w:r w:rsidR="009D5604">
        <w:t>key</w:t>
      </w:r>
      <w:r w:rsidR="00F75AB3">
        <w:t xml:space="preserve"> for employers and management to review, uphold and update their strategies when they are faced with unpredictable factors. </w:t>
      </w:r>
      <w:r w:rsidR="009D5604">
        <w:t xml:space="preserve">In today’s society, the requirement for the workplace to care for both the physical and mental health of its workforce is indisputable and having strong employee relations through the means of effective communication can help attain this. Overall, strong employee relations will help organisations survive in economic uncertainty and produce a strong and productive workforce. </w:t>
      </w:r>
      <w:r w:rsidR="00F919D9">
        <w:br/>
      </w:r>
      <w:r w:rsidR="00F919D9">
        <w:br/>
      </w:r>
    </w:p>
    <w:sdt>
      <w:sdtPr>
        <w:id w:val="134313140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71F178A" w14:textId="5284F3D3" w:rsidR="00F919D9" w:rsidRPr="00F919D9" w:rsidRDefault="00F919D9">
          <w:pPr>
            <w:pStyle w:val="Heading1"/>
            <w:rPr>
              <w:b/>
              <w:bCs/>
              <w:color w:val="auto"/>
              <w:sz w:val="24"/>
              <w:szCs w:val="24"/>
              <w:u w:val="single"/>
            </w:rPr>
          </w:pPr>
          <w:r w:rsidRPr="00F919D9">
            <w:rPr>
              <w:b/>
              <w:bCs/>
              <w:color w:val="auto"/>
              <w:sz w:val="24"/>
              <w:szCs w:val="24"/>
              <w:u w:val="single"/>
            </w:rPr>
            <w:t>References</w:t>
          </w:r>
        </w:p>
        <w:sdt>
          <w:sdtPr>
            <w:id w:val="-573587230"/>
            <w:bibliography/>
          </w:sdtPr>
          <w:sdtContent>
            <w:p w14:paraId="061E435F" w14:textId="77777777" w:rsidR="00F919D9" w:rsidRDefault="00F919D9" w:rsidP="00F919D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Acas. (2011, January). </w:t>
              </w:r>
              <w:r>
                <w:rPr>
                  <w:i/>
                  <w:iCs/>
                  <w:noProof/>
                  <w:lang w:val="en-US"/>
                </w:rPr>
                <w:t>The future of workplace relations - An Acas View.</w:t>
              </w:r>
              <w:r>
                <w:rPr>
                  <w:noProof/>
                  <w:lang w:val="en-US"/>
                </w:rPr>
                <w:t xml:space="preserve"> Retrieved from Acas: https://www.learnwithunite.org/assets/Uploads/The-Future-of-Workplace-Relations-An-Acas-view.pdf</w:t>
              </w:r>
            </w:p>
            <w:p w14:paraId="520B3AEC" w14:textId="77777777" w:rsidR="00F919D9" w:rsidRDefault="00F919D9" w:rsidP="00F919D9">
              <w:pPr>
                <w:pStyle w:val="Bibliography"/>
                <w:ind w:left="720" w:hanging="720"/>
                <w:rPr>
                  <w:noProof/>
                  <w:lang w:val="en-US"/>
                </w:rPr>
              </w:pPr>
              <w:r>
                <w:rPr>
                  <w:noProof/>
                  <w:lang w:val="en-US"/>
                </w:rPr>
                <w:t xml:space="preserve">Acas. (2014). </w:t>
              </w:r>
              <w:r>
                <w:rPr>
                  <w:i/>
                  <w:iCs/>
                  <w:noProof/>
                  <w:lang w:val="en-US"/>
                </w:rPr>
                <w:t>Employee communications.</w:t>
              </w:r>
              <w:r>
                <w:rPr>
                  <w:noProof/>
                  <w:lang w:val="en-US"/>
                </w:rPr>
                <w:t xml:space="preserve"> London: Investor in People.</w:t>
              </w:r>
            </w:p>
            <w:p w14:paraId="13E05E68" w14:textId="77777777" w:rsidR="00F919D9" w:rsidRDefault="00F919D9" w:rsidP="00F919D9">
              <w:pPr>
                <w:pStyle w:val="Bibliography"/>
                <w:ind w:left="720" w:hanging="720"/>
                <w:rPr>
                  <w:noProof/>
                  <w:lang w:val="en-US"/>
                </w:rPr>
              </w:pPr>
              <w:r>
                <w:rPr>
                  <w:noProof/>
                  <w:lang w:val="en-US"/>
                </w:rPr>
                <w:lastRenderedPageBreak/>
                <w:t xml:space="preserve">Andy Powell, B. F.-D. (2020, November 26th). </w:t>
              </w:r>
              <w:r>
                <w:rPr>
                  <w:i/>
                  <w:iCs/>
                  <w:noProof/>
                  <w:lang w:val="en-US"/>
                </w:rPr>
                <w:t>Coronavirus: Impact on the labour market.</w:t>
              </w:r>
              <w:r>
                <w:rPr>
                  <w:noProof/>
                  <w:lang w:val="en-US"/>
                </w:rPr>
                <w:t xml:space="preserve"> Retrieved from UK Parliment: https://commonslibrary.parliament.uk/research-briefings/cbp-8898/#:~:text=Since%20the%20start%20of%20the,at%20141%2C000%2C%20or%200.5%25.</w:t>
              </w:r>
            </w:p>
            <w:p w14:paraId="21927A20" w14:textId="77777777" w:rsidR="00F919D9" w:rsidRDefault="00F919D9" w:rsidP="00F919D9">
              <w:pPr>
                <w:pStyle w:val="Bibliography"/>
                <w:ind w:left="720" w:hanging="720"/>
                <w:rPr>
                  <w:noProof/>
                  <w:lang w:val="en-US"/>
                </w:rPr>
              </w:pPr>
              <w:r>
                <w:rPr>
                  <w:noProof/>
                  <w:lang w:val="en-US"/>
                </w:rPr>
                <w:t xml:space="preserve">Boles, N. (2016, May 4th). </w:t>
              </w:r>
              <w:r>
                <w:rPr>
                  <w:i/>
                  <w:iCs/>
                  <w:noProof/>
                  <w:lang w:val="en-US"/>
                </w:rPr>
                <w:t>Trade Union Act becomes law.</w:t>
              </w:r>
              <w:r>
                <w:rPr>
                  <w:noProof/>
                  <w:lang w:val="en-US"/>
                </w:rPr>
                <w:t xml:space="preserve"> Retrieved from GOV.CO.UK: https://www.gov.uk/government/news/trade-union-act-becomes-law</w:t>
              </w:r>
            </w:p>
            <w:p w14:paraId="0B63D5E6" w14:textId="77777777" w:rsidR="00F919D9" w:rsidRDefault="00F919D9" w:rsidP="00F919D9">
              <w:pPr>
                <w:pStyle w:val="Bibliography"/>
                <w:ind w:left="720" w:hanging="720"/>
                <w:rPr>
                  <w:noProof/>
                  <w:lang w:val="en-US"/>
                </w:rPr>
              </w:pPr>
              <w:r>
                <w:rPr>
                  <w:noProof/>
                  <w:lang w:val="en-US"/>
                </w:rPr>
                <w:t xml:space="preserve">Bright HR. (n.d.). </w:t>
              </w:r>
              <w:r>
                <w:rPr>
                  <w:i/>
                  <w:iCs/>
                  <w:noProof/>
                  <w:lang w:val="en-US"/>
                </w:rPr>
                <w:t>What is discrimination at work?</w:t>
              </w:r>
              <w:r>
                <w:rPr>
                  <w:noProof/>
                  <w:lang w:val="en-US"/>
                </w:rPr>
                <w:t xml:space="preserve"> Retrieved from Bright HR: https://www.brighthr.com/articles/equality-and-discrimination/</w:t>
              </w:r>
            </w:p>
            <w:p w14:paraId="10119BD8" w14:textId="77777777" w:rsidR="00F919D9" w:rsidRDefault="00F919D9" w:rsidP="00F919D9">
              <w:pPr>
                <w:pStyle w:val="Bibliography"/>
                <w:ind w:left="720" w:hanging="720"/>
                <w:rPr>
                  <w:noProof/>
                  <w:lang w:val="en-US"/>
                </w:rPr>
              </w:pPr>
              <w:r>
                <w:rPr>
                  <w:noProof/>
                  <w:lang w:val="en-US"/>
                </w:rPr>
                <w:t xml:space="preserve">Burges Salmon. (2020, November 26th). </w:t>
              </w:r>
              <w:r>
                <w:rPr>
                  <w:i/>
                  <w:iCs/>
                  <w:noProof/>
                  <w:lang w:val="en-US"/>
                </w:rPr>
                <w:t>Employment law updates: important changes for employers.</w:t>
              </w:r>
              <w:r>
                <w:rPr>
                  <w:noProof/>
                  <w:lang w:val="en-US"/>
                </w:rPr>
                <w:t xml:space="preserve"> Retrieved from Burges Salmon: https://www.burges-salmon.com/news-and-insight/legal-updates/employment-law-updates/</w:t>
              </w:r>
            </w:p>
            <w:p w14:paraId="0E94654B" w14:textId="77777777" w:rsidR="00F919D9" w:rsidRDefault="00F919D9" w:rsidP="00F919D9">
              <w:pPr>
                <w:pStyle w:val="Bibliography"/>
                <w:ind w:left="720" w:hanging="720"/>
                <w:rPr>
                  <w:noProof/>
                  <w:lang w:val="en-US"/>
                </w:rPr>
              </w:pPr>
              <w:r>
                <w:rPr>
                  <w:noProof/>
                  <w:lang w:val="en-US"/>
                </w:rPr>
                <w:t xml:space="preserve">Chapman, B. (2019, Febuary 26th). </w:t>
              </w:r>
              <w:r>
                <w:rPr>
                  <w:i/>
                  <w:iCs/>
                  <w:noProof/>
                  <w:lang w:val="en-US"/>
                </w:rPr>
                <w:t>‘Which companies are leaving UK, downsizing or cutting jobs ahead of Brexit?'.</w:t>
              </w:r>
              <w:r>
                <w:rPr>
                  <w:noProof/>
                  <w:lang w:val="en-US"/>
                </w:rPr>
                <w:t xml:space="preserve"> Retrieved from The independant .</w:t>
              </w:r>
            </w:p>
            <w:p w14:paraId="6DFEAE15" w14:textId="77777777" w:rsidR="00F919D9" w:rsidRDefault="00F919D9" w:rsidP="00F919D9">
              <w:pPr>
                <w:pStyle w:val="Bibliography"/>
                <w:ind w:left="720" w:hanging="720"/>
                <w:rPr>
                  <w:noProof/>
                  <w:lang w:val="en-US"/>
                </w:rPr>
              </w:pPr>
              <w:r>
                <w:rPr>
                  <w:noProof/>
                  <w:lang w:val="en-US"/>
                </w:rPr>
                <w:t xml:space="preserve">CIPD. (2020, June 29th). </w:t>
              </w:r>
              <w:r>
                <w:rPr>
                  <w:i/>
                  <w:iCs/>
                  <w:noProof/>
                  <w:lang w:val="en-US"/>
                </w:rPr>
                <w:t>Employee relations: an introduction</w:t>
              </w:r>
              <w:r>
                <w:rPr>
                  <w:noProof/>
                  <w:lang w:val="en-US"/>
                </w:rPr>
                <w:t>. Retrieved from CIPD: https://www.cipd.co.uk/knowledge/fundamentals/relations/employees/factsheet</w:t>
              </w:r>
            </w:p>
            <w:p w14:paraId="5E69528A" w14:textId="77777777" w:rsidR="00F919D9" w:rsidRDefault="00F919D9" w:rsidP="00F919D9">
              <w:pPr>
                <w:pStyle w:val="Bibliography"/>
                <w:ind w:left="720" w:hanging="720"/>
                <w:rPr>
                  <w:noProof/>
                  <w:lang w:val="en-US"/>
                </w:rPr>
              </w:pPr>
              <w:r>
                <w:rPr>
                  <w:noProof/>
                  <w:lang w:val="en-US"/>
                </w:rPr>
                <w:t xml:space="preserve">CIPD. (2020, September 3rd). </w:t>
              </w:r>
              <w:r>
                <w:rPr>
                  <w:i/>
                  <w:iCs/>
                  <w:noProof/>
                  <w:lang w:val="en-US"/>
                </w:rPr>
                <w:t>Impact of COVID-19 on working lives.</w:t>
              </w:r>
              <w:r>
                <w:rPr>
                  <w:noProof/>
                  <w:lang w:val="en-US"/>
                </w:rPr>
                <w:t xml:space="preserve"> Retrieved from CIPD: https://www.cipd.co.uk/knowledge/work/trends/goodwork/covid-impact</w:t>
              </w:r>
            </w:p>
            <w:p w14:paraId="09905C2A" w14:textId="77777777" w:rsidR="00F919D9" w:rsidRDefault="00F919D9" w:rsidP="00F919D9">
              <w:pPr>
                <w:pStyle w:val="Bibliography"/>
                <w:ind w:left="720" w:hanging="720"/>
                <w:rPr>
                  <w:noProof/>
                  <w:lang w:val="en-US"/>
                </w:rPr>
              </w:pPr>
              <w:r>
                <w:rPr>
                  <w:noProof/>
                  <w:lang w:val="en-US"/>
                </w:rPr>
                <w:t xml:space="preserve">Commission, E. a. (2010). </w:t>
              </w:r>
              <w:r>
                <w:rPr>
                  <w:i/>
                  <w:iCs/>
                  <w:noProof/>
                  <w:lang w:val="en-US"/>
                </w:rPr>
                <w:t>Good equality practice for employers: equality policies, equality training and monitoring.</w:t>
              </w:r>
              <w:r>
                <w:rPr>
                  <w:noProof/>
                  <w:lang w:val="en-US"/>
                </w:rPr>
                <w:t xml:space="preserve"> </w:t>
              </w:r>
            </w:p>
            <w:p w14:paraId="022C7D8B" w14:textId="77777777" w:rsidR="00F919D9" w:rsidRDefault="00F919D9" w:rsidP="00F919D9">
              <w:pPr>
                <w:pStyle w:val="Bibliography"/>
                <w:ind w:left="720" w:hanging="720"/>
                <w:rPr>
                  <w:noProof/>
                  <w:lang w:val="en-US"/>
                </w:rPr>
              </w:pPr>
              <w:r>
                <w:rPr>
                  <w:noProof/>
                  <w:lang w:val="en-US"/>
                </w:rPr>
                <w:t xml:space="preserve">Craig, W. (2017, September 20th). </w:t>
              </w:r>
              <w:r>
                <w:rPr>
                  <w:i/>
                  <w:iCs/>
                  <w:noProof/>
                  <w:lang w:val="en-US"/>
                </w:rPr>
                <w:t>Why a Strong Employee/Employer Relationship Is Important</w:t>
              </w:r>
              <w:r>
                <w:rPr>
                  <w:noProof/>
                  <w:lang w:val="en-US"/>
                </w:rPr>
                <w:t>. Retrieved from Forbes: https://www.forbes.com/sites/williamcraig/2017/09/20/why-a-strong-employeeemployer-relationship-is-important/?sh=54b40d9464d9</w:t>
              </w:r>
            </w:p>
            <w:p w14:paraId="7FD8FF81" w14:textId="77777777" w:rsidR="00F919D9" w:rsidRDefault="00F919D9" w:rsidP="00F919D9">
              <w:pPr>
                <w:pStyle w:val="Bibliography"/>
                <w:ind w:left="720" w:hanging="720"/>
                <w:rPr>
                  <w:noProof/>
                  <w:lang w:val="en-US"/>
                </w:rPr>
              </w:pPr>
              <w:r>
                <w:rPr>
                  <w:noProof/>
                  <w:lang w:val="en-US"/>
                </w:rPr>
                <w:t xml:space="preserve">hraffiliates. (n.d.). </w:t>
              </w:r>
              <w:r>
                <w:rPr>
                  <w:i/>
                  <w:iCs/>
                  <w:noProof/>
                  <w:lang w:val="en-US"/>
                </w:rPr>
                <w:t>STRATEGY FOR EFFECTIVE EMPLOYEE RELATIONS.</w:t>
              </w:r>
              <w:r>
                <w:rPr>
                  <w:noProof/>
                  <w:lang w:val="en-US"/>
                </w:rPr>
                <w:t xml:space="preserve"> Retrieved from hraffiliates: https://hraffiliates.com/strategy-for-effective-employee-relations/</w:t>
              </w:r>
            </w:p>
            <w:p w14:paraId="42CEF90B" w14:textId="77777777" w:rsidR="00F919D9" w:rsidRDefault="00F919D9" w:rsidP="00F919D9">
              <w:pPr>
                <w:pStyle w:val="Bibliography"/>
                <w:ind w:left="720" w:hanging="720"/>
                <w:rPr>
                  <w:noProof/>
                  <w:lang w:val="en-US"/>
                </w:rPr>
              </w:pPr>
              <w:r>
                <w:rPr>
                  <w:noProof/>
                  <w:lang w:val="en-US"/>
                </w:rPr>
                <w:t xml:space="preserve">Imran, M. (2014). Impact of Technological Advancement on Employee Performance in Banking Sector . </w:t>
              </w:r>
              <w:r>
                <w:rPr>
                  <w:i/>
                  <w:iCs/>
                  <w:noProof/>
                  <w:lang w:val="en-US"/>
                </w:rPr>
                <w:t>International Journal of Human Resource Studies Vol.4, No.1</w:t>
              </w:r>
              <w:r>
                <w:rPr>
                  <w:noProof/>
                  <w:lang w:val="en-US"/>
                </w:rPr>
                <w:t>.</w:t>
              </w:r>
            </w:p>
            <w:p w14:paraId="1934EB3F" w14:textId="77777777" w:rsidR="00F919D9" w:rsidRDefault="00F919D9" w:rsidP="00F919D9">
              <w:pPr>
                <w:pStyle w:val="Bibliography"/>
                <w:ind w:left="720" w:hanging="720"/>
                <w:rPr>
                  <w:noProof/>
                  <w:lang w:val="en-US"/>
                </w:rPr>
              </w:pPr>
              <w:r>
                <w:rPr>
                  <w:noProof/>
                  <w:lang w:val="en-US"/>
                </w:rPr>
                <w:t xml:space="preserve">Mental Health Foundation. (2018). </w:t>
              </w:r>
              <w:r>
                <w:rPr>
                  <w:i/>
                  <w:iCs/>
                  <w:noProof/>
                  <w:lang w:val="en-US"/>
                </w:rPr>
                <w:t>Mental Health Statistics: Stress</w:t>
              </w:r>
              <w:r>
                <w:rPr>
                  <w:noProof/>
                  <w:lang w:val="en-US"/>
                </w:rPr>
                <w:t>. Retrieved from Mental health Foundation: https://www.mentalhealth.org.uk/statistics/mental-health-statistics-stress</w:t>
              </w:r>
            </w:p>
            <w:p w14:paraId="1E3197F8" w14:textId="77777777" w:rsidR="00F919D9" w:rsidRDefault="00F919D9" w:rsidP="00F919D9">
              <w:pPr>
                <w:pStyle w:val="Bibliography"/>
                <w:ind w:left="720" w:hanging="720"/>
                <w:rPr>
                  <w:noProof/>
                  <w:lang w:val="en-US"/>
                </w:rPr>
              </w:pPr>
              <w:r>
                <w:rPr>
                  <w:noProof/>
                  <w:lang w:val="en-US"/>
                </w:rPr>
                <w:t xml:space="preserve">NCM. (n.d.). </w:t>
              </w:r>
              <w:r>
                <w:rPr>
                  <w:i/>
                  <w:iCs/>
                  <w:noProof/>
                  <w:lang w:val="en-US"/>
                </w:rPr>
                <w:t>Miners’ Strike.</w:t>
              </w:r>
              <w:r>
                <w:rPr>
                  <w:noProof/>
                  <w:lang w:val="en-US"/>
                </w:rPr>
                <w:t xml:space="preserve"> Wakefield: National Coal Mining Museum For England.</w:t>
              </w:r>
            </w:p>
            <w:p w14:paraId="6F9FD4E4" w14:textId="77777777" w:rsidR="00F919D9" w:rsidRDefault="00F919D9" w:rsidP="00F919D9">
              <w:pPr>
                <w:pStyle w:val="Bibliography"/>
                <w:ind w:left="720" w:hanging="720"/>
                <w:rPr>
                  <w:noProof/>
                  <w:lang w:val="en-US"/>
                </w:rPr>
              </w:pPr>
              <w:r>
                <w:rPr>
                  <w:noProof/>
                  <w:lang w:val="en-US"/>
                </w:rPr>
                <w:t xml:space="preserve">Nicholas Bacon, J. S. (2000). New Employee Relations Strategies inBritain: Towards Individualism or Partnership ? </w:t>
              </w:r>
              <w:r>
                <w:rPr>
                  <w:i/>
                  <w:iCs/>
                  <w:noProof/>
                  <w:lang w:val="en-US"/>
                </w:rPr>
                <w:t>British Journal of Industrial Relations</w:t>
              </w:r>
              <w:r>
                <w:rPr>
                  <w:noProof/>
                  <w:lang w:val="en-US"/>
                </w:rPr>
                <w:t>, 407-408.</w:t>
              </w:r>
            </w:p>
            <w:p w14:paraId="61B719D3" w14:textId="77777777" w:rsidR="00F919D9" w:rsidRDefault="00F919D9" w:rsidP="00F919D9">
              <w:pPr>
                <w:pStyle w:val="Bibliography"/>
                <w:ind w:left="720" w:hanging="720"/>
                <w:rPr>
                  <w:noProof/>
                  <w:lang w:val="en-US"/>
                </w:rPr>
              </w:pPr>
              <w:r>
                <w:rPr>
                  <w:noProof/>
                  <w:lang w:val="en-US"/>
                </w:rPr>
                <w:t xml:space="preserve">Personnel Today. (2019, January 11th). </w:t>
              </w:r>
              <w:r>
                <w:rPr>
                  <w:i/>
                  <w:iCs/>
                  <w:noProof/>
                  <w:lang w:val="en-US"/>
                </w:rPr>
                <w:t>The 10 most important employment law cases in 2018.</w:t>
              </w:r>
              <w:r>
                <w:rPr>
                  <w:noProof/>
                  <w:lang w:val="en-US"/>
                </w:rPr>
                <w:t xml:space="preserve"> Retrieved from Personnel Today: https://www.personneltoday.com/hr/the-10-most-important-employment-law-cases-in-2018/</w:t>
              </w:r>
            </w:p>
            <w:p w14:paraId="48669C2D" w14:textId="77777777" w:rsidR="00F919D9" w:rsidRDefault="00F919D9" w:rsidP="00F919D9">
              <w:pPr>
                <w:pStyle w:val="Bibliography"/>
                <w:ind w:left="720" w:hanging="720"/>
                <w:rPr>
                  <w:noProof/>
                  <w:lang w:val="en-US"/>
                </w:rPr>
              </w:pPr>
              <w:r>
                <w:rPr>
                  <w:noProof/>
                  <w:lang w:val="en-US"/>
                </w:rPr>
                <w:t xml:space="preserve">Richard N. Block, P. B. (2004). </w:t>
              </w:r>
              <w:r>
                <w:rPr>
                  <w:i/>
                  <w:iCs/>
                  <w:noProof/>
                  <w:lang w:val="en-US"/>
                </w:rPr>
                <w:t>The Economic Dimension of the Employment Relationship.</w:t>
              </w:r>
              <w:r>
                <w:rPr>
                  <w:noProof/>
                  <w:lang w:val="en-US"/>
                </w:rPr>
                <w:t xml:space="preserve"> </w:t>
              </w:r>
            </w:p>
            <w:p w14:paraId="23825319" w14:textId="77777777" w:rsidR="00F919D9" w:rsidRDefault="00F919D9" w:rsidP="00F919D9">
              <w:pPr>
                <w:pStyle w:val="Bibliography"/>
                <w:ind w:left="720" w:hanging="720"/>
                <w:rPr>
                  <w:noProof/>
                  <w:lang w:val="en-US"/>
                </w:rPr>
              </w:pPr>
              <w:r>
                <w:rPr>
                  <w:noProof/>
                  <w:lang w:val="en-US"/>
                </w:rPr>
                <w:t xml:space="preserve">Samwel, D. J. (2018). Effect of Employee Relations on Employee Performance and Organizational Performance. </w:t>
              </w:r>
              <w:r>
                <w:rPr>
                  <w:i/>
                  <w:iCs/>
                  <w:noProof/>
                  <w:lang w:val="en-US"/>
                </w:rPr>
                <w:t xml:space="preserve">Global Journal of Management and Business Research: A Administration and Management </w:t>
              </w:r>
              <w:r>
                <w:rPr>
                  <w:noProof/>
                  <w:lang w:val="en-US"/>
                </w:rPr>
                <w:t>, 31-32.</w:t>
              </w:r>
            </w:p>
            <w:p w14:paraId="59BABD5F" w14:textId="77777777" w:rsidR="00F919D9" w:rsidRDefault="00F919D9" w:rsidP="00F919D9">
              <w:pPr>
                <w:pStyle w:val="Bibliography"/>
                <w:ind w:left="720" w:hanging="720"/>
                <w:rPr>
                  <w:noProof/>
                  <w:lang w:val="en-US"/>
                </w:rPr>
              </w:pPr>
              <w:r>
                <w:rPr>
                  <w:noProof/>
                  <w:lang w:val="en-US"/>
                </w:rPr>
                <w:lastRenderedPageBreak/>
                <w:t xml:space="preserve">Tanya Sammut-Bonnici, D. G. (2015). </w:t>
              </w:r>
              <w:r>
                <w:rPr>
                  <w:i/>
                  <w:iCs/>
                  <w:noProof/>
                  <w:lang w:val="en-US"/>
                </w:rPr>
                <w:t>Wiley Encyclopedia of Management: PEST analysis.</w:t>
              </w:r>
              <w:r>
                <w:rPr>
                  <w:noProof/>
                  <w:lang w:val="en-US"/>
                </w:rPr>
                <w:t xml:space="preserve"> John Wiley &amp; Sons, Ltd.</w:t>
              </w:r>
            </w:p>
            <w:p w14:paraId="6BFFD6CD" w14:textId="77777777" w:rsidR="00F919D9" w:rsidRDefault="00F919D9" w:rsidP="00F919D9">
              <w:pPr>
                <w:pStyle w:val="Bibliography"/>
                <w:ind w:left="720" w:hanging="720"/>
                <w:rPr>
                  <w:noProof/>
                  <w:lang w:val="en-US"/>
                </w:rPr>
              </w:pPr>
              <w:r>
                <w:rPr>
                  <w:noProof/>
                  <w:lang w:val="en-US"/>
                </w:rPr>
                <w:t xml:space="preserve">The Socialist Newspaper. (2019, January 16th). </w:t>
              </w:r>
              <w:r>
                <w:rPr>
                  <w:i/>
                  <w:iCs/>
                  <w:noProof/>
                  <w:lang w:val="en-US"/>
                </w:rPr>
                <w:t>History of the workers' movement.</w:t>
              </w:r>
              <w:r>
                <w:rPr>
                  <w:noProof/>
                  <w:lang w:val="en-US"/>
                </w:rPr>
                <w:t xml:space="preserve"> Retrieved from Socialist Party: https://www.socialistparty.org.uk/articles/28522/16-01-2019/the-1979-winter-of-discontent</w:t>
              </w:r>
            </w:p>
            <w:p w14:paraId="50E068E3" w14:textId="77777777" w:rsidR="00F919D9" w:rsidRDefault="00F919D9" w:rsidP="00F919D9">
              <w:pPr>
                <w:pStyle w:val="Bibliography"/>
                <w:ind w:left="720" w:hanging="720"/>
                <w:rPr>
                  <w:noProof/>
                  <w:lang w:val="en-US"/>
                </w:rPr>
              </w:pPr>
              <w:r>
                <w:rPr>
                  <w:noProof/>
                  <w:lang w:val="en-US"/>
                </w:rPr>
                <w:t xml:space="preserve">TUC. (2017). </w:t>
              </w:r>
              <w:r>
                <w:rPr>
                  <w:i/>
                  <w:iCs/>
                  <w:noProof/>
                  <w:lang w:val="en-US"/>
                </w:rPr>
                <w:t>Trade Union Act 2016 - A TUC guide for union reps.</w:t>
              </w:r>
              <w:r>
                <w:rPr>
                  <w:noProof/>
                  <w:lang w:val="en-US"/>
                </w:rPr>
                <w:t xml:space="preserve"> </w:t>
              </w:r>
            </w:p>
            <w:p w14:paraId="1ED6BFD5" w14:textId="434A7990" w:rsidR="00F919D9" w:rsidRDefault="00F919D9" w:rsidP="00F919D9">
              <w:r>
                <w:rPr>
                  <w:b/>
                  <w:bCs/>
                  <w:noProof/>
                </w:rPr>
                <w:fldChar w:fldCharType="end"/>
              </w:r>
            </w:p>
          </w:sdtContent>
        </w:sdt>
      </w:sdtContent>
    </w:sdt>
    <w:p w14:paraId="4FD5531E" w14:textId="6538BF53" w:rsidR="0068299C" w:rsidRDefault="009D5604" w:rsidP="009D5604">
      <w:r>
        <w:br/>
      </w:r>
      <w:r w:rsidR="00F919D9">
        <w:br/>
      </w:r>
      <w:r>
        <w:br/>
      </w:r>
      <w:r>
        <w:br/>
      </w:r>
      <w:r w:rsidR="0068299C">
        <w:br/>
      </w:r>
      <w:r w:rsidR="0068299C">
        <w:br/>
      </w:r>
      <w:r w:rsidR="0068299C">
        <w:br/>
      </w:r>
    </w:p>
    <w:p w14:paraId="6FA7FEFE" w14:textId="047A72C6" w:rsidR="005C0D1F" w:rsidRDefault="0068299C" w:rsidP="0068299C">
      <w:r>
        <w:br/>
      </w:r>
      <w:r>
        <w:br/>
      </w:r>
      <w:r>
        <w:br/>
      </w:r>
    </w:p>
    <w:p w14:paraId="455E4DB9" w14:textId="77777777" w:rsidR="005C0D1F" w:rsidRDefault="005C0D1F" w:rsidP="00EE5BCF"/>
    <w:p w14:paraId="0511B619" w14:textId="77777777" w:rsidR="005C0D1F" w:rsidRDefault="005C0D1F" w:rsidP="00EE5BCF"/>
    <w:p w14:paraId="06B2C1D3" w14:textId="1B70C08E" w:rsidR="003D74E0" w:rsidRDefault="004D1D7B" w:rsidP="00EE5BCF">
      <w:r>
        <w:br/>
      </w:r>
      <w:r w:rsidR="000A29F6">
        <w:br/>
      </w:r>
      <w:r w:rsidR="000A29F6">
        <w:br/>
      </w:r>
    </w:p>
    <w:p w14:paraId="0A4D6BCE" w14:textId="099C71D0" w:rsidR="00542B23" w:rsidRDefault="004D1D7B" w:rsidP="000A29F6">
      <w:r>
        <w:br/>
      </w:r>
      <w:r w:rsidR="007D5155">
        <w:br/>
      </w:r>
      <w:r w:rsidR="007D5155">
        <w:br/>
      </w:r>
      <w:r w:rsidR="00542B23">
        <w:br/>
      </w:r>
      <w:r w:rsidR="00542B23">
        <w:br/>
      </w:r>
      <w:r w:rsidR="00542B23">
        <w:br/>
      </w:r>
      <w:r w:rsidR="00542B23">
        <w:br/>
      </w:r>
      <w:r w:rsidR="00542B23">
        <w:br/>
      </w:r>
      <w:r w:rsidR="00542B23">
        <w:br/>
      </w:r>
    </w:p>
    <w:p w14:paraId="734B057E" w14:textId="77777777" w:rsidR="00542B23" w:rsidRDefault="00542B23" w:rsidP="00542B23"/>
    <w:p w14:paraId="0115DB8E" w14:textId="15D17C00" w:rsidR="001E15E3" w:rsidRDefault="00840A67" w:rsidP="00542B23">
      <w:r>
        <w:br/>
      </w:r>
    </w:p>
    <w:p w14:paraId="0DD17343" w14:textId="3755BBD7" w:rsidR="004E0E17" w:rsidRDefault="00D25D5F" w:rsidP="00323EDA">
      <w:r>
        <w:br/>
      </w:r>
    </w:p>
    <w:p w14:paraId="0CE8E3BD" w14:textId="126E8D89" w:rsidR="00840A67" w:rsidRDefault="00401254" w:rsidP="00840A67">
      <w:r>
        <w:lastRenderedPageBreak/>
        <w:br/>
      </w:r>
      <w:r>
        <w:br/>
      </w:r>
      <w:r>
        <w:br/>
      </w:r>
    </w:p>
    <w:p w14:paraId="0EBEA563" w14:textId="1548A70F" w:rsidR="00F66C06" w:rsidRDefault="00F66C06" w:rsidP="00401254">
      <w:r>
        <w:br/>
      </w:r>
      <w:r>
        <w:br/>
      </w:r>
    </w:p>
    <w:p w14:paraId="66BA7DA8" w14:textId="7133F11C" w:rsidR="008E125B" w:rsidRDefault="00A6548B" w:rsidP="00F66C06">
      <w:r>
        <w:br/>
      </w:r>
      <w:r>
        <w:br/>
      </w:r>
    </w:p>
    <w:sectPr w:rsidR="008E125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41D6D" w14:textId="77777777" w:rsidR="00A01EFF" w:rsidRDefault="00A01EFF" w:rsidP="00F919D9">
      <w:pPr>
        <w:spacing w:after="0" w:line="240" w:lineRule="auto"/>
      </w:pPr>
      <w:r>
        <w:separator/>
      </w:r>
    </w:p>
  </w:endnote>
  <w:endnote w:type="continuationSeparator" w:id="0">
    <w:p w14:paraId="1138B9CF" w14:textId="77777777" w:rsidR="00A01EFF" w:rsidRDefault="00A01EFF" w:rsidP="00F91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3195115"/>
      <w:docPartObj>
        <w:docPartGallery w:val="Page Numbers (Bottom of Page)"/>
        <w:docPartUnique/>
      </w:docPartObj>
    </w:sdtPr>
    <w:sdtEndPr>
      <w:rPr>
        <w:noProof/>
      </w:rPr>
    </w:sdtEndPr>
    <w:sdtContent>
      <w:p w14:paraId="3C1782D6" w14:textId="2D275268" w:rsidR="00F919D9" w:rsidRDefault="00F919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1CE96E" w14:textId="77777777" w:rsidR="00F919D9" w:rsidRDefault="00F91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D0A492" w14:textId="77777777" w:rsidR="00A01EFF" w:rsidRDefault="00A01EFF" w:rsidP="00F919D9">
      <w:pPr>
        <w:spacing w:after="0" w:line="240" w:lineRule="auto"/>
      </w:pPr>
      <w:r>
        <w:separator/>
      </w:r>
    </w:p>
  </w:footnote>
  <w:footnote w:type="continuationSeparator" w:id="0">
    <w:p w14:paraId="530A6B5D" w14:textId="77777777" w:rsidR="00A01EFF" w:rsidRDefault="00A01EFF" w:rsidP="00F919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25B"/>
    <w:rsid w:val="00072BC3"/>
    <w:rsid w:val="000A29F6"/>
    <w:rsid w:val="00157D22"/>
    <w:rsid w:val="001A6CB8"/>
    <w:rsid w:val="001E15E3"/>
    <w:rsid w:val="001F1FC0"/>
    <w:rsid w:val="00317382"/>
    <w:rsid w:val="00323EDA"/>
    <w:rsid w:val="00324614"/>
    <w:rsid w:val="00364D57"/>
    <w:rsid w:val="003A3231"/>
    <w:rsid w:val="003D74E0"/>
    <w:rsid w:val="00401254"/>
    <w:rsid w:val="00487778"/>
    <w:rsid w:val="004D1D7B"/>
    <w:rsid w:val="004D28F4"/>
    <w:rsid w:val="004E0E17"/>
    <w:rsid w:val="00520089"/>
    <w:rsid w:val="00526A2A"/>
    <w:rsid w:val="00542B23"/>
    <w:rsid w:val="005C0D1F"/>
    <w:rsid w:val="00676BD6"/>
    <w:rsid w:val="0068299C"/>
    <w:rsid w:val="0073450E"/>
    <w:rsid w:val="007639B8"/>
    <w:rsid w:val="00781BFC"/>
    <w:rsid w:val="007D5155"/>
    <w:rsid w:val="00840A67"/>
    <w:rsid w:val="008E125B"/>
    <w:rsid w:val="009D5604"/>
    <w:rsid w:val="009E7929"/>
    <w:rsid w:val="00A01EFF"/>
    <w:rsid w:val="00A02C5F"/>
    <w:rsid w:val="00A6548B"/>
    <w:rsid w:val="00AA2650"/>
    <w:rsid w:val="00AD22E6"/>
    <w:rsid w:val="00AE6CEE"/>
    <w:rsid w:val="00B45531"/>
    <w:rsid w:val="00B70933"/>
    <w:rsid w:val="00B86D04"/>
    <w:rsid w:val="00C14254"/>
    <w:rsid w:val="00C73994"/>
    <w:rsid w:val="00C835DF"/>
    <w:rsid w:val="00CC5215"/>
    <w:rsid w:val="00D25D5F"/>
    <w:rsid w:val="00D86881"/>
    <w:rsid w:val="00DE5D4C"/>
    <w:rsid w:val="00EA667B"/>
    <w:rsid w:val="00EE5BCF"/>
    <w:rsid w:val="00EE79A1"/>
    <w:rsid w:val="00F3722E"/>
    <w:rsid w:val="00F66C06"/>
    <w:rsid w:val="00F75AB3"/>
    <w:rsid w:val="00F919D9"/>
    <w:rsid w:val="00FE3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5DE7C"/>
  <w15:chartTrackingRefBased/>
  <w15:docId w15:val="{ABFBC4B1-AB3E-4230-B941-AF2715CE8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9D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1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9D9"/>
  </w:style>
  <w:style w:type="paragraph" w:styleId="Footer">
    <w:name w:val="footer"/>
    <w:basedOn w:val="Normal"/>
    <w:link w:val="FooterChar"/>
    <w:uiPriority w:val="99"/>
    <w:unhideWhenUsed/>
    <w:rsid w:val="00F91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9D9"/>
  </w:style>
  <w:style w:type="character" w:customStyle="1" w:styleId="Heading1Char">
    <w:name w:val="Heading 1 Char"/>
    <w:basedOn w:val="DefaultParagraphFont"/>
    <w:link w:val="Heading1"/>
    <w:uiPriority w:val="9"/>
    <w:rsid w:val="00F919D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919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87746">
      <w:bodyDiv w:val="1"/>
      <w:marLeft w:val="0"/>
      <w:marRight w:val="0"/>
      <w:marTop w:val="0"/>
      <w:marBottom w:val="0"/>
      <w:divBdr>
        <w:top w:val="none" w:sz="0" w:space="0" w:color="auto"/>
        <w:left w:val="none" w:sz="0" w:space="0" w:color="auto"/>
        <w:bottom w:val="none" w:sz="0" w:space="0" w:color="auto"/>
        <w:right w:val="none" w:sz="0" w:space="0" w:color="auto"/>
      </w:divBdr>
    </w:div>
    <w:div w:id="114957267">
      <w:bodyDiv w:val="1"/>
      <w:marLeft w:val="0"/>
      <w:marRight w:val="0"/>
      <w:marTop w:val="0"/>
      <w:marBottom w:val="0"/>
      <w:divBdr>
        <w:top w:val="none" w:sz="0" w:space="0" w:color="auto"/>
        <w:left w:val="none" w:sz="0" w:space="0" w:color="auto"/>
        <w:bottom w:val="none" w:sz="0" w:space="0" w:color="auto"/>
        <w:right w:val="none" w:sz="0" w:space="0" w:color="auto"/>
      </w:divBdr>
    </w:div>
    <w:div w:id="231820591">
      <w:bodyDiv w:val="1"/>
      <w:marLeft w:val="0"/>
      <w:marRight w:val="0"/>
      <w:marTop w:val="0"/>
      <w:marBottom w:val="0"/>
      <w:divBdr>
        <w:top w:val="none" w:sz="0" w:space="0" w:color="auto"/>
        <w:left w:val="none" w:sz="0" w:space="0" w:color="auto"/>
        <w:bottom w:val="none" w:sz="0" w:space="0" w:color="auto"/>
        <w:right w:val="none" w:sz="0" w:space="0" w:color="auto"/>
      </w:divBdr>
    </w:div>
    <w:div w:id="252250932">
      <w:bodyDiv w:val="1"/>
      <w:marLeft w:val="0"/>
      <w:marRight w:val="0"/>
      <w:marTop w:val="0"/>
      <w:marBottom w:val="0"/>
      <w:divBdr>
        <w:top w:val="none" w:sz="0" w:space="0" w:color="auto"/>
        <w:left w:val="none" w:sz="0" w:space="0" w:color="auto"/>
        <w:bottom w:val="none" w:sz="0" w:space="0" w:color="auto"/>
        <w:right w:val="none" w:sz="0" w:space="0" w:color="auto"/>
      </w:divBdr>
    </w:div>
    <w:div w:id="327368834">
      <w:bodyDiv w:val="1"/>
      <w:marLeft w:val="0"/>
      <w:marRight w:val="0"/>
      <w:marTop w:val="0"/>
      <w:marBottom w:val="0"/>
      <w:divBdr>
        <w:top w:val="none" w:sz="0" w:space="0" w:color="auto"/>
        <w:left w:val="none" w:sz="0" w:space="0" w:color="auto"/>
        <w:bottom w:val="none" w:sz="0" w:space="0" w:color="auto"/>
        <w:right w:val="none" w:sz="0" w:space="0" w:color="auto"/>
      </w:divBdr>
    </w:div>
    <w:div w:id="430666015">
      <w:bodyDiv w:val="1"/>
      <w:marLeft w:val="0"/>
      <w:marRight w:val="0"/>
      <w:marTop w:val="0"/>
      <w:marBottom w:val="0"/>
      <w:divBdr>
        <w:top w:val="none" w:sz="0" w:space="0" w:color="auto"/>
        <w:left w:val="none" w:sz="0" w:space="0" w:color="auto"/>
        <w:bottom w:val="none" w:sz="0" w:space="0" w:color="auto"/>
        <w:right w:val="none" w:sz="0" w:space="0" w:color="auto"/>
      </w:divBdr>
    </w:div>
    <w:div w:id="542910801">
      <w:bodyDiv w:val="1"/>
      <w:marLeft w:val="0"/>
      <w:marRight w:val="0"/>
      <w:marTop w:val="0"/>
      <w:marBottom w:val="0"/>
      <w:divBdr>
        <w:top w:val="none" w:sz="0" w:space="0" w:color="auto"/>
        <w:left w:val="none" w:sz="0" w:space="0" w:color="auto"/>
        <w:bottom w:val="none" w:sz="0" w:space="0" w:color="auto"/>
        <w:right w:val="none" w:sz="0" w:space="0" w:color="auto"/>
      </w:divBdr>
    </w:div>
    <w:div w:id="586815587">
      <w:bodyDiv w:val="1"/>
      <w:marLeft w:val="0"/>
      <w:marRight w:val="0"/>
      <w:marTop w:val="0"/>
      <w:marBottom w:val="0"/>
      <w:divBdr>
        <w:top w:val="none" w:sz="0" w:space="0" w:color="auto"/>
        <w:left w:val="none" w:sz="0" w:space="0" w:color="auto"/>
        <w:bottom w:val="none" w:sz="0" w:space="0" w:color="auto"/>
        <w:right w:val="none" w:sz="0" w:space="0" w:color="auto"/>
      </w:divBdr>
    </w:div>
    <w:div w:id="710687675">
      <w:bodyDiv w:val="1"/>
      <w:marLeft w:val="0"/>
      <w:marRight w:val="0"/>
      <w:marTop w:val="0"/>
      <w:marBottom w:val="0"/>
      <w:divBdr>
        <w:top w:val="none" w:sz="0" w:space="0" w:color="auto"/>
        <w:left w:val="none" w:sz="0" w:space="0" w:color="auto"/>
        <w:bottom w:val="none" w:sz="0" w:space="0" w:color="auto"/>
        <w:right w:val="none" w:sz="0" w:space="0" w:color="auto"/>
      </w:divBdr>
    </w:div>
    <w:div w:id="797532133">
      <w:bodyDiv w:val="1"/>
      <w:marLeft w:val="0"/>
      <w:marRight w:val="0"/>
      <w:marTop w:val="0"/>
      <w:marBottom w:val="0"/>
      <w:divBdr>
        <w:top w:val="none" w:sz="0" w:space="0" w:color="auto"/>
        <w:left w:val="none" w:sz="0" w:space="0" w:color="auto"/>
        <w:bottom w:val="none" w:sz="0" w:space="0" w:color="auto"/>
        <w:right w:val="none" w:sz="0" w:space="0" w:color="auto"/>
      </w:divBdr>
    </w:div>
    <w:div w:id="976378745">
      <w:bodyDiv w:val="1"/>
      <w:marLeft w:val="0"/>
      <w:marRight w:val="0"/>
      <w:marTop w:val="0"/>
      <w:marBottom w:val="0"/>
      <w:divBdr>
        <w:top w:val="none" w:sz="0" w:space="0" w:color="auto"/>
        <w:left w:val="none" w:sz="0" w:space="0" w:color="auto"/>
        <w:bottom w:val="none" w:sz="0" w:space="0" w:color="auto"/>
        <w:right w:val="none" w:sz="0" w:space="0" w:color="auto"/>
      </w:divBdr>
    </w:div>
    <w:div w:id="1095320151">
      <w:bodyDiv w:val="1"/>
      <w:marLeft w:val="0"/>
      <w:marRight w:val="0"/>
      <w:marTop w:val="0"/>
      <w:marBottom w:val="0"/>
      <w:divBdr>
        <w:top w:val="none" w:sz="0" w:space="0" w:color="auto"/>
        <w:left w:val="none" w:sz="0" w:space="0" w:color="auto"/>
        <w:bottom w:val="none" w:sz="0" w:space="0" w:color="auto"/>
        <w:right w:val="none" w:sz="0" w:space="0" w:color="auto"/>
      </w:divBdr>
    </w:div>
    <w:div w:id="1166097337">
      <w:bodyDiv w:val="1"/>
      <w:marLeft w:val="0"/>
      <w:marRight w:val="0"/>
      <w:marTop w:val="0"/>
      <w:marBottom w:val="0"/>
      <w:divBdr>
        <w:top w:val="none" w:sz="0" w:space="0" w:color="auto"/>
        <w:left w:val="none" w:sz="0" w:space="0" w:color="auto"/>
        <w:bottom w:val="none" w:sz="0" w:space="0" w:color="auto"/>
        <w:right w:val="none" w:sz="0" w:space="0" w:color="auto"/>
      </w:divBdr>
    </w:div>
    <w:div w:id="1232697202">
      <w:bodyDiv w:val="1"/>
      <w:marLeft w:val="0"/>
      <w:marRight w:val="0"/>
      <w:marTop w:val="0"/>
      <w:marBottom w:val="0"/>
      <w:divBdr>
        <w:top w:val="none" w:sz="0" w:space="0" w:color="auto"/>
        <w:left w:val="none" w:sz="0" w:space="0" w:color="auto"/>
        <w:bottom w:val="none" w:sz="0" w:space="0" w:color="auto"/>
        <w:right w:val="none" w:sz="0" w:space="0" w:color="auto"/>
      </w:divBdr>
    </w:div>
    <w:div w:id="1236359970">
      <w:bodyDiv w:val="1"/>
      <w:marLeft w:val="0"/>
      <w:marRight w:val="0"/>
      <w:marTop w:val="0"/>
      <w:marBottom w:val="0"/>
      <w:divBdr>
        <w:top w:val="none" w:sz="0" w:space="0" w:color="auto"/>
        <w:left w:val="none" w:sz="0" w:space="0" w:color="auto"/>
        <w:bottom w:val="none" w:sz="0" w:space="0" w:color="auto"/>
        <w:right w:val="none" w:sz="0" w:space="0" w:color="auto"/>
      </w:divBdr>
    </w:div>
    <w:div w:id="1305938255">
      <w:bodyDiv w:val="1"/>
      <w:marLeft w:val="0"/>
      <w:marRight w:val="0"/>
      <w:marTop w:val="0"/>
      <w:marBottom w:val="0"/>
      <w:divBdr>
        <w:top w:val="none" w:sz="0" w:space="0" w:color="auto"/>
        <w:left w:val="none" w:sz="0" w:space="0" w:color="auto"/>
        <w:bottom w:val="none" w:sz="0" w:space="0" w:color="auto"/>
        <w:right w:val="none" w:sz="0" w:space="0" w:color="auto"/>
      </w:divBdr>
    </w:div>
    <w:div w:id="1409113116">
      <w:bodyDiv w:val="1"/>
      <w:marLeft w:val="0"/>
      <w:marRight w:val="0"/>
      <w:marTop w:val="0"/>
      <w:marBottom w:val="0"/>
      <w:divBdr>
        <w:top w:val="none" w:sz="0" w:space="0" w:color="auto"/>
        <w:left w:val="none" w:sz="0" w:space="0" w:color="auto"/>
        <w:bottom w:val="none" w:sz="0" w:space="0" w:color="auto"/>
        <w:right w:val="none" w:sz="0" w:space="0" w:color="auto"/>
      </w:divBdr>
    </w:div>
    <w:div w:id="1450512321">
      <w:bodyDiv w:val="1"/>
      <w:marLeft w:val="0"/>
      <w:marRight w:val="0"/>
      <w:marTop w:val="0"/>
      <w:marBottom w:val="0"/>
      <w:divBdr>
        <w:top w:val="none" w:sz="0" w:space="0" w:color="auto"/>
        <w:left w:val="none" w:sz="0" w:space="0" w:color="auto"/>
        <w:bottom w:val="none" w:sz="0" w:space="0" w:color="auto"/>
        <w:right w:val="none" w:sz="0" w:space="0" w:color="auto"/>
      </w:divBdr>
    </w:div>
    <w:div w:id="1634100300">
      <w:bodyDiv w:val="1"/>
      <w:marLeft w:val="0"/>
      <w:marRight w:val="0"/>
      <w:marTop w:val="0"/>
      <w:marBottom w:val="0"/>
      <w:divBdr>
        <w:top w:val="none" w:sz="0" w:space="0" w:color="auto"/>
        <w:left w:val="none" w:sz="0" w:space="0" w:color="auto"/>
        <w:bottom w:val="none" w:sz="0" w:space="0" w:color="auto"/>
        <w:right w:val="none" w:sz="0" w:space="0" w:color="auto"/>
      </w:divBdr>
    </w:div>
    <w:div w:id="1657034225">
      <w:bodyDiv w:val="1"/>
      <w:marLeft w:val="0"/>
      <w:marRight w:val="0"/>
      <w:marTop w:val="0"/>
      <w:marBottom w:val="0"/>
      <w:divBdr>
        <w:top w:val="none" w:sz="0" w:space="0" w:color="auto"/>
        <w:left w:val="none" w:sz="0" w:space="0" w:color="auto"/>
        <w:bottom w:val="none" w:sz="0" w:space="0" w:color="auto"/>
        <w:right w:val="none" w:sz="0" w:space="0" w:color="auto"/>
      </w:divBdr>
    </w:div>
    <w:div w:id="1689330053">
      <w:bodyDiv w:val="1"/>
      <w:marLeft w:val="0"/>
      <w:marRight w:val="0"/>
      <w:marTop w:val="0"/>
      <w:marBottom w:val="0"/>
      <w:divBdr>
        <w:top w:val="none" w:sz="0" w:space="0" w:color="auto"/>
        <w:left w:val="none" w:sz="0" w:space="0" w:color="auto"/>
        <w:bottom w:val="none" w:sz="0" w:space="0" w:color="auto"/>
        <w:right w:val="none" w:sz="0" w:space="0" w:color="auto"/>
      </w:divBdr>
    </w:div>
    <w:div w:id="1744719402">
      <w:bodyDiv w:val="1"/>
      <w:marLeft w:val="0"/>
      <w:marRight w:val="0"/>
      <w:marTop w:val="0"/>
      <w:marBottom w:val="0"/>
      <w:divBdr>
        <w:top w:val="none" w:sz="0" w:space="0" w:color="auto"/>
        <w:left w:val="none" w:sz="0" w:space="0" w:color="auto"/>
        <w:bottom w:val="none" w:sz="0" w:space="0" w:color="auto"/>
        <w:right w:val="none" w:sz="0" w:space="0" w:color="auto"/>
      </w:divBdr>
    </w:div>
    <w:div w:id="1861502749">
      <w:bodyDiv w:val="1"/>
      <w:marLeft w:val="0"/>
      <w:marRight w:val="0"/>
      <w:marTop w:val="0"/>
      <w:marBottom w:val="0"/>
      <w:divBdr>
        <w:top w:val="none" w:sz="0" w:space="0" w:color="auto"/>
        <w:left w:val="none" w:sz="0" w:space="0" w:color="auto"/>
        <w:bottom w:val="none" w:sz="0" w:space="0" w:color="auto"/>
        <w:right w:val="none" w:sz="0" w:space="0" w:color="auto"/>
      </w:divBdr>
    </w:div>
    <w:div w:id="2133863933">
      <w:bodyDiv w:val="1"/>
      <w:marLeft w:val="0"/>
      <w:marRight w:val="0"/>
      <w:marTop w:val="0"/>
      <w:marBottom w:val="0"/>
      <w:divBdr>
        <w:top w:val="none" w:sz="0" w:space="0" w:color="auto"/>
        <w:left w:val="none" w:sz="0" w:space="0" w:color="auto"/>
        <w:bottom w:val="none" w:sz="0" w:space="0" w:color="auto"/>
        <w:right w:val="none" w:sz="0" w:space="0" w:color="auto"/>
      </w:divBdr>
    </w:div>
    <w:div w:id="2142266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Men18</b:Tag>
    <b:SourceType>InternetSite</b:SourceType>
    <b:Guid>{4805A7B9-F61D-40FF-8E55-A79D9AAE5ECD}</b:Guid>
    <b:Author>
      <b:Author>
        <b:Corporate>Mental Health Foundation</b:Corporate>
      </b:Author>
    </b:Author>
    <b:Title>Mental Health Statistics: Stress</b:Title>
    <b:InternetSiteTitle>Mental health Foundation</b:InternetSiteTitle>
    <b:Year>2018</b:Year>
    <b:URL>https://www.mentalhealth.org.uk/statistics/mental-health-statistics-stress</b:URL>
    <b:RefOrder>2</b:RefOrder>
  </b:Source>
  <b:Source>
    <b:Tag>Wil17</b:Tag>
    <b:SourceType>InternetSite</b:SourceType>
    <b:Guid>{9D171BA8-A04B-459E-A33C-AA230FDCB34A}</b:Guid>
    <b:Author>
      <b:Author>
        <b:NameList>
          <b:Person>
            <b:Last>Craig</b:Last>
            <b:First>William</b:First>
          </b:Person>
        </b:NameList>
      </b:Author>
    </b:Author>
    <b:Title>Why a Strong Employee/Employer Relationship Is Important</b:Title>
    <b:InternetSiteTitle>Forbes</b:InternetSiteTitle>
    <b:Year>2017</b:Year>
    <b:Month>September </b:Month>
    <b:Day>20th</b:Day>
    <b:URL>https://www.forbes.com/sites/williamcraig/2017/09/20/why-a-strong-employeeemployer-relationship-is-important/?sh=54b40d9464d9</b:URL>
    <b:RefOrder>3</b:RefOrder>
  </b:Source>
  <b:Source>
    <b:Tag>CIP201</b:Tag>
    <b:SourceType>InternetSite</b:SourceType>
    <b:Guid>{1E25D542-FB16-40BE-8ED5-B623C6739405}</b:Guid>
    <b:Author>
      <b:Author>
        <b:Corporate>CIPD</b:Corporate>
      </b:Author>
    </b:Author>
    <b:Title>Employee relations: an introduction</b:Title>
    <b:InternetSiteTitle>CIPD</b:InternetSiteTitle>
    <b:Year>2020</b:Year>
    <b:Month>June</b:Month>
    <b:Day>29th</b:Day>
    <b:URL>https://www.cipd.co.uk/knowledge/fundamentals/relations/employees/factsheet</b:URL>
    <b:RefOrder>1</b:RefOrder>
  </b:Source>
  <b:Source>
    <b:Tag>Tan15</b:Tag>
    <b:SourceType>Book</b:SourceType>
    <b:Guid>{D5BC1756-CAC0-42F7-BBDF-756E95F037B7}</b:Guid>
    <b:Title>Wiley Encyclopedia of Management: PEST analysis</b:Title>
    <b:Year>2015</b:Year>
    <b:Author>
      <b:Author>
        <b:NameList>
          <b:Person>
            <b:Last>Tanya Sammut-Bonnici</b:Last>
            <b:First>David</b:First>
            <b:Middle>Galea</b:Middle>
          </b:Person>
        </b:NameList>
      </b:Author>
    </b:Author>
    <b:Publisher>John Wiley &amp; Sons, Ltd</b:Publisher>
    <b:RefOrder>4</b:RefOrder>
  </b:Source>
  <b:Source>
    <b:Tag>Nic00</b:Tag>
    <b:SourceType>JournalArticle</b:SourceType>
    <b:Guid>{87162D9F-3EA2-4DCF-888C-8EDC52A549DE}</b:Guid>
    <b:Author>
      <b:Author>
        <b:NameList>
          <b:Person>
            <b:Last>Nicholas Bacon</b:Last>
            <b:First>John</b:First>
            <b:Middle>Storey</b:Middle>
          </b:Person>
        </b:NameList>
      </b:Author>
    </b:Author>
    <b:Title>New Employee Relations Strategies inBritain: Towards Individualism or Partnership ?</b:Title>
    <b:Year>2000</b:Year>
    <b:JournalName>British Journal of Industrial Relations</b:JournalName>
    <b:Pages>407-408</b:Pages>
    <b:RefOrder>5</b:RefOrder>
  </b:Source>
  <b:Source>
    <b:Tag>BCh19</b:Tag>
    <b:SourceType>DocumentFromInternetSite</b:SourceType>
    <b:Guid>{B644D3EA-E5C0-4D6A-8DDA-A2B05C7E2B98}</b:Guid>
    <b:Title>‘Which companies are leaving UK, downsizing or cutting jobs ahead of Brexit?'</b:Title>
    <b:Year>2019</b:Year>
    <b:Month>Febuary</b:Month>
    <b:Day>26th</b:Day>
    <b:Publisher>The Independant </b:Publisher>
    <b:Author>
      <b:Author>
        <b:NameList>
          <b:Person>
            <b:Last>Chapman</b:Last>
            <b:First>B</b:First>
          </b:Person>
        </b:NameList>
      </b:Author>
    </b:Author>
    <b:InternetSiteTitle>The independant </b:InternetSiteTitle>
    <b:RefOrder>6</b:RefOrder>
  </b:Source>
  <b:Source>
    <b:Tag>Ric04</b:Tag>
    <b:SourceType>Report</b:SourceType>
    <b:Guid>{44180418-8433-4AF3-A7E7-762842CA88A1}</b:Guid>
    <b:Title>The Economic Dimension of the Employment Relationship</b:Title>
    <b:Year>2004</b:Year>
    <b:Author>
      <b:Author>
        <b:NameList>
          <b:Person>
            <b:Last>Richard N. Block</b:Last>
            <b:First>Peter</b:First>
            <b:Middle>Berg, Dale Belman</b:Middle>
          </b:Person>
        </b:NameList>
      </b:Author>
    </b:Author>
    <b:RefOrder>7</b:RefOrder>
  </b:Source>
  <b:Source>
    <b:Tag>And20</b:Tag>
    <b:SourceType>DocumentFromInternetSite</b:SourceType>
    <b:Guid>{A679347F-A5DC-4CEA-A719-A15B5DAF2865}</b:Guid>
    <b:Title>Coronavirus: Impact on the labour market</b:Title>
    <b:Year>2020</b:Year>
    <b:Author>
      <b:Author>
        <b:NameList>
          <b:Person>
            <b:Last>Andy Powell</b:Last>
            <b:First>Brigid</b:First>
            <b:Middle>Francis-Devine, Niamh Foley</b:Middle>
          </b:Person>
        </b:NameList>
      </b:Author>
    </b:Author>
    <b:InternetSiteTitle>UK Parliment</b:InternetSiteTitle>
    <b:Month>November</b:Month>
    <b:Day>26th</b:Day>
    <b:URL>https://commonslibrary.parliament.uk/research-briefings/cbp-8898/#:~:text=Since%20the%20start%20of%20the,at%20141%2C000%2C%20or%200.5%25.</b:URL>
    <b:RefOrder>8</b:RefOrder>
  </b:Source>
  <b:Source>
    <b:Tag>CIP202</b:Tag>
    <b:SourceType>DocumentFromInternetSite</b:SourceType>
    <b:Guid>{23B21E3B-3EEC-4836-AE38-A1F2662DB32D}</b:Guid>
    <b:Title>Impact of COVID-19 on working lives</b:Title>
    <b:InternetSiteTitle>CIPD</b:InternetSiteTitle>
    <b:Year>2020</b:Year>
    <b:Month>September</b:Month>
    <b:Day>3rd</b:Day>
    <b:URL>https://www.cipd.co.uk/knowledge/work/trends/goodwork/covid-impact</b:URL>
    <b:Author>
      <b:Author>
        <b:Corporate>CIPD</b:Corporate>
      </b:Author>
    </b:Author>
    <b:RefOrder>9</b:RefOrder>
  </b:Source>
  <b:Source>
    <b:Tag>Muh14</b:Tag>
    <b:SourceType>JournalArticle</b:SourceType>
    <b:Guid>{F12C490E-8359-4091-9BC6-2C218580D3DD}</b:Guid>
    <b:Title>Impact of Technological Advancement on Employee Performance in Banking Sector </b:Title>
    <b:Year>2014</b:Year>
    <b:Author>
      <b:Author>
        <b:NameList>
          <b:Person>
            <b:Last>Imran</b:Last>
            <b:First>Muhammad</b:First>
          </b:Person>
        </b:NameList>
      </b:Author>
    </b:Author>
    <b:JournalName>International Journal of Human Resource Studies Vol.4, No.1</b:JournalName>
    <b:RefOrder>10</b:RefOrder>
  </b:Source>
  <b:Source>
    <b:Tag>The192</b:Tag>
    <b:SourceType>DocumentFromInternetSite</b:SourceType>
    <b:Guid>{99565AB1-3C00-49C8-9C31-6B90E3A17701}</b:Guid>
    <b:Title>History of the workers' movement</b:Title>
    <b:Year>2019</b:Year>
    <b:Author>
      <b:Author>
        <b:Corporate>The Socialist Newspaper</b:Corporate>
      </b:Author>
    </b:Author>
    <b:InternetSiteTitle>Socialist Party</b:InternetSiteTitle>
    <b:Month>January</b:Month>
    <b:Day>16th</b:Day>
    <b:URL>https://www.socialistparty.org.uk/articles/28522/16-01-2019/the-1979-winter-of-discontent</b:URL>
    <b:RefOrder>11</b:RefOrder>
  </b:Source>
  <b:Source>
    <b:Tag>NCM</b:Tag>
    <b:SourceType>Report</b:SourceType>
    <b:Guid>{8E89B060-2654-4FE2-A87D-BCBEB58A0503}</b:Guid>
    <b:Title>Miners’ Strike</b:Title>
    <b:Author>
      <b:Author>
        <b:NameList>
          <b:Person>
            <b:Last>NCM</b:Last>
          </b:Person>
        </b:NameList>
      </b:Author>
    </b:Author>
    <b:Publisher>National Coal Mining Museum For England</b:Publisher>
    <b:City>Wakefield</b:City>
    <b:RefOrder>12</b:RefOrder>
  </b:Source>
  <b:Source>
    <b:Tag>Nic16</b:Tag>
    <b:SourceType>DocumentFromInternetSite</b:SourceType>
    <b:Guid>{B252E339-46FF-48A7-AD2F-15370FD06137}</b:Guid>
    <b:Title>Trade Union Act becomes law</b:Title>
    <b:Year>2016</b:Year>
    <b:Author>
      <b:Author>
        <b:NameList>
          <b:Person>
            <b:Last>Boles</b:Last>
            <b:First>Nick</b:First>
          </b:Person>
        </b:NameList>
      </b:Author>
    </b:Author>
    <b:InternetSiteTitle>GOV.CO.UK</b:InternetSiteTitle>
    <b:Month>May</b:Month>
    <b:Day>4th</b:Day>
    <b:URL>https://www.gov.uk/government/news/trade-union-act-becomes-law</b:URL>
    <b:RefOrder>13</b:RefOrder>
  </b:Source>
  <b:Source>
    <b:Tag>TUC17</b:Tag>
    <b:SourceType>Report</b:SourceType>
    <b:Guid>{8874A96E-12F2-4EF3-80AD-82E76C858A2B}</b:Guid>
    <b:Title>Trade Union Act 2016 - A TUC guide for union reps</b:Title>
    <b:Year>2017</b:Year>
    <b:Author>
      <b:Author>
        <b:Corporate>TUC</b:Corporate>
      </b:Author>
    </b:Author>
    <b:RefOrder>14</b:RefOrder>
  </b:Source>
  <b:Source>
    <b:Tag>Aca11</b:Tag>
    <b:SourceType>DocumentFromInternetSite</b:SourceType>
    <b:Guid>{E3B795A5-0326-4711-B000-EAFD42A27C7B}</b:Guid>
    <b:Author>
      <b:Author>
        <b:Corporate>Acas</b:Corporate>
      </b:Author>
    </b:Author>
    <b:Title>The future of workplace relations - An Acas View</b:Title>
    <b:Year>2011</b:Year>
    <b:InternetSiteTitle>Acas</b:InternetSiteTitle>
    <b:Month>January</b:Month>
    <b:URL>https://www.learnwithunite.org/assets/Uploads/The-Future-of-Workplace-Relations-An-Acas-view.pdf</b:URL>
    <b:RefOrder>15</b:RefOrder>
  </b:Source>
  <b:Source>
    <b:Tag>Bur20</b:Tag>
    <b:SourceType>DocumentFromInternetSite</b:SourceType>
    <b:Guid>{CA1867EF-5135-47CC-A23C-6111163C3E70}</b:Guid>
    <b:Author>
      <b:Author>
        <b:Corporate>Burges Salmon</b:Corporate>
      </b:Author>
    </b:Author>
    <b:Title>Employment law updates: important changes for employers</b:Title>
    <b:InternetSiteTitle>Burges Salmon</b:InternetSiteTitle>
    <b:Year>2020</b:Year>
    <b:Month>November </b:Month>
    <b:Day>26th</b:Day>
    <b:URL>https://www.burges-salmon.com/news-and-insight/legal-updates/employment-law-updates/</b:URL>
    <b:RefOrder>16</b:RefOrder>
  </b:Source>
  <b:Source>
    <b:Tag>Per19</b:Tag>
    <b:SourceType>DocumentFromInternetSite</b:SourceType>
    <b:Guid>{1BC5607B-83DE-463C-9293-16A843A4EB66}</b:Guid>
    <b:Author>
      <b:Author>
        <b:Corporate>Personnel Today</b:Corporate>
      </b:Author>
    </b:Author>
    <b:Title>The 10 most important employment law cases in 2018</b:Title>
    <b:InternetSiteTitle>Personnel Today</b:InternetSiteTitle>
    <b:Year>2019</b:Year>
    <b:Month>January</b:Month>
    <b:Day>11th</b:Day>
    <b:URL>https://www.personneltoday.com/hr/the-10-most-important-employment-law-cases-in-2018/</b:URL>
    <b:RefOrder>17</b:RefOrder>
  </b:Source>
  <b:Source>
    <b:Tag>hra</b:Tag>
    <b:SourceType>DocumentFromInternetSite</b:SourceType>
    <b:Guid>{486ECF32-40DB-4DC5-BBED-D49323EF4C98}</b:Guid>
    <b:Author>
      <b:Author>
        <b:Corporate>hraffiliates</b:Corporate>
      </b:Author>
    </b:Author>
    <b:Title>STRATEGY FOR EFFECTIVE EMPLOYEE RELATIONS</b:Title>
    <b:InternetSiteTitle>hraffiliates</b:InternetSiteTitle>
    <b:URL>https://hraffiliates.com/strategy-for-effective-employee-relations/</b:URL>
    <b:RefOrder>18</b:RefOrder>
  </b:Source>
  <b:Source>
    <b:Tag>Aca14</b:Tag>
    <b:SourceType>Report</b:SourceType>
    <b:Guid>{876A1E52-59EF-4851-89E7-7B15859EDB04}</b:Guid>
    <b:Title>Employee communications</b:Title>
    <b:Year>2014</b:Year>
    <b:Author>
      <b:Author>
        <b:Corporate>Acas</b:Corporate>
      </b:Author>
    </b:Author>
    <b:Publisher>Investor in People</b:Publisher>
    <b:City>London</b:City>
    <b:RefOrder>19</b:RefOrder>
  </b:Source>
  <b:Source>
    <b:Tag>DrJ18</b:Tag>
    <b:SourceType>JournalArticle</b:SourceType>
    <b:Guid>{0FF0C9B4-A205-476C-A2C7-1EF8AB4D4518}</b:Guid>
    <b:Title>Effect of Employee Relations on Employee Performance and Organizational Performance</b:Title>
    <b:Year>2018</b:Year>
    <b:Author>
      <b:Author>
        <b:NameList>
          <b:Person>
            <b:Last>Samwel</b:Last>
            <b:First>Dr.</b:First>
            <b:Middle>Janes O.</b:Middle>
          </b:Person>
        </b:NameList>
      </b:Author>
    </b:Author>
    <b:JournalName>Global Journal of Management and Business Research: A Administration and Management </b:JournalName>
    <b:Pages>31-32</b:Pages>
    <b:RefOrder>20</b:RefOrder>
  </b:Source>
  <b:Source>
    <b:Tag>Bri</b:Tag>
    <b:SourceType>DocumentFromInternetSite</b:SourceType>
    <b:Guid>{5F939096-67FC-4516-B847-87291046A301}</b:Guid>
    <b:Title>What is discrimination at work?</b:Title>
    <b:InternetSiteTitle>Bright HR</b:InternetSiteTitle>
    <b:URL>https://www.brighthr.com/articles/equality-and-discrimination/</b:URL>
    <b:Author>
      <b:Author>
        <b:Corporate>Bright HR</b:Corporate>
      </b:Author>
    </b:Author>
    <b:RefOrder>21</b:RefOrder>
  </b:Source>
  <b:Source>
    <b:Tag>Equ10</b:Tag>
    <b:SourceType>Report</b:SourceType>
    <b:Guid>{C004DC3E-43B5-4FA3-AE1F-404D6B2CA0AE}</b:Guid>
    <b:Title>Good equality practice for employers: equality policies, equality training and monitoring</b:Title>
    <b:Year>2010</b:Year>
    <b:Author>
      <b:Author>
        <b:NameList>
          <b:Person>
            <b:Last>Commission</b:Last>
            <b:First>Equality</b:First>
            <b:Middle>and Human Rights</b:Middle>
          </b:Person>
        </b:NameList>
      </b:Author>
    </b:Author>
    <b:RefOrder>22</b:RefOrder>
  </b:Source>
</b:Sources>
</file>

<file path=customXml/itemProps1.xml><?xml version="1.0" encoding="utf-8"?>
<ds:datastoreItem xmlns:ds="http://schemas.openxmlformats.org/officeDocument/2006/customXml" ds:itemID="{381201F7-9925-4935-B4D1-63176D929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Suzanne Morgan</dc:creator>
  <cp:keywords/>
  <dc:description/>
  <cp:lastModifiedBy>Sophie Suzanne Morgan (1701822)</cp:lastModifiedBy>
  <cp:revision>2</cp:revision>
  <dcterms:created xsi:type="dcterms:W3CDTF">2020-12-04T20:20:00Z</dcterms:created>
  <dcterms:modified xsi:type="dcterms:W3CDTF">2020-12-04T20:20:00Z</dcterms:modified>
</cp:coreProperties>
</file>