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6F525B27" w14:textId="77777777" w:rsidR="00E33CBD" w:rsidRDefault="00000000">
      <w:pPr>
        <w:spacing w:before="1200" w:after="600"/>
        <w:jc w:val="center"/>
      </w:pPr>
      <w:r>
        <w:rPr>
          <w:noProof/>
        </w:rPr>
        <w:drawing>
          <wp:inline distT="0" distB="0" distL="0" distR="0" wp14:anchorId="6A9BD58A" wp14:editId="775C0C09">
            <wp:extent cx="1905000" cy="8572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7"/>
                    <a:stretch>
                      <a:fillRect/>
                    </a:stretch>
                  </pic:blipFill>
                  <pic:spPr>
                    <a:xfrm>
                      <a:off x="0" y="0"/>
                      <a:ext cx="1905000" cy="857250"/>
                    </a:xfrm>
                    <a:prstGeom prst="rect">
                      <a:avLst/>
                    </a:prstGeom>
                  </pic:spPr>
                </pic:pic>
              </a:graphicData>
            </a:graphic>
          </wp:inline>
        </w:drawing>
      </w:r>
    </w:p>
    <w:p w14:paraId="457FE2BA" w14:textId="1E1A2614" w:rsidR="00E33CBD" w:rsidRDefault="00000000">
      <w:pPr>
        <w:spacing w:after="260"/>
        <w:jc w:val="center"/>
      </w:pPr>
      <w:r>
        <w:rPr>
          <w:b/>
          <w:bCs/>
        </w:rPr>
        <w:t>Programme: BA Developing Leadership and Managemen</w:t>
      </w:r>
      <w:r w:rsidR="004828A0">
        <w:rPr>
          <w:b/>
          <w:bCs/>
        </w:rPr>
        <w:t>t</w:t>
      </w:r>
    </w:p>
    <w:p w14:paraId="5629C147" w14:textId="77777777" w:rsidR="00E33CBD" w:rsidRDefault="00000000">
      <w:pPr>
        <w:spacing w:after="260"/>
        <w:jc w:val="center"/>
      </w:pPr>
      <w:r>
        <w:rPr>
          <w:b/>
          <w:bCs/>
        </w:rPr>
        <w:t>Module: Developing a Research Proposal</w:t>
      </w:r>
    </w:p>
    <w:p w14:paraId="1AE8941E" w14:textId="77777777" w:rsidR="00E33CBD" w:rsidRDefault="00000000">
      <w:pPr>
        <w:spacing w:after="260"/>
        <w:jc w:val="center"/>
      </w:pPr>
      <w:r>
        <w:rPr>
          <w:b/>
          <w:bCs/>
        </w:rPr>
        <w:t>Module code: BMSW5014</w:t>
      </w:r>
    </w:p>
    <w:p w14:paraId="6786F5C6" w14:textId="017010E8" w:rsidR="00E33CBD" w:rsidRDefault="00000000">
      <w:pPr>
        <w:spacing w:after="260"/>
        <w:jc w:val="center"/>
      </w:pPr>
      <w:r>
        <w:rPr>
          <w:b/>
          <w:bCs/>
        </w:rPr>
        <w:t>Module Lead: Jaliya De Silv</w:t>
      </w:r>
      <w:r w:rsidR="00384B88">
        <w:rPr>
          <w:b/>
          <w:bCs/>
        </w:rPr>
        <w:t>a</w:t>
      </w:r>
    </w:p>
    <w:p w14:paraId="3F8F9395" w14:textId="77777777" w:rsidR="00E33CBD" w:rsidRDefault="00000000">
      <w:pPr>
        <w:spacing w:after="260"/>
        <w:jc w:val="center"/>
      </w:pPr>
      <w:r>
        <w:rPr>
          <w:b/>
          <w:bCs/>
        </w:rPr>
        <w:t>Student: Cristian Dinicuta</w:t>
      </w:r>
    </w:p>
    <w:p w14:paraId="021D8F21" w14:textId="77777777" w:rsidR="00E33CBD" w:rsidRDefault="00000000">
      <w:pPr>
        <w:spacing w:after="260"/>
        <w:jc w:val="center"/>
      </w:pPr>
      <w:r>
        <w:rPr>
          <w:b/>
          <w:bCs/>
        </w:rPr>
        <w:t>Student ID: 2323940</w:t>
      </w:r>
    </w:p>
    <w:p w14:paraId="430889DA" w14:textId="77777777" w:rsidR="00E33CBD" w:rsidRDefault="00000000">
      <w:pPr>
        <w:spacing w:after="260"/>
        <w:jc w:val="center"/>
      </w:pPr>
      <w:r>
        <w:rPr>
          <w:b/>
          <w:bCs/>
        </w:rPr>
        <w:t>Assignment Title:  Developing a Research Proposal – The Impact of Remote Working on Employee Well-being and Productivity in UK SMEs</w:t>
      </w:r>
    </w:p>
    <w:p w14:paraId="399D5820" w14:textId="77777777" w:rsidR="00E33CBD" w:rsidRDefault="00000000" w:rsidP="00C003A1">
      <w:pPr>
        <w:spacing w:after="260"/>
        <w:jc w:val="center"/>
      </w:pPr>
      <w:r>
        <w:rPr>
          <w:b/>
          <w:bCs/>
        </w:rPr>
        <w:t>Date: 26.06.2026</w:t>
      </w:r>
    </w:p>
    <w:p w14:paraId="644A8BA1" w14:textId="77777777" w:rsidR="00E33CBD" w:rsidRDefault="00000000">
      <w:r>
        <w:br w:type="page"/>
      </w:r>
    </w:p>
    <w:p w14:paraId="1ADB8EAF" w14:textId="77777777" w:rsidR="00E33CBD" w:rsidRDefault="00000000" w:rsidP="008830C9">
      <w:pPr>
        <w:spacing w:before="240" w:after="200" w:line="276" w:lineRule="auto"/>
        <w:jc w:val="center"/>
      </w:pPr>
      <w:r>
        <w:rPr>
          <w:b/>
          <w:bCs/>
          <w:sz w:val="26"/>
          <w:szCs w:val="26"/>
        </w:rPr>
        <w:lastRenderedPageBreak/>
        <w:t>Table of Contents</w:t>
      </w:r>
    </w:p>
    <w:p w14:paraId="2C52D693" w14:textId="48EA7D1F" w:rsidR="003D2F61" w:rsidRDefault="00E33CBD" w:rsidP="003D2F61">
      <w:pPr>
        <w:pStyle w:val="TOC1"/>
        <w:tabs>
          <w:tab w:val="right" w:leader="dot" w:pos="9016"/>
        </w:tabs>
        <w:spacing w:line="276" w:lineRule="auto"/>
        <w:rPr>
          <w:rFonts w:asciiTheme="minorHAnsi" w:eastAsiaTheme="minorEastAsia" w:hAnsiTheme="minorHAnsi" w:cstheme="minorBidi"/>
          <w:noProof/>
          <w:kern w:val="2"/>
          <w14:ligatures w14:val="standardContextual"/>
        </w:rPr>
      </w:pPr>
      <w:r>
        <w:rPr>
          <w:b/>
          <w:bCs/>
          <w:sz w:val="22"/>
          <w:szCs w:val="22"/>
        </w:rPr>
        <w:fldChar w:fldCharType="begin"/>
      </w:r>
      <w:r>
        <w:rPr>
          <w:b/>
          <w:bCs/>
          <w:sz w:val="22"/>
          <w:szCs w:val="22"/>
        </w:rPr>
        <w:instrText xml:space="preserve"> TOC \o "1-3" \h \z \u </w:instrText>
      </w:r>
      <w:r>
        <w:rPr>
          <w:b/>
          <w:bCs/>
          <w:sz w:val="22"/>
          <w:szCs w:val="22"/>
        </w:rPr>
        <w:fldChar w:fldCharType="separate"/>
      </w:r>
      <w:hyperlink w:anchor="_Toc233319252" w:history="1">
        <w:r w:rsidR="003D2F61" w:rsidRPr="004C5152">
          <w:rPr>
            <w:rStyle w:val="Hyperlink"/>
            <w:noProof/>
          </w:rPr>
          <w:t>1. Title and Introduction</w:t>
        </w:r>
        <w:r w:rsidR="003D2F61">
          <w:rPr>
            <w:noProof/>
            <w:webHidden/>
          </w:rPr>
          <w:tab/>
        </w:r>
        <w:r w:rsidR="003D2F61">
          <w:rPr>
            <w:noProof/>
            <w:webHidden/>
          </w:rPr>
          <w:fldChar w:fldCharType="begin"/>
        </w:r>
        <w:r w:rsidR="003D2F61">
          <w:rPr>
            <w:noProof/>
            <w:webHidden/>
          </w:rPr>
          <w:instrText xml:space="preserve"> PAGEREF _Toc233319252 \h </w:instrText>
        </w:r>
        <w:r w:rsidR="003D2F61">
          <w:rPr>
            <w:noProof/>
            <w:webHidden/>
          </w:rPr>
        </w:r>
        <w:r w:rsidR="003D2F61">
          <w:rPr>
            <w:noProof/>
            <w:webHidden/>
          </w:rPr>
          <w:fldChar w:fldCharType="separate"/>
        </w:r>
        <w:r w:rsidR="003D2F61">
          <w:rPr>
            <w:noProof/>
            <w:webHidden/>
          </w:rPr>
          <w:t>4</w:t>
        </w:r>
        <w:r w:rsidR="003D2F61">
          <w:rPr>
            <w:noProof/>
            <w:webHidden/>
          </w:rPr>
          <w:fldChar w:fldCharType="end"/>
        </w:r>
      </w:hyperlink>
    </w:p>
    <w:p w14:paraId="00FE9F95" w14:textId="2D3D5882" w:rsidR="003D2F61" w:rsidRDefault="003D2F61" w:rsidP="003D2F61">
      <w:pPr>
        <w:pStyle w:val="TOC2"/>
        <w:tabs>
          <w:tab w:val="right" w:leader="dot" w:pos="9016"/>
        </w:tabs>
        <w:spacing w:line="276" w:lineRule="auto"/>
        <w:rPr>
          <w:rFonts w:asciiTheme="minorHAnsi" w:eastAsiaTheme="minorEastAsia" w:hAnsiTheme="minorHAnsi" w:cstheme="minorBidi"/>
          <w:noProof/>
          <w:kern w:val="2"/>
          <w14:ligatures w14:val="standardContextual"/>
        </w:rPr>
      </w:pPr>
      <w:hyperlink w:anchor="_Toc233319253" w:history="1">
        <w:r w:rsidRPr="004C5152">
          <w:rPr>
            <w:rStyle w:val="Hyperlink"/>
            <w:noProof/>
          </w:rPr>
          <w:t>1.1 Research Title</w:t>
        </w:r>
        <w:r>
          <w:rPr>
            <w:noProof/>
            <w:webHidden/>
          </w:rPr>
          <w:tab/>
        </w:r>
        <w:r>
          <w:rPr>
            <w:noProof/>
            <w:webHidden/>
          </w:rPr>
          <w:fldChar w:fldCharType="begin"/>
        </w:r>
        <w:r>
          <w:rPr>
            <w:noProof/>
            <w:webHidden/>
          </w:rPr>
          <w:instrText xml:space="preserve"> PAGEREF _Toc233319253 \h </w:instrText>
        </w:r>
        <w:r>
          <w:rPr>
            <w:noProof/>
            <w:webHidden/>
          </w:rPr>
        </w:r>
        <w:r>
          <w:rPr>
            <w:noProof/>
            <w:webHidden/>
          </w:rPr>
          <w:fldChar w:fldCharType="separate"/>
        </w:r>
        <w:r>
          <w:rPr>
            <w:noProof/>
            <w:webHidden/>
          </w:rPr>
          <w:t>4</w:t>
        </w:r>
        <w:r>
          <w:rPr>
            <w:noProof/>
            <w:webHidden/>
          </w:rPr>
          <w:fldChar w:fldCharType="end"/>
        </w:r>
      </w:hyperlink>
    </w:p>
    <w:p w14:paraId="433CCE9D" w14:textId="34AECEFA" w:rsidR="003D2F61" w:rsidRDefault="003D2F61" w:rsidP="003D2F61">
      <w:pPr>
        <w:pStyle w:val="TOC2"/>
        <w:tabs>
          <w:tab w:val="right" w:leader="dot" w:pos="9016"/>
        </w:tabs>
        <w:spacing w:line="276" w:lineRule="auto"/>
        <w:rPr>
          <w:rFonts w:asciiTheme="minorHAnsi" w:eastAsiaTheme="minorEastAsia" w:hAnsiTheme="minorHAnsi" w:cstheme="minorBidi"/>
          <w:noProof/>
          <w:kern w:val="2"/>
          <w14:ligatures w14:val="standardContextual"/>
        </w:rPr>
      </w:pPr>
      <w:hyperlink w:anchor="_Toc233319254" w:history="1">
        <w:r w:rsidRPr="004C5152">
          <w:rPr>
            <w:rStyle w:val="Hyperlink"/>
            <w:noProof/>
          </w:rPr>
          <w:t>1.2 Introduction and Background</w:t>
        </w:r>
        <w:r>
          <w:rPr>
            <w:noProof/>
            <w:webHidden/>
          </w:rPr>
          <w:tab/>
        </w:r>
        <w:r>
          <w:rPr>
            <w:noProof/>
            <w:webHidden/>
          </w:rPr>
          <w:fldChar w:fldCharType="begin"/>
        </w:r>
        <w:r>
          <w:rPr>
            <w:noProof/>
            <w:webHidden/>
          </w:rPr>
          <w:instrText xml:space="preserve"> PAGEREF _Toc233319254 \h </w:instrText>
        </w:r>
        <w:r>
          <w:rPr>
            <w:noProof/>
            <w:webHidden/>
          </w:rPr>
        </w:r>
        <w:r>
          <w:rPr>
            <w:noProof/>
            <w:webHidden/>
          </w:rPr>
          <w:fldChar w:fldCharType="separate"/>
        </w:r>
        <w:r>
          <w:rPr>
            <w:noProof/>
            <w:webHidden/>
          </w:rPr>
          <w:t>4</w:t>
        </w:r>
        <w:r>
          <w:rPr>
            <w:noProof/>
            <w:webHidden/>
          </w:rPr>
          <w:fldChar w:fldCharType="end"/>
        </w:r>
      </w:hyperlink>
    </w:p>
    <w:p w14:paraId="0ECF3711" w14:textId="0F640CEF" w:rsidR="003D2F61" w:rsidRDefault="003D2F61" w:rsidP="003D2F61">
      <w:pPr>
        <w:pStyle w:val="TOC2"/>
        <w:tabs>
          <w:tab w:val="right" w:leader="dot" w:pos="9016"/>
        </w:tabs>
        <w:spacing w:line="276" w:lineRule="auto"/>
        <w:rPr>
          <w:rFonts w:asciiTheme="minorHAnsi" w:eastAsiaTheme="minorEastAsia" w:hAnsiTheme="minorHAnsi" w:cstheme="minorBidi"/>
          <w:noProof/>
          <w:kern w:val="2"/>
          <w14:ligatures w14:val="standardContextual"/>
        </w:rPr>
      </w:pPr>
      <w:hyperlink w:anchor="_Toc233319255" w:history="1">
        <w:r w:rsidRPr="004C5152">
          <w:rPr>
            <w:rStyle w:val="Hyperlink"/>
            <w:noProof/>
          </w:rPr>
          <w:t>1.3 Research Aim</w:t>
        </w:r>
        <w:r>
          <w:rPr>
            <w:noProof/>
            <w:webHidden/>
          </w:rPr>
          <w:tab/>
        </w:r>
        <w:r>
          <w:rPr>
            <w:noProof/>
            <w:webHidden/>
          </w:rPr>
          <w:fldChar w:fldCharType="begin"/>
        </w:r>
        <w:r>
          <w:rPr>
            <w:noProof/>
            <w:webHidden/>
          </w:rPr>
          <w:instrText xml:space="preserve"> PAGEREF _Toc233319255 \h </w:instrText>
        </w:r>
        <w:r>
          <w:rPr>
            <w:noProof/>
            <w:webHidden/>
          </w:rPr>
        </w:r>
        <w:r>
          <w:rPr>
            <w:noProof/>
            <w:webHidden/>
          </w:rPr>
          <w:fldChar w:fldCharType="separate"/>
        </w:r>
        <w:r>
          <w:rPr>
            <w:noProof/>
            <w:webHidden/>
          </w:rPr>
          <w:t>4</w:t>
        </w:r>
        <w:r>
          <w:rPr>
            <w:noProof/>
            <w:webHidden/>
          </w:rPr>
          <w:fldChar w:fldCharType="end"/>
        </w:r>
      </w:hyperlink>
    </w:p>
    <w:p w14:paraId="3E803C3A" w14:textId="18715C5A" w:rsidR="003D2F61" w:rsidRDefault="003D2F61" w:rsidP="003D2F61">
      <w:pPr>
        <w:pStyle w:val="TOC2"/>
        <w:tabs>
          <w:tab w:val="right" w:leader="dot" w:pos="9016"/>
        </w:tabs>
        <w:spacing w:line="276" w:lineRule="auto"/>
        <w:rPr>
          <w:rFonts w:asciiTheme="minorHAnsi" w:eastAsiaTheme="minorEastAsia" w:hAnsiTheme="minorHAnsi" w:cstheme="minorBidi"/>
          <w:noProof/>
          <w:kern w:val="2"/>
          <w14:ligatures w14:val="standardContextual"/>
        </w:rPr>
      </w:pPr>
      <w:hyperlink w:anchor="_Toc233319256" w:history="1">
        <w:r w:rsidRPr="004C5152">
          <w:rPr>
            <w:rStyle w:val="Hyperlink"/>
            <w:noProof/>
          </w:rPr>
          <w:t>1.4 Research Objectives</w:t>
        </w:r>
        <w:r>
          <w:rPr>
            <w:noProof/>
            <w:webHidden/>
          </w:rPr>
          <w:tab/>
        </w:r>
        <w:r>
          <w:rPr>
            <w:noProof/>
            <w:webHidden/>
          </w:rPr>
          <w:fldChar w:fldCharType="begin"/>
        </w:r>
        <w:r>
          <w:rPr>
            <w:noProof/>
            <w:webHidden/>
          </w:rPr>
          <w:instrText xml:space="preserve"> PAGEREF _Toc233319256 \h </w:instrText>
        </w:r>
        <w:r>
          <w:rPr>
            <w:noProof/>
            <w:webHidden/>
          </w:rPr>
        </w:r>
        <w:r>
          <w:rPr>
            <w:noProof/>
            <w:webHidden/>
          </w:rPr>
          <w:fldChar w:fldCharType="separate"/>
        </w:r>
        <w:r>
          <w:rPr>
            <w:noProof/>
            <w:webHidden/>
          </w:rPr>
          <w:t>4</w:t>
        </w:r>
        <w:r>
          <w:rPr>
            <w:noProof/>
            <w:webHidden/>
          </w:rPr>
          <w:fldChar w:fldCharType="end"/>
        </w:r>
      </w:hyperlink>
    </w:p>
    <w:p w14:paraId="5893479F" w14:textId="5C98962C" w:rsidR="003D2F61" w:rsidRDefault="003D2F61" w:rsidP="003D2F61">
      <w:pPr>
        <w:pStyle w:val="TOC2"/>
        <w:tabs>
          <w:tab w:val="right" w:leader="dot" w:pos="9016"/>
        </w:tabs>
        <w:spacing w:line="276" w:lineRule="auto"/>
        <w:rPr>
          <w:rFonts w:asciiTheme="minorHAnsi" w:eastAsiaTheme="minorEastAsia" w:hAnsiTheme="minorHAnsi" w:cstheme="minorBidi"/>
          <w:noProof/>
          <w:kern w:val="2"/>
          <w14:ligatures w14:val="standardContextual"/>
        </w:rPr>
      </w:pPr>
      <w:hyperlink w:anchor="_Toc233319257" w:history="1">
        <w:r w:rsidRPr="004C5152">
          <w:rPr>
            <w:rStyle w:val="Hyperlink"/>
            <w:noProof/>
          </w:rPr>
          <w:t>1.5 Research Questions</w:t>
        </w:r>
        <w:r>
          <w:rPr>
            <w:noProof/>
            <w:webHidden/>
          </w:rPr>
          <w:tab/>
        </w:r>
        <w:r>
          <w:rPr>
            <w:noProof/>
            <w:webHidden/>
          </w:rPr>
          <w:fldChar w:fldCharType="begin"/>
        </w:r>
        <w:r>
          <w:rPr>
            <w:noProof/>
            <w:webHidden/>
          </w:rPr>
          <w:instrText xml:space="preserve"> PAGEREF _Toc233319257 \h </w:instrText>
        </w:r>
        <w:r>
          <w:rPr>
            <w:noProof/>
            <w:webHidden/>
          </w:rPr>
        </w:r>
        <w:r>
          <w:rPr>
            <w:noProof/>
            <w:webHidden/>
          </w:rPr>
          <w:fldChar w:fldCharType="separate"/>
        </w:r>
        <w:r>
          <w:rPr>
            <w:noProof/>
            <w:webHidden/>
          </w:rPr>
          <w:t>5</w:t>
        </w:r>
        <w:r>
          <w:rPr>
            <w:noProof/>
            <w:webHidden/>
          </w:rPr>
          <w:fldChar w:fldCharType="end"/>
        </w:r>
      </w:hyperlink>
    </w:p>
    <w:p w14:paraId="252F94B3" w14:textId="1AF567A7" w:rsidR="003D2F61" w:rsidRDefault="003D2F61" w:rsidP="003D2F61">
      <w:pPr>
        <w:pStyle w:val="TOC2"/>
        <w:tabs>
          <w:tab w:val="right" w:leader="dot" w:pos="9016"/>
        </w:tabs>
        <w:spacing w:line="276" w:lineRule="auto"/>
        <w:rPr>
          <w:rFonts w:asciiTheme="minorHAnsi" w:eastAsiaTheme="minorEastAsia" w:hAnsiTheme="minorHAnsi" w:cstheme="minorBidi"/>
          <w:noProof/>
          <w:kern w:val="2"/>
          <w14:ligatures w14:val="standardContextual"/>
        </w:rPr>
      </w:pPr>
      <w:hyperlink w:anchor="_Toc233319258" w:history="1">
        <w:r w:rsidRPr="004C5152">
          <w:rPr>
            <w:rStyle w:val="Hyperlink"/>
            <w:noProof/>
          </w:rPr>
          <w:t>1.6 Significance of the Study</w:t>
        </w:r>
        <w:r>
          <w:rPr>
            <w:noProof/>
            <w:webHidden/>
          </w:rPr>
          <w:tab/>
        </w:r>
        <w:r>
          <w:rPr>
            <w:noProof/>
            <w:webHidden/>
          </w:rPr>
          <w:fldChar w:fldCharType="begin"/>
        </w:r>
        <w:r>
          <w:rPr>
            <w:noProof/>
            <w:webHidden/>
          </w:rPr>
          <w:instrText xml:space="preserve"> PAGEREF _Toc233319258 \h </w:instrText>
        </w:r>
        <w:r>
          <w:rPr>
            <w:noProof/>
            <w:webHidden/>
          </w:rPr>
        </w:r>
        <w:r>
          <w:rPr>
            <w:noProof/>
            <w:webHidden/>
          </w:rPr>
          <w:fldChar w:fldCharType="separate"/>
        </w:r>
        <w:r>
          <w:rPr>
            <w:noProof/>
            <w:webHidden/>
          </w:rPr>
          <w:t>5</w:t>
        </w:r>
        <w:r>
          <w:rPr>
            <w:noProof/>
            <w:webHidden/>
          </w:rPr>
          <w:fldChar w:fldCharType="end"/>
        </w:r>
      </w:hyperlink>
    </w:p>
    <w:p w14:paraId="2D686D1F" w14:textId="421BCE1D" w:rsidR="003D2F61" w:rsidRDefault="003D2F61" w:rsidP="003D2F61">
      <w:pPr>
        <w:pStyle w:val="TOC1"/>
        <w:tabs>
          <w:tab w:val="right" w:leader="dot" w:pos="9016"/>
        </w:tabs>
        <w:spacing w:line="276" w:lineRule="auto"/>
        <w:rPr>
          <w:rFonts w:asciiTheme="minorHAnsi" w:eastAsiaTheme="minorEastAsia" w:hAnsiTheme="minorHAnsi" w:cstheme="minorBidi"/>
          <w:noProof/>
          <w:kern w:val="2"/>
          <w14:ligatures w14:val="standardContextual"/>
        </w:rPr>
      </w:pPr>
      <w:hyperlink w:anchor="_Toc233319259" w:history="1">
        <w:r w:rsidRPr="004C5152">
          <w:rPr>
            <w:rStyle w:val="Hyperlink"/>
            <w:noProof/>
          </w:rPr>
          <w:t>2. Literature Review</w:t>
        </w:r>
        <w:r>
          <w:rPr>
            <w:noProof/>
            <w:webHidden/>
          </w:rPr>
          <w:tab/>
        </w:r>
        <w:r>
          <w:rPr>
            <w:noProof/>
            <w:webHidden/>
          </w:rPr>
          <w:fldChar w:fldCharType="begin"/>
        </w:r>
        <w:r>
          <w:rPr>
            <w:noProof/>
            <w:webHidden/>
          </w:rPr>
          <w:instrText xml:space="preserve"> PAGEREF _Toc233319259 \h </w:instrText>
        </w:r>
        <w:r>
          <w:rPr>
            <w:noProof/>
            <w:webHidden/>
          </w:rPr>
        </w:r>
        <w:r>
          <w:rPr>
            <w:noProof/>
            <w:webHidden/>
          </w:rPr>
          <w:fldChar w:fldCharType="separate"/>
        </w:r>
        <w:r>
          <w:rPr>
            <w:noProof/>
            <w:webHidden/>
          </w:rPr>
          <w:t>5</w:t>
        </w:r>
        <w:r>
          <w:rPr>
            <w:noProof/>
            <w:webHidden/>
          </w:rPr>
          <w:fldChar w:fldCharType="end"/>
        </w:r>
      </w:hyperlink>
    </w:p>
    <w:p w14:paraId="1A2F0CCA" w14:textId="1E9FDD53" w:rsidR="003D2F61" w:rsidRDefault="003D2F61" w:rsidP="003D2F61">
      <w:pPr>
        <w:pStyle w:val="TOC2"/>
        <w:tabs>
          <w:tab w:val="right" w:leader="dot" w:pos="9016"/>
        </w:tabs>
        <w:spacing w:line="276" w:lineRule="auto"/>
        <w:rPr>
          <w:rFonts w:asciiTheme="minorHAnsi" w:eastAsiaTheme="minorEastAsia" w:hAnsiTheme="minorHAnsi" w:cstheme="minorBidi"/>
          <w:noProof/>
          <w:kern w:val="2"/>
          <w14:ligatures w14:val="standardContextual"/>
        </w:rPr>
      </w:pPr>
      <w:hyperlink w:anchor="_Toc233319260" w:history="1">
        <w:r w:rsidRPr="004C5152">
          <w:rPr>
            <w:rStyle w:val="Hyperlink"/>
            <w:noProof/>
          </w:rPr>
          <w:t>2.1 Defining Remote Working</w:t>
        </w:r>
        <w:r>
          <w:rPr>
            <w:noProof/>
            <w:webHidden/>
          </w:rPr>
          <w:tab/>
        </w:r>
        <w:r>
          <w:rPr>
            <w:noProof/>
            <w:webHidden/>
          </w:rPr>
          <w:fldChar w:fldCharType="begin"/>
        </w:r>
        <w:r>
          <w:rPr>
            <w:noProof/>
            <w:webHidden/>
          </w:rPr>
          <w:instrText xml:space="preserve"> PAGEREF _Toc233319260 \h </w:instrText>
        </w:r>
        <w:r>
          <w:rPr>
            <w:noProof/>
            <w:webHidden/>
          </w:rPr>
        </w:r>
        <w:r>
          <w:rPr>
            <w:noProof/>
            <w:webHidden/>
          </w:rPr>
          <w:fldChar w:fldCharType="separate"/>
        </w:r>
        <w:r>
          <w:rPr>
            <w:noProof/>
            <w:webHidden/>
          </w:rPr>
          <w:t>5</w:t>
        </w:r>
        <w:r>
          <w:rPr>
            <w:noProof/>
            <w:webHidden/>
          </w:rPr>
          <w:fldChar w:fldCharType="end"/>
        </w:r>
      </w:hyperlink>
    </w:p>
    <w:p w14:paraId="1A0A62A6" w14:textId="26C98443" w:rsidR="003D2F61" w:rsidRDefault="003D2F61" w:rsidP="003D2F61">
      <w:pPr>
        <w:pStyle w:val="TOC2"/>
        <w:tabs>
          <w:tab w:val="right" w:leader="dot" w:pos="9016"/>
        </w:tabs>
        <w:spacing w:line="276" w:lineRule="auto"/>
        <w:rPr>
          <w:rFonts w:asciiTheme="minorHAnsi" w:eastAsiaTheme="minorEastAsia" w:hAnsiTheme="minorHAnsi" w:cstheme="minorBidi"/>
          <w:noProof/>
          <w:kern w:val="2"/>
          <w14:ligatures w14:val="standardContextual"/>
        </w:rPr>
      </w:pPr>
      <w:hyperlink w:anchor="_Toc233319261" w:history="1">
        <w:r w:rsidRPr="004C5152">
          <w:rPr>
            <w:rStyle w:val="Hyperlink"/>
            <w:noProof/>
          </w:rPr>
          <w:t>2.2 Theoretical Frameworks for Well-being</w:t>
        </w:r>
        <w:r>
          <w:rPr>
            <w:noProof/>
            <w:webHidden/>
          </w:rPr>
          <w:tab/>
        </w:r>
        <w:r>
          <w:rPr>
            <w:noProof/>
            <w:webHidden/>
          </w:rPr>
          <w:fldChar w:fldCharType="begin"/>
        </w:r>
        <w:r>
          <w:rPr>
            <w:noProof/>
            <w:webHidden/>
          </w:rPr>
          <w:instrText xml:space="preserve"> PAGEREF _Toc233319261 \h </w:instrText>
        </w:r>
        <w:r>
          <w:rPr>
            <w:noProof/>
            <w:webHidden/>
          </w:rPr>
        </w:r>
        <w:r>
          <w:rPr>
            <w:noProof/>
            <w:webHidden/>
          </w:rPr>
          <w:fldChar w:fldCharType="separate"/>
        </w:r>
        <w:r>
          <w:rPr>
            <w:noProof/>
            <w:webHidden/>
          </w:rPr>
          <w:t>5</w:t>
        </w:r>
        <w:r>
          <w:rPr>
            <w:noProof/>
            <w:webHidden/>
          </w:rPr>
          <w:fldChar w:fldCharType="end"/>
        </w:r>
      </w:hyperlink>
    </w:p>
    <w:p w14:paraId="1B7735CD" w14:textId="0A37A472" w:rsidR="003D2F61" w:rsidRDefault="003D2F61" w:rsidP="003D2F61">
      <w:pPr>
        <w:pStyle w:val="TOC2"/>
        <w:tabs>
          <w:tab w:val="right" w:leader="dot" w:pos="9016"/>
        </w:tabs>
        <w:spacing w:line="276" w:lineRule="auto"/>
        <w:rPr>
          <w:rFonts w:asciiTheme="minorHAnsi" w:eastAsiaTheme="minorEastAsia" w:hAnsiTheme="minorHAnsi" w:cstheme="minorBidi"/>
          <w:noProof/>
          <w:kern w:val="2"/>
          <w14:ligatures w14:val="standardContextual"/>
        </w:rPr>
      </w:pPr>
      <w:hyperlink w:anchor="_Toc233319262" w:history="1">
        <w:r w:rsidRPr="004C5152">
          <w:rPr>
            <w:rStyle w:val="Hyperlink"/>
            <w:noProof/>
          </w:rPr>
          <w:t>2.3 Remote Working and Productivity: Contested Evidence</w:t>
        </w:r>
        <w:r>
          <w:rPr>
            <w:noProof/>
            <w:webHidden/>
          </w:rPr>
          <w:tab/>
        </w:r>
        <w:r>
          <w:rPr>
            <w:noProof/>
            <w:webHidden/>
          </w:rPr>
          <w:fldChar w:fldCharType="begin"/>
        </w:r>
        <w:r>
          <w:rPr>
            <w:noProof/>
            <w:webHidden/>
          </w:rPr>
          <w:instrText xml:space="preserve"> PAGEREF _Toc233319262 \h </w:instrText>
        </w:r>
        <w:r>
          <w:rPr>
            <w:noProof/>
            <w:webHidden/>
          </w:rPr>
        </w:r>
        <w:r>
          <w:rPr>
            <w:noProof/>
            <w:webHidden/>
          </w:rPr>
          <w:fldChar w:fldCharType="separate"/>
        </w:r>
        <w:r>
          <w:rPr>
            <w:noProof/>
            <w:webHidden/>
          </w:rPr>
          <w:t>6</w:t>
        </w:r>
        <w:r>
          <w:rPr>
            <w:noProof/>
            <w:webHidden/>
          </w:rPr>
          <w:fldChar w:fldCharType="end"/>
        </w:r>
      </w:hyperlink>
    </w:p>
    <w:p w14:paraId="4757B57D" w14:textId="55D36FBE" w:rsidR="003D2F61" w:rsidRDefault="003D2F61" w:rsidP="003D2F61">
      <w:pPr>
        <w:pStyle w:val="TOC2"/>
        <w:tabs>
          <w:tab w:val="right" w:leader="dot" w:pos="9016"/>
        </w:tabs>
        <w:spacing w:line="276" w:lineRule="auto"/>
        <w:rPr>
          <w:rFonts w:asciiTheme="minorHAnsi" w:eastAsiaTheme="minorEastAsia" w:hAnsiTheme="minorHAnsi" w:cstheme="minorBidi"/>
          <w:noProof/>
          <w:kern w:val="2"/>
          <w14:ligatures w14:val="standardContextual"/>
        </w:rPr>
      </w:pPr>
      <w:hyperlink w:anchor="_Toc233319263" w:history="1">
        <w:r w:rsidRPr="004C5152">
          <w:rPr>
            <w:rStyle w:val="Hyperlink"/>
            <w:noProof/>
          </w:rPr>
          <w:t>2.4 Moderating Factors</w:t>
        </w:r>
        <w:r>
          <w:rPr>
            <w:noProof/>
            <w:webHidden/>
          </w:rPr>
          <w:tab/>
        </w:r>
        <w:r>
          <w:rPr>
            <w:noProof/>
            <w:webHidden/>
          </w:rPr>
          <w:fldChar w:fldCharType="begin"/>
        </w:r>
        <w:r>
          <w:rPr>
            <w:noProof/>
            <w:webHidden/>
          </w:rPr>
          <w:instrText xml:space="preserve"> PAGEREF _Toc233319263 \h </w:instrText>
        </w:r>
        <w:r>
          <w:rPr>
            <w:noProof/>
            <w:webHidden/>
          </w:rPr>
        </w:r>
        <w:r>
          <w:rPr>
            <w:noProof/>
            <w:webHidden/>
          </w:rPr>
          <w:fldChar w:fldCharType="separate"/>
        </w:r>
        <w:r>
          <w:rPr>
            <w:noProof/>
            <w:webHidden/>
          </w:rPr>
          <w:t>7</w:t>
        </w:r>
        <w:r>
          <w:rPr>
            <w:noProof/>
            <w:webHidden/>
          </w:rPr>
          <w:fldChar w:fldCharType="end"/>
        </w:r>
      </w:hyperlink>
    </w:p>
    <w:p w14:paraId="0ADA6936" w14:textId="6857A0B2" w:rsidR="003D2F61" w:rsidRDefault="003D2F61" w:rsidP="003D2F61">
      <w:pPr>
        <w:pStyle w:val="TOC2"/>
        <w:tabs>
          <w:tab w:val="right" w:leader="dot" w:pos="9016"/>
        </w:tabs>
        <w:spacing w:line="276" w:lineRule="auto"/>
        <w:rPr>
          <w:rFonts w:asciiTheme="minorHAnsi" w:eastAsiaTheme="minorEastAsia" w:hAnsiTheme="minorHAnsi" w:cstheme="minorBidi"/>
          <w:noProof/>
          <w:kern w:val="2"/>
          <w14:ligatures w14:val="standardContextual"/>
        </w:rPr>
      </w:pPr>
      <w:hyperlink w:anchor="_Toc233319264" w:history="1">
        <w:r w:rsidRPr="004C5152">
          <w:rPr>
            <w:rStyle w:val="Hyperlink"/>
            <w:noProof/>
          </w:rPr>
          <w:t>2.5 Identified Research Gap</w:t>
        </w:r>
        <w:r>
          <w:rPr>
            <w:noProof/>
            <w:webHidden/>
          </w:rPr>
          <w:tab/>
        </w:r>
        <w:r>
          <w:rPr>
            <w:noProof/>
            <w:webHidden/>
          </w:rPr>
          <w:fldChar w:fldCharType="begin"/>
        </w:r>
        <w:r>
          <w:rPr>
            <w:noProof/>
            <w:webHidden/>
          </w:rPr>
          <w:instrText xml:space="preserve"> PAGEREF _Toc233319264 \h </w:instrText>
        </w:r>
        <w:r>
          <w:rPr>
            <w:noProof/>
            <w:webHidden/>
          </w:rPr>
        </w:r>
        <w:r>
          <w:rPr>
            <w:noProof/>
            <w:webHidden/>
          </w:rPr>
          <w:fldChar w:fldCharType="separate"/>
        </w:r>
        <w:r>
          <w:rPr>
            <w:noProof/>
            <w:webHidden/>
          </w:rPr>
          <w:t>7</w:t>
        </w:r>
        <w:r>
          <w:rPr>
            <w:noProof/>
            <w:webHidden/>
          </w:rPr>
          <w:fldChar w:fldCharType="end"/>
        </w:r>
      </w:hyperlink>
    </w:p>
    <w:p w14:paraId="7802E633" w14:textId="58BEC152" w:rsidR="003D2F61" w:rsidRDefault="003D2F61" w:rsidP="003D2F61">
      <w:pPr>
        <w:pStyle w:val="TOC1"/>
        <w:tabs>
          <w:tab w:val="right" w:leader="dot" w:pos="9016"/>
        </w:tabs>
        <w:spacing w:line="276" w:lineRule="auto"/>
        <w:rPr>
          <w:rFonts w:asciiTheme="minorHAnsi" w:eastAsiaTheme="minorEastAsia" w:hAnsiTheme="minorHAnsi" w:cstheme="minorBidi"/>
          <w:noProof/>
          <w:kern w:val="2"/>
          <w14:ligatures w14:val="standardContextual"/>
        </w:rPr>
      </w:pPr>
      <w:hyperlink w:anchor="_Toc233319265" w:history="1">
        <w:r w:rsidRPr="004C5152">
          <w:rPr>
            <w:rStyle w:val="Hyperlink"/>
            <w:noProof/>
          </w:rPr>
          <w:t>3. Research Methodology</w:t>
        </w:r>
        <w:r>
          <w:rPr>
            <w:noProof/>
            <w:webHidden/>
          </w:rPr>
          <w:tab/>
        </w:r>
        <w:r>
          <w:rPr>
            <w:noProof/>
            <w:webHidden/>
          </w:rPr>
          <w:fldChar w:fldCharType="begin"/>
        </w:r>
        <w:r>
          <w:rPr>
            <w:noProof/>
            <w:webHidden/>
          </w:rPr>
          <w:instrText xml:space="preserve"> PAGEREF _Toc233319265 \h </w:instrText>
        </w:r>
        <w:r>
          <w:rPr>
            <w:noProof/>
            <w:webHidden/>
          </w:rPr>
        </w:r>
        <w:r>
          <w:rPr>
            <w:noProof/>
            <w:webHidden/>
          </w:rPr>
          <w:fldChar w:fldCharType="separate"/>
        </w:r>
        <w:r>
          <w:rPr>
            <w:noProof/>
            <w:webHidden/>
          </w:rPr>
          <w:t>8</w:t>
        </w:r>
        <w:r>
          <w:rPr>
            <w:noProof/>
            <w:webHidden/>
          </w:rPr>
          <w:fldChar w:fldCharType="end"/>
        </w:r>
      </w:hyperlink>
    </w:p>
    <w:p w14:paraId="22462B77" w14:textId="3250546B" w:rsidR="003D2F61" w:rsidRDefault="003D2F61" w:rsidP="003D2F61">
      <w:pPr>
        <w:pStyle w:val="TOC2"/>
        <w:tabs>
          <w:tab w:val="right" w:leader="dot" w:pos="9016"/>
        </w:tabs>
        <w:spacing w:line="276" w:lineRule="auto"/>
        <w:rPr>
          <w:rFonts w:asciiTheme="minorHAnsi" w:eastAsiaTheme="minorEastAsia" w:hAnsiTheme="minorHAnsi" w:cstheme="minorBidi"/>
          <w:noProof/>
          <w:kern w:val="2"/>
          <w14:ligatures w14:val="standardContextual"/>
        </w:rPr>
      </w:pPr>
      <w:hyperlink w:anchor="_Toc233319266" w:history="1">
        <w:r w:rsidRPr="004C5152">
          <w:rPr>
            <w:rStyle w:val="Hyperlink"/>
            <w:noProof/>
          </w:rPr>
          <w:t>3.1 Research Philosophy</w:t>
        </w:r>
        <w:r>
          <w:rPr>
            <w:noProof/>
            <w:webHidden/>
          </w:rPr>
          <w:tab/>
        </w:r>
        <w:r>
          <w:rPr>
            <w:noProof/>
            <w:webHidden/>
          </w:rPr>
          <w:fldChar w:fldCharType="begin"/>
        </w:r>
        <w:r>
          <w:rPr>
            <w:noProof/>
            <w:webHidden/>
          </w:rPr>
          <w:instrText xml:space="preserve"> PAGEREF _Toc233319266 \h </w:instrText>
        </w:r>
        <w:r>
          <w:rPr>
            <w:noProof/>
            <w:webHidden/>
          </w:rPr>
        </w:r>
        <w:r>
          <w:rPr>
            <w:noProof/>
            <w:webHidden/>
          </w:rPr>
          <w:fldChar w:fldCharType="separate"/>
        </w:r>
        <w:r>
          <w:rPr>
            <w:noProof/>
            <w:webHidden/>
          </w:rPr>
          <w:t>8</w:t>
        </w:r>
        <w:r>
          <w:rPr>
            <w:noProof/>
            <w:webHidden/>
          </w:rPr>
          <w:fldChar w:fldCharType="end"/>
        </w:r>
      </w:hyperlink>
    </w:p>
    <w:p w14:paraId="78FE2E26" w14:textId="35265562" w:rsidR="003D2F61" w:rsidRDefault="003D2F61" w:rsidP="003D2F61">
      <w:pPr>
        <w:pStyle w:val="TOC2"/>
        <w:tabs>
          <w:tab w:val="right" w:leader="dot" w:pos="9016"/>
        </w:tabs>
        <w:spacing w:line="276" w:lineRule="auto"/>
        <w:rPr>
          <w:rFonts w:asciiTheme="minorHAnsi" w:eastAsiaTheme="minorEastAsia" w:hAnsiTheme="minorHAnsi" w:cstheme="minorBidi"/>
          <w:noProof/>
          <w:kern w:val="2"/>
          <w14:ligatures w14:val="standardContextual"/>
        </w:rPr>
      </w:pPr>
      <w:hyperlink w:anchor="_Toc233319267" w:history="1">
        <w:r w:rsidRPr="004C5152">
          <w:rPr>
            <w:rStyle w:val="Hyperlink"/>
            <w:noProof/>
          </w:rPr>
          <w:t>3.2 Research Approach</w:t>
        </w:r>
        <w:r>
          <w:rPr>
            <w:noProof/>
            <w:webHidden/>
          </w:rPr>
          <w:tab/>
        </w:r>
        <w:r>
          <w:rPr>
            <w:noProof/>
            <w:webHidden/>
          </w:rPr>
          <w:fldChar w:fldCharType="begin"/>
        </w:r>
        <w:r>
          <w:rPr>
            <w:noProof/>
            <w:webHidden/>
          </w:rPr>
          <w:instrText xml:space="preserve"> PAGEREF _Toc233319267 \h </w:instrText>
        </w:r>
        <w:r>
          <w:rPr>
            <w:noProof/>
            <w:webHidden/>
          </w:rPr>
        </w:r>
        <w:r>
          <w:rPr>
            <w:noProof/>
            <w:webHidden/>
          </w:rPr>
          <w:fldChar w:fldCharType="separate"/>
        </w:r>
        <w:r>
          <w:rPr>
            <w:noProof/>
            <w:webHidden/>
          </w:rPr>
          <w:t>8</w:t>
        </w:r>
        <w:r>
          <w:rPr>
            <w:noProof/>
            <w:webHidden/>
          </w:rPr>
          <w:fldChar w:fldCharType="end"/>
        </w:r>
      </w:hyperlink>
    </w:p>
    <w:p w14:paraId="4A3D514E" w14:textId="7A8B2289" w:rsidR="003D2F61" w:rsidRDefault="003D2F61" w:rsidP="003D2F61">
      <w:pPr>
        <w:pStyle w:val="TOC2"/>
        <w:tabs>
          <w:tab w:val="right" w:leader="dot" w:pos="9016"/>
        </w:tabs>
        <w:spacing w:line="276" w:lineRule="auto"/>
        <w:rPr>
          <w:rFonts w:asciiTheme="minorHAnsi" w:eastAsiaTheme="minorEastAsia" w:hAnsiTheme="minorHAnsi" w:cstheme="minorBidi"/>
          <w:noProof/>
          <w:kern w:val="2"/>
          <w14:ligatures w14:val="standardContextual"/>
        </w:rPr>
      </w:pPr>
      <w:hyperlink w:anchor="_Toc233319268" w:history="1">
        <w:r w:rsidRPr="004C5152">
          <w:rPr>
            <w:rStyle w:val="Hyperlink"/>
            <w:noProof/>
          </w:rPr>
          <w:t>3.3 Research Design: Sequential Explanatory Mixed Methods</w:t>
        </w:r>
        <w:r>
          <w:rPr>
            <w:noProof/>
            <w:webHidden/>
          </w:rPr>
          <w:tab/>
        </w:r>
        <w:r>
          <w:rPr>
            <w:noProof/>
            <w:webHidden/>
          </w:rPr>
          <w:fldChar w:fldCharType="begin"/>
        </w:r>
        <w:r>
          <w:rPr>
            <w:noProof/>
            <w:webHidden/>
          </w:rPr>
          <w:instrText xml:space="preserve"> PAGEREF _Toc233319268 \h </w:instrText>
        </w:r>
        <w:r>
          <w:rPr>
            <w:noProof/>
            <w:webHidden/>
          </w:rPr>
        </w:r>
        <w:r>
          <w:rPr>
            <w:noProof/>
            <w:webHidden/>
          </w:rPr>
          <w:fldChar w:fldCharType="separate"/>
        </w:r>
        <w:r>
          <w:rPr>
            <w:noProof/>
            <w:webHidden/>
          </w:rPr>
          <w:t>9</w:t>
        </w:r>
        <w:r>
          <w:rPr>
            <w:noProof/>
            <w:webHidden/>
          </w:rPr>
          <w:fldChar w:fldCharType="end"/>
        </w:r>
      </w:hyperlink>
    </w:p>
    <w:p w14:paraId="2D64ED96" w14:textId="3A638601" w:rsidR="003D2F61" w:rsidRDefault="003D2F61" w:rsidP="003D2F61">
      <w:pPr>
        <w:pStyle w:val="TOC2"/>
        <w:tabs>
          <w:tab w:val="right" w:leader="dot" w:pos="9016"/>
        </w:tabs>
        <w:spacing w:line="276" w:lineRule="auto"/>
        <w:rPr>
          <w:rFonts w:asciiTheme="minorHAnsi" w:eastAsiaTheme="minorEastAsia" w:hAnsiTheme="minorHAnsi" w:cstheme="minorBidi"/>
          <w:noProof/>
          <w:kern w:val="2"/>
          <w14:ligatures w14:val="standardContextual"/>
        </w:rPr>
      </w:pPr>
      <w:hyperlink w:anchor="_Toc233319269" w:history="1">
        <w:r w:rsidRPr="004C5152">
          <w:rPr>
            <w:rStyle w:val="Hyperlink"/>
            <w:noProof/>
          </w:rPr>
          <w:t>3.4 Data Collection Methods</w:t>
        </w:r>
        <w:r>
          <w:rPr>
            <w:noProof/>
            <w:webHidden/>
          </w:rPr>
          <w:tab/>
        </w:r>
        <w:r>
          <w:rPr>
            <w:noProof/>
            <w:webHidden/>
          </w:rPr>
          <w:fldChar w:fldCharType="begin"/>
        </w:r>
        <w:r>
          <w:rPr>
            <w:noProof/>
            <w:webHidden/>
          </w:rPr>
          <w:instrText xml:space="preserve"> PAGEREF _Toc233319269 \h </w:instrText>
        </w:r>
        <w:r>
          <w:rPr>
            <w:noProof/>
            <w:webHidden/>
          </w:rPr>
        </w:r>
        <w:r>
          <w:rPr>
            <w:noProof/>
            <w:webHidden/>
          </w:rPr>
          <w:fldChar w:fldCharType="separate"/>
        </w:r>
        <w:r>
          <w:rPr>
            <w:noProof/>
            <w:webHidden/>
          </w:rPr>
          <w:t>9</w:t>
        </w:r>
        <w:r>
          <w:rPr>
            <w:noProof/>
            <w:webHidden/>
          </w:rPr>
          <w:fldChar w:fldCharType="end"/>
        </w:r>
      </w:hyperlink>
    </w:p>
    <w:p w14:paraId="13FB5B94" w14:textId="25679A87" w:rsidR="003D2F61" w:rsidRDefault="003D2F61" w:rsidP="003D2F61">
      <w:pPr>
        <w:pStyle w:val="TOC3"/>
        <w:tabs>
          <w:tab w:val="right" w:leader="dot" w:pos="9016"/>
        </w:tabs>
        <w:spacing w:line="276" w:lineRule="auto"/>
        <w:rPr>
          <w:rFonts w:asciiTheme="minorHAnsi" w:eastAsiaTheme="minorEastAsia" w:hAnsiTheme="minorHAnsi" w:cstheme="minorBidi"/>
          <w:noProof/>
          <w:kern w:val="2"/>
          <w14:ligatures w14:val="standardContextual"/>
        </w:rPr>
      </w:pPr>
      <w:hyperlink w:anchor="_Toc233319270" w:history="1">
        <w:r w:rsidRPr="004C5152">
          <w:rPr>
            <w:rStyle w:val="Hyperlink"/>
            <w:noProof/>
          </w:rPr>
          <w:t>3.4.1 Phase 1 – Structured Questionnaire Survey</w:t>
        </w:r>
        <w:r>
          <w:rPr>
            <w:noProof/>
            <w:webHidden/>
          </w:rPr>
          <w:tab/>
        </w:r>
        <w:r>
          <w:rPr>
            <w:noProof/>
            <w:webHidden/>
          </w:rPr>
          <w:fldChar w:fldCharType="begin"/>
        </w:r>
        <w:r>
          <w:rPr>
            <w:noProof/>
            <w:webHidden/>
          </w:rPr>
          <w:instrText xml:space="preserve"> PAGEREF _Toc233319270 \h </w:instrText>
        </w:r>
        <w:r>
          <w:rPr>
            <w:noProof/>
            <w:webHidden/>
          </w:rPr>
        </w:r>
        <w:r>
          <w:rPr>
            <w:noProof/>
            <w:webHidden/>
          </w:rPr>
          <w:fldChar w:fldCharType="separate"/>
        </w:r>
        <w:r>
          <w:rPr>
            <w:noProof/>
            <w:webHidden/>
          </w:rPr>
          <w:t>9</w:t>
        </w:r>
        <w:r>
          <w:rPr>
            <w:noProof/>
            <w:webHidden/>
          </w:rPr>
          <w:fldChar w:fldCharType="end"/>
        </w:r>
      </w:hyperlink>
    </w:p>
    <w:p w14:paraId="2CF4E634" w14:textId="1B8073F7" w:rsidR="003D2F61" w:rsidRDefault="003D2F61" w:rsidP="003D2F61">
      <w:pPr>
        <w:pStyle w:val="TOC3"/>
        <w:tabs>
          <w:tab w:val="right" w:leader="dot" w:pos="9016"/>
        </w:tabs>
        <w:spacing w:line="276" w:lineRule="auto"/>
        <w:rPr>
          <w:rFonts w:asciiTheme="minorHAnsi" w:eastAsiaTheme="minorEastAsia" w:hAnsiTheme="minorHAnsi" w:cstheme="minorBidi"/>
          <w:noProof/>
          <w:kern w:val="2"/>
          <w14:ligatures w14:val="standardContextual"/>
        </w:rPr>
      </w:pPr>
      <w:hyperlink w:anchor="_Toc233319271" w:history="1">
        <w:r w:rsidRPr="004C5152">
          <w:rPr>
            <w:rStyle w:val="Hyperlink"/>
            <w:noProof/>
          </w:rPr>
          <w:t>3.4.2 Phase 2 – Semi-Structured Interviews</w:t>
        </w:r>
        <w:r>
          <w:rPr>
            <w:noProof/>
            <w:webHidden/>
          </w:rPr>
          <w:tab/>
        </w:r>
        <w:r>
          <w:rPr>
            <w:noProof/>
            <w:webHidden/>
          </w:rPr>
          <w:fldChar w:fldCharType="begin"/>
        </w:r>
        <w:r>
          <w:rPr>
            <w:noProof/>
            <w:webHidden/>
          </w:rPr>
          <w:instrText xml:space="preserve"> PAGEREF _Toc233319271 \h </w:instrText>
        </w:r>
        <w:r>
          <w:rPr>
            <w:noProof/>
            <w:webHidden/>
          </w:rPr>
        </w:r>
        <w:r>
          <w:rPr>
            <w:noProof/>
            <w:webHidden/>
          </w:rPr>
          <w:fldChar w:fldCharType="separate"/>
        </w:r>
        <w:r>
          <w:rPr>
            <w:noProof/>
            <w:webHidden/>
          </w:rPr>
          <w:t>10</w:t>
        </w:r>
        <w:r>
          <w:rPr>
            <w:noProof/>
            <w:webHidden/>
          </w:rPr>
          <w:fldChar w:fldCharType="end"/>
        </w:r>
      </w:hyperlink>
    </w:p>
    <w:p w14:paraId="4A301D86" w14:textId="170CA90F" w:rsidR="003D2F61" w:rsidRDefault="003D2F61" w:rsidP="003D2F61">
      <w:pPr>
        <w:pStyle w:val="TOC2"/>
        <w:tabs>
          <w:tab w:val="right" w:leader="dot" w:pos="9016"/>
        </w:tabs>
        <w:spacing w:line="276" w:lineRule="auto"/>
        <w:rPr>
          <w:rFonts w:asciiTheme="minorHAnsi" w:eastAsiaTheme="minorEastAsia" w:hAnsiTheme="minorHAnsi" w:cstheme="minorBidi"/>
          <w:noProof/>
          <w:kern w:val="2"/>
          <w14:ligatures w14:val="standardContextual"/>
        </w:rPr>
      </w:pPr>
      <w:hyperlink w:anchor="_Toc233319272" w:history="1">
        <w:r w:rsidRPr="004C5152">
          <w:rPr>
            <w:rStyle w:val="Hyperlink"/>
            <w:noProof/>
          </w:rPr>
          <w:t>3.5 Population and Sampling</w:t>
        </w:r>
        <w:r>
          <w:rPr>
            <w:noProof/>
            <w:webHidden/>
          </w:rPr>
          <w:tab/>
        </w:r>
        <w:r>
          <w:rPr>
            <w:noProof/>
            <w:webHidden/>
          </w:rPr>
          <w:fldChar w:fldCharType="begin"/>
        </w:r>
        <w:r>
          <w:rPr>
            <w:noProof/>
            <w:webHidden/>
          </w:rPr>
          <w:instrText xml:space="preserve"> PAGEREF _Toc233319272 \h </w:instrText>
        </w:r>
        <w:r>
          <w:rPr>
            <w:noProof/>
            <w:webHidden/>
          </w:rPr>
        </w:r>
        <w:r>
          <w:rPr>
            <w:noProof/>
            <w:webHidden/>
          </w:rPr>
          <w:fldChar w:fldCharType="separate"/>
        </w:r>
        <w:r>
          <w:rPr>
            <w:noProof/>
            <w:webHidden/>
          </w:rPr>
          <w:t>10</w:t>
        </w:r>
        <w:r>
          <w:rPr>
            <w:noProof/>
            <w:webHidden/>
          </w:rPr>
          <w:fldChar w:fldCharType="end"/>
        </w:r>
      </w:hyperlink>
    </w:p>
    <w:p w14:paraId="32E98635" w14:textId="30CCCA6F" w:rsidR="003D2F61" w:rsidRDefault="003D2F61" w:rsidP="003D2F61">
      <w:pPr>
        <w:pStyle w:val="TOC2"/>
        <w:tabs>
          <w:tab w:val="right" w:leader="dot" w:pos="9016"/>
        </w:tabs>
        <w:spacing w:line="276" w:lineRule="auto"/>
        <w:rPr>
          <w:rFonts w:asciiTheme="minorHAnsi" w:eastAsiaTheme="minorEastAsia" w:hAnsiTheme="minorHAnsi" w:cstheme="minorBidi"/>
          <w:noProof/>
          <w:kern w:val="2"/>
          <w14:ligatures w14:val="standardContextual"/>
        </w:rPr>
      </w:pPr>
      <w:hyperlink w:anchor="_Toc233319273" w:history="1">
        <w:r w:rsidRPr="004C5152">
          <w:rPr>
            <w:rStyle w:val="Hyperlink"/>
            <w:noProof/>
          </w:rPr>
          <w:t>3.6 Data Analysis</w:t>
        </w:r>
        <w:r>
          <w:rPr>
            <w:noProof/>
            <w:webHidden/>
          </w:rPr>
          <w:tab/>
        </w:r>
        <w:r>
          <w:rPr>
            <w:noProof/>
            <w:webHidden/>
          </w:rPr>
          <w:fldChar w:fldCharType="begin"/>
        </w:r>
        <w:r>
          <w:rPr>
            <w:noProof/>
            <w:webHidden/>
          </w:rPr>
          <w:instrText xml:space="preserve"> PAGEREF _Toc233319273 \h </w:instrText>
        </w:r>
        <w:r>
          <w:rPr>
            <w:noProof/>
            <w:webHidden/>
          </w:rPr>
        </w:r>
        <w:r>
          <w:rPr>
            <w:noProof/>
            <w:webHidden/>
          </w:rPr>
          <w:fldChar w:fldCharType="separate"/>
        </w:r>
        <w:r>
          <w:rPr>
            <w:noProof/>
            <w:webHidden/>
          </w:rPr>
          <w:t>10</w:t>
        </w:r>
        <w:r>
          <w:rPr>
            <w:noProof/>
            <w:webHidden/>
          </w:rPr>
          <w:fldChar w:fldCharType="end"/>
        </w:r>
      </w:hyperlink>
    </w:p>
    <w:p w14:paraId="43CE61A4" w14:textId="0B88752B" w:rsidR="003D2F61" w:rsidRDefault="003D2F61" w:rsidP="003D2F61">
      <w:pPr>
        <w:pStyle w:val="TOC2"/>
        <w:tabs>
          <w:tab w:val="right" w:leader="dot" w:pos="9016"/>
        </w:tabs>
        <w:spacing w:line="276" w:lineRule="auto"/>
        <w:rPr>
          <w:rFonts w:asciiTheme="minorHAnsi" w:eastAsiaTheme="minorEastAsia" w:hAnsiTheme="minorHAnsi" w:cstheme="minorBidi"/>
          <w:noProof/>
          <w:kern w:val="2"/>
          <w14:ligatures w14:val="standardContextual"/>
        </w:rPr>
      </w:pPr>
      <w:hyperlink w:anchor="_Toc233319274" w:history="1">
        <w:r w:rsidRPr="004C5152">
          <w:rPr>
            <w:rStyle w:val="Hyperlink"/>
            <w:noProof/>
          </w:rPr>
          <w:t>3.7 Ethical Considerations</w:t>
        </w:r>
        <w:r>
          <w:rPr>
            <w:noProof/>
            <w:webHidden/>
          </w:rPr>
          <w:tab/>
        </w:r>
        <w:r>
          <w:rPr>
            <w:noProof/>
            <w:webHidden/>
          </w:rPr>
          <w:fldChar w:fldCharType="begin"/>
        </w:r>
        <w:r>
          <w:rPr>
            <w:noProof/>
            <w:webHidden/>
          </w:rPr>
          <w:instrText xml:space="preserve"> PAGEREF _Toc233319274 \h </w:instrText>
        </w:r>
        <w:r>
          <w:rPr>
            <w:noProof/>
            <w:webHidden/>
          </w:rPr>
        </w:r>
        <w:r>
          <w:rPr>
            <w:noProof/>
            <w:webHidden/>
          </w:rPr>
          <w:fldChar w:fldCharType="separate"/>
        </w:r>
        <w:r>
          <w:rPr>
            <w:noProof/>
            <w:webHidden/>
          </w:rPr>
          <w:t>10</w:t>
        </w:r>
        <w:r>
          <w:rPr>
            <w:noProof/>
            <w:webHidden/>
          </w:rPr>
          <w:fldChar w:fldCharType="end"/>
        </w:r>
      </w:hyperlink>
    </w:p>
    <w:p w14:paraId="5F84A7DE" w14:textId="60CE35D4" w:rsidR="003D2F61" w:rsidRDefault="003D2F61" w:rsidP="003D2F61">
      <w:pPr>
        <w:pStyle w:val="TOC2"/>
        <w:tabs>
          <w:tab w:val="right" w:leader="dot" w:pos="9016"/>
        </w:tabs>
        <w:spacing w:line="276" w:lineRule="auto"/>
        <w:rPr>
          <w:rFonts w:asciiTheme="minorHAnsi" w:eastAsiaTheme="minorEastAsia" w:hAnsiTheme="minorHAnsi" w:cstheme="minorBidi"/>
          <w:noProof/>
          <w:kern w:val="2"/>
          <w14:ligatures w14:val="standardContextual"/>
        </w:rPr>
      </w:pPr>
      <w:hyperlink w:anchor="_Toc233319275" w:history="1">
        <w:r w:rsidRPr="004C5152">
          <w:rPr>
            <w:rStyle w:val="Hyperlink"/>
            <w:noProof/>
          </w:rPr>
          <w:t>3.8 Limitations and Mitigation</w:t>
        </w:r>
        <w:r>
          <w:rPr>
            <w:noProof/>
            <w:webHidden/>
          </w:rPr>
          <w:tab/>
        </w:r>
        <w:r>
          <w:rPr>
            <w:noProof/>
            <w:webHidden/>
          </w:rPr>
          <w:fldChar w:fldCharType="begin"/>
        </w:r>
        <w:r>
          <w:rPr>
            <w:noProof/>
            <w:webHidden/>
          </w:rPr>
          <w:instrText xml:space="preserve"> PAGEREF _Toc233319275 \h </w:instrText>
        </w:r>
        <w:r>
          <w:rPr>
            <w:noProof/>
            <w:webHidden/>
          </w:rPr>
        </w:r>
        <w:r>
          <w:rPr>
            <w:noProof/>
            <w:webHidden/>
          </w:rPr>
          <w:fldChar w:fldCharType="separate"/>
        </w:r>
        <w:r>
          <w:rPr>
            <w:noProof/>
            <w:webHidden/>
          </w:rPr>
          <w:t>11</w:t>
        </w:r>
        <w:r>
          <w:rPr>
            <w:noProof/>
            <w:webHidden/>
          </w:rPr>
          <w:fldChar w:fldCharType="end"/>
        </w:r>
      </w:hyperlink>
    </w:p>
    <w:p w14:paraId="7F28E0F0" w14:textId="672FA014" w:rsidR="003D2F61" w:rsidRDefault="003D2F61" w:rsidP="003D2F61">
      <w:pPr>
        <w:pStyle w:val="TOC1"/>
        <w:tabs>
          <w:tab w:val="right" w:leader="dot" w:pos="9016"/>
        </w:tabs>
        <w:spacing w:line="276" w:lineRule="auto"/>
        <w:rPr>
          <w:rFonts w:asciiTheme="minorHAnsi" w:eastAsiaTheme="minorEastAsia" w:hAnsiTheme="minorHAnsi" w:cstheme="minorBidi"/>
          <w:noProof/>
          <w:kern w:val="2"/>
          <w14:ligatures w14:val="standardContextual"/>
        </w:rPr>
      </w:pPr>
      <w:hyperlink w:anchor="_Toc233319276" w:history="1">
        <w:r w:rsidRPr="004C5152">
          <w:rPr>
            <w:rStyle w:val="Hyperlink"/>
            <w:noProof/>
          </w:rPr>
          <w:t>4. Project Plan and Timeline</w:t>
        </w:r>
        <w:r>
          <w:rPr>
            <w:noProof/>
            <w:webHidden/>
          </w:rPr>
          <w:tab/>
        </w:r>
        <w:r>
          <w:rPr>
            <w:noProof/>
            <w:webHidden/>
          </w:rPr>
          <w:fldChar w:fldCharType="begin"/>
        </w:r>
        <w:r>
          <w:rPr>
            <w:noProof/>
            <w:webHidden/>
          </w:rPr>
          <w:instrText xml:space="preserve"> PAGEREF _Toc233319276 \h </w:instrText>
        </w:r>
        <w:r>
          <w:rPr>
            <w:noProof/>
            <w:webHidden/>
          </w:rPr>
        </w:r>
        <w:r>
          <w:rPr>
            <w:noProof/>
            <w:webHidden/>
          </w:rPr>
          <w:fldChar w:fldCharType="separate"/>
        </w:r>
        <w:r>
          <w:rPr>
            <w:noProof/>
            <w:webHidden/>
          </w:rPr>
          <w:t>11</w:t>
        </w:r>
        <w:r>
          <w:rPr>
            <w:noProof/>
            <w:webHidden/>
          </w:rPr>
          <w:fldChar w:fldCharType="end"/>
        </w:r>
      </w:hyperlink>
    </w:p>
    <w:p w14:paraId="5E4A499A" w14:textId="59451EB1" w:rsidR="003D2F61" w:rsidRDefault="003D2F61" w:rsidP="003D2F61">
      <w:pPr>
        <w:pStyle w:val="TOC1"/>
        <w:tabs>
          <w:tab w:val="right" w:leader="dot" w:pos="9016"/>
        </w:tabs>
        <w:spacing w:line="276" w:lineRule="auto"/>
        <w:rPr>
          <w:rFonts w:asciiTheme="minorHAnsi" w:eastAsiaTheme="minorEastAsia" w:hAnsiTheme="minorHAnsi" w:cstheme="minorBidi"/>
          <w:noProof/>
          <w:kern w:val="2"/>
          <w14:ligatures w14:val="standardContextual"/>
        </w:rPr>
      </w:pPr>
      <w:hyperlink w:anchor="_Toc233319277" w:history="1">
        <w:r w:rsidRPr="004C5152">
          <w:rPr>
            <w:rStyle w:val="Hyperlink"/>
            <w:noProof/>
          </w:rPr>
          <w:t>Reference List</w:t>
        </w:r>
        <w:r>
          <w:rPr>
            <w:noProof/>
            <w:webHidden/>
          </w:rPr>
          <w:tab/>
        </w:r>
        <w:r>
          <w:rPr>
            <w:noProof/>
            <w:webHidden/>
          </w:rPr>
          <w:fldChar w:fldCharType="begin"/>
        </w:r>
        <w:r>
          <w:rPr>
            <w:noProof/>
            <w:webHidden/>
          </w:rPr>
          <w:instrText xml:space="preserve"> PAGEREF _Toc233319277 \h </w:instrText>
        </w:r>
        <w:r>
          <w:rPr>
            <w:noProof/>
            <w:webHidden/>
          </w:rPr>
        </w:r>
        <w:r>
          <w:rPr>
            <w:noProof/>
            <w:webHidden/>
          </w:rPr>
          <w:fldChar w:fldCharType="separate"/>
        </w:r>
        <w:r>
          <w:rPr>
            <w:noProof/>
            <w:webHidden/>
          </w:rPr>
          <w:t>13</w:t>
        </w:r>
        <w:r>
          <w:rPr>
            <w:noProof/>
            <w:webHidden/>
          </w:rPr>
          <w:fldChar w:fldCharType="end"/>
        </w:r>
      </w:hyperlink>
    </w:p>
    <w:p w14:paraId="62F680DE" w14:textId="54382026" w:rsidR="003D2F61" w:rsidRDefault="003D2F61" w:rsidP="003D2F61">
      <w:pPr>
        <w:pStyle w:val="TOC1"/>
        <w:tabs>
          <w:tab w:val="right" w:leader="dot" w:pos="9016"/>
        </w:tabs>
        <w:spacing w:line="276" w:lineRule="auto"/>
        <w:rPr>
          <w:rFonts w:asciiTheme="minorHAnsi" w:eastAsiaTheme="minorEastAsia" w:hAnsiTheme="minorHAnsi" w:cstheme="minorBidi"/>
          <w:noProof/>
          <w:kern w:val="2"/>
          <w14:ligatures w14:val="standardContextual"/>
        </w:rPr>
      </w:pPr>
      <w:hyperlink w:anchor="_Toc233319278" w:history="1">
        <w:r w:rsidRPr="004C5152">
          <w:rPr>
            <w:rStyle w:val="Hyperlink"/>
            <w:noProof/>
          </w:rPr>
          <w:t>Appendix A – Ethical Considerations Summary</w:t>
        </w:r>
        <w:r>
          <w:rPr>
            <w:noProof/>
            <w:webHidden/>
          </w:rPr>
          <w:tab/>
        </w:r>
        <w:r>
          <w:rPr>
            <w:noProof/>
            <w:webHidden/>
          </w:rPr>
          <w:fldChar w:fldCharType="begin"/>
        </w:r>
        <w:r>
          <w:rPr>
            <w:noProof/>
            <w:webHidden/>
          </w:rPr>
          <w:instrText xml:space="preserve"> PAGEREF _Toc233319278 \h </w:instrText>
        </w:r>
        <w:r>
          <w:rPr>
            <w:noProof/>
            <w:webHidden/>
          </w:rPr>
        </w:r>
        <w:r>
          <w:rPr>
            <w:noProof/>
            <w:webHidden/>
          </w:rPr>
          <w:fldChar w:fldCharType="separate"/>
        </w:r>
        <w:r>
          <w:rPr>
            <w:noProof/>
            <w:webHidden/>
          </w:rPr>
          <w:t>15</w:t>
        </w:r>
        <w:r>
          <w:rPr>
            <w:noProof/>
            <w:webHidden/>
          </w:rPr>
          <w:fldChar w:fldCharType="end"/>
        </w:r>
      </w:hyperlink>
    </w:p>
    <w:p w14:paraId="25BAC261" w14:textId="249663B0" w:rsidR="003D2F61" w:rsidRDefault="003D2F61" w:rsidP="003D2F61">
      <w:pPr>
        <w:pStyle w:val="TOC1"/>
        <w:tabs>
          <w:tab w:val="right" w:leader="dot" w:pos="9016"/>
        </w:tabs>
        <w:spacing w:line="276" w:lineRule="auto"/>
        <w:rPr>
          <w:rFonts w:asciiTheme="minorHAnsi" w:eastAsiaTheme="minorEastAsia" w:hAnsiTheme="minorHAnsi" w:cstheme="minorBidi"/>
          <w:noProof/>
          <w:kern w:val="2"/>
          <w14:ligatures w14:val="standardContextual"/>
        </w:rPr>
      </w:pPr>
      <w:hyperlink w:anchor="_Toc233319279" w:history="1">
        <w:r w:rsidRPr="004C5152">
          <w:rPr>
            <w:rStyle w:val="Hyperlink"/>
            <w:noProof/>
          </w:rPr>
          <w:t>Appendix B – Project Milestones</w:t>
        </w:r>
        <w:r>
          <w:rPr>
            <w:noProof/>
            <w:webHidden/>
          </w:rPr>
          <w:tab/>
        </w:r>
        <w:r>
          <w:rPr>
            <w:noProof/>
            <w:webHidden/>
          </w:rPr>
          <w:fldChar w:fldCharType="begin"/>
        </w:r>
        <w:r>
          <w:rPr>
            <w:noProof/>
            <w:webHidden/>
          </w:rPr>
          <w:instrText xml:space="preserve"> PAGEREF _Toc233319279 \h </w:instrText>
        </w:r>
        <w:r>
          <w:rPr>
            <w:noProof/>
            <w:webHidden/>
          </w:rPr>
        </w:r>
        <w:r>
          <w:rPr>
            <w:noProof/>
            <w:webHidden/>
          </w:rPr>
          <w:fldChar w:fldCharType="separate"/>
        </w:r>
        <w:r>
          <w:rPr>
            <w:noProof/>
            <w:webHidden/>
          </w:rPr>
          <w:t>15</w:t>
        </w:r>
        <w:r>
          <w:rPr>
            <w:noProof/>
            <w:webHidden/>
          </w:rPr>
          <w:fldChar w:fldCharType="end"/>
        </w:r>
      </w:hyperlink>
    </w:p>
    <w:p w14:paraId="08BFD523" w14:textId="670E4ADA" w:rsidR="003D2F61" w:rsidRDefault="003D2F61" w:rsidP="003D2F61">
      <w:pPr>
        <w:pStyle w:val="TOC1"/>
        <w:tabs>
          <w:tab w:val="right" w:leader="dot" w:pos="9016"/>
        </w:tabs>
        <w:spacing w:line="276" w:lineRule="auto"/>
        <w:rPr>
          <w:rFonts w:asciiTheme="minorHAnsi" w:eastAsiaTheme="minorEastAsia" w:hAnsiTheme="minorHAnsi" w:cstheme="minorBidi"/>
          <w:noProof/>
          <w:kern w:val="2"/>
          <w14:ligatures w14:val="standardContextual"/>
        </w:rPr>
      </w:pPr>
      <w:hyperlink w:anchor="_Toc233319280" w:history="1">
        <w:r w:rsidRPr="004C5152">
          <w:rPr>
            <w:rStyle w:val="Hyperlink"/>
            <w:noProof/>
          </w:rPr>
          <w:t>Appendix C – Comparison of Methodological Approaches</w:t>
        </w:r>
        <w:r>
          <w:rPr>
            <w:noProof/>
            <w:webHidden/>
          </w:rPr>
          <w:tab/>
        </w:r>
        <w:r>
          <w:rPr>
            <w:noProof/>
            <w:webHidden/>
          </w:rPr>
          <w:fldChar w:fldCharType="begin"/>
        </w:r>
        <w:r>
          <w:rPr>
            <w:noProof/>
            <w:webHidden/>
          </w:rPr>
          <w:instrText xml:space="preserve"> PAGEREF _Toc233319280 \h </w:instrText>
        </w:r>
        <w:r>
          <w:rPr>
            <w:noProof/>
            <w:webHidden/>
          </w:rPr>
        </w:r>
        <w:r>
          <w:rPr>
            <w:noProof/>
            <w:webHidden/>
          </w:rPr>
          <w:fldChar w:fldCharType="separate"/>
        </w:r>
        <w:r>
          <w:rPr>
            <w:noProof/>
            <w:webHidden/>
          </w:rPr>
          <w:t>16</w:t>
        </w:r>
        <w:r>
          <w:rPr>
            <w:noProof/>
            <w:webHidden/>
          </w:rPr>
          <w:fldChar w:fldCharType="end"/>
        </w:r>
      </w:hyperlink>
    </w:p>
    <w:p w14:paraId="3B0DF8B6" w14:textId="426067A5" w:rsidR="00E33CBD" w:rsidRDefault="00E33CBD" w:rsidP="003D2F61">
      <w:pPr>
        <w:tabs>
          <w:tab w:val="right" w:leader="dot" w:pos="9026"/>
        </w:tabs>
        <w:spacing w:after="70" w:line="276" w:lineRule="auto"/>
      </w:pPr>
      <w:r>
        <w:rPr>
          <w:b/>
          <w:bCs/>
          <w:sz w:val="22"/>
          <w:szCs w:val="22"/>
        </w:rPr>
        <w:fldChar w:fldCharType="end"/>
      </w:r>
    </w:p>
    <w:p w14:paraId="220B3AF5" w14:textId="77777777" w:rsidR="00E33CBD" w:rsidRDefault="00000000">
      <w:r>
        <w:br w:type="page"/>
      </w:r>
    </w:p>
    <w:p w14:paraId="23E17E81" w14:textId="77777777" w:rsidR="00E33CBD" w:rsidRDefault="00000000">
      <w:pPr>
        <w:pStyle w:val="Heading1"/>
      </w:pPr>
      <w:bookmarkStart w:id="0" w:name="_Toc233319252"/>
      <w:r>
        <w:lastRenderedPageBreak/>
        <w:t>1. Title and Introduction</w:t>
      </w:r>
      <w:bookmarkEnd w:id="0"/>
    </w:p>
    <w:p w14:paraId="1CBEE8DE" w14:textId="77777777" w:rsidR="00E33CBD" w:rsidRDefault="00000000">
      <w:pPr>
        <w:pStyle w:val="Heading2"/>
      </w:pPr>
      <w:bookmarkStart w:id="1" w:name="_Toc233319253"/>
      <w:r>
        <w:t>1.1 Research Title</w:t>
      </w:r>
      <w:bookmarkEnd w:id="1"/>
    </w:p>
    <w:p w14:paraId="62F8437F" w14:textId="77777777" w:rsidR="00E33CBD" w:rsidRDefault="00000000">
      <w:pPr>
        <w:spacing w:after="140"/>
        <w:jc w:val="both"/>
      </w:pPr>
      <w:r>
        <w:rPr>
          <w:i/>
          <w:iCs/>
        </w:rPr>
        <w:t>The Impact of Remote Working on Employee Well-being and Productivity in Small and Medium-sized Enterprises (SMEs): A Mixed Methods Investigation.</w:t>
      </w:r>
    </w:p>
    <w:p w14:paraId="6942377A" w14:textId="77777777" w:rsidR="00E33CBD" w:rsidRDefault="00000000">
      <w:pPr>
        <w:pStyle w:val="Heading2"/>
      </w:pPr>
      <w:bookmarkStart w:id="2" w:name="_Toc233319254"/>
      <w:r>
        <w:t>1.2 Introduction and Background</w:t>
      </w:r>
      <w:bookmarkEnd w:id="2"/>
    </w:p>
    <w:p w14:paraId="2C572315" w14:textId="3BD3C477" w:rsidR="00E33CBD" w:rsidRDefault="00000000">
      <w:pPr>
        <w:spacing w:after="140"/>
        <w:jc w:val="both"/>
      </w:pPr>
      <w:r>
        <w:t xml:space="preserve">The way people work has changed sharply. The COVID-19 pandemic pushed organisations of every size into remote working almost overnight, and what began as an emergency response is now a lasting feature of working life. This is especially true for SMEs, which make up around 99% of UK businesses and employ over 16 million people (Department for Business and Trade, 2023). Understanding how remote working shapes well-being and productivity is therefore </w:t>
      </w:r>
      <w:r w:rsidR="00947873">
        <w:t>a</w:t>
      </w:r>
      <w:r>
        <w:t xml:space="preserve"> pressing concern for managers and policymakers, not only an academic one.</w:t>
      </w:r>
    </w:p>
    <w:p w14:paraId="25E9955A" w14:textId="77777777" w:rsidR="00E33CBD" w:rsidRDefault="00000000">
      <w:pPr>
        <w:spacing w:after="140"/>
        <w:jc w:val="both"/>
      </w:pPr>
      <w:r>
        <w:t>Research on remote working grew rapidly during the pandemic, but much of it concentrates on large, well-resourced firms (Bloom et al., 2015; Chung et al., 2021). SMEs operate with tighter budgets, flatter structures and limited HR capacity, which may change how remote working, well-being and productivity relate. This proposal locates its inquiry in that under-researched SME setting.</w:t>
      </w:r>
    </w:p>
    <w:p w14:paraId="0D13646E" w14:textId="77777777" w:rsidR="00E33CBD" w:rsidRDefault="00000000">
      <w:pPr>
        <w:pStyle w:val="Heading2"/>
      </w:pPr>
      <w:bookmarkStart w:id="3" w:name="_Toc233319255"/>
      <w:r>
        <w:t>1.3 Research Aim</w:t>
      </w:r>
      <w:bookmarkEnd w:id="3"/>
    </w:p>
    <w:p w14:paraId="3C00956C" w14:textId="77777777" w:rsidR="00E33CBD" w:rsidRDefault="00000000">
      <w:pPr>
        <w:spacing w:after="140"/>
        <w:jc w:val="both"/>
      </w:pPr>
      <w:r>
        <w:t>To investigate the impact of remote working arrangements on employee well-being and perceived productivity within UK-based SMEs.</w:t>
      </w:r>
    </w:p>
    <w:p w14:paraId="7D711251" w14:textId="77777777" w:rsidR="00E33CBD" w:rsidRDefault="00000000">
      <w:pPr>
        <w:pStyle w:val="Heading2"/>
      </w:pPr>
      <w:bookmarkStart w:id="4" w:name="_Toc233319256"/>
      <w:r>
        <w:t>1.4 Research Objectives</w:t>
      </w:r>
      <w:bookmarkEnd w:id="4"/>
    </w:p>
    <w:p w14:paraId="75D8B591" w14:textId="77777777" w:rsidR="00E33CBD" w:rsidRDefault="00000000">
      <w:pPr>
        <w:pStyle w:val="ListParagraph"/>
        <w:numPr>
          <w:ilvl w:val="0"/>
          <w:numId w:val="2"/>
        </w:numPr>
        <w:spacing w:after="100"/>
      </w:pPr>
      <w:r>
        <w:t>To critically review the theoretical and empirical literature on remote working, well-being and productivity.</w:t>
      </w:r>
    </w:p>
    <w:p w14:paraId="15BA7D88" w14:textId="77777777" w:rsidR="00E33CBD" w:rsidRDefault="00000000">
      <w:pPr>
        <w:pStyle w:val="ListParagraph"/>
        <w:numPr>
          <w:ilvl w:val="0"/>
          <w:numId w:val="2"/>
        </w:numPr>
        <w:spacing w:after="100"/>
      </w:pPr>
      <w:r>
        <w:t>To examine how remote working affects employee well-being (physical, psychological and social) in UK SMEs.</w:t>
      </w:r>
    </w:p>
    <w:p w14:paraId="2E6E75A4" w14:textId="77777777" w:rsidR="00E33CBD" w:rsidRDefault="00000000">
      <w:pPr>
        <w:pStyle w:val="ListParagraph"/>
        <w:numPr>
          <w:ilvl w:val="0"/>
          <w:numId w:val="2"/>
        </w:numPr>
        <w:spacing w:after="100"/>
      </w:pPr>
      <w:r>
        <w:t>To explore employees’ perceptions of their productivity when remote compared with office-based work.</w:t>
      </w:r>
    </w:p>
    <w:p w14:paraId="5EA3E6FF" w14:textId="77777777" w:rsidR="00E33CBD" w:rsidRDefault="00000000">
      <w:pPr>
        <w:pStyle w:val="ListParagraph"/>
        <w:numPr>
          <w:ilvl w:val="0"/>
          <w:numId w:val="2"/>
        </w:numPr>
        <w:spacing w:after="100"/>
      </w:pPr>
      <w:r>
        <w:t>To identify organisational and individual factors that moderate these relationships.</w:t>
      </w:r>
    </w:p>
    <w:p w14:paraId="50E1BD58" w14:textId="77777777" w:rsidR="00E33CBD" w:rsidRDefault="00000000">
      <w:pPr>
        <w:pStyle w:val="ListParagraph"/>
        <w:numPr>
          <w:ilvl w:val="0"/>
          <w:numId w:val="2"/>
        </w:numPr>
        <w:spacing w:after="100"/>
      </w:pPr>
      <w:r>
        <w:t>To develop practical recommendations for SME managers seeking to optimise remote working policy.</w:t>
      </w:r>
    </w:p>
    <w:p w14:paraId="7F29CAB5" w14:textId="77777777" w:rsidR="00E33CBD" w:rsidRDefault="00000000">
      <w:pPr>
        <w:pStyle w:val="Heading2"/>
      </w:pPr>
      <w:bookmarkStart w:id="5" w:name="_Toc233319257"/>
      <w:r>
        <w:lastRenderedPageBreak/>
        <w:t>1.5 Research Questions</w:t>
      </w:r>
      <w:bookmarkEnd w:id="5"/>
    </w:p>
    <w:p w14:paraId="0152779F" w14:textId="77777777" w:rsidR="00E33CBD" w:rsidRDefault="00000000">
      <w:pPr>
        <w:spacing w:after="140"/>
        <w:jc w:val="both"/>
      </w:pPr>
      <w:r>
        <w:t>The study is guided by three focused, answerable research questions:</w:t>
      </w:r>
    </w:p>
    <w:p w14:paraId="53C3B799" w14:textId="77777777" w:rsidR="00E33CBD" w:rsidRDefault="00000000">
      <w:pPr>
        <w:pStyle w:val="ListParagraph"/>
        <w:numPr>
          <w:ilvl w:val="0"/>
          <w:numId w:val="3"/>
        </w:numPr>
        <w:spacing w:after="100"/>
      </w:pPr>
      <w:r>
        <w:t>RQ1: To what extent does remote working affect the well-being of employees in UK SMEs?</w:t>
      </w:r>
    </w:p>
    <w:p w14:paraId="16674233" w14:textId="77777777" w:rsidR="00E33CBD" w:rsidRDefault="00000000">
      <w:pPr>
        <w:pStyle w:val="ListParagraph"/>
        <w:numPr>
          <w:ilvl w:val="0"/>
          <w:numId w:val="3"/>
        </w:numPr>
        <w:spacing w:after="100"/>
      </w:pPr>
      <w:r>
        <w:t>RQ2: How do employees in UK SMEs perceive their productivity when working remotely compared with in-office?</w:t>
      </w:r>
    </w:p>
    <w:p w14:paraId="126366C3" w14:textId="77777777" w:rsidR="00E33CBD" w:rsidRDefault="00000000">
      <w:pPr>
        <w:pStyle w:val="ListParagraph"/>
        <w:numPr>
          <w:ilvl w:val="0"/>
          <w:numId w:val="3"/>
        </w:numPr>
        <w:spacing w:after="100"/>
      </w:pPr>
      <w:r>
        <w:t>RQ3: What organisational and individual factors moderate the impact of remote working on well-being and productivity?</w:t>
      </w:r>
    </w:p>
    <w:p w14:paraId="0A69FE37" w14:textId="77777777" w:rsidR="00E33CBD" w:rsidRDefault="00000000">
      <w:pPr>
        <w:pStyle w:val="Heading2"/>
      </w:pPr>
      <w:bookmarkStart w:id="6" w:name="_Toc233319258"/>
      <w:r>
        <w:t>1.6 Significance of the Study</w:t>
      </w:r>
      <w:bookmarkEnd w:id="6"/>
    </w:p>
    <w:p w14:paraId="1F4A4060" w14:textId="77777777" w:rsidR="00E33CBD" w:rsidRDefault="00000000">
      <w:pPr>
        <w:spacing w:after="140"/>
        <w:jc w:val="both"/>
      </w:pPr>
      <w:r>
        <w:t>The study addresses a clear gap: most evidence comes from large corporations or well-resourced knowledge workers, yet SMEs face particular resource and cultural constraints that may sharpen both the benefits and risks of remote work. Managers in these firms need accessible, evidence-based guidance rather than generic frameworks, giving the work both academic and professional value.</w:t>
      </w:r>
    </w:p>
    <w:p w14:paraId="7E9465C8" w14:textId="77777777" w:rsidR="00E33CBD" w:rsidRDefault="00000000">
      <w:pPr>
        <w:pStyle w:val="Heading1"/>
      </w:pPr>
      <w:bookmarkStart w:id="7" w:name="_Toc233319259"/>
      <w:r>
        <w:t>2. Literature Review</w:t>
      </w:r>
      <w:bookmarkEnd w:id="7"/>
    </w:p>
    <w:p w14:paraId="1E11B1BA" w14:textId="4FDB594E" w:rsidR="00E33CBD" w:rsidRDefault="00000000">
      <w:pPr>
        <w:spacing w:after="140"/>
        <w:jc w:val="both"/>
      </w:pPr>
      <w:r>
        <w:t>This review synthesises the key academic theories and recent empirical evidence on remot</w:t>
      </w:r>
      <w:r w:rsidR="00912009">
        <w:t>e</w:t>
      </w:r>
      <w:r>
        <w:t xml:space="preserve"> working, well-being and productivity, drawing on peer-reviewed journal articles and established research-methods textbooks.</w:t>
      </w:r>
    </w:p>
    <w:p w14:paraId="27DC0104" w14:textId="77777777" w:rsidR="00E33CBD" w:rsidRDefault="00000000">
      <w:pPr>
        <w:pStyle w:val="Heading2"/>
      </w:pPr>
      <w:bookmarkStart w:id="8" w:name="_Toc233319260"/>
      <w:r>
        <w:t>2.1 Defining Remote Working</w:t>
      </w:r>
      <w:bookmarkEnd w:id="8"/>
    </w:p>
    <w:p w14:paraId="3E1FC521" w14:textId="77777777" w:rsidR="00E33CBD" w:rsidRDefault="00000000">
      <w:pPr>
        <w:spacing w:after="140"/>
        <w:jc w:val="both"/>
      </w:pPr>
      <w:r>
        <w:t>Remote working, also called teleworking or homeworking, covers any arrangement where employees work away from a traditional, employer-designated workplace, usually supported by digital communication technologies (Eurofound, 2020). The idea is not new; interest emerged in the 1970s when oil crises prompted attention to alternatives to commuting. What has changed is the scale, with post-pandemic adoption turning remote working from a fringe benefit into mainstream practice.</w:t>
      </w:r>
    </w:p>
    <w:p w14:paraId="63DA5230" w14:textId="77777777" w:rsidR="00E33CBD" w:rsidRDefault="00000000">
      <w:pPr>
        <w:pStyle w:val="Heading2"/>
      </w:pPr>
      <w:bookmarkStart w:id="9" w:name="_Toc233319261"/>
      <w:r>
        <w:t>2.2 Theoretical Frameworks for Well-being</w:t>
      </w:r>
      <w:bookmarkEnd w:id="9"/>
    </w:p>
    <w:p w14:paraId="498FD50D" w14:textId="77777777" w:rsidR="00E33CBD" w:rsidRDefault="00000000">
      <w:pPr>
        <w:spacing w:after="140"/>
        <w:jc w:val="both"/>
      </w:pPr>
      <w:r>
        <w:t xml:space="preserve">Well-being is multi-dimensional. The literature distinguishes hedonic well-being (positive feeling and the absence of negative affect) from eudaimonic well-being (engagement, purpose and growth) (Ryan and Deci, 2001). In organisational settings, the Job Demands-Resources </w:t>
      </w:r>
      <w:r>
        <w:lastRenderedPageBreak/>
        <w:t>(JD-R) model (Bakker and Demerouti, 2007) is a dominant lens. It proposes that job demands such as workload and role conflict deplete psychological resources and can lead to burnout, while job resources such as autonomy, social support and feedback buffer those demands and build engagement (Figure 1). Remote working reshapes both at once: it usually increases autonomy and removes the commute, but can also blur the work-home boundary and reduce informal support.</w:t>
      </w:r>
    </w:p>
    <w:p w14:paraId="2DED36DB" w14:textId="77777777" w:rsidR="00E33CBD" w:rsidRDefault="00000000">
      <w:pPr>
        <w:spacing w:before="120" w:after="40"/>
        <w:jc w:val="center"/>
      </w:pPr>
      <w:r>
        <w:rPr>
          <w:noProof/>
        </w:rPr>
        <w:drawing>
          <wp:inline distT="0" distB="0" distL="0" distR="0" wp14:anchorId="2146AD9B" wp14:editId="2F7EE236">
            <wp:extent cx="4000500" cy="23336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8"/>
                    <a:stretch>
                      <a:fillRect/>
                    </a:stretch>
                  </pic:blipFill>
                  <pic:spPr>
                    <a:xfrm>
                      <a:off x="0" y="0"/>
                      <a:ext cx="4000500" cy="2333625"/>
                    </a:xfrm>
                    <a:prstGeom prst="rect">
                      <a:avLst/>
                    </a:prstGeom>
                  </pic:spPr>
                </pic:pic>
              </a:graphicData>
            </a:graphic>
          </wp:inline>
        </w:drawing>
      </w:r>
    </w:p>
    <w:p w14:paraId="005E2EF4" w14:textId="77777777" w:rsidR="00E33CBD" w:rsidRDefault="00000000">
      <w:pPr>
        <w:spacing w:after="200"/>
        <w:jc w:val="center"/>
      </w:pPr>
      <w:r>
        <w:rPr>
          <w:i/>
          <w:iCs/>
          <w:color w:val="000000"/>
          <w:sz w:val="20"/>
          <w:szCs w:val="20"/>
        </w:rPr>
        <w:t>Figure 1. The Job Demands-Resources model applied to remote working (adapted from Bakker and Demerouti, 2007).</w:t>
      </w:r>
    </w:p>
    <w:p w14:paraId="383BED61" w14:textId="77777777" w:rsidR="00E33CBD" w:rsidRDefault="00000000">
      <w:pPr>
        <w:spacing w:after="140"/>
        <w:jc w:val="both"/>
      </w:pPr>
      <w:r>
        <w:t>Warr’s (1987) Vitamin Model offers a complementary view, arguing that job features such as control, environmental clarity and valued social position have dose-response relationships with well-being. Remote working may strengthen some of these while eroding others, a tension that makes the relationship worth studying.</w:t>
      </w:r>
    </w:p>
    <w:p w14:paraId="6E0E788E" w14:textId="77777777" w:rsidR="00E33CBD" w:rsidRDefault="00000000">
      <w:pPr>
        <w:pStyle w:val="Heading2"/>
      </w:pPr>
      <w:bookmarkStart w:id="10" w:name="_Toc233319262"/>
      <w:r>
        <w:t>2.3 Remote Working and Productivity: Contested Evidence</w:t>
      </w:r>
      <w:bookmarkEnd w:id="10"/>
    </w:p>
    <w:p w14:paraId="3C33D167" w14:textId="77777777" w:rsidR="00E33CBD" w:rsidRDefault="00000000">
      <w:pPr>
        <w:spacing w:after="140"/>
        <w:jc w:val="both"/>
      </w:pPr>
      <w:r>
        <w:t xml:space="preserve">The productivity evidence is mixed. A widely cited Stanford study by Bloom et al. (2015) reported a 13% productivity gain among home-based call-centre staff, but it measured objective output for a highly routine role, which limits how far it transfers to creative or interdependent work. Pandemic-era research is more nuanced: a Microsoft study found that many employees reported higher productivity while their managers were markedly less confident in team output (Teevan et al., 2022). These contradictory findings suggest that productivity outcomes depend less on remote working in itself than on contextual factors such as organisational size, managerial oversight and job characteristics. This gap between self-reported and observed productivity is itself a methodological challenge the present study acknowledges directly. Within the SME literature, smaller firms may be especially exposed to the risks of remote work </w:t>
      </w:r>
      <w:r>
        <w:lastRenderedPageBreak/>
        <w:t>because they rely on tacit knowledge shared through informal, co-located contact, which remote arrangements tend to disrupt (Begemann et al., 2024); their comparative agility, however, may also help them adapt (Saunders et al., 2023). Taken together, the evidence resists a single verdict: remote working helps some outcomes, for some workers, in some settings. That conditionality is why a context-specific study is needed.</w:t>
      </w:r>
    </w:p>
    <w:p w14:paraId="2AF532F6" w14:textId="77777777" w:rsidR="00E33CBD" w:rsidRDefault="00000000">
      <w:pPr>
        <w:pStyle w:val="Heading2"/>
      </w:pPr>
      <w:bookmarkStart w:id="11" w:name="_Toc233319263"/>
      <w:r>
        <w:t>2.4 Moderating Factors</w:t>
      </w:r>
      <w:bookmarkEnd w:id="11"/>
    </w:p>
    <w:p w14:paraId="1BB0D957" w14:textId="77777777" w:rsidR="00E33CBD" w:rsidRDefault="00000000">
      <w:pPr>
        <w:spacing w:after="140"/>
        <w:jc w:val="both"/>
      </w:pPr>
      <w:r>
        <w:t>The effect of remote working is not uniform. Reported moderators include job type and task interdependence, managerial style (with trust-based, results-oriented cultures linked to better outcomes), home environment quality, and individual traits such as self-efficacy and extraversion (Luse et al., 2013; Bryman and Bell, 2023). Peer-reviewed UK evidence further shows that its effects on effort and work–life balance depend on how much of the week is home-based (Felstead and Henseke, 2017). The quality of digital leadership matters too: leaders who communicate well virtually and visibly recognise remote staff appear to soften the well-being risks of isolation. These factors rarely act alone; an employee with a quiet home office but a low-trust manager may fare differently from one facing the reverse, so this study examines several moderators together rather than singly.</w:t>
      </w:r>
    </w:p>
    <w:p w14:paraId="6A8EAD81" w14:textId="77777777" w:rsidR="00E33CBD" w:rsidRDefault="00000000">
      <w:pPr>
        <w:pStyle w:val="Heading2"/>
      </w:pPr>
      <w:bookmarkStart w:id="12" w:name="_Toc233319264"/>
      <w:r>
        <w:t>2.5 Identified Research Gap</w:t>
      </w:r>
      <w:bookmarkEnd w:id="12"/>
    </w:p>
    <w:p w14:paraId="7EA311F7" w14:textId="77777777" w:rsidR="00E33CBD" w:rsidRDefault="00000000">
      <w:pPr>
        <w:spacing w:after="140"/>
        <w:jc w:val="both"/>
      </w:pPr>
      <w:r>
        <w:t>Three gaps stand out. First, most studies are based in large organisations or homogeneous samples of knowledge workers, which limits their relevance to SMEs (Bloom et al., 2015; Chung et al., 2021). Second, many quantitative studies rely on self-reported productivity with limited methodological triangulation (Teevan et al., 2022). Third, longitudinal research is scarce, with most studies capturing a single point in time (Felstead and Henseke, 2017). Despite extensive research on remote working, little evidence addresses its combined effect on both well-being and productivity specifically within UK SMEs. This proposal targets the first two gaps by focusing on SMEs and triangulating the survey with in-depth interviews, not a single self-report measure, answering Creswell and Creswell’s (2023) call for contextually embedded research. Figure 2 summarises the resulting conceptual framework.</w:t>
      </w:r>
    </w:p>
    <w:p w14:paraId="50F52458" w14:textId="77777777" w:rsidR="00E33CBD" w:rsidRDefault="00000000">
      <w:pPr>
        <w:spacing w:before="120" w:after="40"/>
        <w:jc w:val="center"/>
      </w:pPr>
      <w:r>
        <w:rPr>
          <w:noProof/>
        </w:rPr>
        <w:lastRenderedPageBreak/>
        <w:drawing>
          <wp:inline distT="0" distB="0" distL="0" distR="0" wp14:anchorId="31B8EF5C" wp14:editId="1EC369AD">
            <wp:extent cx="4000500" cy="21717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pic:nvPicPr>
                  <pic:blipFill>
                    <a:blip r:embed="rId9"/>
                    <a:stretch>
                      <a:fillRect/>
                    </a:stretch>
                  </pic:blipFill>
                  <pic:spPr>
                    <a:xfrm>
                      <a:off x="0" y="0"/>
                      <a:ext cx="4000500" cy="2171700"/>
                    </a:xfrm>
                    <a:prstGeom prst="rect">
                      <a:avLst/>
                    </a:prstGeom>
                  </pic:spPr>
                </pic:pic>
              </a:graphicData>
            </a:graphic>
          </wp:inline>
        </w:drawing>
      </w:r>
    </w:p>
    <w:p w14:paraId="6780284C" w14:textId="77777777" w:rsidR="00E33CBD" w:rsidRDefault="00000000">
      <w:pPr>
        <w:spacing w:after="200"/>
        <w:jc w:val="center"/>
      </w:pPr>
      <w:r>
        <w:rPr>
          <w:i/>
          <w:iCs/>
          <w:color w:val="000000"/>
          <w:sz w:val="20"/>
          <w:szCs w:val="20"/>
        </w:rPr>
        <w:t>Figure 2. Conceptual framework linking remote working to well-being and productivity via moderators and controls.</w:t>
      </w:r>
    </w:p>
    <w:p w14:paraId="0600DC70" w14:textId="77777777" w:rsidR="008830C9" w:rsidRDefault="008830C9">
      <w:pPr>
        <w:pStyle w:val="Heading1"/>
      </w:pPr>
    </w:p>
    <w:p w14:paraId="3A96CDC4" w14:textId="4C918750" w:rsidR="00E33CBD" w:rsidRDefault="00000000">
      <w:pPr>
        <w:pStyle w:val="Heading1"/>
      </w:pPr>
      <w:bookmarkStart w:id="13" w:name="_Toc233319265"/>
      <w:r>
        <w:t>3. Research Methodology</w:t>
      </w:r>
      <w:bookmarkEnd w:id="13"/>
    </w:p>
    <w:p w14:paraId="4660B018" w14:textId="77777777" w:rsidR="00E33CBD" w:rsidRDefault="00000000">
      <w:pPr>
        <w:pStyle w:val="Heading2"/>
      </w:pPr>
      <w:bookmarkStart w:id="14" w:name="_Toc233319266"/>
      <w:r>
        <w:t>3.1 Research Philosophy</w:t>
      </w:r>
      <w:bookmarkEnd w:id="14"/>
    </w:p>
    <w:p w14:paraId="06506509" w14:textId="77777777" w:rsidR="00E33CBD" w:rsidRDefault="00000000">
      <w:pPr>
        <w:spacing w:after="140"/>
        <w:jc w:val="both"/>
      </w:pPr>
      <w:r>
        <w:t>The study takes a pragmatist position. Pragmatism judges knowledge claims by their usefulness in answering the research problem and frees the researcher from loyalty to a single paradigm (Tashakkori et al., 2020). It contrasts with positivism, which assumes one objective reality measurable through standard instruments, and interpretivism, which stresses subjective, context-bound meaning. These paradigmatic differences rest on contrasting ontological and epistemological assumptions about the nature of reality and how it can be known (Scotland, 2012). Because this study seeks both to measure remote working’s impact and to understand the experiences behind it, pragmatism is the most coherent fit. As Saunders et al. (2023, p. 147) put it, pragmatism allows the use of different methods, both quantitative and qualitative, as tools that serve the research purpose.</w:t>
      </w:r>
    </w:p>
    <w:p w14:paraId="5540B55A" w14:textId="77777777" w:rsidR="00E33CBD" w:rsidRDefault="00000000">
      <w:pPr>
        <w:pStyle w:val="Heading2"/>
      </w:pPr>
      <w:bookmarkStart w:id="15" w:name="_Toc233319267"/>
      <w:r>
        <w:t>3.2 Research Approach</w:t>
      </w:r>
      <w:bookmarkEnd w:id="15"/>
    </w:p>
    <w:p w14:paraId="2E7A288B" w14:textId="77777777" w:rsidR="00E33CBD" w:rsidRDefault="00000000">
      <w:pPr>
        <w:spacing w:after="140"/>
        <w:jc w:val="both"/>
      </w:pPr>
      <w:r>
        <w:t>The study follows an abductive logic, combining deductive and inductive elements as is typical of pragmatist mixed methods. The survey operationalises established constructs, such as the Warwick-Edinburgh Mental Well-being Scale, to test theory-driven relationships, while the interviews build understanding inductively from participants’ own accounts. As Gray (2021) notes, the line between induction and deduction is rarely clean in mixed methods work, and this combination suits the aim of generating grounded insight into an under-explored context.</w:t>
      </w:r>
    </w:p>
    <w:p w14:paraId="03098C40" w14:textId="77777777" w:rsidR="008830C9" w:rsidRDefault="008830C9">
      <w:pPr>
        <w:pStyle w:val="Heading2"/>
      </w:pPr>
    </w:p>
    <w:p w14:paraId="1F723716" w14:textId="57661A3D" w:rsidR="00E33CBD" w:rsidRDefault="00000000">
      <w:pPr>
        <w:pStyle w:val="Heading2"/>
      </w:pPr>
      <w:bookmarkStart w:id="16" w:name="_Toc233319268"/>
      <w:r>
        <w:t>3.3 Research Design: Sequential Explanatory Mixed Methods</w:t>
      </w:r>
      <w:bookmarkEnd w:id="16"/>
    </w:p>
    <w:p w14:paraId="7BB8119E" w14:textId="77777777" w:rsidR="00E33CBD" w:rsidRDefault="00000000">
      <w:pPr>
        <w:spacing w:after="140"/>
        <w:jc w:val="both"/>
      </w:pPr>
      <w:r>
        <w:t>The design is sequential explanatory mixed methods (Creswell and Creswell, 2023), shown in Figure 3. Phase one (quantitative) is an online survey of SME employees. Phase two (qualitative) uses the survey findings to shape semi-structured interview questions, adding depth to the statistical patterns. This logic suits studies where the quantitative phase raises questions needing qualitative elaboration (Braun and Clarke, 2022).</w:t>
      </w:r>
    </w:p>
    <w:p w14:paraId="5F88D74D" w14:textId="77777777" w:rsidR="00E33CBD" w:rsidRDefault="00000000">
      <w:pPr>
        <w:spacing w:before="120" w:after="40"/>
        <w:jc w:val="center"/>
      </w:pPr>
      <w:r>
        <w:rPr>
          <w:noProof/>
        </w:rPr>
        <w:drawing>
          <wp:inline distT="0" distB="0" distL="0" distR="0" wp14:anchorId="49B9CFBD" wp14:editId="786360D8">
            <wp:extent cx="4191000" cy="18669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pic:nvPicPr>
                  <pic:blipFill>
                    <a:blip r:embed="rId10"/>
                    <a:stretch>
                      <a:fillRect/>
                    </a:stretch>
                  </pic:blipFill>
                  <pic:spPr>
                    <a:xfrm>
                      <a:off x="0" y="0"/>
                      <a:ext cx="4191000" cy="1866900"/>
                    </a:xfrm>
                    <a:prstGeom prst="rect">
                      <a:avLst/>
                    </a:prstGeom>
                  </pic:spPr>
                </pic:pic>
              </a:graphicData>
            </a:graphic>
          </wp:inline>
        </w:drawing>
      </w:r>
    </w:p>
    <w:p w14:paraId="1FB89D62" w14:textId="77777777" w:rsidR="00E33CBD" w:rsidRDefault="00000000">
      <w:pPr>
        <w:spacing w:after="200"/>
        <w:jc w:val="center"/>
      </w:pPr>
      <w:r>
        <w:rPr>
          <w:i/>
          <w:iCs/>
          <w:color w:val="000000"/>
          <w:sz w:val="20"/>
          <w:szCs w:val="20"/>
        </w:rPr>
        <w:t>Figure 3. Sequential explanatory mixed methods design (adapted from Creswell and Creswell, 2023).</w:t>
      </w:r>
    </w:p>
    <w:p w14:paraId="64D60254" w14:textId="77777777" w:rsidR="007175CA" w:rsidRDefault="007175CA">
      <w:pPr>
        <w:pStyle w:val="Heading2"/>
      </w:pPr>
    </w:p>
    <w:p w14:paraId="087A8E79" w14:textId="0DCF4D52" w:rsidR="00E33CBD" w:rsidRDefault="00000000">
      <w:pPr>
        <w:pStyle w:val="Heading2"/>
      </w:pPr>
      <w:bookmarkStart w:id="17" w:name="_Toc233319269"/>
      <w:r>
        <w:t>3.4 Data Collection Methods</w:t>
      </w:r>
      <w:bookmarkEnd w:id="17"/>
    </w:p>
    <w:p w14:paraId="60B87193" w14:textId="77777777" w:rsidR="00E33CBD" w:rsidRDefault="00000000">
      <w:pPr>
        <w:pStyle w:val="Heading3"/>
      </w:pPr>
      <w:bookmarkStart w:id="18" w:name="_Toc233319270"/>
      <w:r>
        <w:t>3.4.1 Phase 1 – Structured Questionnaire Survey</w:t>
      </w:r>
      <w:bookmarkEnd w:id="18"/>
    </w:p>
    <w:p w14:paraId="1EEA0865" w14:textId="77777777" w:rsidR="00E33CBD" w:rsidRDefault="00000000">
      <w:pPr>
        <w:spacing w:after="140"/>
        <w:jc w:val="both"/>
      </w:pPr>
      <w:r>
        <w:t>An online questionnaire (LimeSurvey) will be distributed via professional networks (LinkedIn) and direct email to SME managers who cascade it to staff. It combines three validated instruments: the Warwick-Edinburgh Mental Well-being Scale (WEMWBS) (Stewart-Brown et al., 2009); a Remote Work Productivity Index adapted from Bloom et al. (2015); and a Remote Work Quality Scale adapted from Eurofound (2020), all using 5-point Likert items. Demographic items (sector, role level, SME size, remote frequency) are also captured. The target is 60 valid responses over six weeks, meeting Pallant’s (2020) minimum of 50 cases for exploratory regression. To keep the sample adequate, the regression will include no more than four predictors, consistent with the rule of roughly 10 to 15 cases per predictor (Field, 2024). Relying on validated, widely used instruments also supports reliability and validity, since these scales are tested for internal consistency and construct validity.</w:t>
      </w:r>
    </w:p>
    <w:p w14:paraId="63A7B4A9" w14:textId="77777777" w:rsidR="007175CA" w:rsidRDefault="007175CA">
      <w:pPr>
        <w:pStyle w:val="Heading3"/>
      </w:pPr>
    </w:p>
    <w:p w14:paraId="1350C510" w14:textId="01242B8F" w:rsidR="00E33CBD" w:rsidRDefault="00000000">
      <w:pPr>
        <w:pStyle w:val="Heading3"/>
      </w:pPr>
      <w:bookmarkStart w:id="19" w:name="_Toc233319271"/>
      <w:r>
        <w:lastRenderedPageBreak/>
        <w:t>3.4.2 Phase 2 – Semi-Structured Interviews</w:t>
      </w:r>
      <w:bookmarkEnd w:id="19"/>
    </w:p>
    <w:p w14:paraId="1CA4BD66" w14:textId="77777777" w:rsidR="00E33CBD" w:rsidRDefault="00000000">
      <w:pPr>
        <w:spacing w:after="140"/>
        <w:jc w:val="both"/>
      </w:pPr>
      <w:r>
        <w:t>Six to eight interviews will be held via Microsoft Teams with purposively selected phase-one participants, varying by sector, role and well-being score. Semi-structured interviews allow flexible yet focused exploration of participant accounts, balancing structure with the freedom to follow up unexpected issues (Flick, 2023; Silverman, 2024). Interviews will be audio-recorded with consent, transcribed verbatim and analysed thematically.</w:t>
      </w:r>
    </w:p>
    <w:p w14:paraId="7702A993" w14:textId="77777777" w:rsidR="00E33CBD" w:rsidRDefault="00000000">
      <w:pPr>
        <w:pStyle w:val="Heading2"/>
      </w:pPr>
      <w:bookmarkStart w:id="20" w:name="_Toc233319272"/>
      <w:r>
        <w:t>3.5 Population and Sampling</w:t>
      </w:r>
      <w:bookmarkEnd w:id="20"/>
    </w:p>
    <w:p w14:paraId="3C305D18" w14:textId="77777777" w:rsidR="00E33CBD" w:rsidRDefault="00000000">
      <w:pPr>
        <w:spacing w:after="140"/>
        <w:jc w:val="both"/>
      </w:pPr>
      <w:r>
        <w:t>The target population is employees who currently work, or recently worked, remotely or in hybrid mode in a UK SME (fewer than 250 employees). Phase one uses convenience sampling through LinkedIn and SME networks, supported by snowball sampling; phase two uses purposive sampling to ensure diversity. These choices suit exploratory, cross-sectional research at this scale (Robson and McCartan, 2024). These non-probability methods limit statistical generalisability but are realistic for a small-scale undergraduate study working to a fixed timeline without a national sampling frame.</w:t>
      </w:r>
    </w:p>
    <w:p w14:paraId="267042C1" w14:textId="77777777" w:rsidR="00E33CBD" w:rsidRDefault="00000000">
      <w:pPr>
        <w:pStyle w:val="Heading2"/>
      </w:pPr>
      <w:bookmarkStart w:id="21" w:name="_Toc233319273"/>
      <w:r>
        <w:t>3.6 Data Analysis</w:t>
      </w:r>
      <w:bookmarkEnd w:id="21"/>
    </w:p>
    <w:p w14:paraId="3BBDA235" w14:textId="77777777" w:rsidR="00E33CBD" w:rsidRDefault="00000000">
      <w:pPr>
        <w:spacing w:after="140"/>
        <w:jc w:val="both"/>
      </w:pPr>
      <w:r>
        <w:t>Quantitative data will be analysed in IBM SPSS. Descriptive statistics will profile the sample, and Pearson correlation and multiple linear regression will test relationships between remote working frequency, well-being and productivity while controlling for demographics. Qualitative data will be analysed using Braun and Clarke’s (2022) six-phase reflexive thematic analysis (familiarisation; coding; constructing themes; reviewing; defining; writing up), organised in NVivo 14. Reflexive thematic analysis was chosen over alternatives such as grounded theory or phenomenology because the aim is to interpret patterned meaning rather than build a formal theory. The two strands are integrated at the interpretation stage, where themes contextualise the statistical associations.</w:t>
      </w:r>
    </w:p>
    <w:p w14:paraId="750498A7" w14:textId="77777777" w:rsidR="00E33CBD" w:rsidRDefault="00000000">
      <w:pPr>
        <w:pStyle w:val="Heading2"/>
      </w:pPr>
      <w:bookmarkStart w:id="22" w:name="_Toc233319274"/>
      <w:r>
        <w:t>3.7 Ethical Considerations</w:t>
      </w:r>
      <w:bookmarkEnd w:id="22"/>
    </w:p>
    <w:p w14:paraId="4C6130DC" w14:textId="77777777" w:rsidR="00E33CBD" w:rsidRDefault="00000000">
      <w:pPr>
        <w:spacing w:after="140"/>
        <w:jc w:val="both"/>
      </w:pPr>
      <w:r>
        <w:t>Ethical approval will be sought from the UWTSD ethics committee before any data is collected. As Denzin and Lincoln (2023) argue, sound ethical process is integral to research quality, not a formality. Participation is voluntary, no employer will see individual responses, and only aggregate data will be shared with organisations. A full summary appears in Appendix A.</w:t>
      </w:r>
    </w:p>
    <w:p w14:paraId="4F92443A" w14:textId="77777777" w:rsidR="008830C9" w:rsidRDefault="008830C9">
      <w:pPr>
        <w:pStyle w:val="Heading2"/>
      </w:pPr>
    </w:p>
    <w:p w14:paraId="5673435A" w14:textId="77777777" w:rsidR="008830C9" w:rsidRDefault="008830C9">
      <w:pPr>
        <w:pStyle w:val="Heading2"/>
      </w:pPr>
    </w:p>
    <w:p w14:paraId="479C3ADE" w14:textId="39503E50" w:rsidR="00E33CBD" w:rsidRDefault="00000000">
      <w:pPr>
        <w:pStyle w:val="Heading2"/>
      </w:pPr>
      <w:bookmarkStart w:id="23" w:name="_Toc233319275"/>
      <w:r>
        <w:t>3.8 Limitations and Mitigation</w:t>
      </w:r>
      <w:bookmarkEnd w:id="23"/>
    </w:p>
    <w:p w14:paraId="4F8B3369" w14:textId="77777777" w:rsidR="00E33CBD" w:rsidRDefault="00000000">
      <w:pPr>
        <w:pStyle w:val="ListParagraph"/>
        <w:numPr>
          <w:ilvl w:val="0"/>
          <w:numId w:val="3"/>
        </w:numPr>
        <w:spacing w:after="100"/>
      </w:pPr>
      <w:r>
        <w:t>Sample size: 60 responses limits statistical power; triangulation with interview data compensates.</w:t>
      </w:r>
    </w:p>
    <w:p w14:paraId="2A40180A" w14:textId="77777777" w:rsidR="00E33CBD" w:rsidRDefault="00000000">
      <w:pPr>
        <w:pStyle w:val="ListParagraph"/>
        <w:numPr>
          <w:ilvl w:val="0"/>
          <w:numId w:val="3"/>
        </w:numPr>
        <w:spacing w:after="100"/>
      </w:pPr>
      <w:r>
        <w:t>Self-report bias: respondents may over- or under-report; validated scales and guaranteed anonymity reduce this (Robson and McCartan, 2024).</w:t>
      </w:r>
    </w:p>
    <w:p w14:paraId="77E709C0" w14:textId="77777777" w:rsidR="00E33CBD" w:rsidRDefault="00000000">
      <w:pPr>
        <w:pStyle w:val="ListParagraph"/>
        <w:numPr>
          <w:ilvl w:val="0"/>
          <w:numId w:val="3"/>
        </w:numPr>
        <w:spacing w:after="100"/>
      </w:pPr>
      <w:r>
        <w:t>Common method bias: gathering predictor and outcome measures from the same self-report survey can inflate the relationships observed; varying item wording and response formats, and triangulating with interview data, help to limit it (Saunders et al., 2023).</w:t>
      </w:r>
    </w:p>
    <w:p w14:paraId="756E0DF2" w14:textId="77777777" w:rsidR="00E33CBD" w:rsidRDefault="00000000">
      <w:pPr>
        <w:pStyle w:val="ListParagraph"/>
        <w:numPr>
          <w:ilvl w:val="0"/>
          <w:numId w:val="3"/>
        </w:numPr>
        <w:spacing w:after="100"/>
      </w:pPr>
      <w:r>
        <w:t>Social desirability bias: participants may answer in line with what they think is expected; anonymous, self-administered online completion reduces this pressure (Robson and McCartan, 2024).</w:t>
      </w:r>
    </w:p>
    <w:p w14:paraId="1A19FF38" w14:textId="77777777" w:rsidR="00E33CBD" w:rsidRDefault="00000000">
      <w:pPr>
        <w:pStyle w:val="ListParagraph"/>
        <w:numPr>
          <w:ilvl w:val="0"/>
          <w:numId w:val="3"/>
        </w:numPr>
        <w:spacing w:after="100"/>
      </w:pPr>
      <w:r>
        <w:t>Convenience sampling: findings are indicative, not statistically generalisable; transferability is the appropriate standard (Lincoln and Guba, 1985, cited in Bryman and Bell, 2023).</w:t>
      </w:r>
    </w:p>
    <w:p w14:paraId="7260B605" w14:textId="77777777" w:rsidR="00E33CBD" w:rsidRDefault="00000000">
      <w:pPr>
        <w:pStyle w:val="ListParagraph"/>
        <w:numPr>
          <w:ilvl w:val="0"/>
          <w:numId w:val="3"/>
        </w:numPr>
        <w:spacing w:after="100"/>
      </w:pPr>
      <w:r>
        <w:t>Cross-sectional design: a single time point cannot establish causality, so the study is framed as exploratory.</w:t>
      </w:r>
    </w:p>
    <w:p w14:paraId="0333E43E" w14:textId="77777777" w:rsidR="002D5028" w:rsidRDefault="002D5028">
      <w:pPr>
        <w:pStyle w:val="Heading1"/>
      </w:pPr>
    </w:p>
    <w:p w14:paraId="2406E4BB" w14:textId="55995B3B" w:rsidR="00E33CBD" w:rsidRDefault="00000000">
      <w:pPr>
        <w:pStyle w:val="Heading1"/>
      </w:pPr>
      <w:bookmarkStart w:id="24" w:name="_Toc233319276"/>
      <w:r>
        <w:t>4. Project Plan and Timelin</w:t>
      </w:r>
      <w:r w:rsidR="00384B88">
        <w:t>e</w:t>
      </w:r>
      <w:bookmarkEnd w:id="24"/>
    </w:p>
    <w:p w14:paraId="37819175" w14:textId="77777777" w:rsidR="00E33CBD" w:rsidRDefault="00000000">
      <w:pPr>
        <w:spacing w:after="140"/>
        <w:jc w:val="both"/>
      </w:pPr>
      <w:r>
        <w:t>The study runs over roughly ten weeks from April to July 2026, aligned with the module schedule. The milestone-based plan reserves reading week for consolidating the literature and front-loads ethical approval and the literature review, so that data collection, the most time-sensitive stage, keeps a realistic six-week window. Figure 4 presents the Gantt chart, and the key milestones and target dates are summarised in Appendix B.</w:t>
      </w:r>
    </w:p>
    <w:p w14:paraId="00B5FFD6" w14:textId="711BA12A" w:rsidR="00E33CBD" w:rsidRDefault="00000000">
      <w:pPr>
        <w:spacing w:after="140"/>
        <w:jc w:val="both"/>
      </w:pPr>
      <w:r>
        <w:t>Key dates anchor the plan. Ethical approval will be secured by the end of Week 2, the literature review completed by Week 4, and the questionnaire finalised by Week 5. Data collection then runs across Weeks 6 to 8 and targets 60 responses, with interviews held in Weeks 7 and 8. Analysis and writing fall in Weeks 8 and 9, ahead of the written proposal deadline on 26 Jun</w:t>
      </w:r>
      <w:r w:rsidR="00665E36">
        <w:t>e</w:t>
      </w:r>
      <w:r>
        <w:t xml:space="preserve"> </w:t>
      </w:r>
      <w:r>
        <w:lastRenderedPageBreak/>
        <w:t>2026, and the presentation follows in the week beginning 6 July 2026. Building slack aroun</w:t>
      </w:r>
      <w:r w:rsidR="00914A0D">
        <w:t>d</w:t>
      </w:r>
      <w:r>
        <w:t xml:space="preserve"> recruitment guards against slow responses, a common risk at this scale.</w:t>
      </w:r>
    </w:p>
    <w:p w14:paraId="61246F69" w14:textId="77777777" w:rsidR="00E33CBD" w:rsidRDefault="00000000">
      <w:pPr>
        <w:spacing w:before="120" w:after="40"/>
        <w:jc w:val="center"/>
      </w:pPr>
      <w:r>
        <w:rPr>
          <w:noProof/>
        </w:rPr>
        <w:drawing>
          <wp:inline distT="0" distB="0" distL="0" distR="0" wp14:anchorId="178740D9" wp14:editId="3ACF7A68">
            <wp:extent cx="4191000" cy="203835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pic:nvPicPr>
                  <pic:blipFill>
                    <a:blip r:embed="rId11"/>
                    <a:stretch>
                      <a:fillRect/>
                    </a:stretch>
                  </pic:blipFill>
                  <pic:spPr>
                    <a:xfrm>
                      <a:off x="0" y="0"/>
                      <a:ext cx="4191000" cy="2038350"/>
                    </a:xfrm>
                    <a:prstGeom prst="rect">
                      <a:avLst/>
                    </a:prstGeom>
                  </pic:spPr>
                </pic:pic>
              </a:graphicData>
            </a:graphic>
          </wp:inline>
        </w:drawing>
      </w:r>
    </w:p>
    <w:p w14:paraId="4DD2F19A" w14:textId="77777777" w:rsidR="00E33CBD" w:rsidRDefault="00000000">
      <w:pPr>
        <w:spacing w:after="200"/>
        <w:jc w:val="center"/>
      </w:pPr>
      <w:r>
        <w:rPr>
          <w:i/>
          <w:iCs/>
          <w:color w:val="000000"/>
          <w:sz w:val="20"/>
          <w:szCs w:val="20"/>
        </w:rPr>
        <w:t>Figure 4. Project Gantt chart, April to July 2026.</w:t>
      </w:r>
    </w:p>
    <w:p w14:paraId="308B79D0" w14:textId="77777777" w:rsidR="00E33CBD" w:rsidRDefault="00000000">
      <w:r>
        <w:br w:type="page"/>
      </w:r>
    </w:p>
    <w:p w14:paraId="71CCE45F" w14:textId="77777777" w:rsidR="00E33CBD" w:rsidRDefault="00000000">
      <w:pPr>
        <w:pStyle w:val="Heading1"/>
      </w:pPr>
      <w:bookmarkStart w:id="25" w:name="_Toc233319277"/>
      <w:r>
        <w:lastRenderedPageBreak/>
        <w:t>Reference List</w:t>
      </w:r>
      <w:bookmarkEnd w:id="25"/>
    </w:p>
    <w:p w14:paraId="5C61F91C" w14:textId="77777777" w:rsidR="00E33CBD" w:rsidRDefault="00000000">
      <w:pPr>
        <w:spacing w:after="120"/>
        <w:ind w:left="360" w:hanging="360"/>
        <w:jc w:val="both"/>
      </w:pPr>
      <w:r>
        <w:rPr>
          <w:sz w:val="22"/>
          <w:szCs w:val="22"/>
        </w:rPr>
        <w:t>Bakker, A.B. and Demerouti, E. (2007) ‘The job demands-resources model: state of the art’, Journal of Managerial Psychology, 22(3), pp. 309–328.</w:t>
      </w:r>
    </w:p>
    <w:p w14:paraId="359E96E4" w14:textId="77777777" w:rsidR="00E33CBD" w:rsidRDefault="00000000">
      <w:pPr>
        <w:spacing w:after="120"/>
        <w:ind w:left="360" w:hanging="360"/>
        <w:jc w:val="both"/>
      </w:pPr>
      <w:r>
        <w:rPr>
          <w:sz w:val="22"/>
          <w:szCs w:val="22"/>
        </w:rPr>
        <w:t>Begemann, V., Handke, L. and Lehmann-Willenbrock, N. (2024) ‘Enabling and constraining factors of remote informal communication: a socio-technical systems perspective’, Journal of Computer-Mediated Communication, 29(5), zmae008.</w:t>
      </w:r>
    </w:p>
    <w:p w14:paraId="200F7C00" w14:textId="77777777" w:rsidR="00E33CBD" w:rsidRDefault="00000000">
      <w:pPr>
        <w:spacing w:after="120"/>
        <w:ind w:left="360" w:hanging="360"/>
        <w:jc w:val="both"/>
      </w:pPr>
      <w:r>
        <w:rPr>
          <w:sz w:val="22"/>
          <w:szCs w:val="22"/>
        </w:rPr>
        <w:t>Bloom, N., Liang, J., Roberts, J. and Ying, Z.J. (2015) ‘Does working from home work? Evidence from a Chinese experiment’, Quarterly Journal of Economics, 130(1), pp. 165–218.</w:t>
      </w:r>
    </w:p>
    <w:p w14:paraId="0D14D74E" w14:textId="77777777" w:rsidR="00E33CBD" w:rsidRDefault="00000000">
      <w:pPr>
        <w:spacing w:after="120"/>
        <w:ind w:left="360" w:hanging="360"/>
        <w:jc w:val="both"/>
      </w:pPr>
      <w:r>
        <w:rPr>
          <w:sz w:val="22"/>
          <w:szCs w:val="22"/>
        </w:rPr>
        <w:t>Braun, V. and Clarke, V. (2022) Thematic Analysis: A Practical Guide. London: SAGE.</w:t>
      </w:r>
    </w:p>
    <w:p w14:paraId="739493DD" w14:textId="77777777" w:rsidR="00E33CBD" w:rsidRDefault="00000000">
      <w:pPr>
        <w:spacing w:after="120"/>
        <w:ind w:left="360" w:hanging="360"/>
        <w:jc w:val="both"/>
      </w:pPr>
      <w:r>
        <w:rPr>
          <w:sz w:val="22"/>
          <w:szCs w:val="22"/>
        </w:rPr>
        <w:t>Bryman, A. and Bell, E. (2023) Business Research Methods. 5th edn. Oxford: Oxford University Press.</w:t>
      </w:r>
    </w:p>
    <w:p w14:paraId="25F97EE5" w14:textId="77777777" w:rsidR="00E33CBD" w:rsidRDefault="00000000">
      <w:pPr>
        <w:spacing w:after="120"/>
        <w:ind w:left="360" w:hanging="360"/>
        <w:jc w:val="both"/>
      </w:pPr>
      <w:r>
        <w:rPr>
          <w:sz w:val="22"/>
          <w:szCs w:val="22"/>
        </w:rPr>
        <w:t>Chung, H., Birkett, H., Forbes, S. and Seo, H. (2021) ‘COVID-19, flexible working, and implications for gender equality in the United Kingdom’, Gender &amp; Society, 35(2), pp. 218–232.</w:t>
      </w:r>
    </w:p>
    <w:p w14:paraId="6F85E989" w14:textId="77777777" w:rsidR="00E33CBD" w:rsidRDefault="00000000">
      <w:pPr>
        <w:spacing w:after="120"/>
        <w:ind w:left="360" w:hanging="360"/>
        <w:jc w:val="both"/>
      </w:pPr>
      <w:r>
        <w:rPr>
          <w:sz w:val="22"/>
          <w:szCs w:val="22"/>
        </w:rPr>
        <w:t>Creswell, J.W. and Creswell, J.D. (2023) Research Design: Qualitative, Quantitative and Mixed Methods Approaches. 6th edn. London: SAGE.</w:t>
      </w:r>
    </w:p>
    <w:p w14:paraId="7F5D1E82" w14:textId="77777777" w:rsidR="00E33CBD" w:rsidRDefault="00000000">
      <w:pPr>
        <w:spacing w:after="120"/>
        <w:ind w:left="360" w:hanging="360"/>
        <w:jc w:val="both"/>
      </w:pPr>
      <w:r>
        <w:rPr>
          <w:sz w:val="22"/>
          <w:szCs w:val="22"/>
        </w:rPr>
        <w:t>Denzin, N.K. and Lincoln, Y.S. (eds.) (2023) The SAGE Handbook of Qualitative Research. 6th edn. Thousand Oaks: SAGE.</w:t>
      </w:r>
    </w:p>
    <w:p w14:paraId="32685717" w14:textId="77777777" w:rsidR="00E33CBD" w:rsidRDefault="00000000">
      <w:pPr>
        <w:spacing w:after="120"/>
        <w:ind w:left="360" w:hanging="360"/>
        <w:jc w:val="both"/>
      </w:pPr>
      <w:r>
        <w:rPr>
          <w:sz w:val="22"/>
          <w:szCs w:val="22"/>
        </w:rPr>
        <w:t>Department for Business and Trade (2023) Business Population Estimates for the UK and Regions 2023. London: Department for Business and Trade.</w:t>
      </w:r>
    </w:p>
    <w:p w14:paraId="67E1DC8D" w14:textId="77777777" w:rsidR="00E33CBD" w:rsidRDefault="00000000">
      <w:pPr>
        <w:spacing w:after="120"/>
        <w:ind w:left="360" w:hanging="360"/>
        <w:jc w:val="both"/>
      </w:pPr>
      <w:r>
        <w:rPr>
          <w:sz w:val="22"/>
          <w:szCs w:val="22"/>
        </w:rPr>
        <w:t>Eurofound (2020) Telework and ICT-based Mobile Work: Flexible Working in the Digital Age. Luxembourg: Publications Office of the European Union.</w:t>
      </w:r>
    </w:p>
    <w:p w14:paraId="5ED70D33" w14:textId="77777777" w:rsidR="00E33CBD" w:rsidRDefault="00000000">
      <w:pPr>
        <w:spacing w:after="120"/>
        <w:ind w:left="360" w:hanging="360"/>
        <w:jc w:val="both"/>
      </w:pPr>
      <w:r>
        <w:rPr>
          <w:sz w:val="22"/>
          <w:szCs w:val="22"/>
        </w:rPr>
        <w:t>Felstead, A. and Henseke, G. (2017) ‘Assessing the growth of remote working and its consequences for effort, well-being and work–life balance’, New Technology, Work and Employment, 32(3), pp. 195–212.</w:t>
      </w:r>
    </w:p>
    <w:p w14:paraId="7B2240A7" w14:textId="77777777" w:rsidR="00E33CBD" w:rsidRDefault="00000000">
      <w:pPr>
        <w:spacing w:after="120"/>
        <w:ind w:left="360" w:hanging="360"/>
        <w:jc w:val="both"/>
      </w:pPr>
      <w:r>
        <w:rPr>
          <w:sz w:val="22"/>
          <w:szCs w:val="22"/>
        </w:rPr>
        <w:t>Field, A. (2024) Discovering Statistics Using IBM SPSS Statistics. 6th edn. London: SAGE.</w:t>
      </w:r>
    </w:p>
    <w:p w14:paraId="6C1752C8" w14:textId="77777777" w:rsidR="00E33CBD" w:rsidRDefault="00000000">
      <w:pPr>
        <w:spacing w:after="120"/>
        <w:ind w:left="360" w:hanging="360"/>
        <w:jc w:val="both"/>
      </w:pPr>
      <w:r>
        <w:rPr>
          <w:sz w:val="22"/>
          <w:szCs w:val="22"/>
        </w:rPr>
        <w:t>Flick, U. (2023) An Introduction to Qualitative Research. 7th edn. London: SAGE.</w:t>
      </w:r>
    </w:p>
    <w:p w14:paraId="55CFB61F" w14:textId="77777777" w:rsidR="00E33CBD" w:rsidRDefault="00000000">
      <w:pPr>
        <w:spacing w:after="120"/>
        <w:ind w:left="360" w:hanging="360"/>
        <w:jc w:val="both"/>
      </w:pPr>
      <w:r>
        <w:rPr>
          <w:sz w:val="22"/>
          <w:szCs w:val="22"/>
        </w:rPr>
        <w:t>Gray, D.E. (2021) Doing Research in the Real World. 5th edn. London: SAGE.</w:t>
      </w:r>
    </w:p>
    <w:p w14:paraId="1C8A99A8" w14:textId="77777777" w:rsidR="00E33CBD" w:rsidRDefault="00000000">
      <w:pPr>
        <w:spacing w:after="120"/>
        <w:ind w:left="360" w:hanging="360"/>
        <w:jc w:val="both"/>
      </w:pPr>
      <w:r>
        <w:rPr>
          <w:sz w:val="22"/>
          <w:szCs w:val="22"/>
        </w:rPr>
        <w:t>Luse, A., McElroy, J.C., Townsend, A.M. and DeMarie, S. (2013) ‘Personality and cognitive style as predictors of preference for working in virtual teams’, Computers in Human Behavior, 29(4), pp. 1825–1832.</w:t>
      </w:r>
    </w:p>
    <w:p w14:paraId="0C358612" w14:textId="77777777" w:rsidR="00E33CBD" w:rsidRDefault="00000000">
      <w:pPr>
        <w:spacing w:after="120"/>
        <w:ind w:left="360" w:hanging="360"/>
        <w:jc w:val="both"/>
      </w:pPr>
      <w:r>
        <w:rPr>
          <w:sz w:val="22"/>
          <w:szCs w:val="22"/>
        </w:rPr>
        <w:t>Pallant, J. (2020) SPSS Survival Manual: A Step-by-Step Guide to Data Analysis Using IBM SPSS. 7th edn. Maidenhead: McGraw-Hill.</w:t>
      </w:r>
    </w:p>
    <w:p w14:paraId="7C651150" w14:textId="77777777" w:rsidR="00E33CBD" w:rsidRDefault="00000000">
      <w:pPr>
        <w:spacing w:after="120"/>
        <w:ind w:left="360" w:hanging="360"/>
        <w:jc w:val="both"/>
      </w:pPr>
      <w:r>
        <w:rPr>
          <w:sz w:val="22"/>
          <w:szCs w:val="22"/>
        </w:rPr>
        <w:lastRenderedPageBreak/>
        <w:t>Robson, C. and McCartan, K. (2024) Real World Research. 5th edn. Chichester: Wiley.</w:t>
      </w:r>
    </w:p>
    <w:p w14:paraId="4C5633C8" w14:textId="77777777" w:rsidR="00E33CBD" w:rsidRDefault="00000000">
      <w:pPr>
        <w:spacing w:after="120"/>
        <w:ind w:left="360" w:hanging="360"/>
        <w:jc w:val="both"/>
      </w:pPr>
      <w:r>
        <w:rPr>
          <w:sz w:val="22"/>
          <w:szCs w:val="22"/>
        </w:rPr>
        <w:t>Ryan, R.M. and Deci, E.L. (2001) ‘On happiness and human potentials: a review of research on hedonic and eudaimonic well-being’, Annual Review of Psychology, 52, pp. 141–166.</w:t>
      </w:r>
    </w:p>
    <w:p w14:paraId="220D53F4" w14:textId="77777777" w:rsidR="00E33CBD" w:rsidRDefault="00000000">
      <w:pPr>
        <w:spacing w:after="120"/>
        <w:ind w:left="360" w:hanging="360"/>
        <w:jc w:val="both"/>
      </w:pPr>
      <w:r>
        <w:rPr>
          <w:sz w:val="22"/>
          <w:szCs w:val="22"/>
        </w:rPr>
        <w:t>Saunders, M.N.K., Lewis, P. and Thornhill, A. (2023) Research Methods for Business Students. 9th edn. Harlow: Pearson.</w:t>
      </w:r>
    </w:p>
    <w:p w14:paraId="745A7860" w14:textId="77777777" w:rsidR="00E33CBD" w:rsidRDefault="00000000">
      <w:pPr>
        <w:spacing w:after="120"/>
        <w:ind w:left="360" w:hanging="360"/>
        <w:jc w:val="both"/>
      </w:pPr>
      <w:r>
        <w:rPr>
          <w:sz w:val="22"/>
          <w:szCs w:val="22"/>
        </w:rPr>
        <w:t>Scotland, J. (2012) ‘Exploring the philosophical underpinnings of research’, English Language Teaching, 5(9), pp. 9–16.</w:t>
      </w:r>
    </w:p>
    <w:p w14:paraId="4DC8F8AE" w14:textId="77777777" w:rsidR="00E33CBD" w:rsidRDefault="00000000">
      <w:pPr>
        <w:spacing w:after="120"/>
        <w:ind w:left="360" w:hanging="360"/>
        <w:jc w:val="both"/>
      </w:pPr>
      <w:r>
        <w:rPr>
          <w:sz w:val="22"/>
          <w:szCs w:val="22"/>
        </w:rPr>
        <w:t>Silverman, D. (2024) Doing Qualitative Research: A Practical Handbook. 6th edn. London: SAGE.</w:t>
      </w:r>
    </w:p>
    <w:p w14:paraId="31F90427" w14:textId="77777777" w:rsidR="00E33CBD" w:rsidRDefault="00000000">
      <w:pPr>
        <w:spacing w:after="120"/>
        <w:ind w:left="360" w:hanging="360"/>
        <w:jc w:val="both"/>
      </w:pPr>
      <w:r>
        <w:rPr>
          <w:sz w:val="22"/>
          <w:szCs w:val="22"/>
        </w:rPr>
        <w:t>Stewart-Brown, S., Tennant, A., Tennant, R., Platt, S., Parkinson, J. and Weich, S. (2009) ‘Internal construct validity of the Warwick-Edinburgh Mental Well-being Scale (WEMWBS)’, Health and Quality of Life Outcomes, 7(15), pp. 1–8.</w:t>
      </w:r>
    </w:p>
    <w:p w14:paraId="392116F2" w14:textId="77777777" w:rsidR="00E33CBD" w:rsidRDefault="00000000">
      <w:pPr>
        <w:spacing w:after="120"/>
        <w:ind w:left="360" w:hanging="360"/>
        <w:jc w:val="both"/>
      </w:pPr>
      <w:r>
        <w:rPr>
          <w:sz w:val="22"/>
          <w:szCs w:val="22"/>
        </w:rPr>
        <w:t>Tashakkori, A., Johnson, R.B. and Teddlie, C. (2020) Foundations of Mixed Methods Research. 2nd edn. London: SAGE.</w:t>
      </w:r>
    </w:p>
    <w:p w14:paraId="457A2665" w14:textId="77777777" w:rsidR="00E33CBD" w:rsidRDefault="00000000">
      <w:pPr>
        <w:spacing w:after="120"/>
        <w:ind w:left="360" w:hanging="360"/>
        <w:jc w:val="both"/>
      </w:pPr>
      <w:r>
        <w:rPr>
          <w:sz w:val="22"/>
          <w:szCs w:val="22"/>
        </w:rPr>
        <w:t>Teevan, J., Baym, N., Butler, J., Hecht, B., Jaffe, S., Nowak, K., Sellen, A. and Yang, L. (2022) Microsoft New Future of Work Report 2022. Microsoft Research. Available at: https://www.microsoft.com/en-us/research/publication/microsoft-new-future-of-work-report-2022/ (Accessed: 1 March 2026).</w:t>
      </w:r>
    </w:p>
    <w:p w14:paraId="7A1FBA6B" w14:textId="77777777" w:rsidR="00E33CBD" w:rsidRDefault="00000000">
      <w:pPr>
        <w:spacing w:after="120"/>
        <w:ind w:left="360" w:hanging="360"/>
        <w:jc w:val="both"/>
      </w:pPr>
      <w:r>
        <w:rPr>
          <w:sz w:val="22"/>
          <w:szCs w:val="22"/>
        </w:rPr>
        <w:t>Warr, P. (1987) Work, Unemployment, and Mental Health. Oxford: Clarendon Press.</w:t>
      </w:r>
    </w:p>
    <w:p w14:paraId="2E3F90E2" w14:textId="77777777" w:rsidR="00E33CBD" w:rsidRDefault="00000000">
      <w:r>
        <w:br w:type="page"/>
      </w:r>
    </w:p>
    <w:p w14:paraId="57A60B3C" w14:textId="77777777" w:rsidR="00E33CBD" w:rsidRDefault="00000000">
      <w:pPr>
        <w:pStyle w:val="Heading1"/>
      </w:pPr>
      <w:bookmarkStart w:id="26" w:name="_Toc233319278"/>
      <w:r>
        <w:lastRenderedPageBreak/>
        <w:t>Appendix A – Ethical Considerations Summary</w:t>
      </w:r>
      <w:bookmarkEnd w:id="26"/>
    </w:p>
    <w:p w14:paraId="1809F489" w14:textId="77777777" w:rsidR="00E33CBD" w:rsidRDefault="00000000">
      <w:pPr>
        <w:spacing w:after="140"/>
        <w:jc w:val="both"/>
      </w:pPr>
      <w:r>
        <w:t>The table below summarises the ethical principles governing the study, consistent with UWTSD guidelines and the framework discussed by Denzin and Lincoln (2023).</w:t>
      </w:r>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3200"/>
        <w:gridCol w:w="5826"/>
      </w:tblGrid>
      <w:tr w:rsidR="00E33CBD" w14:paraId="2E57C5B0" w14:textId="77777777">
        <w:trPr>
          <w:tblHeader/>
        </w:trPr>
        <w:tc>
          <w:tcPr>
            <w:tcW w:w="3200" w:type="dxa"/>
            <w:tcBorders>
              <w:top w:val="single" w:sz="4" w:space="0" w:color="808080"/>
              <w:left w:val="single" w:sz="4" w:space="0" w:color="808080"/>
              <w:bottom w:val="single" w:sz="4" w:space="0" w:color="808080"/>
              <w:right w:val="single" w:sz="4" w:space="0" w:color="808080"/>
            </w:tcBorders>
            <w:shd w:val="clear" w:color="auto" w:fill="404040"/>
            <w:tcMar>
              <w:top w:w="60" w:type="dxa"/>
              <w:left w:w="110" w:type="dxa"/>
              <w:bottom w:w="60" w:type="dxa"/>
              <w:right w:w="110" w:type="dxa"/>
            </w:tcMar>
            <w:vAlign w:val="center"/>
          </w:tcPr>
          <w:p w14:paraId="50F6E949" w14:textId="77777777" w:rsidR="00E33CBD" w:rsidRDefault="00000000">
            <w:r>
              <w:rPr>
                <w:b/>
                <w:bCs/>
                <w:color w:val="FFFFFF"/>
                <w:sz w:val="20"/>
                <w:szCs w:val="20"/>
              </w:rPr>
              <w:t>Ethical Principle</w:t>
            </w:r>
          </w:p>
        </w:tc>
        <w:tc>
          <w:tcPr>
            <w:tcW w:w="5826" w:type="dxa"/>
            <w:tcBorders>
              <w:top w:val="single" w:sz="4" w:space="0" w:color="808080"/>
              <w:left w:val="single" w:sz="4" w:space="0" w:color="808080"/>
              <w:bottom w:val="single" w:sz="4" w:space="0" w:color="808080"/>
              <w:right w:val="single" w:sz="4" w:space="0" w:color="808080"/>
            </w:tcBorders>
            <w:shd w:val="clear" w:color="auto" w:fill="404040"/>
            <w:tcMar>
              <w:top w:w="60" w:type="dxa"/>
              <w:left w:w="110" w:type="dxa"/>
              <w:bottom w:w="60" w:type="dxa"/>
              <w:right w:w="110" w:type="dxa"/>
            </w:tcMar>
            <w:vAlign w:val="center"/>
          </w:tcPr>
          <w:p w14:paraId="2B60743B" w14:textId="77777777" w:rsidR="00E33CBD" w:rsidRDefault="00000000">
            <w:r>
              <w:rPr>
                <w:b/>
                <w:bCs/>
                <w:color w:val="FFFFFF"/>
                <w:sz w:val="20"/>
                <w:szCs w:val="20"/>
              </w:rPr>
              <w:t>Action Taken</w:t>
            </w:r>
          </w:p>
        </w:tc>
      </w:tr>
      <w:tr w:rsidR="00E33CBD" w14:paraId="3F33EBDE" w14:textId="77777777">
        <w:tc>
          <w:tcPr>
            <w:tcW w:w="3200" w:type="dxa"/>
            <w:tcBorders>
              <w:top w:val="single" w:sz="4" w:space="0" w:color="808080"/>
              <w:left w:val="single" w:sz="4" w:space="0" w:color="808080"/>
              <w:bottom w:val="single" w:sz="4" w:space="0" w:color="808080"/>
              <w:right w:val="single" w:sz="4" w:space="0" w:color="808080"/>
            </w:tcBorders>
            <w:shd w:val="clear" w:color="auto" w:fill="FFFFFF"/>
            <w:tcMar>
              <w:top w:w="60" w:type="dxa"/>
              <w:left w:w="110" w:type="dxa"/>
              <w:bottom w:w="60" w:type="dxa"/>
              <w:right w:w="110" w:type="dxa"/>
            </w:tcMar>
            <w:vAlign w:val="center"/>
          </w:tcPr>
          <w:p w14:paraId="7847CB00" w14:textId="77777777" w:rsidR="00E33CBD" w:rsidRDefault="00000000">
            <w:r>
              <w:rPr>
                <w:b/>
                <w:bCs/>
                <w:color w:val="000000"/>
                <w:sz w:val="20"/>
                <w:szCs w:val="20"/>
              </w:rPr>
              <w:t>Informed consent</w:t>
            </w:r>
          </w:p>
        </w:tc>
        <w:tc>
          <w:tcPr>
            <w:tcW w:w="5826" w:type="dxa"/>
            <w:tcBorders>
              <w:top w:val="single" w:sz="4" w:space="0" w:color="808080"/>
              <w:left w:val="single" w:sz="4" w:space="0" w:color="808080"/>
              <w:bottom w:val="single" w:sz="4" w:space="0" w:color="808080"/>
              <w:right w:val="single" w:sz="4" w:space="0" w:color="808080"/>
            </w:tcBorders>
            <w:shd w:val="clear" w:color="auto" w:fill="FFFFFF"/>
            <w:tcMar>
              <w:top w:w="60" w:type="dxa"/>
              <w:left w:w="110" w:type="dxa"/>
              <w:bottom w:w="60" w:type="dxa"/>
              <w:right w:w="110" w:type="dxa"/>
            </w:tcMar>
            <w:vAlign w:val="center"/>
          </w:tcPr>
          <w:p w14:paraId="7543A593" w14:textId="77777777" w:rsidR="00E33CBD" w:rsidRDefault="00000000">
            <w:r>
              <w:rPr>
                <w:color w:val="000000"/>
                <w:sz w:val="20"/>
                <w:szCs w:val="20"/>
              </w:rPr>
              <w:t>Written information sheet provided; signed consent form completed before participation.</w:t>
            </w:r>
          </w:p>
        </w:tc>
      </w:tr>
      <w:tr w:rsidR="00E33CBD" w14:paraId="15C4560D" w14:textId="77777777">
        <w:tc>
          <w:tcPr>
            <w:tcW w:w="3200" w:type="dxa"/>
            <w:tcBorders>
              <w:top w:val="single" w:sz="4" w:space="0" w:color="808080"/>
              <w:left w:val="single" w:sz="4" w:space="0" w:color="808080"/>
              <w:bottom w:val="single" w:sz="4" w:space="0" w:color="808080"/>
              <w:right w:val="single" w:sz="4" w:space="0" w:color="808080"/>
            </w:tcBorders>
            <w:shd w:val="clear" w:color="auto" w:fill="F2F2F2"/>
            <w:tcMar>
              <w:top w:w="60" w:type="dxa"/>
              <w:left w:w="110" w:type="dxa"/>
              <w:bottom w:w="60" w:type="dxa"/>
              <w:right w:w="110" w:type="dxa"/>
            </w:tcMar>
            <w:vAlign w:val="center"/>
          </w:tcPr>
          <w:p w14:paraId="45EC7A0A" w14:textId="77777777" w:rsidR="00E33CBD" w:rsidRDefault="00000000">
            <w:r>
              <w:rPr>
                <w:b/>
                <w:bCs/>
                <w:color w:val="000000"/>
                <w:sz w:val="20"/>
                <w:szCs w:val="20"/>
              </w:rPr>
              <w:t>Confidentiality &amp; anonymity</w:t>
            </w:r>
          </w:p>
        </w:tc>
        <w:tc>
          <w:tcPr>
            <w:tcW w:w="5826" w:type="dxa"/>
            <w:tcBorders>
              <w:top w:val="single" w:sz="4" w:space="0" w:color="808080"/>
              <w:left w:val="single" w:sz="4" w:space="0" w:color="808080"/>
              <w:bottom w:val="single" w:sz="4" w:space="0" w:color="808080"/>
              <w:right w:val="single" w:sz="4" w:space="0" w:color="808080"/>
            </w:tcBorders>
            <w:shd w:val="clear" w:color="auto" w:fill="F2F2F2"/>
            <w:tcMar>
              <w:top w:w="60" w:type="dxa"/>
              <w:left w:w="110" w:type="dxa"/>
              <w:bottom w:w="60" w:type="dxa"/>
              <w:right w:w="110" w:type="dxa"/>
            </w:tcMar>
            <w:vAlign w:val="center"/>
          </w:tcPr>
          <w:p w14:paraId="1C12BC09" w14:textId="77777777" w:rsidR="00E33CBD" w:rsidRDefault="00000000">
            <w:r>
              <w:rPr>
                <w:color w:val="000000"/>
                <w:sz w:val="20"/>
                <w:szCs w:val="20"/>
              </w:rPr>
              <w:t>All data anonymised; no identifying information reported or shared with employers.</w:t>
            </w:r>
          </w:p>
        </w:tc>
      </w:tr>
      <w:tr w:rsidR="00E33CBD" w14:paraId="4B09E808" w14:textId="77777777">
        <w:tc>
          <w:tcPr>
            <w:tcW w:w="3200" w:type="dxa"/>
            <w:tcBorders>
              <w:top w:val="single" w:sz="4" w:space="0" w:color="808080"/>
              <w:left w:val="single" w:sz="4" w:space="0" w:color="808080"/>
              <w:bottom w:val="single" w:sz="4" w:space="0" w:color="808080"/>
              <w:right w:val="single" w:sz="4" w:space="0" w:color="808080"/>
            </w:tcBorders>
            <w:shd w:val="clear" w:color="auto" w:fill="FFFFFF"/>
            <w:tcMar>
              <w:top w:w="60" w:type="dxa"/>
              <w:left w:w="110" w:type="dxa"/>
              <w:bottom w:w="60" w:type="dxa"/>
              <w:right w:w="110" w:type="dxa"/>
            </w:tcMar>
            <w:vAlign w:val="center"/>
          </w:tcPr>
          <w:p w14:paraId="2825EDB7" w14:textId="77777777" w:rsidR="00E33CBD" w:rsidRDefault="00000000">
            <w:r>
              <w:rPr>
                <w:b/>
                <w:bCs/>
                <w:color w:val="000000"/>
                <w:sz w:val="20"/>
                <w:szCs w:val="20"/>
              </w:rPr>
              <w:t>Data protection (GDPR)</w:t>
            </w:r>
          </w:p>
        </w:tc>
        <w:tc>
          <w:tcPr>
            <w:tcW w:w="5826" w:type="dxa"/>
            <w:tcBorders>
              <w:top w:val="single" w:sz="4" w:space="0" w:color="808080"/>
              <w:left w:val="single" w:sz="4" w:space="0" w:color="808080"/>
              <w:bottom w:val="single" w:sz="4" w:space="0" w:color="808080"/>
              <w:right w:val="single" w:sz="4" w:space="0" w:color="808080"/>
            </w:tcBorders>
            <w:shd w:val="clear" w:color="auto" w:fill="FFFFFF"/>
            <w:tcMar>
              <w:top w:w="60" w:type="dxa"/>
              <w:left w:w="110" w:type="dxa"/>
              <w:bottom w:w="60" w:type="dxa"/>
              <w:right w:w="110" w:type="dxa"/>
            </w:tcMar>
            <w:vAlign w:val="center"/>
          </w:tcPr>
          <w:p w14:paraId="521D59C6" w14:textId="77777777" w:rsidR="00E33CBD" w:rsidRDefault="00000000">
            <w:r>
              <w:rPr>
                <w:color w:val="000000"/>
                <w:sz w:val="20"/>
                <w:szCs w:val="20"/>
              </w:rPr>
              <w:t>Data held on password-protected, encrypted systems; deleted within 12 months of submission.</w:t>
            </w:r>
          </w:p>
        </w:tc>
      </w:tr>
      <w:tr w:rsidR="00E33CBD" w14:paraId="546ADD56" w14:textId="77777777">
        <w:tc>
          <w:tcPr>
            <w:tcW w:w="3200" w:type="dxa"/>
            <w:tcBorders>
              <w:top w:val="single" w:sz="4" w:space="0" w:color="808080"/>
              <w:left w:val="single" w:sz="4" w:space="0" w:color="808080"/>
              <w:bottom w:val="single" w:sz="4" w:space="0" w:color="808080"/>
              <w:right w:val="single" w:sz="4" w:space="0" w:color="808080"/>
            </w:tcBorders>
            <w:shd w:val="clear" w:color="auto" w:fill="F2F2F2"/>
            <w:tcMar>
              <w:top w:w="60" w:type="dxa"/>
              <w:left w:w="110" w:type="dxa"/>
              <w:bottom w:w="60" w:type="dxa"/>
              <w:right w:w="110" w:type="dxa"/>
            </w:tcMar>
            <w:vAlign w:val="center"/>
          </w:tcPr>
          <w:p w14:paraId="56175259" w14:textId="77777777" w:rsidR="00E33CBD" w:rsidRDefault="00000000">
            <w:r>
              <w:rPr>
                <w:b/>
                <w:bCs/>
                <w:color w:val="000000"/>
                <w:sz w:val="20"/>
                <w:szCs w:val="20"/>
              </w:rPr>
              <w:t>Voluntary participation</w:t>
            </w:r>
          </w:p>
        </w:tc>
        <w:tc>
          <w:tcPr>
            <w:tcW w:w="5826" w:type="dxa"/>
            <w:tcBorders>
              <w:top w:val="single" w:sz="4" w:space="0" w:color="808080"/>
              <w:left w:val="single" w:sz="4" w:space="0" w:color="808080"/>
              <w:bottom w:val="single" w:sz="4" w:space="0" w:color="808080"/>
              <w:right w:val="single" w:sz="4" w:space="0" w:color="808080"/>
            </w:tcBorders>
            <w:shd w:val="clear" w:color="auto" w:fill="F2F2F2"/>
            <w:tcMar>
              <w:top w:w="60" w:type="dxa"/>
              <w:left w:w="110" w:type="dxa"/>
              <w:bottom w:w="60" w:type="dxa"/>
              <w:right w:w="110" w:type="dxa"/>
            </w:tcMar>
            <w:vAlign w:val="center"/>
          </w:tcPr>
          <w:p w14:paraId="57BEF932" w14:textId="77777777" w:rsidR="00E33CBD" w:rsidRDefault="00000000">
            <w:r>
              <w:rPr>
                <w:color w:val="000000"/>
                <w:sz w:val="20"/>
                <w:szCs w:val="20"/>
              </w:rPr>
              <w:t>Participants may withdraw at any time without consequence or explanation.</w:t>
            </w:r>
          </w:p>
        </w:tc>
      </w:tr>
      <w:tr w:rsidR="00E33CBD" w14:paraId="3F3B50D3" w14:textId="77777777">
        <w:tc>
          <w:tcPr>
            <w:tcW w:w="3200" w:type="dxa"/>
            <w:tcBorders>
              <w:top w:val="single" w:sz="4" w:space="0" w:color="808080"/>
              <w:left w:val="single" w:sz="4" w:space="0" w:color="808080"/>
              <w:bottom w:val="single" w:sz="4" w:space="0" w:color="808080"/>
              <w:right w:val="single" w:sz="4" w:space="0" w:color="808080"/>
            </w:tcBorders>
            <w:shd w:val="clear" w:color="auto" w:fill="FFFFFF"/>
            <w:tcMar>
              <w:top w:w="60" w:type="dxa"/>
              <w:left w:w="110" w:type="dxa"/>
              <w:bottom w:w="60" w:type="dxa"/>
              <w:right w:w="110" w:type="dxa"/>
            </w:tcMar>
            <w:vAlign w:val="center"/>
          </w:tcPr>
          <w:p w14:paraId="22BA14D8" w14:textId="77777777" w:rsidR="00E33CBD" w:rsidRDefault="00000000">
            <w:r>
              <w:rPr>
                <w:b/>
                <w:bCs/>
                <w:color w:val="000000"/>
                <w:sz w:val="20"/>
                <w:szCs w:val="20"/>
              </w:rPr>
              <w:t>Harm avoidance</w:t>
            </w:r>
          </w:p>
        </w:tc>
        <w:tc>
          <w:tcPr>
            <w:tcW w:w="5826" w:type="dxa"/>
            <w:tcBorders>
              <w:top w:val="single" w:sz="4" w:space="0" w:color="808080"/>
              <w:left w:val="single" w:sz="4" w:space="0" w:color="808080"/>
              <w:bottom w:val="single" w:sz="4" w:space="0" w:color="808080"/>
              <w:right w:val="single" w:sz="4" w:space="0" w:color="808080"/>
            </w:tcBorders>
            <w:shd w:val="clear" w:color="auto" w:fill="FFFFFF"/>
            <w:tcMar>
              <w:top w:w="60" w:type="dxa"/>
              <w:left w:w="110" w:type="dxa"/>
              <w:bottom w:w="60" w:type="dxa"/>
              <w:right w:w="110" w:type="dxa"/>
            </w:tcMar>
            <w:vAlign w:val="center"/>
          </w:tcPr>
          <w:p w14:paraId="57BE6BD3" w14:textId="77777777" w:rsidR="00E33CBD" w:rsidRDefault="00000000">
            <w:r>
              <w:rPr>
                <w:color w:val="000000"/>
                <w:sz w:val="20"/>
                <w:szCs w:val="20"/>
              </w:rPr>
              <w:t>Non-sensitive questions only; no personal financial or medical data requested.</w:t>
            </w:r>
          </w:p>
        </w:tc>
      </w:tr>
      <w:tr w:rsidR="00E33CBD" w14:paraId="4E027F04" w14:textId="77777777">
        <w:tc>
          <w:tcPr>
            <w:tcW w:w="3200" w:type="dxa"/>
            <w:tcBorders>
              <w:top w:val="single" w:sz="4" w:space="0" w:color="808080"/>
              <w:left w:val="single" w:sz="4" w:space="0" w:color="808080"/>
              <w:bottom w:val="single" w:sz="4" w:space="0" w:color="808080"/>
              <w:right w:val="single" w:sz="4" w:space="0" w:color="808080"/>
            </w:tcBorders>
            <w:shd w:val="clear" w:color="auto" w:fill="F2F2F2"/>
            <w:tcMar>
              <w:top w:w="60" w:type="dxa"/>
              <w:left w:w="110" w:type="dxa"/>
              <w:bottom w:w="60" w:type="dxa"/>
              <w:right w:w="110" w:type="dxa"/>
            </w:tcMar>
            <w:vAlign w:val="center"/>
          </w:tcPr>
          <w:p w14:paraId="619879F4" w14:textId="77777777" w:rsidR="00E33CBD" w:rsidRDefault="00000000">
            <w:r>
              <w:rPr>
                <w:b/>
                <w:bCs/>
                <w:color w:val="000000"/>
                <w:sz w:val="20"/>
                <w:szCs w:val="20"/>
              </w:rPr>
              <w:t>AI transparency</w:t>
            </w:r>
          </w:p>
        </w:tc>
        <w:tc>
          <w:tcPr>
            <w:tcW w:w="5826" w:type="dxa"/>
            <w:tcBorders>
              <w:top w:val="single" w:sz="4" w:space="0" w:color="808080"/>
              <w:left w:val="single" w:sz="4" w:space="0" w:color="808080"/>
              <w:bottom w:val="single" w:sz="4" w:space="0" w:color="808080"/>
              <w:right w:val="single" w:sz="4" w:space="0" w:color="808080"/>
            </w:tcBorders>
            <w:shd w:val="clear" w:color="auto" w:fill="F2F2F2"/>
            <w:tcMar>
              <w:top w:w="60" w:type="dxa"/>
              <w:left w:w="110" w:type="dxa"/>
              <w:bottom w:w="60" w:type="dxa"/>
              <w:right w:w="110" w:type="dxa"/>
            </w:tcMar>
            <w:vAlign w:val="center"/>
          </w:tcPr>
          <w:p w14:paraId="318B7489" w14:textId="77777777" w:rsidR="00E33CBD" w:rsidRDefault="00000000">
            <w:r>
              <w:rPr>
                <w:color w:val="000000"/>
                <w:sz w:val="20"/>
                <w:szCs w:val="20"/>
              </w:rPr>
              <w:t>Any use of generative AI declared per the university academic integrity policy.</w:t>
            </w:r>
          </w:p>
        </w:tc>
      </w:tr>
      <w:tr w:rsidR="00E33CBD" w14:paraId="21F425CE" w14:textId="77777777">
        <w:tc>
          <w:tcPr>
            <w:tcW w:w="3200" w:type="dxa"/>
            <w:tcBorders>
              <w:top w:val="single" w:sz="4" w:space="0" w:color="808080"/>
              <w:left w:val="single" w:sz="4" w:space="0" w:color="808080"/>
              <w:bottom w:val="single" w:sz="4" w:space="0" w:color="808080"/>
              <w:right w:val="single" w:sz="4" w:space="0" w:color="808080"/>
            </w:tcBorders>
            <w:shd w:val="clear" w:color="auto" w:fill="FFFFFF"/>
            <w:tcMar>
              <w:top w:w="60" w:type="dxa"/>
              <w:left w:w="110" w:type="dxa"/>
              <w:bottom w:w="60" w:type="dxa"/>
              <w:right w:w="110" w:type="dxa"/>
            </w:tcMar>
            <w:vAlign w:val="center"/>
          </w:tcPr>
          <w:p w14:paraId="50CF8EB9" w14:textId="77777777" w:rsidR="00E33CBD" w:rsidRDefault="00000000">
            <w:r>
              <w:rPr>
                <w:b/>
                <w:bCs/>
                <w:color w:val="000000"/>
                <w:sz w:val="20"/>
                <w:szCs w:val="20"/>
              </w:rPr>
              <w:t>Ethics approval</w:t>
            </w:r>
          </w:p>
        </w:tc>
        <w:tc>
          <w:tcPr>
            <w:tcW w:w="5826" w:type="dxa"/>
            <w:tcBorders>
              <w:top w:val="single" w:sz="4" w:space="0" w:color="808080"/>
              <w:left w:val="single" w:sz="4" w:space="0" w:color="808080"/>
              <w:bottom w:val="single" w:sz="4" w:space="0" w:color="808080"/>
              <w:right w:val="single" w:sz="4" w:space="0" w:color="808080"/>
            </w:tcBorders>
            <w:shd w:val="clear" w:color="auto" w:fill="FFFFFF"/>
            <w:tcMar>
              <w:top w:w="60" w:type="dxa"/>
              <w:left w:w="110" w:type="dxa"/>
              <w:bottom w:w="60" w:type="dxa"/>
              <w:right w:w="110" w:type="dxa"/>
            </w:tcMar>
            <w:vAlign w:val="center"/>
          </w:tcPr>
          <w:p w14:paraId="45A339FB" w14:textId="77777777" w:rsidR="00E33CBD" w:rsidRDefault="00000000">
            <w:r>
              <w:rPr>
                <w:color w:val="000000"/>
                <w:sz w:val="20"/>
                <w:szCs w:val="20"/>
              </w:rPr>
              <w:t>Institutional ethics form approved before any data collection.</w:t>
            </w:r>
          </w:p>
        </w:tc>
      </w:tr>
    </w:tbl>
    <w:p w14:paraId="2E5B1E96" w14:textId="77777777" w:rsidR="00E33CBD" w:rsidRDefault="00E33CBD">
      <w:pPr>
        <w:spacing w:before="240"/>
      </w:pPr>
    </w:p>
    <w:p w14:paraId="78B136A8" w14:textId="77777777" w:rsidR="00E33CBD" w:rsidRDefault="00000000">
      <w:pPr>
        <w:pStyle w:val="Heading1"/>
      </w:pPr>
      <w:bookmarkStart w:id="27" w:name="_Toc233319279"/>
      <w:r>
        <w:t>Appendix B – Project Milestones</w:t>
      </w:r>
      <w:bookmarkEnd w:id="27"/>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600"/>
        <w:gridCol w:w="1900"/>
        <w:gridCol w:w="4526"/>
      </w:tblGrid>
      <w:tr w:rsidR="00E33CBD" w14:paraId="0E1A51E8" w14:textId="77777777">
        <w:trPr>
          <w:tblHeader/>
        </w:trPr>
        <w:tc>
          <w:tcPr>
            <w:tcW w:w="2600" w:type="dxa"/>
            <w:tcBorders>
              <w:top w:val="single" w:sz="4" w:space="0" w:color="808080"/>
              <w:left w:val="single" w:sz="4" w:space="0" w:color="808080"/>
              <w:bottom w:val="single" w:sz="4" w:space="0" w:color="808080"/>
              <w:right w:val="single" w:sz="4" w:space="0" w:color="808080"/>
            </w:tcBorders>
            <w:shd w:val="clear" w:color="auto" w:fill="404040"/>
            <w:tcMar>
              <w:top w:w="60" w:type="dxa"/>
              <w:left w:w="110" w:type="dxa"/>
              <w:bottom w:w="60" w:type="dxa"/>
              <w:right w:w="110" w:type="dxa"/>
            </w:tcMar>
            <w:vAlign w:val="center"/>
          </w:tcPr>
          <w:p w14:paraId="418AC6E3" w14:textId="77777777" w:rsidR="00E33CBD" w:rsidRDefault="00000000">
            <w:r>
              <w:rPr>
                <w:b/>
                <w:bCs/>
                <w:color w:val="FFFFFF"/>
                <w:sz w:val="20"/>
                <w:szCs w:val="20"/>
              </w:rPr>
              <w:t>Phase / Milestone</w:t>
            </w:r>
          </w:p>
        </w:tc>
        <w:tc>
          <w:tcPr>
            <w:tcW w:w="1900" w:type="dxa"/>
            <w:tcBorders>
              <w:top w:val="single" w:sz="4" w:space="0" w:color="808080"/>
              <w:left w:val="single" w:sz="4" w:space="0" w:color="808080"/>
              <w:bottom w:val="single" w:sz="4" w:space="0" w:color="808080"/>
              <w:right w:val="single" w:sz="4" w:space="0" w:color="808080"/>
            </w:tcBorders>
            <w:shd w:val="clear" w:color="auto" w:fill="404040"/>
            <w:tcMar>
              <w:top w:w="60" w:type="dxa"/>
              <w:left w:w="110" w:type="dxa"/>
              <w:bottom w:w="60" w:type="dxa"/>
              <w:right w:w="110" w:type="dxa"/>
            </w:tcMar>
            <w:vAlign w:val="center"/>
          </w:tcPr>
          <w:p w14:paraId="03FCD60C" w14:textId="77777777" w:rsidR="00E33CBD" w:rsidRDefault="00000000">
            <w:r>
              <w:rPr>
                <w:b/>
                <w:bCs/>
                <w:color w:val="FFFFFF"/>
                <w:sz w:val="20"/>
                <w:szCs w:val="20"/>
              </w:rPr>
              <w:t>Timeframe</w:t>
            </w:r>
          </w:p>
        </w:tc>
        <w:tc>
          <w:tcPr>
            <w:tcW w:w="4526" w:type="dxa"/>
            <w:tcBorders>
              <w:top w:val="single" w:sz="4" w:space="0" w:color="808080"/>
              <w:left w:val="single" w:sz="4" w:space="0" w:color="808080"/>
              <w:bottom w:val="single" w:sz="4" w:space="0" w:color="808080"/>
              <w:right w:val="single" w:sz="4" w:space="0" w:color="808080"/>
            </w:tcBorders>
            <w:shd w:val="clear" w:color="auto" w:fill="404040"/>
            <w:tcMar>
              <w:top w:w="60" w:type="dxa"/>
              <w:left w:w="110" w:type="dxa"/>
              <w:bottom w:w="60" w:type="dxa"/>
              <w:right w:w="110" w:type="dxa"/>
            </w:tcMar>
            <w:vAlign w:val="center"/>
          </w:tcPr>
          <w:p w14:paraId="15AC4D33" w14:textId="77777777" w:rsidR="00E33CBD" w:rsidRDefault="00000000">
            <w:r>
              <w:rPr>
                <w:b/>
                <w:bCs/>
                <w:color w:val="FFFFFF"/>
                <w:sz w:val="20"/>
                <w:szCs w:val="20"/>
              </w:rPr>
              <w:t>Key Activities</w:t>
            </w:r>
          </w:p>
        </w:tc>
      </w:tr>
      <w:tr w:rsidR="00E33CBD" w14:paraId="4291EFF1" w14:textId="77777777">
        <w:tc>
          <w:tcPr>
            <w:tcW w:w="2600" w:type="dxa"/>
            <w:tcBorders>
              <w:top w:val="single" w:sz="4" w:space="0" w:color="808080"/>
              <w:left w:val="single" w:sz="4" w:space="0" w:color="808080"/>
              <w:bottom w:val="single" w:sz="4" w:space="0" w:color="808080"/>
              <w:right w:val="single" w:sz="4" w:space="0" w:color="808080"/>
            </w:tcBorders>
            <w:shd w:val="clear" w:color="auto" w:fill="FFFFFF"/>
            <w:tcMar>
              <w:top w:w="60" w:type="dxa"/>
              <w:left w:w="110" w:type="dxa"/>
              <w:bottom w:w="60" w:type="dxa"/>
              <w:right w:w="110" w:type="dxa"/>
            </w:tcMar>
            <w:vAlign w:val="center"/>
          </w:tcPr>
          <w:p w14:paraId="22C4E37C" w14:textId="77777777" w:rsidR="00E33CBD" w:rsidRDefault="00000000">
            <w:r>
              <w:rPr>
                <w:b/>
                <w:bCs/>
                <w:color w:val="000000"/>
                <w:sz w:val="20"/>
                <w:szCs w:val="20"/>
              </w:rPr>
              <w:t>Topic &amp; ethics</w:t>
            </w:r>
          </w:p>
        </w:tc>
        <w:tc>
          <w:tcPr>
            <w:tcW w:w="1900" w:type="dxa"/>
            <w:tcBorders>
              <w:top w:val="single" w:sz="4" w:space="0" w:color="808080"/>
              <w:left w:val="single" w:sz="4" w:space="0" w:color="808080"/>
              <w:bottom w:val="single" w:sz="4" w:space="0" w:color="808080"/>
              <w:right w:val="single" w:sz="4" w:space="0" w:color="808080"/>
            </w:tcBorders>
            <w:shd w:val="clear" w:color="auto" w:fill="FFFFFF"/>
            <w:tcMar>
              <w:top w:w="60" w:type="dxa"/>
              <w:left w:w="110" w:type="dxa"/>
              <w:bottom w:w="60" w:type="dxa"/>
              <w:right w:w="110" w:type="dxa"/>
            </w:tcMar>
            <w:vAlign w:val="center"/>
          </w:tcPr>
          <w:p w14:paraId="7657DA58" w14:textId="77777777" w:rsidR="00E33CBD" w:rsidRDefault="00000000">
            <w:r>
              <w:rPr>
                <w:color w:val="000000"/>
                <w:sz w:val="20"/>
                <w:szCs w:val="20"/>
              </w:rPr>
              <w:t>Weeks 1–2</w:t>
            </w:r>
          </w:p>
        </w:tc>
        <w:tc>
          <w:tcPr>
            <w:tcW w:w="4526" w:type="dxa"/>
            <w:tcBorders>
              <w:top w:val="single" w:sz="4" w:space="0" w:color="808080"/>
              <w:left w:val="single" w:sz="4" w:space="0" w:color="808080"/>
              <w:bottom w:val="single" w:sz="4" w:space="0" w:color="808080"/>
              <w:right w:val="single" w:sz="4" w:space="0" w:color="808080"/>
            </w:tcBorders>
            <w:shd w:val="clear" w:color="auto" w:fill="FFFFFF"/>
            <w:tcMar>
              <w:top w:w="60" w:type="dxa"/>
              <w:left w:w="110" w:type="dxa"/>
              <w:bottom w:w="60" w:type="dxa"/>
              <w:right w:w="110" w:type="dxa"/>
            </w:tcMar>
            <w:vAlign w:val="center"/>
          </w:tcPr>
          <w:p w14:paraId="23605B0E" w14:textId="77777777" w:rsidR="00E33CBD" w:rsidRDefault="00000000">
            <w:r>
              <w:rPr>
                <w:color w:val="000000"/>
                <w:sz w:val="20"/>
                <w:szCs w:val="20"/>
              </w:rPr>
              <w:t>Finalise question; complete ethics form; initial reading.</w:t>
            </w:r>
          </w:p>
        </w:tc>
      </w:tr>
      <w:tr w:rsidR="00E33CBD" w14:paraId="6DA7337F" w14:textId="77777777">
        <w:tc>
          <w:tcPr>
            <w:tcW w:w="2600" w:type="dxa"/>
            <w:tcBorders>
              <w:top w:val="single" w:sz="4" w:space="0" w:color="808080"/>
              <w:left w:val="single" w:sz="4" w:space="0" w:color="808080"/>
              <w:bottom w:val="single" w:sz="4" w:space="0" w:color="808080"/>
              <w:right w:val="single" w:sz="4" w:space="0" w:color="808080"/>
            </w:tcBorders>
            <w:shd w:val="clear" w:color="auto" w:fill="F2F2F2"/>
            <w:tcMar>
              <w:top w:w="60" w:type="dxa"/>
              <w:left w:w="110" w:type="dxa"/>
              <w:bottom w:w="60" w:type="dxa"/>
              <w:right w:w="110" w:type="dxa"/>
            </w:tcMar>
            <w:vAlign w:val="center"/>
          </w:tcPr>
          <w:p w14:paraId="73AED1CE" w14:textId="77777777" w:rsidR="00E33CBD" w:rsidRDefault="00000000">
            <w:r>
              <w:rPr>
                <w:b/>
                <w:bCs/>
                <w:color w:val="000000"/>
                <w:sz w:val="20"/>
                <w:szCs w:val="20"/>
              </w:rPr>
              <w:t>Literature review</w:t>
            </w:r>
          </w:p>
        </w:tc>
        <w:tc>
          <w:tcPr>
            <w:tcW w:w="1900" w:type="dxa"/>
            <w:tcBorders>
              <w:top w:val="single" w:sz="4" w:space="0" w:color="808080"/>
              <w:left w:val="single" w:sz="4" w:space="0" w:color="808080"/>
              <w:bottom w:val="single" w:sz="4" w:space="0" w:color="808080"/>
              <w:right w:val="single" w:sz="4" w:space="0" w:color="808080"/>
            </w:tcBorders>
            <w:shd w:val="clear" w:color="auto" w:fill="F2F2F2"/>
            <w:tcMar>
              <w:top w:w="60" w:type="dxa"/>
              <w:left w:w="110" w:type="dxa"/>
              <w:bottom w:w="60" w:type="dxa"/>
              <w:right w:w="110" w:type="dxa"/>
            </w:tcMar>
            <w:vAlign w:val="center"/>
          </w:tcPr>
          <w:p w14:paraId="14B3C333" w14:textId="77777777" w:rsidR="00E33CBD" w:rsidRDefault="00000000">
            <w:r>
              <w:rPr>
                <w:color w:val="000000"/>
                <w:sz w:val="20"/>
                <w:szCs w:val="20"/>
              </w:rPr>
              <w:t>Weeks 2–4</w:t>
            </w:r>
          </w:p>
        </w:tc>
        <w:tc>
          <w:tcPr>
            <w:tcW w:w="4526" w:type="dxa"/>
            <w:tcBorders>
              <w:top w:val="single" w:sz="4" w:space="0" w:color="808080"/>
              <w:left w:val="single" w:sz="4" w:space="0" w:color="808080"/>
              <w:bottom w:val="single" w:sz="4" w:space="0" w:color="808080"/>
              <w:right w:val="single" w:sz="4" w:space="0" w:color="808080"/>
            </w:tcBorders>
            <w:shd w:val="clear" w:color="auto" w:fill="F2F2F2"/>
            <w:tcMar>
              <w:top w:w="60" w:type="dxa"/>
              <w:left w:w="110" w:type="dxa"/>
              <w:bottom w:w="60" w:type="dxa"/>
              <w:right w:w="110" w:type="dxa"/>
            </w:tcMar>
            <w:vAlign w:val="center"/>
          </w:tcPr>
          <w:p w14:paraId="4F543CA4" w14:textId="77777777" w:rsidR="00E33CBD" w:rsidRDefault="00000000">
            <w:r>
              <w:rPr>
                <w:color w:val="000000"/>
                <w:sz w:val="20"/>
                <w:szCs w:val="20"/>
              </w:rPr>
              <w:t>Systematic search; critical evaluation; identify gap.</w:t>
            </w:r>
          </w:p>
        </w:tc>
      </w:tr>
      <w:tr w:rsidR="00E33CBD" w14:paraId="3B782FCB" w14:textId="77777777">
        <w:tc>
          <w:tcPr>
            <w:tcW w:w="2600" w:type="dxa"/>
            <w:tcBorders>
              <w:top w:val="single" w:sz="4" w:space="0" w:color="808080"/>
              <w:left w:val="single" w:sz="4" w:space="0" w:color="808080"/>
              <w:bottom w:val="single" w:sz="4" w:space="0" w:color="808080"/>
              <w:right w:val="single" w:sz="4" w:space="0" w:color="808080"/>
            </w:tcBorders>
            <w:shd w:val="clear" w:color="auto" w:fill="FFFFFF"/>
            <w:tcMar>
              <w:top w:w="60" w:type="dxa"/>
              <w:left w:w="110" w:type="dxa"/>
              <w:bottom w:w="60" w:type="dxa"/>
              <w:right w:w="110" w:type="dxa"/>
            </w:tcMar>
            <w:vAlign w:val="center"/>
          </w:tcPr>
          <w:p w14:paraId="426F79C3" w14:textId="77777777" w:rsidR="00E33CBD" w:rsidRDefault="00000000">
            <w:r>
              <w:rPr>
                <w:b/>
                <w:bCs/>
                <w:color w:val="000000"/>
                <w:sz w:val="20"/>
                <w:szCs w:val="20"/>
              </w:rPr>
              <w:t>Methodology design</w:t>
            </w:r>
          </w:p>
        </w:tc>
        <w:tc>
          <w:tcPr>
            <w:tcW w:w="1900" w:type="dxa"/>
            <w:tcBorders>
              <w:top w:val="single" w:sz="4" w:space="0" w:color="808080"/>
              <w:left w:val="single" w:sz="4" w:space="0" w:color="808080"/>
              <w:bottom w:val="single" w:sz="4" w:space="0" w:color="808080"/>
              <w:right w:val="single" w:sz="4" w:space="0" w:color="808080"/>
            </w:tcBorders>
            <w:shd w:val="clear" w:color="auto" w:fill="FFFFFF"/>
            <w:tcMar>
              <w:top w:w="60" w:type="dxa"/>
              <w:left w:w="110" w:type="dxa"/>
              <w:bottom w:w="60" w:type="dxa"/>
              <w:right w:w="110" w:type="dxa"/>
            </w:tcMar>
            <w:vAlign w:val="center"/>
          </w:tcPr>
          <w:p w14:paraId="499EF399" w14:textId="77777777" w:rsidR="00E33CBD" w:rsidRDefault="00000000">
            <w:r>
              <w:rPr>
                <w:color w:val="000000"/>
                <w:sz w:val="20"/>
                <w:szCs w:val="20"/>
              </w:rPr>
              <w:t>Weeks 4–5</w:t>
            </w:r>
          </w:p>
        </w:tc>
        <w:tc>
          <w:tcPr>
            <w:tcW w:w="4526" w:type="dxa"/>
            <w:tcBorders>
              <w:top w:val="single" w:sz="4" w:space="0" w:color="808080"/>
              <w:left w:val="single" w:sz="4" w:space="0" w:color="808080"/>
              <w:bottom w:val="single" w:sz="4" w:space="0" w:color="808080"/>
              <w:right w:val="single" w:sz="4" w:space="0" w:color="808080"/>
            </w:tcBorders>
            <w:shd w:val="clear" w:color="auto" w:fill="FFFFFF"/>
            <w:tcMar>
              <w:top w:w="60" w:type="dxa"/>
              <w:left w:w="110" w:type="dxa"/>
              <w:bottom w:w="60" w:type="dxa"/>
              <w:right w:w="110" w:type="dxa"/>
            </w:tcMar>
            <w:vAlign w:val="center"/>
          </w:tcPr>
          <w:p w14:paraId="71F4128A" w14:textId="77777777" w:rsidR="00E33CBD" w:rsidRDefault="00000000">
            <w:r>
              <w:rPr>
                <w:color w:val="000000"/>
                <w:sz w:val="20"/>
                <w:szCs w:val="20"/>
              </w:rPr>
              <w:t>Confirm philosophy; design questionnaire.</w:t>
            </w:r>
          </w:p>
        </w:tc>
      </w:tr>
      <w:tr w:rsidR="00E33CBD" w14:paraId="61914F0B" w14:textId="77777777">
        <w:tc>
          <w:tcPr>
            <w:tcW w:w="2600" w:type="dxa"/>
            <w:tcBorders>
              <w:top w:val="single" w:sz="4" w:space="0" w:color="808080"/>
              <w:left w:val="single" w:sz="4" w:space="0" w:color="808080"/>
              <w:bottom w:val="single" w:sz="4" w:space="0" w:color="808080"/>
              <w:right w:val="single" w:sz="4" w:space="0" w:color="808080"/>
            </w:tcBorders>
            <w:shd w:val="clear" w:color="auto" w:fill="F2F2F2"/>
            <w:tcMar>
              <w:top w:w="60" w:type="dxa"/>
              <w:left w:w="110" w:type="dxa"/>
              <w:bottom w:w="60" w:type="dxa"/>
              <w:right w:w="110" w:type="dxa"/>
            </w:tcMar>
            <w:vAlign w:val="center"/>
          </w:tcPr>
          <w:p w14:paraId="0CCE5BBC" w14:textId="77777777" w:rsidR="00E33CBD" w:rsidRDefault="00000000">
            <w:r>
              <w:rPr>
                <w:b/>
                <w:bCs/>
                <w:color w:val="000000"/>
                <w:sz w:val="20"/>
                <w:szCs w:val="20"/>
              </w:rPr>
              <w:t>Data collection</w:t>
            </w:r>
          </w:p>
        </w:tc>
        <w:tc>
          <w:tcPr>
            <w:tcW w:w="1900" w:type="dxa"/>
            <w:tcBorders>
              <w:top w:val="single" w:sz="4" w:space="0" w:color="808080"/>
              <w:left w:val="single" w:sz="4" w:space="0" w:color="808080"/>
              <w:bottom w:val="single" w:sz="4" w:space="0" w:color="808080"/>
              <w:right w:val="single" w:sz="4" w:space="0" w:color="808080"/>
            </w:tcBorders>
            <w:shd w:val="clear" w:color="auto" w:fill="F2F2F2"/>
            <w:tcMar>
              <w:top w:w="60" w:type="dxa"/>
              <w:left w:w="110" w:type="dxa"/>
              <w:bottom w:w="60" w:type="dxa"/>
              <w:right w:w="110" w:type="dxa"/>
            </w:tcMar>
            <w:vAlign w:val="center"/>
          </w:tcPr>
          <w:p w14:paraId="63A1FEBB" w14:textId="77777777" w:rsidR="00E33CBD" w:rsidRDefault="00000000">
            <w:r>
              <w:rPr>
                <w:color w:val="000000"/>
                <w:sz w:val="20"/>
                <w:szCs w:val="20"/>
              </w:rPr>
              <w:t>Weeks 6–8</w:t>
            </w:r>
          </w:p>
        </w:tc>
        <w:tc>
          <w:tcPr>
            <w:tcW w:w="4526" w:type="dxa"/>
            <w:tcBorders>
              <w:top w:val="single" w:sz="4" w:space="0" w:color="808080"/>
              <w:left w:val="single" w:sz="4" w:space="0" w:color="808080"/>
              <w:bottom w:val="single" w:sz="4" w:space="0" w:color="808080"/>
              <w:right w:val="single" w:sz="4" w:space="0" w:color="808080"/>
            </w:tcBorders>
            <w:shd w:val="clear" w:color="auto" w:fill="F2F2F2"/>
            <w:tcMar>
              <w:top w:w="60" w:type="dxa"/>
              <w:left w:w="110" w:type="dxa"/>
              <w:bottom w:w="60" w:type="dxa"/>
              <w:right w:w="110" w:type="dxa"/>
            </w:tcMar>
            <w:vAlign w:val="center"/>
          </w:tcPr>
          <w:p w14:paraId="58B6380E" w14:textId="77777777" w:rsidR="00E33CBD" w:rsidRDefault="00000000">
            <w:r>
              <w:rPr>
                <w:color w:val="000000"/>
                <w:sz w:val="20"/>
                <w:szCs w:val="20"/>
              </w:rPr>
              <w:t>Distribute survey; follow-up; reach 60 responses.</w:t>
            </w:r>
          </w:p>
        </w:tc>
      </w:tr>
      <w:tr w:rsidR="00E33CBD" w14:paraId="35C61A8F" w14:textId="77777777">
        <w:tc>
          <w:tcPr>
            <w:tcW w:w="2600" w:type="dxa"/>
            <w:tcBorders>
              <w:top w:val="single" w:sz="4" w:space="0" w:color="808080"/>
              <w:left w:val="single" w:sz="4" w:space="0" w:color="808080"/>
              <w:bottom w:val="single" w:sz="4" w:space="0" w:color="808080"/>
              <w:right w:val="single" w:sz="4" w:space="0" w:color="808080"/>
            </w:tcBorders>
            <w:shd w:val="clear" w:color="auto" w:fill="FFFFFF"/>
            <w:tcMar>
              <w:top w:w="60" w:type="dxa"/>
              <w:left w:w="110" w:type="dxa"/>
              <w:bottom w:w="60" w:type="dxa"/>
              <w:right w:w="110" w:type="dxa"/>
            </w:tcMar>
            <w:vAlign w:val="center"/>
          </w:tcPr>
          <w:p w14:paraId="1E9250A9" w14:textId="77777777" w:rsidR="00E33CBD" w:rsidRDefault="00000000">
            <w:r>
              <w:rPr>
                <w:b/>
                <w:bCs/>
                <w:color w:val="000000"/>
                <w:sz w:val="20"/>
                <w:szCs w:val="20"/>
              </w:rPr>
              <w:t>Analysis &amp; write-up</w:t>
            </w:r>
          </w:p>
        </w:tc>
        <w:tc>
          <w:tcPr>
            <w:tcW w:w="1900" w:type="dxa"/>
            <w:tcBorders>
              <w:top w:val="single" w:sz="4" w:space="0" w:color="808080"/>
              <w:left w:val="single" w:sz="4" w:space="0" w:color="808080"/>
              <w:bottom w:val="single" w:sz="4" w:space="0" w:color="808080"/>
              <w:right w:val="single" w:sz="4" w:space="0" w:color="808080"/>
            </w:tcBorders>
            <w:shd w:val="clear" w:color="auto" w:fill="FFFFFF"/>
            <w:tcMar>
              <w:top w:w="60" w:type="dxa"/>
              <w:left w:w="110" w:type="dxa"/>
              <w:bottom w:w="60" w:type="dxa"/>
              <w:right w:w="110" w:type="dxa"/>
            </w:tcMar>
            <w:vAlign w:val="center"/>
          </w:tcPr>
          <w:p w14:paraId="6E2D19F1" w14:textId="77777777" w:rsidR="00E33CBD" w:rsidRDefault="00000000">
            <w:r>
              <w:rPr>
                <w:color w:val="000000"/>
                <w:sz w:val="20"/>
                <w:szCs w:val="20"/>
              </w:rPr>
              <w:t>Weeks 8–9</w:t>
            </w:r>
          </w:p>
        </w:tc>
        <w:tc>
          <w:tcPr>
            <w:tcW w:w="4526" w:type="dxa"/>
            <w:tcBorders>
              <w:top w:val="single" w:sz="4" w:space="0" w:color="808080"/>
              <w:left w:val="single" w:sz="4" w:space="0" w:color="808080"/>
              <w:bottom w:val="single" w:sz="4" w:space="0" w:color="808080"/>
              <w:right w:val="single" w:sz="4" w:space="0" w:color="808080"/>
            </w:tcBorders>
            <w:shd w:val="clear" w:color="auto" w:fill="FFFFFF"/>
            <w:tcMar>
              <w:top w:w="60" w:type="dxa"/>
              <w:left w:w="110" w:type="dxa"/>
              <w:bottom w:w="60" w:type="dxa"/>
              <w:right w:w="110" w:type="dxa"/>
            </w:tcMar>
            <w:vAlign w:val="center"/>
          </w:tcPr>
          <w:p w14:paraId="53491561" w14:textId="77777777" w:rsidR="00E33CBD" w:rsidRDefault="00000000">
            <w:r>
              <w:rPr>
                <w:color w:val="000000"/>
                <w:sz w:val="20"/>
                <w:szCs w:val="20"/>
              </w:rPr>
              <w:t>Statistical and thematic analysis; draft proposal.</w:t>
            </w:r>
          </w:p>
        </w:tc>
      </w:tr>
      <w:tr w:rsidR="00E33CBD" w14:paraId="639E11B9" w14:textId="77777777">
        <w:tc>
          <w:tcPr>
            <w:tcW w:w="2600" w:type="dxa"/>
            <w:tcBorders>
              <w:top w:val="single" w:sz="4" w:space="0" w:color="808080"/>
              <w:left w:val="single" w:sz="4" w:space="0" w:color="808080"/>
              <w:bottom w:val="single" w:sz="4" w:space="0" w:color="808080"/>
              <w:right w:val="single" w:sz="4" w:space="0" w:color="808080"/>
            </w:tcBorders>
            <w:shd w:val="clear" w:color="auto" w:fill="F2F2F2"/>
            <w:tcMar>
              <w:top w:w="60" w:type="dxa"/>
              <w:left w:w="110" w:type="dxa"/>
              <w:bottom w:w="60" w:type="dxa"/>
              <w:right w:w="110" w:type="dxa"/>
            </w:tcMar>
            <w:vAlign w:val="center"/>
          </w:tcPr>
          <w:p w14:paraId="0BF59E25" w14:textId="77777777" w:rsidR="00E33CBD" w:rsidRDefault="00000000">
            <w:r>
              <w:rPr>
                <w:b/>
                <w:bCs/>
                <w:color w:val="000000"/>
                <w:sz w:val="20"/>
                <w:szCs w:val="20"/>
              </w:rPr>
              <w:t>Submission</w:t>
            </w:r>
          </w:p>
        </w:tc>
        <w:tc>
          <w:tcPr>
            <w:tcW w:w="1900" w:type="dxa"/>
            <w:tcBorders>
              <w:top w:val="single" w:sz="4" w:space="0" w:color="808080"/>
              <w:left w:val="single" w:sz="4" w:space="0" w:color="808080"/>
              <w:bottom w:val="single" w:sz="4" w:space="0" w:color="808080"/>
              <w:right w:val="single" w:sz="4" w:space="0" w:color="808080"/>
            </w:tcBorders>
            <w:shd w:val="clear" w:color="auto" w:fill="F2F2F2"/>
            <w:tcMar>
              <w:top w:w="60" w:type="dxa"/>
              <w:left w:w="110" w:type="dxa"/>
              <w:bottom w:w="60" w:type="dxa"/>
              <w:right w:w="110" w:type="dxa"/>
            </w:tcMar>
            <w:vAlign w:val="center"/>
          </w:tcPr>
          <w:p w14:paraId="68C09BC6" w14:textId="77777777" w:rsidR="00E33CBD" w:rsidRDefault="00000000">
            <w:r>
              <w:rPr>
                <w:color w:val="000000"/>
                <w:sz w:val="20"/>
                <w:szCs w:val="20"/>
              </w:rPr>
              <w:t>26 June 2026</w:t>
            </w:r>
          </w:p>
        </w:tc>
        <w:tc>
          <w:tcPr>
            <w:tcW w:w="4526" w:type="dxa"/>
            <w:tcBorders>
              <w:top w:val="single" w:sz="4" w:space="0" w:color="808080"/>
              <w:left w:val="single" w:sz="4" w:space="0" w:color="808080"/>
              <w:bottom w:val="single" w:sz="4" w:space="0" w:color="808080"/>
              <w:right w:val="single" w:sz="4" w:space="0" w:color="808080"/>
            </w:tcBorders>
            <w:shd w:val="clear" w:color="auto" w:fill="F2F2F2"/>
            <w:tcMar>
              <w:top w:w="60" w:type="dxa"/>
              <w:left w:w="110" w:type="dxa"/>
              <w:bottom w:w="60" w:type="dxa"/>
              <w:right w:w="110" w:type="dxa"/>
            </w:tcMar>
            <w:vAlign w:val="center"/>
          </w:tcPr>
          <w:p w14:paraId="4024ECD2" w14:textId="77777777" w:rsidR="00E33CBD" w:rsidRDefault="00000000">
            <w:r>
              <w:rPr>
                <w:color w:val="000000"/>
                <w:sz w:val="20"/>
                <w:szCs w:val="20"/>
              </w:rPr>
              <w:t>Submit 2,000-word proposal via Turnitin.</w:t>
            </w:r>
          </w:p>
        </w:tc>
      </w:tr>
      <w:tr w:rsidR="00E33CBD" w14:paraId="36D5805A" w14:textId="77777777">
        <w:tc>
          <w:tcPr>
            <w:tcW w:w="2600" w:type="dxa"/>
            <w:tcBorders>
              <w:top w:val="single" w:sz="4" w:space="0" w:color="808080"/>
              <w:left w:val="single" w:sz="4" w:space="0" w:color="808080"/>
              <w:bottom w:val="single" w:sz="4" w:space="0" w:color="808080"/>
              <w:right w:val="single" w:sz="4" w:space="0" w:color="808080"/>
            </w:tcBorders>
            <w:shd w:val="clear" w:color="auto" w:fill="FFFFFF"/>
            <w:tcMar>
              <w:top w:w="60" w:type="dxa"/>
              <w:left w:w="110" w:type="dxa"/>
              <w:bottom w:w="60" w:type="dxa"/>
              <w:right w:w="110" w:type="dxa"/>
            </w:tcMar>
            <w:vAlign w:val="center"/>
          </w:tcPr>
          <w:p w14:paraId="421AD374" w14:textId="77777777" w:rsidR="00E33CBD" w:rsidRDefault="00000000">
            <w:r>
              <w:rPr>
                <w:b/>
                <w:bCs/>
                <w:color w:val="000000"/>
                <w:sz w:val="20"/>
                <w:szCs w:val="20"/>
              </w:rPr>
              <w:t>Presentation</w:t>
            </w:r>
          </w:p>
        </w:tc>
        <w:tc>
          <w:tcPr>
            <w:tcW w:w="1900" w:type="dxa"/>
            <w:tcBorders>
              <w:top w:val="single" w:sz="4" w:space="0" w:color="808080"/>
              <w:left w:val="single" w:sz="4" w:space="0" w:color="808080"/>
              <w:bottom w:val="single" w:sz="4" w:space="0" w:color="808080"/>
              <w:right w:val="single" w:sz="4" w:space="0" w:color="808080"/>
            </w:tcBorders>
            <w:shd w:val="clear" w:color="auto" w:fill="FFFFFF"/>
            <w:tcMar>
              <w:top w:w="60" w:type="dxa"/>
              <w:left w:w="110" w:type="dxa"/>
              <w:bottom w:w="60" w:type="dxa"/>
              <w:right w:w="110" w:type="dxa"/>
            </w:tcMar>
            <w:vAlign w:val="center"/>
          </w:tcPr>
          <w:p w14:paraId="1A2EDC8A" w14:textId="77777777" w:rsidR="00E33CBD" w:rsidRDefault="00000000">
            <w:r>
              <w:rPr>
                <w:color w:val="000000"/>
                <w:sz w:val="20"/>
                <w:szCs w:val="20"/>
              </w:rPr>
              <w:t>w/c 6 July 2026</w:t>
            </w:r>
          </w:p>
        </w:tc>
        <w:tc>
          <w:tcPr>
            <w:tcW w:w="4526" w:type="dxa"/>
            <w:tcBorders>
              <w:top w:val="single" w:sz="4" w:space="0" w:color="808080"/>
              <w:left w:val="single" w:sz="4" w:space="0" w:color="808080"/>
              <w:bottom w:val="single" w:sz="4" w:space="0" w:color="808080"/>
              <w:right w:val="single" w:sz="4" w:space="0" w:color="808080"/>
            </w:tcBorders>
            <w:shd w:val="clear" w:color="auto" w:fill="FFFFFF"/>
            <w:tcMar>
              <w:top w:w="60" w:type="dxa"/>
              <w:left w:w="110" w:type="dxa"/>
              <w:bottom w:w="60" w:type="dxa"/>
              <w:right w:w="110" w:type="dxa"/>
            </w:tcMar>
            <w:vAlign w:val="center"/>
          </w:tcPr>
          <w:p w14:paraId="12CF53FB" w14:textId="77777777" w:rsidR="00E33CBD" w:rsidRDefault="00000000">
            <w:r>
              <w:rPr>
                <w:color w:val="000000"/>
                <w:sz w:val="20"/>
                <w:szCs w:val="20"/>
              </w:rPr>
              <w:t>Deliver 7–10 minute presentation to cohort.</w:t>
            </w:r>
          </w:p>
        </w:tc>
      </w:tr>
    </w:tbl>
    <w:p w14:paraId="37A9D111" w14:textId="77777777" w:rsidR="00E33CBD" w:rsidRDefault="00E33CBD">
      <w:pPr>
        <w:spacing w:before="240"/>
      </w:pPr>
    </w:p>
    <w:p w14:paraId="08C640E3" w14:textId="77777777" w:rsidR="00E33CBD" w:rsidRDefault="00000000">
      <w:pPr>
        <w:pStyle w:val="Heading1"/>
      </w:pPr>
      <w:bookmarkStart w:id="28" w:name="_Toc233319280"/>
      <w:r>
        <w:lastRenderedPageBreak/>
        <w:t>Appendix C – Comparison of Methodological Approaches</w:t>
      </w:r>
      <w:bookmarkEnd w:id="28"/>
    </w:p>
    <w:tbl>
      <w:tblPr>
        <w:tblW w:w="90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 w:type="dxa"/>
          <w:right w:w="10" w:type="dxa"/>
        </w:tblCellMar>
        <w:tblLook w:val="0000" w:firstRow="0" w:lastRow="0" w:firstColumn="0" w:lastColumn="0" w:noHBand="0" w:noVBand="0"/>
      </w:tblPr>
      <w:tblGrid>
        <w:gridCol w:w="2100"/>
        <w:gridCol w:w="2300"/>
        <w:gridCol w:w="2300"/>
        <w:gridCol w:w="2326"/>
      </w:tblGrid>
      <w:tr w:rsidR="00E33CBD" w14:paraId="21FA806D" w14:textId="77777777">
        <w:trPr>
          <w:tblHeader/>
        </w:trPr>
        <w:tc>
          <w:tcPr>
            <w:tcW w:w="2100" w:type="dxa"/>
            <w:tcBorders>
              <w:top w:val="single" w:sz="4" w:space="0" w:color="808080"/>
              <w:left w:val="single" w:sz="4" w:space="0" w:color="808080"/>
              <w:bottom w:val="single" w:sz="4" w:space="0" w:color="808080"/>
              <w:right w:val="single" w:sz="4" w:space="0" w:color="808080"/>
            </w:tcBorders>
            <w:shd w:val="clear" w:color="auto" w:fill="404040"/>
            <w:tcMar>
              <w:top w:w="60" w:type="dxa"/>
              <w:left w:w="110" w:type="dxa"/>
              <w:bottom w:w="60" w:type="dxa"/>
              <w:right w:w="110" w:type="dxa"/>
            </w:tcMar>
            <w:vAlign w:val="center"/>
          </w:tcPr>
          <w:p w14:paraId="38B3F16C" w14:textId="77777777" w:rsidR="00E33CBD" w:rsidRDefault="00000000">
            <w:r>
              <w:rPr>
                <w:b/>
                <w:bCs/>
                <w:color w:val="FFFFFF"/>
                <w:sz w:val="20"/>
                <w:szCs w:val="20"/>
              </w:rPr>
              <w:t>Criterion</w:t>
            </w:r>
          </w:p>
        </w:tc>
        <w:tc>
          <w:tcPr>
            <w:tcW w:w="2300" w:type="dxa"/>
            <w:tcBorders>
              <w:top w:val="single" w:sz="4" w:space="0" w:color="808080"/>
              <w:left w:val="single" w:sz="4" w:space="0" w:color="808080"/>
              <w:bottom w:val="single" w:sz="4" w:space="0" w:color="808080"/>
              <w:right w:val="single" w:sz="4" w:space="0" w:color="808080"/>
            </w:tcBorders>
            <w:shd w:val="clear" w:color="auto" w:fill="404040"/>
            <w:tcMar>
              <w:top w:w="60" w:type="dxa"/>
              <w:left w:w="110" w:type="dxa"/>
              <w:bottom w:w="60" w:type="dxa"/>
              <w:right w:w="110" w:type="dxa"/>
            </w:tcMar>
            <w:vAlign w:val="center"/>
          </w:tcPr>
          <w:p w14:paraId="6A419579" w14:textId="77777777" w:rsidR="00E33CBD" w:rsidRDefault="00000000">
            <w:r>
              <w:rPr>
                <w:b/>
                <w:bCs/>
                <w:color w:val="FFFFFF"/>
                <w:sz w:val="20"/>
                <w:szCs w:val="20"/>
              </w:rPr>
              <w:t>Qualitative</w:t>
            </w:r>
          </w:p>
        </w:tc>
        <w:tc>
          <w:tcPr>
            <w:tcW w:w="2300" w:type="dxa"/>
            <w:tcBorders>
              <w:top w:val="single" w:sz="4" w:space="0" w:color="808080"/>
              <w:left w:val="single" w:sz="4" w:space="0" w:color="808080"/>
              <w:bottom w:val="single" w:sz="4" w:space="0" w:color="808080"/>
              <w:right w:val="single" w:sz="4" w:space="0" w:color="808080"/>
            </w:tcBorders>
            <w:shd w:val="clear" w:color="auto" w:fill="404040"/>
            <w:tcMar>
              <w:top w:w="60" w:type="dxa"/>
              <w:left w:w="110" w:type="dxa"/>
              <w:bottom w:w="60" w:type="dxa"/>
              <w:right w:w="110" w:type="dxa"/>
            </w:tcMar>
            <w:vAlign w:val="center"/>
          </w:tcPr>
          <w:p w14:paraId="7110299B" w14:textId="77777777" w:rsidR="00E33CBD" w:rsidRDefault="00000000">
            <w:r>
              <w:rPr>
                <w:b/>
                <w:bCs/>
                <w:color w:val="FFFFFF"/>
                <w:sz w:val="20"/>
                <w:szCs w:val="20"/>
              </w:rPr>
              <w:t>Quantitative</w:t>
            </w:r>
          </w:p>
        </w:tc>
        <w:tc>
          <w:tcPr>
            <w:tcW w:w="2326" w:type="dxa"/>
            <w:tcBorders>
              <w:top w:val="single" w:sz="4" w:space="0" w:color="808080"/>
              <w:left w:val="single" w:sz="4" w:space="0" w:color="808080"/>
              <w:bottom w:val="single" w:sz="4" w:space="0" w:color="808080"/>
              <w:right w:val="single" w:sz="4" w:space="0" w:color="808080"/>
            </w:tcBorders>
            <w:shd w:val="clear" w:color="auto" w:fill="404040"/>
            <w:tcMar>
              <w:top w:w="60" w:type="dxa"/>
              <w:left w:w="110" w:type="dxa"/>
              <w:bottom w:w="60" w:type="dxa"/>
              <w:right w:w="110" w:type="dxa"/>
            </w:tcMar>
            <w:vAlign w:val="center"/>
          </w:tcPr>
          <w:p w14:paraId="141919AB" w14:textId="77777777" w:rsidR="00E33CBD" w:rsidRDefault="00000000">
            <w:r>
              <w:rPr>
                <w:b/>
                <w:bCs/>
                <w:color w:val="FFFFFF"/>
                <w:sz w:val="20"/>
                <w:szCs w:val="20"/>
              </w:rPr>
              <w:t>Mixed Methods</w:t>
            </w:r>
          </w:p>
        </w:tc>
      </w:tr>
      <w:tr w:rsidR="00E33CBD" w14:paraId="170442E6" w14:textId="77777777">
        <w:tc>
          <w:tcPr>
            <w:tcW w:w="2100" w:type="dxa"/>
            <w:tcBorders>
              <w:top w:val="single" w:sz="4" w:space="0" w:color="808080"/>
              <w:left w:val="single" w:sz="4" w:space="0" w:color="808080"/>
              <w:bottom w:val="single" w:sz="4" w:space="0" w:color="808080"/>
              <w:right w:val="single" w:sz="4" w:space="0" w:color="808080"/>
            </w:tcBorders>
            <w:shd w:val="clear" w:color="auto" w:fill="FFFFFF"/>
            <w:tcMar>
              <w:top w:w="60" w:type="dxa"/>
              <w:left w:w="110" w:type="dxa"/>
              <w:bottom w:w="60" w:type="dxa"/>
              <w:right w:w="110" w:type="dxa"/>
            </w:tcMar>
            <w:vAlign w:val="center"/>
          </w:tcPr>
          <w:p w14:paraId="221D9E21" w14:textId="77777777" w:rsidR="00E33CBD" w:rsidRDefault="00000000">
            <w:r>
              <w:rPr>
                <w:b/>
                <w:bCs/>
                <w:color w:val="000000"/>
                <w:sz w:val="20"/>
                <w:szCs w:val="20"/>
              </w:rPr>
              <w:t>Paradigm</w:t>
            </w:r>
          </w:p>
        </w:tc>
        <w:tc>
          <w:tcPr>
            <w:tcW w:w="2300" w:type="dxa"/>
            <w:tcBorders>
              <w:top w:val="single" w:sz="4" w:space="0" w:color="808080"/>
              <w:left w:val="single" w:sz="4" w:space="0" w:color="808080"/>
              <w:bottom w:val="single" w:sz="4" w:space="0" w:color="808080"/>
              <w:right w:val="single" w:sz="4" w:space="0" w:color="808080"/>
            </w:tcBorders>
            <w:shd w:val="clear" w:color="auto" w:fill="FFFFFF"/>
            <w:tcMar>
              <w:top w:w="60" w:type="dxa"/>
              <w:left w:w="110" w:type="dxa"/>
              <w:bottom w:w="60" w:type="dxa"/>
              <w:right w:w="110" w:type="dxa"/>
            </w:tcMar>
            <w:vAlign w:val="center"/>
          </w:tcPr>
          <w:p w14:paraId="65482B3B" w14:textId="77777777" w:rsidR="00E33CBD" w:rsidRDefault="00000000">
            <w:r>
              <w:rPr>
                <w:color w:val="000000"/>
                <w:sz w:val="20"/>
                <w:szCs w:val="20"/>
              </w:rPr>
              <w:t>Interpretivism</w:t>
            </w:r>
          </w:p>
        </w:tc>
        <w:tc>
          <w:tcPr>
            <w:tcW w:w="2300" w:type="dxa"/>
            <w:tcBorders>
              <w:top w:val="single" w:sz="4" w:space="0" w:color="808080"/>
              <w:left w:val="single" w:sz="4" w:space="0" w:color="808080"/>
              <w:bottom w:val="single" w:sz="4" w:space="0" w:color="808080"/>
              <w:right w:val="single" w:sz="4" w:space="0" w:color="808080"/>
            </w:tcBorders>
            <w:shd w:val="clear" w:color="auto" w:fill="FFFFFF"/>
            <w:tcMar>
              <w:top w:w="60" w:type="dxa"/>
              <w:left w:w="110" w:type="dxa"/>
              <w:bottom w:w="60" w:type="dxa"/>
              <w:right w:w="110" w:type="dxa"/>
            </w:tcMar>
            <w:vAlign w:val="center"/>
          </w:tcPr>
          <w:p w14:paraId="1CAF6F12" w14:textId="77777777" w:rsidR="00E33CBD" w:rsidRDefault="00000000">
            <w:r>
              <w:rPr>
                <w:color w:val="000000"/>
                <w:sz w:val="20"/>
                <w:szCs w:val="20"/>
              </w:rPr>
              <w:t>Positivism</w:t>
            </w:r>
          </w:p>
        </w:tc>
        <w:tc>
          <w:tcPr>
            <w:tcW w:w="2326" w:type="dxa"/>
            <w:tcBorders>
              <w:top w:val="single" w:sz="4" w:space="0" w:color="808080"/>
              <w:left w:val="single" w:sz="4" w:space="0" w:color="808080"/>
              <w:bottom w:val="single" w:sz="4" w:space="0" w:color="808080"/>
              <w:right w:val="single" w:sz="4" w:space="0" w:color="808080"/>
            </w:tcBorders>
            <w:shd w:val="clear" w:color="auto" w:fill="FFFFFF"/>
            <w:tcMar>
              <w:top w:w="60" w:type="dxa"/>
              <w:left w:w="110" w:type="dxa"/>
              <w:bottom w:w="60" w:type="dxa"/>
              <w:right w:w="110" w:type="dxa"/>
            </w:tcMar>
            <w:vAlign w:val="center"/>
          </w:tcPr>
          <w:p w14:paraId="1144C9F4" w14:textId="77777777" w:rsidR="00E33CBD" w:rsidRDefault="00000000">
            <w:r>
              <w:rPr>
                <w:color w:val="000000"/>
                <w:sz w:val="20"/>
                <w:szCs w:val="20"/>
              </w:rPr>
              <w:t>Pragmatism</w:t>
            </w:r>
          </w:p>
        </w:tc>
      </w:tr>
      <w:tr w:rsidR="00E33CBD" w14:paraId="2944DC6A" w14:textId="77777777">
        <w:tc>
          <w:tcPr>
            <w:tcW w:w="2100" w:type="dxa"/>
            <w:tcBorders>
              <w:top w:val="single" w:sz="4" w:space="0" w:color="808080"/>
              <w:left w:val="single" w:sz="4" w:space="0" w:color="808080"/>
              <w:bottom w:val="single" w:sz="4" w:space="0" w:color="808080"/>
              <w:right w:val="single" w:sz="4" w:space="0" w:color="808080"/>
            </w:tcBorders>
            <w:shd w:val="clear" w:color="auto" w:fill="F2F2F2"/>
            <w:tcMar>
              <w:top w:w="60" w:type="dxa"/>
              <w:left w:w="110" w:type="dxa"/>
              <w:bottom w:w="60" w:type="dxa"/>
              <w:right w:w="110" w:type="dxa"/>
            </w:tcMar>
            <w:vAlign w:val="center"/>
          </w:tcPr>
          <w:p w14:paraId="1987404F" w14:textId="77777777" w:rsidR="00E33CBD" w:rsidRDefault="00000000">
            <w:r>
              <w:rPr>
                <w:b/>
                <w:bCs/>
                <w:color w:val="000000"/>
                <w:sz w:val="20"/>
                <w:szCs w:val="20"/>
              </w:rPr>
              <w:t>Data type</w:t>
            </w:r>
          </w:p>
        </w:tc>
        <w:tc>
          <w:tcPr>
            <w:tcW w:w="2300" w:type="dxa"/>
            <w:tcBorders>
              <w:top w:val="single" w:sz="4" w:space="0" w:color="808080"/>
              <w:left w:val="single" w:sz="4" w:space="0" w:color="808080"/>
              <w:bottom w:val="single" w:sz="4" w:space="0" w:color="808080"/>
              <w:right w:val="single" w:sz="4" w:space="0" w:color="808080"/>
            </w:tcBorders>
            <w:shd w:val="clear" w:color="auto" w:fill="F2F2F2"/>
            <w:tcMar>
              <w:top w:w="60" w:type="dxa"/>
              <w:left w:w="110" w:type="dxa"/>
              <w:bottom w:w="60" w:type="dxa"/>
              <w:right w:w="110" w:type="dxa"/>
            </w:tcMar>
            <w:vAlign w:val="center"/>
          </w:tcPr>
          <w:p w14:paraId="74BAC680" w14:textId="77777777" w:rsidR="00E33CBD" w:rsidRDefault="00000000">
            <w:r>
              <w:rPr>
                <w:color w:val="000000"/>
                <w:sz w:val="20"/>
                <w:szCs w:val="20"/>
              </w:rPr>
              <w:t>Words / themes</w:t>
            </w:r>
          </w:p>
        </w:tc>
        <w:tc>
          <w:tcPr>
            <w:tcW w:w="2300" w:type="dxa"/>
            <w:tcBorders>
              <w:top w:val="single" w:sz="4" w:space="0" w:color="808080"/>
              <w:left w:val="single" w:sz="4" w:space="0" w:color="808080"/>
              <w:bottom w:val="single" w:sz="4" w:space="0" w:color="808080"/>
              <w:right w:val="single" w:sz="4" w:space="0" w:color="808080"/>
            </w:tcBorders>
            <w:shd w:val="clear" w:color="auto" w:fill="F2F2F2"/>
            <w:tcMar>
              <w:top w:w="60" w:type="dxa"/>
              <w:left w:w="110" w:type="dxa"/>
              <w:bottom w:w="60" w:type="dxa"/>
              <w:right w:w="110" w:type="dxa"/>
            </w:tcMar>
            <w:vAlign w:val="center"/>
          </w:tcPr>
          <w:p w14:paraId="3C5E185B" w14:textId="77777777" w:rsidR="00E33CBD" w:rsidRDefault="00000000">
            <w:r>
              <w:rPr>
                <w:color w:val="000000"/>
                <w:sz w:val="20"/>
                <w:szCs w:val="20"/>
              </w:rPr>
              <w:t>Numbers / statistics</w:t>
            </w:r>
          </w:p>
        </w:tc>
        <w:tc>
          <w:tcPr>
            <w:tcW w:w="2326" w:type="dxa"/>
            <w:tcBorders>
              <w:top w:val="single" w:sz="4" w:space="0" w:color="808080"/>
              <w:left w:val="single" w:sz="4" w:space="0" w:color="808080"/>
              <w:bottom w:val="single" w:sz="4" w:space="0" w:color="808080"/>
              <w:right w:val="single" w:sz="4" w:space="0" w:color="808080"/>
            </w:tcBorders>
            <w:shd w:val="clear" w:color="auto" w:fill="F2F2F2"/>
            <w:tcMar>
              <w:top w:w="60" w:type="dxa"/>
              <w:left w:w="110" w:type="dxa"/>
              <w:bottom w:w="60" w:type="dxa"/>
              <w:right w:w="110" w:type="dxa"/>
            </w:tcMar>
            <w:vAlign w:val="center"/>
          </w:tcPr>
          <w:p w14:paraId="00D93EA4" w14:textId="77777777" w:rsidR="00E33CBD" w:rsidRDefault="00000000">
            <w:r>
              <w:rPr>
                <w:color w:val="000000"/>
                <w:sz w:val="20"/>
                <w:szCs w:val="20"/>
              </w:rPr>
              <w:t>Both</w:t>
            </w:r>
          </w:p>
        </w:tc>
      </w:tr>
      <w:tr w:rsidR="00E33CBD" w14:paraId="7170F2DA" w14:textId="77777777">
        <w:tc>
          <w:tcPr>
            <w:tcW w:w="2100" w:type="dxa"/>
            <w:tcBorders>
              <w:top w:val="single" w:sz="4" w:space="0" w:color="808080"/>
              <w:left w:val="single" w:sz="4" w:space="0" w:color="808080"/>
              <w:bottom w:val="single" w:sz="4" w:space="0" w:color="808080"/>
              <w:right w:val="single" w:sz="4" w:space="0" w:color="808080"/>
            </w:tcBorders>
            <w:shd w:val="clear" w:color="auto" w:fill="FFFFFF"/>
            <w:tcMar>
              <w:top w:w="60" w:type="dxa"/>
              <w:left w:w="110" w:type="dxa"/>
              <w:bottom w:w="60" w:type="dxa"/>
              <w:right w:w="110" w:type="dxa"/>
            </w:tcMar>
            <w:vAlign w:val="center"/>
          </w:tcPr>
          <w:p w14:paraId="51C8A93F" w14:textId="77777777" w:rsidR="00E33CBD" w:rsidRDefault="00000000">
            <w:r>
              <w:rPr>
                <w:b/>
                <w:bCs/>
                <w:color w:val="000000"/>
                <w:sz w:val="20"/>
                <w:szCs w:val="20"/>
              </w:rPr>
              <w:t>Sampling</w:t>
            </w:r>
          </w:p>
        </w:tc>
        <w:tc>
          <w:tcPr>
            <w:tcW w:w="2300" w:type="dxa"/>
            <w:tcBorders>
              <w:top w:val="single" w:sz="4" w:space="0" w:color="808080"/>
              <w:left w:val="single" w:sz="4" w:space="0" w:color="808080"/>
              <w:bottom w:val="single" w:sz="4" w:space="0" w:color="808080"/>
              <w:right w:val="single" w:sz="4" w:space="0" w:color="808080"/>
            </w:tcBorders>
            <w:shd w:val="clear" w:color="auto" w:fill="FFFFFF"/>
            <w:tcMar>
              <w:top w:w="60" w:type="dxa"/>
              <w:left w:w="110" w:type="dxa"/>
              <w:bottom w:w="60" w:type="dxa"/>
              <w:right w:w="110" w:type="dxa"/>
            </w:tcMar>
            <w:vAlign w:val="center"/>
          </w:tcPr>
          <w:p w14:paraId="1A11B9F5" w14:textId="77777777" w:rsidR="00E33CBD" w:rsidRDefault="00000000">
            <w:r>
              <w:rPr>
                <w:color w:val="000000"/>
                <w:sz w:val="20"/>
                <w:szCs w:val="20"/>
              </w:rPr>
              <w:t>Small, purposive</w:t>
            </w:r>
          </w:p>
        </w:tc>
        <w:tc>
          <w:tcPr>
            <w:tcW w:w="2300" w:type="dxa"/>
            <w:tcBorders>
              <w:top w:val="single" w:sz="4" w:space="0" w:color="808080"/>
              <w:left w:val="single" w:sz="4" w:space="0" w:color="808080"/>
              <w:bottom w:val="single" w:sz="4" w:space="0" w:color="808080"/>
              <w:right w:val="single" w:sz="4" w:space="0" w:color="808080"/>
            </w:tcBorders>
            <w:shd w:val="clear" w:color="auto" w:fill="FFFFFF"/>
            <w:tcMar>
              <w:top w:w="60" w:type="dxa"/>
              <w:left w:w="110" w:type="dxa"/>
              <w:bottom w:w="60" w:type="dxa"/>
              <w:right w:w="110" w:type="dxa"/>
            </w:tcMar>
            <w:vAlign w:val="center"/>
          </w:tcPr>
          <w:p w14:paraId="3517A2A1" w14:textId="77777777" w:rsidR="00E33CBD" w:rsidRDefault="00000000">
            <w:r>
              <w:rPr>
                <w:color w:val="000000"/>
                <w:sz w:val="20"/>
                <w:szCs w:val="20"/>
              </w:rPr>
              <w:t>Large, random</w:t>
            </w:r>
          </w:p>
        </w:tc>
        <w:tc>
          <w:tcPr>
            <w:tcW w:w="2326" w:type="dxa"/>
            <w:tcBorders>
              <w:top w:val="single" w:sz="4" w:space="0" w:color="808080"/>
              <w:left w:val="single" w:sz="4" w:space="0" w:color="808080"/>
              <w:bottom w:val="single" w:sz="4" w:space="0" w:color="808080"/>
              <w:right w:val="single" w:sz="4" w:space="0" w:color="808080"/>
            </w:tcBorders>
            <w:shd w:val="clear" w:color="auto" w:fill="FFFFFF"/>
            <w:tcMar>
              <w:top w:w="60" w:type="dxa"/>
              <w:left w:w="110" w:type="dxa"/>
              <w:bottom w:w="60" w:type="dxa"/>
              <w:right w:w="110" w:type="dxa"/>
            </w:tcMar>
            <w:vAlign w:val="center"/>
          </w:tcPr>
          <w:p w14:paraId="66C6BDEC" w14:textId="77777777" w:rsidR="00E33CBD" w:rsidRDefault="00000000">
            <w:r>
              <w:rPr>
                <w:color w:val="000000"/>
                <w:sz w:val="20"/>
                <w:szCs w:val="20"/>
              </w:rPr>
              <w:t>Variable</w:t>
            </w:r>
          </w:p>
        </w:tc>
      </w:tr>
      <w:tr w:rsidR="00E33CBD" w14:paraId="40299644" w14:textId="77777777">
        <w:tc>
          <w:tcPr>
            <w:tcW w:w="2100" w:type="dxa"/>
            <w:tcBorders>
              <w:top w:val="single" w:sz="4" w:space="0" w:color="808080"/>
              <w:left w:val="single" w:sz="4" w:space="0" w:color="808080"/>
              <w:bottom w:val="single" w:sz="4" w:space="0" w:color="808080"/>
              <w:right w:val="single" w:sz="4" w:space="0" w:color="808080"/>
            </w:tcBorders>
            <w:shd w:val="clear" w:color="auto" w:fill="F2F2F2"/>
            <w:tcMar>
              <w:top w:w="60" w:type="dxa"/>
              <w:left w:w="110" w:type="dxa"/>
              <w:bottom w:w="60" w:type="dxa"/>
              <w:right w:w="110" w:type="dxa"/>
            </w:tcMar>
            <w:vAlign w:val="center"/>
          </w:tcPr>
          <w:p w14:paraId="15219986" w14:textId="77777777" w:rsidR="00E33CBD" w:rsidRDefault="00000000">
            <w:r>
              <w:rPr>
                <w:b/>
                <w:bCs/>
                <w:color w:val="000000"/>
                <w:sz w:val="20"/>
                <w:szCs w:val="20"/>
              </w:rPr>
              <w:t>Best suited to</w:t>
            </w:r>
          </w:p>
        </w:tc>
        <w:tc>
          <w:tcPr>
            <w:tcW w:w="2300" w:type="dxa"/>
            <w:tcBorders>
              <w:top w:val="single" w:sz="4" w:space="0" w:color="808080"/>
              <w:left w:val="single" w:sz="4" w:space="0" w:color="808080"/>
              <w:bottom w:val="single" w:sz="4" w:space="0" w:color="808080"/>
              <w:right w:val="single" w:sz="4" w:space="0" w:color="808080"/>
            </w:tcBorders>
            <w:shd w:val="clear" w:color="auto" w:fill="F2F2F2"/>
            <w:tcMar>
              <w:top w:w="60" w:type="dxa"/>
              <w:left w:w="110" w:type="dxa"/>
              <w:bottom w:w="60" w:type="dxa"/>
              <w:right w:w="110" w:type="dxa"/>
            </w:tcMar>
            <w:vAlign w:val="center"/>
          </w:tcPr>
          <w:p w14:paraId="450B549D" w14:textId="77777777" w:rsidR="00E33CBD" w:rsidRDefault="00000000">
            <w:r>
              <w:rPr>
                <w:color w:val="000000"/>
                <w:sz w:val="20"/>
                <w:szCs w:val="20"/>
              </w:rPr>
              <w:t>Meaning, experience</w:t>
            </w:r>
          </w:p>
        </w:tc>
        <w:tc>
          <w:tcPr>
            <w:tcW w:w="2300" w:type="dxa"/>
            <w:tcBorders>
              <w:top w:val="single" w:sz="4" w:space="0" w:color="808080"/>
              <w:left w:val="single" w:sz="4" w:space="0" w:color="808080"/>
              <w:bottom w:val="single" w:sz="4" w:space="0" w:color="808080"/>
              <w:right w:val="single" w:sz="4" w:space="0" w:color="808080"/>
            </w:tcBorders>
            <w:shd w:val="clear" w:color="auto" w:fill="F2F2F2"/>
            <w:tcMar>
              <w:top w:w="60" w:type="dxa"/>
              <w:left w:w="110" w:type="dxa"/>
              <w:bottom w:w="60" w:type="dxa"/>
              <w:right w:w="110" w:type="dxa"/>
            </w:tcMar>
            <w:vAlign w:val="center"/>
          </w:tcPr>
          <w:p w14:paraId="5EB9E7F2" w14:textId="77777777" w:rsidR="00E33CBD" w:rsidRDefault="00000000">
            <w:r>
              <w:rPr>
                <w:color w:val="000000"/>
                <w:sz w:val="20"/>
                <w:szCs w:val="20"/>
              </w:rPr>
              <w:t>Testing relationships</w:t>
            </w:r>
          </w:p>
        </w:tc>
        <w:tc>
          <w:tcPr>
            <w:tcW w:w="2326" w:type="dxa"/>
            <w:tcBorders>
              <w:top w:val="single" w:sz="4" w:space="0" w:color="808080"/>
              <w:left w:val="single" w:sz="4" w:space="0" w:color="808080"/>
              <w:bottom w:val="single" w:sz="4" w:space="0" w:color="808080"/>
              <w:right w:val="single" w:sz="4" w:space="0" w:color="808080"/>
            </w:tcBorders>
            <w:shd w:val="clear" w:color="auto" w:fill="F2F2F2"/>
            <w:tcMar>
              <w:top w:w="60" w:type="dxa"/>
              <w:left w:w="110" w:type="dxa"/>
              <w:bottom w:w="60" w:type="dxa"/>
              <w:right w:w="110" w:type="dxa"/>
            </w:tcMar>
            <w:vAlign w:val="center"/>
          </w:tcPr>
          <w:p w14:paraId="1D0411BF" w14:textId="77777777" w:rsidR="00E33CBD" w:rsidRDefault="00000000">
            <w:r>
              <w:rPr>
                <w:color w:val="000000"/>
                <w:sz w:val="20"/>
                <w:szCs w:val="20"/>
              </w:rPr>
              <w:t>Complex phenomena</w:t>
            </w:r>
          </w:p>
        </w:tc>
      </w:tr>
      <w:tr w:rsidR="00E33CBD" w14:paraId="5253C5A1" w14:textId="77777777">
        <w:tc>
          <w:tcPr>
            <w:tcW w:w="2100" w:type="dxa"/>
            <w:tcBorders>
              <w:top w:val="single" w:sz="4" w:space="0" w:color="808080"/>
              <w:left w:val="single" w:sz="4" w:space="0" w:color="808080"/>
              <w:bottom w:val="single" w:sz="4" w:space="0" w:color="808080"/>
              <w:right w:val="single" w:sz="4" w:space="0" w:color="808080"/>
            </w:tcBorders>
            <w:shd w:val="clear" w:color="auto" w:fill="FFFFFF"/>
            <w:tcMar>
              <w:top w:w="60" w:type="dxa"/>
              <w:left w:w="110" w:type="dxa"/>
              <w:bottom w:w="60" w:type="dxa"/>
              <w:right w:w="110" w:type="dxa"/>
            </w:tcMar>
            <w:vAlign w:val="center"/>
          </w:tcPr>
          <w:p w14:paraId="16768C4B" w14:textId="77777777" w:rsidR="00E33CBD" w:rsidRDefault="00000000">
            <w:r>
              <w:rPr>
                <w:b/>
                <w:bCs/>
                <w:color w:val="000000"/>
                <w:sz w:val="20"/>
                <w:szCs w:val="20"/>
              </w:rPr>
              <w:t>This study</w:t>
            </w:r>
          </w:p>
        </w:tc>
        <w:tc>
          <w:tcPr>
            <w:tcW w:w="2300" w:type="dxa"/>
            <w:tcBorders>
              <w:top w:val="single" w:sz="4" w:space="0" w:color="808080"/>
              <w:left w:val="single" w:sz="4" w:space="0" w:color="808080"/>
              <w:bottom w:val="single" w:sz="4" w:space="0" w:color="808080"/>
              <w:right w:val="single" w:sz="4" w:space="0" w:color="808080"/>
            </w:tcBorders>
            <w:shd w:val="clear" w:color="auto" w:fill="FFFFFF"/>
            <w:tcMar>
              <w:top w:w="60" w:type="dxa"/>
              <w:left w:w="110" w:type="dxa"/>
              <w:bottom w:w="60" w:type="dxa"/>
              <w:right w:w="110" w:type="dxa"/>
            </w:tcMar>
            <w:vAlign w:val="center"/>
          </w:tcPr>
          <w:p w14:paraId="5CF0C7B3" w14:textId="77777777" w:rsidR="00E33CBD" w:rsidRDefault="00000000">
            <w:r>
              <w:rPr>
                <w:color w:val="000000"/>
                <w:sz w:val="20"/>
                <w:szCs w:val="20"/>
              </w:rPr>
              <w:t>Phase 2 (interviews)</w:t>
            </w:r>
          </w:p>
        </w:tc>
        <w:tc>
          <w:tcPr>
            <w:tcW w:w="2300" w:type="dxa"/>
            <w:tcBorders>
              <w:top w:val="single" w:sz="4" w:space="0" w:color="808080"/>
              <w:left w:val="single" w:sz="4" w:space="0" w:color="808080"/>
              <w:bottom w:val="single" w:sz="4" w:space="0" w:color="808080"/>
              <w:right w:val="single" w:sz="4" w:space="0" w:color="808080"/>
            </w:tcBorders>
            <w:shd w:val="clear" w:color="auto" w:fill="FFFFFF"/>
            <w:tcMar>
              <w:top w:w="60" w:type="dxa"/>
              <w:left w:w="110" w:type="dxa"/>
              <w:bottom w:w="60" w:type="dxa"/>
              <w:right w:w="110" w:type="dxa"/>
            </w:tcMar>
            <w:vAlign w:val="center"/>
          </w:tcPr>
          <w:p w14:paraId="1C2A0F8C" w14:textId="77777777" w:rsidR="00E33CBD" w:rsidRDefault="00000000">
            <w:r>
              <w:rPr>
                <w:color w:val="000000"/>
                <w:sz w:val="20"/>
                <w:szCs w:val="20"/>
              </w:rPr>
              <w:t>Phase 1 (survey)</w:t>
            </w:r>
          </w:p>
        </w:tc>
        <w:tc>
          <w:tcPr>
            <w:tcW w:w="2326" w:type="dxa"/>
            <w:tcBorders>
              <w:top w:val="single" w:sz="4" w:space="0" w:color="808080"/>
              <w:left w:val="single" w:sz="4" w:space="0" w:color="808080"/>
              <w:bottom w:val="single" w:sz="4" w:space="0" w:color="808080"/>
              <w:right w:val="single" w:sz="4" w:space="0" w:color="808080"/>
            </w:tcBorders>
            <w:shd w:val="clear" w:color="auto" w:fill="FFFFFF"/>
            <w:tcMar>
              <w:top w:w="60" w:type="dxa"/>
              <w:left w:w="110" w:type="dxa"/>
              <w:bottom w:w="60" w:type="dxa"/>
              <w:right w:w="110" w:type="dxa"/>
            </w:tcMar>
            <w:vAlign w:val="center"/>
          </w:tcPr>
          <w:p w14:paraId="14A32875" w14:textId="77777777" w:rsidR="00E33CBD" w:rsidRDefault="00000000">
            <w:r>
              <w:rPr>
                <w:color w:val="000000"/>
                <w:sz w:val="20"/>
                <w:szCs w:val="20"/>
              </w:rPr>
              <w:t>Selected approach</w:t>
            </w:r>
          </w:p>
        </w:tc>
      </w:tr>
    </w:tbl>
    <w:p w14:paraId="72D18302" w14:textId="77777777" w:rsidR="00486F6C" w:rsidRDefault="00486F6C"/>
    <w:sectPr w:rsidR="00486F6C">
      <w:footerReference w:type="default" r:id="rId12"/>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6CDBF9B8" w14:textId="77777777" w:rsidR="003A18EC" w:rsidRDefault="003A18EC">
      <w:pPr>
        <w:spacing w:line="240" w:lineRule="auto"/>
      </w:pPr>
      <w:r>
        <w:separator/>
      </w:r>
    </w:p>
  </w:endnote>
  <w:endnote w:type="continuationSeparator" w:id="0">
    <w:p w14:paraId="23327CAA" w14:textId="77777777" w:rsidR="003A18EC" w:rsidRDefault="003A18E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notTrueType/>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1FC0AC9E" w14:textId="77777777" w:rsidR="00E33CBD" w:rsidRDefault="00000000">
    <w:pPr>
      <w:jc w:val="right"/>
    </w:pPr>
    <w:r>
      <w:rPr>
        <w:sz w:val="22"/>
        <w:szCs w:val="22"/>
      </w:rPr>
      <w:fldChar w:fldCharType="begin"/>
    </w:r>
    <w:r>
      <w:rPr>
        <w:sz w:val="22"/>
        <w:szCs w:val="22"/>
      </w:rPr>
      <w:instrText>PAGE</w:instrText>
    </w:r>
    <w:r>
      <w:rPr>
        <w:sz w:val="22"/>
        <w:szCs w:val="22"/>
      </w:rPr>
      <w:fldChar w:fldCharType="separate"/>
    </w:r>
    <w:r w:rsidR="00C003A1">
      <w:rPr>
        <w:noProof/>
        <w:sz w:val="22"/>
        <w:szCs w:val="22"/>
      </w:rPr>
      <w:t>1</w:t>
    </w:r>
    <w:r>
      <w:rPr>
        <w:sz w:val="22"/>
        <w:szCs w:val="22"/>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593D91D9" w14:textId="77777777" w:rsidR="003A18EC" w:rsidRDefault="003A18EC">
      <w:pPr>
        <w:spacing w:line="240" w:lineRule="auto"/>
      </w:pPr>
      <w:r>
        <w:separator/>
      </w:r>
    </w:p>
  </w:footnote>
  <w:footnote w:type="continuationSeparator" w:id="0">
    <w:p w14:paraId="6CF38064" w14:textId="77777777" w:rsidR="003A18EC" w:rsidRDefault="003A18E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18EF43C3"/>
    <w:multiLevelType w:val="hybridMultilevel"/>
    <w:tmpl w:val="AFD4CA84"/>
    <w:lvl w:ilvl="0" w:tplc="D780F322">
      <w:start w:val="1"/>
      <w:numFmt w:val="bullet"/>
      <w:lvlText w:val="-"/>
      <w:lvlJc w:val="left"/>
      <w:pPr>
        <w:ind w:left="540" w:hanging="280"/>
      </w:pPr>
    </w:lvl>
    <w:lvl w:ilvl="1" w:tplc="ED661420">
      <w:numFmt w:val="decimal"/>
      <w:lvlText w:val=""/>
      <w:lvlJc w:val="left"/>
    </w:lvl>
    <w:lvl w:ilvl="2" w:tplc="82B85AF6">
      <w:numFmt w:val="decimal"/>
      <w:lvlText w:val=""/>
      <w:lvlJc w:val="left"/>
    </w:lvl>
    <w:lvl w:ilvl="3" w:tplc="283CDEA2">
      <w:numFmt w:val="decimal"/>
      <w:lvlText w:val=""/>
      <w:lvlJc w:val="left"/>
    </w:lvl>
    <w:lvl w:ilvl="4" w:tplc="73668B6C">
      <w:numFmt w:val="decimal"/>
      <w:lvlText w:val=""/>
      <w:lvlJc w:val="left"/>
    </w:lvl>
    <w:lvl w:ilvl="5" w:tplc="55F63828">
      <w:numFmt w:val="decimal"/>
      <w:lvlText w:val=""/>
      <w:lvlJc w:val="left"/>
    </w:lvl>
    <w:lvl w:ilvl="6" w:tplc="A6A81154">
      <w:numFmt w:val="decimal"/>
      <w:lvlText w:val=""/>
      <w:lvlJc w:val="left"/>
    </w:lvl>
    <w:lvl w:ilvl="7" w:tplc="48E60772">
      <w:numFmt w:val="decimal"/>
      <w:lvlText w:val=""/>
      <w:lvlJc w:val="left"/>
    </w:lvl>
    <w:lvl w:ilvl="8" w:tplc="0D8C0554">
      <w:numFmt w:val="decimal"/>
      <w:lvlText w:val=""/>
      <w:lvlJc w:val="left"/>
    </w:lvl>
  </w:abstractNum>
  <w:abstractNum w:abstractNumId="1" w15:restartNumberingAfterBreak="0">
    <w:nsid w:val="23884F5A"/>
    <w:multiLevelType w:val="hybridMultilevel"/>
    <w:tmpl w:val="C6345D0A"/>
    <w:lvl w:ilvl="0" w:tplc="9FD43110">
      <w:start w:val="1"/>
      <w:numFmt w:val="bullet"/>
      <w:lvlText w:val="●"/>
      <w:lvlJc w:val="left"/>
      <w:pPr>
        <w:ind w:left="720" w:hanging="360"/>
      </w:pPr>
    </w:lvl>
    <w:lvl w:ilvl="1" w:tplc="82AEE072">
      <w:start w:val="1"/>
      <w:numFmt w:val="bullet"/>
      <w:lvlText w:val="○"/>
      <w:lvlJc w:val="left"/>
      <w:pPr>
        <w:ind w:left="1440" w:hanging="360"/>
      </w:pPr>
    </w:lvl>
    <w:lvl w:ilvl="2" w:tplc="2334F7AE">
      <w:start w:val="1"/>
      <w:numFmt w:val="bullet"/>
      <w:lvlText w:val="■"/>
      <w:lvlJc w:val="left"/>
      <w:pPr>
        <w:ind w:left="2160" w:hanging="360"/>
      </w:pPr>
    </w:lvl>
    <w:lvl w:ilvl="3" w:tplc="55644B0E">
      <w:start w:val="1"/>
      <w:numFmt w:val="bullet"/>
      <w:lvlText w:val="●"/>
      <w:lvlJc w:val="left"/>
      <w:pPr>
        <w:ind w:left="2880" w:hanging="360"/>
      </w:pPr>
    </w:lvl>
    <w:lvl w:ilvl="4" w:tplc="CFF0B09C">
      <w:start w:val="1"/>
      <w:numFmt w:val="bullet"/>
      <w:lvlText w:val="○"/>
      <w:lvlJc w:val="left"/>
      <w:pPr>
        <w:ind w:left="3600" w:hanging="360"/>
      </w:pPr>
    </w:lvl>
    <w:lvl w:ilvl="5" w:tplc="F65608BE">
      <w:start w:val="1"/>
      <w:numFmt w:val="bullet"/>
      <w:lvlText w:val="■"/>
      <w:lvlJc w:val="left"/>
      <w:pPr>
        <w:ind w:left="4320" w:hanging="360"/>
      </w:pPr>
    </w:lvl>
    <w:lvl w:ilvl="6" w:tplc="BDC810E4">
      <w:start w:val="1"/>
      <w:numFmt w:val="bullet"/>
      <w:lvlText w:val="●"/>
      <w:lvlJc w:val="left"/>
      <w:pPr>
        <w:ind w:left="5040" w:hanging="360"/>
      </w:pPr>
    </w:lvl>
    <w:lvl w:ilvl="7" w:tplc="38D0FB62">
      <w:start w:val="1"/>
      <w:numFmt w:val="bullet"/>
      <w:lvlText w:val="●"/>
      <w:lvlJc w:val="left"/>
      <w:pPr>
        <w:ind w:left="5760" w:hanging="360"/>
      </w:pPr>
    </w:lvl>
    <w:lvl w:ilvl="8" w:tplc="7CAAE816">
      <w:start w:val="1"/>
      <w:numFmt w:val="bullet"/>
      <w:lvlText w:val="●"/>
      <w:lvlJc w:val="left"/>
      <w:pPr>
        <w:ind w:left="6480" w:hanging="360"/>
      </w:pPr>
    </w:lvl>
  </w:abstractNum>
  <w:abstractNum w:abstractNumId="2" w15:restartNumberingAfterBreak="0">
    <w:nsid w:val="3A0A552D"/>
    <w:multiLevelType w:val="hybridMultilevel"/>
    <w:tmpl w:val="C4F8F560"/>
    <w:lvl w:ilvl="0" w:tplc="0E088FFE">
      <w:start w:val="1"/>
      <w:numFmt w:val="decimal"/>
      <w:lvlText w:val="%1."/>
      <w:lvlJc w:val="left"/>
      <w:pPr>
        <w:ind w:left="540" w:hanging="280"/>
      </w:pPr>
    </w:lvl>
    <w:lvl w:ilvl="1" w:tplc="6526D75E">
      <w:numFmt w:val="decimal"/>
      <w:lvlText w:val=""/>
      <w:lvlJc w:val="left"/>
    </w:lvl>
    <w:lvl w:ilvl="2" w:tplc="E0863508">
      <w:numFmt w:val="decimal"/>
      <w:lvlText w:val=""/>
      <w:lvlJc w:val="left"/>
    </w:lvl>
    <w:lvl w:ilvl="3" w:tplc="E3BC2DE4">
      <w:numFmt w:val="decimal"/>
      <w:lvlText w:val=""/>
      <w:lvlJc w:val="left"/>
    </w:lvl>
    <w:lvl w:ilvl="4" w:tplc="F9CE0968">
      <w:numFmt w:val="decimal"/>
      <w:lvlText w:val=""/>
      <w:lvlJc w:val="left"/>
    </w:lvl>
    <w:lvl w:ilvl="5" w:tplc="24A66062">
      <w:numFmt w:val="decimal"/>
      <w:lvlText w:val=""/>
      <w:lvlJc w:val="left"/>
    </w:lvl>
    <w:lvl w:ilvl="6" w:tplc="F61059AC">
      <w:numFmt w:val="decimal"/>
      <w:lvlText w:val=""/>
      <w:lvlJc w:val="left"/>
    </w:lvl>
    <w:lvl w:ilvl="7" w:tplc="B5226D56">
      <w:numFmt w:val="decimal"/>
      <w:lvlText w:val=""/>
      <w:lvlJc w:val="left"/>
    </w:lvl>
    <w:lvl w:ilvl="8" w:tplc="1B54EF44">
      <w:numFmt w:val="decimal"/>
      <w:lvlText w:val=""/>
      <w:lvlJc w:val="left"/>
    </w:lvl>
  </w:abstractNum>
  <w:num w:numId="1" w16cid:durableId="1559628921">
    <w:abstractNumId w:val="1"/>
    <w:lvlOverride w:ilvl="0">
      <w:startOverride w:val="1"/>
    </w:lvlOverride>
  </w:num>
  <w:num w:numId="2" w16cid:durableId="1219320967">
    <w:abstractNumId w:val="2"/>
    <w:lvlOverride w:ilvl="0">
      <w:startOverride w:val="1"/>
    </w:lvlOverride>
  </w:num>
  <w:num w:numId="3" w16cid:durableId="801270464">
    <w:abstractNumId w:val="0"/>
    <w:lvlOverride w:ilvl="0">
      <w:startOverride w:val="1"/>
    </w:lvlOverride>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1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33CBD"/>
    <w:rsid w:val="00041932"/>
    <w:rsid w:val="00055C04"/>
    <w:rsid w:val="00195B4C"/>
    <w:rsid w:val="002D5028"/>
    <w:rsid w:val="002E1F87"/>
    <w:rsid w:val="0031262C"/>
    <w:rsid w:val="0033020F"/>
    <w:rsid w:val="00384B88"/>
    <w:rsid w:val="003A18EC"/>
    <w:rsid w:val="003D2F61"/>
    <w:rsid w:val="004828A0"/>
    <w:rsid w:val="00486F6C"/>
    <w:rsid w:val="00654DA7"/>
    <w:rsid w:val="00665E36"/>
    <w:rsid w:val="007175CA"/>
    <w:rsid w:val="008830C9"/>
    <w:rsid w:val="0091183F"/>
    <w:rsid w:val="00912009"/>
    <w:rsid w:val="00914A0D"/>
    <w:rsid w:val="00947873"/>
    <w:rsid w:val="00994285"/>
    <w:rsid w:val="00A40E05"/>
    <w:rsid w:val="00B81466"/>
    <w:rsid w:val="00BB2141"/>
    <w:rsid w:val="00BF4580"/>
    <w:rsid w:val="00C003A1"/>
    <w:rsid w:val="00D15271"/>
    <w:rsid w:val="00D43FCE"/>
    <w:rsid w:val="00E33CBD"/>
    <w:rsid w:val="00EC0AD4"/>
    <w:rsid w:val="00F61E5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1E37B47E"/>
  <w15:docId w15:val="{69CB1CAD-0266-7549-8655-FEDB9FF4CD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imes New Roman" w:eastAsia="Times New Roman" w:hAnsi="Times New Roman" w:cs="Times New Roman"/>
        <w:sz w:val="24"/>
        <w:szCs w:val="24"/>
        <w:lang w:val="en-GB" w:eastAsia="en-GB" w:bidi="ar-SA"/>
      </w:rPr>
    </w:rPrDefault>
    <w:pPrDefault>
      <w:pPr>
        <w:spacing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pPr>
      <w:spacing w:before="280" w:after="140"/>
      <w:outlineLvl w:val="0"/>
    </w:pPr>
    <w:rPr>
      <w:rFonts w:ascii="Calibri" w:eastAsia="Calibri" w:hAnsi="Calibri" w:cs="Calibri"/>
      <w:b/>
      <w:bCs/>
      <w:color w:val="000000"/>
      <w:sz w:val="28"/>
      <w:szCs w:val="28"/>
    </w:rPr>
  </w:style>
  <w:style w:type="paragraph" w:styleId="Heading2">
    <w:name w:val="heading 2"/>
    <w:uiPriority w:val="9"/>
    <w:unhideWhenUsed/>
    <w:qFormat/>
    <w:pPr>
      <w:spacing w:before="180" w:after="100"/>
      <w:outlineLvl w:val="1"/>
    </w:pPr>
    <w:rPr>
      <w:rFonts w:ascii="Calibri" w:eastAsia="Calibri" w:hAnsi="Calibri" w:cs="Calibri"/>
      <w:b/>
      <w:bCs/>
      <w:color w:val="000000"/>
      <w:sz w:val="26"/>
      <w:szCs w:val="26"/>
    </w:rPr>
  </w:style>
  <w:style w:type="paragraph" w:styleId="Heading3">
    <w:name w:val="heading 3"/>
    <w:uiPriority w:val="9"/>
    <w:unhideWhenUsed/>
    <w:qFormat/>
    <w:pPr>
      <w:spacing w:before="140" w:after="80"/>
      <w:outlineLvl w:val="2"/>
    </w:pPr>
    <w:rPr>
      <w:rFonts w:ascii="Calibri" w:eastAsia="Calibri" w:hAnsi="Calibri" w:cs="Calibri"/>
      <w:b/>
      <w:bCs/>
      <w:color w:val="000000"/>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pPr>
      <w:spacing w:line="240" w:lineRule="auto"/>
    </w:pPr>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pPr>
      <w:spacing w:line="240" w:lineRule="auto"/>
    </w:pPr>
    <w:rPr>
      <w:sz w:val="20"/>
      <w:szCs w:val="20"/>
    </w:rPr>
  </w:style>
  <w:style w:type="character" w:customStyle="1" w:styleId="EndnoteTextChar">
    <w:name w:val="Endnote Text Char"/>
    <w:link w:val="EndnoteText"/>
    <w:uiPriority w:val="99"/>
    <w:semiHidden/>
    <w:unhideWhenUsed/>
    <w:rPr>
      <w:sz w:val="20"/>
      <w:szCs w:val="20"/>
    </w:rPr>
  </w:style>
  <w:style w:type="paragraph" w:styleId="TOC1">
    <w:name w:val="toc 1"/>
    <w:basedOn w:val="Normal"/>
    <w:next w:val="Normal"/>
    <w:autoRedefine/>
    <w:uiPriority w:val="39"/>
    <w:unhideWhenUsed/>
    <w:rsid w:val="008830C9"/>
    <w:pPr>
      <w:spacing w:after="100"/>
    </w:pPr>
  </w:style>
  <w:style w:type="paragraph" w:styleId="TOC2">
    <w:name w:val="toc 2"/>
    <w:basedOn w:val="Normal"/>
    <w:next w:val="Normal"/>
    <w:autoRedefine/>
    <w:uiPriority w:val="39"/>
    <w:unhideWhenUsed/>
    <w:rsid w:val="008830C9"/>
    <w:pPr>
      <w:spacing w:after="100"/>
      <w:ind w:left="240"/>
    </w:pPr>
  </w:style>
  <w:style w:type="paragraph" w:styleId="TOC3">
    <w:name w:val="toc 3"/>
    <w:basedOn w:val="Normal"/>
    <w:next w:val="Normal"/>
    <w:autoRedefine/>
    <w:uiPriority w:val="39"/>
    <w:unhideWhenUsed/>
    <w:rsid w:val="008830C9"/>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9</TotalTime>
  <Pages>15</Pages>
  <Words>3597</Words>
  <Characters>20509</Characters>
  <Application>Microsoft Office Word</Application>
  <DocSecurity>0</DocSecurity>
  <Lines>170</Lines>
  <Paragraphs>48</Paragraphs>
  <ScaleCrop>false</ScaleCrop>
  <Company/>
  <LinksUpToDate>false</LinksUpToDate>
  <CharactersWithSpaces>24058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Un-named</dc:creator>
  <cp:lastModifiedBy>Cristian Dinicuta (2323940)</cp:lastModifiedBy>
  <cp:revision>10</cp:revision>
  <dcterms:created xsi:type="dcterms:W3CDTF">2026-06-25T21:17:00Z</dcterms:created>
  <dcterms:modified xsi:type="dcterms:W3CDTF">2026-06-25T22:27:00Z</dcterms:modified>
</cp:coreProperties>
</file>