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FDC170" w14:textId="77777777" w:rsidR="00B35B85" w:rsidRPr="00B35B85" w:rsidRDefault="00B35B85" w:rsidP="00B35B85">
      <w:pPr>
        <w:spacing w:after="12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i/>
          <w:iCs/>
          <w:color w:val="000000"/>
          <w:kern w:val="0"/>
          <w:sz w:val="33"/>
          <w:szCs w:val="33"/>
          <w14:ligatures w14:val="none"/>
        </w:rPr>
        <w:t>Leading and Implementing Workplace Change</w:t>
      </w:r>
    </w:p>
    <w:p w14:paraId="5AF28B3A" w14:textId="77777777" w:rsidR="00B35B85" w:rsidRPr="00B35B85" w:rsidRDefault="00B35B85" w:rsidP="00B35B85">
      <w:pPr>
        <w:spacing w:before="180" w:after="0"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color w:val="2E74B5"/>
          <w:kern w:val="0"/>
          <w:sz w:val="36"/>
          <w:szCs w:val="36"/>
          <w14:ligatures w14:val="none"/>
        </w:rPr>
        <w:t>Table of Contents</w:t>
      </w:r>
    </w:p>
    <w:p w14:paraId="25D409FC"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Introduction and Organisational Context</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4</w:t>
      </w:r>
    </w:p>
    <w:p w14:paraId="528FE130"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Critical analysis of macro-environmental forces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5</w:t>
      </w:r>
    </w:p>
    <w:p w14:paraId="74BEC3B4"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Micro-environmental analysis and SWOT synthesis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7</w:t>
      </w:r>
    </w:p>
    <w:p w14:paraId="5566C55A"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Organisational culture and capability</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9</w:t>
      </w:r>
    </w:p>
    <w:p w14:paraId="62ADFC5D"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Evaluative case for change</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10</w:t>
      </w:r>
    </w:p>
    <w:p w14:paraId="47B7607D"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Nature and complexity of the restructuring</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13</w:t>
      </w:r>
    </w:p>
    <w:p w14:paraId="60FD7A0B"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Stakeholder analysis and engagement priorities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13</w:t>
      </w:r>
    </w:p>
    <w:p w14:paraId="773FE1A4"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Critical evaluation of leadership and change implementation</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14</w:t>
      </w:r>
    </w:p>
    <w:p w14:paraId="68C05520"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Emotional responses, resistance and employee support</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17</w:t>
      </w:r>
    </w:p>
    <w:p w14:paraId="358E92E7"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Recommendations, implementation and evaluation</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18</w:t>
      </w:r>
    </w:p>
    <w:p w14:paraId="39A67F6F"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Conclusion</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19</w:t>
      </w:r>
    </w:p>
    <w:p w14:paraId="4373A528"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References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20</w:t>
      </w:r>
    </w:p>
    <w:p w14:paraId="4693D595" w14:textId="77777777" w:rsidR="00B35B85" w:rsidRPr="00B35B85" w:rsidRDefault="00B35B85" w:rsidP="00B35B85">
      <w:pPr>
        <w:spacing w:before="180" w:after="0"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color w:val="2E74B5"/>
          <w:kern w:val="0"/>
          <w:sz w:val="36"/>
          <w:szCs w:val="36"/>
          <w14:ligatures w14:val="none"/>
        </w:rPr>
        <w:t>List of Tables </w:t>
      </w:r>
    </w:p>
    <w:p w14:paraId="30759E1B"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Table 1: SWOT synthesis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8</w:t>
      </w:r>
    </w:p>
    <w:p w14:paraId="2B3F37A5"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563C1"/>
          <w:kern w:val="0"/>
          <w:sz w:val="27"/>
          <w:szCs w:val="27"/>
          <w:u w:val="single"/>
          <w14:ligatures w14:val="none"/>
        </w:rPr>
        <w:t>Table 2: Stakeholder analysis</w:t>
      </w:r>
      <w:r w:rsidRPr="00B35B85">
        <w:rPr>
          <w:rFonts w:ascii="-webkit-standard" w:hAnsi="-webkit-standard" w:cs="Times New Roman"/>
          <w:color w:val="000000"/>
          <w:kern w:val="0"/>
          <w:sz w:val="27"/>
          <w:szCs w:val="27"/>
          <w14:ligatures w14:val="none"/>
        </w:rPr>
        <w:t>​</w:t>
      </w:r>
      <w:r w:rsidRPr="00B35B85">
        <w:rPr>
          <w:rFonts w:ascii="Times New Roman" w:hAnsi="Times New Roman" w:cs="Times New Roman"/>
          <w:color w:val="000000"/>
          <w:kern w:val="0"/>
          <w:sz w:val="27"/>
          <w:szCs w:val="27"/>
          <w14:ligatures w14:val="none"/>
        </w:rPr>
        <w:t>13</w:t>
      </w:r>
    </w:p>
    <w:p w14:paraId="33467382" w14:textId="77777777" w:rsidR="00B35B85" w:rsidRPr="00B35B85" w:rsidRDefault="00B35B85" w:rsidP="00B35B85">
      <w:pPr>
        <w:spacing w:after="12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30"/>
          <w:szCs w:val="30"/>
          <w14:ligatures w14:val="none"/>
        </w:rPr>
        <w:t>Part One:</w:t>
      </w:r>
      <w:r w:rsidRPr="00B35B85">
        <w:rPr>
          <w:rFonts w:ascii="Times New Roman" w:hAnsi="Times New Roman" w:cs="Times New Roman"/>
          <w:b/>
          <w:bCs/>
          <w:i/>
          <w:iCs/>
          <w:color w:val="000000"/>
          <w:kern w:val="0"/>
          <w:sz w:val="30"/>
          <w:szCs w:val="30"/>
          <w14:ligatures w14:val="none"/>
        </w:rPr>
        <w:t> Critically analyse the forces for change affecting workplace culture and capability</w:t>
      </w:r>
    </w:p>
    <w:p w14:paraId="30CA0F6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webkit-standard" w:hAnsi="-webkit-standard" w:cs="Times New Roman"/>
          <w:color w:val="000000"/>
          <w:kern w:val="0"/>
          <w:sz w:val="27"/>
          <w:szCs w:val="27"/>
          <w14:ligatures w14:val="none"/>
        </w:rPr>
        <w:t> </w:t>
      </w:r>
    </w:p>
    <w:p w14:paraId="52BDBFB4" w14:textId="77777777" w:rsidR="00B35B85" w:rsidRPr="00B35B85" w:rsidRDefault="00B35B85" w:rsidP="00B35B85">
      <w:pPr>
        <w:spacing w:before="180" w:after="90" w:line="240" w:lineRule="auto"/>
        <w:jc w:val="both"/>
        <w:rPr>
          <w:rFonts w:ascii="-webkit-standard" w:hAnsi="-webkit-standard" w:cs="Times New Roman"/>
          <w:color w:val="000000"/>
          <w:kern w:val="0"/>
          <w:sz w:val="27"/>
          <w:szCs w:val="27"/>
          <w14:ligatures w14:val="none"/>
        </w:rPr>
      </w:pPr>
      <w:bookmarkStart w:id="0" w:name="_Toc243133863"/>
      <w:bookmarkStart w:id="1" w:name="_Toc235574882"/>
      <w:bookmarkEnd w:id="0"/>
      <w:bookmarkEnd w:id="1"/>
      <w:r w:rsidRPr="00B35B85">
        <w:rPr>
          <w:rFonts w:ascii="Times New Roman" w:hAnsi="Times New Roman" w:cs="Times New Roman"/>
          <w:b/>
          <w:bCs/>
          <w:color w:val="000000"/>
          <w:kern w:val="0"/>
          <w:sz w:val="27"/>
          <w:szCs w:val="27"/>
          <w14:ligatures w14:val="none"/>
        </w:rPr>
        <w:t>Introduction and Organisational Context</w:t>
      </w:r>
    </w:p>
    <w:p w14:paraId="54703BB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This report is a critical evaluation of change in place of work in the John Lewis Partnership, which operates in the UK as a core of re-organising core teams and as a part of how the John Lewis shop runs. Waitrose is also provided with wider context of the organisation and analysis concentrates on the chosen restructuring. The reason is to find out whether better performance can be achieved by simplifying operations without sacrificing the trust of the employees, organisational knowledge and service capacity to the customer.</w:t>
      </w:r>
    </w:p>
    <w:p w14:paraId="70AF1DA9" w14:textId="77777777" w:rsidR="00B35B85" w:rsidRPr="00B35B85" w:rsidRDefault="00B35B85" w:rsidP="00B35B85">
      <w:pPr>
        <w:spacing w:after="120" w:line="240" w:lineRule="auto"/>
        <w:jc w:val="center"/>
        <w:rPr>
          <w:rFonts w:ascii="-webkit-standard" w:hAnsi="-webkit-standard" w:cs="Times New Roman"/>
          <w:color w:val="000000"/>
          <w:kern w:val="0"/>
          <w:sz w:val="27"/>
          <w:szCs w:val="27"/>
          <w14:ligatures w14:val="none"/>
        </w:rPr>
      </w:pPr>
      <w:r w:rsidRPr="00B35B85">
        <w:rPr>
          <w:rFonts w:ascii="-webkit-standard" w:hAnsi="-webkit-standard" w:cs="Times New Roman"/>
          <w:noProof/>
          <w:color w:val="000000"/>
          <w:kern w:val="0"/>
          <w:sz w:val="27"/>
          <w:szCs w:val="27"/>
          <w14:ligatures w14:val="none"/>
        </w:rPr>
        <mc:AlternateContent>
          <mc:Choice Requires="wps">
            <w:drawing>
              <wp:inline distT="0" distB="0" distL="0" distR="0" wp14:anchorId="2694C5BA" wp14:editId="3472319C">
                <wp:extent cx="302260" cy="302260"/>
                <wp:effectExtent l="0" t="0" r="0" b="0"/>
                <wp:docPr id="181817808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69A198" id="Rectangl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0911E238" w14:textId="7ADD89E6"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2" w:name="_Toc235574570"/>
      <w:bookmarkEnd w:id="2"/>
      <w:r w:rsidRPr="00B35B85">
        <w:rPr>
          <w:rFonts w:ascii="Times New Roman" w:hAnsi="Times New Roman" w:cs="Times New Roman"/>
          <w:b/>
          <w:bCs/>
          <w:i/>
          <w:iCs/>
          <w:color w:val="000000"/>
          <w:kern w:val="0"/>
          <w:sz w:val="27"/>
          <w:szCs w:val="27"/>
          <w14:ligatures w14:val="none"/>
        </w:rPr>
        <w:t>: John Lewis Partnership</w:t>
      </w:r>
    </w:p>
    <w:p w14:paraId="0E20418F"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i/>
          <w:iCs/>
          <w:color w:val="000000"/>
          <w:kern w:val="0"/>
          <w:sz w:val="27"/>
          <w:szCs w:val="27"/>
          <w14:ligatures w14:val="none"/>
        </w:rPr>
        <w:t>Source: (Butler, 2021)</w:t>
      </w:r>
    </w:p>
    <w:p w14:paraId="067FBBCE"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Restructuring poses, a leadership challenge in that, the redistribution of workloads, influence and opportunities through restructuring work away and redistribute roles and responsibilities. The fact that change is infantile, based on environmental stressors, does not mean that the most fitting action that should be undertaken in response is workforce cuts. The outcomes would depend on the impact of the organisational culture, the capabilities and involvement of the stakeholders in the implementation.</w:t>
      </w:r>
    </w:p>
    <w:p w14:paraId="6D5491CB"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academically foundational expanded study report, organisational reporting and independent evidence synthesise the environmental plus stakeholder analysis and critical analysis of change models and frameworks. It challenges the idea that financial efficiency results in sustainable organisational effectiveness as it recognises that reduced costs can conceal losses of competence, reduced collaboration or unsuccessful service that discourages desired benefits in the long-term.</w:t>
      </w:r>
    </w:p>
    <w:p w14:paraId="606A0F48"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3" w:name="_Toc243133864"/>
      <w:bookmarkStart w:id="4" w:name="_Toc235574883"/>
      <w:bookmarkEnd w:id="3"/>
      <w:bookmarkEnd w:id="4"/>
      <w:r w:rsidRPr="00B35B85">
        <w:rPr>
          <w:rFonts w:ascii="Times New Roman" w:eastAsia="Times New Roman" w:hAnsi="Times New Roman" w:cs="Times New Roman"/>
          <w:color w:val="000000"/>
          <w:kern w:val="0"/>
          <w:sz w:val="27"/>
          <w:szCs w:val="27"/>
          <w:u w:val="single"/>
          <w14:ligatures w14:val="none"/>
        </w:rPr>
        <w:t>Critical analysis of macro-environmental forces</w:t>
      </w:r>
    </w:p>
    <w:p w14:paraId="5FD924A1" w14:textId="77777777" w:rsidR="00B35B85" w:rsidRPr="00B35B85" w:rsidRDefault="00B35B85" w:rsidP="00B35B85">
      <w:pPr>
        <w:spacing w:after="90" w:line="240" w:lineRule="auto"/>
        <w:jc w:val="center"/>
        <w:rPr>
          <w:rFonts w:ascii="-webkit-standard" w:hAnsi="-webkit-standard" w:cs="Times New Roman"/>
          <w:color w:val="000000"/>
          <w:kern w:val="0"/>
          <w:sz w:val="27"/>
          <w:szCs w:val="27"/>
          <w14:ligatures w14:val="none"/>
        </w:rPr>
      </w:pPr>
      <w:r w:rsidRPr="00B35B85">
        <w:rPr>
          <w:rFonts w:ascii="-webkit-standard" w:hAnsi="-webkit-standard" w:cs="Times New Roman"/>
          <w:noProof/>
          <w:color w:val="000000"/>
          <w:kern w:val="0"/>
          <w:sz w:val="27"/>
          <w:szCs w:val="27"/>
          <w14:ligatures w14:val="none"/>
        </w:rPr>
        <mc:AlternateContent>
          <mc:Choice Requires="wps">
            <w:drawing>
              <wp:inline distT="0" distB="0" distL="0" distR="0" wp14:anchorId="1BE5FAA0" wp14:editId="60CC9481">
                <wp:extent cx="302260" cy="302260"/>
                <wp:effectExtent l="0" t="0" r="0" b="0"/>
                <wp:docPr id="135680717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09AE67"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285F2EC6" w14:textId="61CE3673"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5" w:name="_Toc235574571"/>
      <w:bookmarkEnd w:id="5"/>
      <w:r w:rsidRPr="00B35B85">
        <w:rPr>
          <w:rFonts w:ascii="Times New Roman" w:hAnsi="Times New Roman" w:cs="Times New Roman"/>
          <w:b/>
          <w:bCs/>
          <w:i/>
          <w:iCs/>
          <w:color w:val="000000"/>
          <w:kern w:val="0"/>
          <w:sz w:val="27"/>
          <w:szCs w:val="27"/>
          <w14:ligatures w14:val="none"/>
        </w:rPr>
        <w:t>macro-environmental forces</w:t>
      </w:r>
    </w:p>
    <w:p w14:paraId="66922630"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i/>
          <w:iCs/>
          <w:color w:val="000000"/>
          <w:kern w:val="0"/>
          <w:sz w:val="27"/>
          <w:szCs w:val="27"/>
          <w14:ligatures w14:val="none"/>
        </w:rPr>
        <w:t>Source: (Ormston, 2025)</w:t>
      </w:r>
    </w:p>
    <w:p w14:paraId="0FCFEB7D"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Political and economic pressures</w:t>
      </w:r>
    </w:p>
    <w:p w14:paraId="3689CB0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Political decisions, which are more inclined to stimulate financial incentive in order to streamline operations, have increased the cost of its employees (Umosen and Essien, 2026). The John Lewis Partnership has estimated this extra cost in 2025/26 to add £40 million to its costs because of rising emperor national insurance costs. It also mentioned regarding guarded customer expenditure and increased promotions, which signified that it is restricted to recover its expenditures in terms of prices. However, it is a need to be more productive due to these pressures, not the answer is redundancies. Management must distinguish between imposed costs on an outside and coordination-weaknesses in processes that must make the investment and coordination (Albuja, Ibujés-Villacís and Yoo, 2026). Reduction in staffing can result in a workload that can be tolerated by the remaining staff to the detriment of service and high turnover. Such reductions should be likened to redesigning of processes and redeployment.</w:t>
      </w:r>
    </w:p>
    <w:p w14:paraId="5F3F140D"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Social and technological pressures</w:t>
      </w:r>
    </w:p>
    <w:p w14:paraId="11F1134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demands of long-term integrated systems and knowledgeable employees are influenced by the expectations of customers who want to be able to conveniently shop in stores and online (Zhou and Salleh Hudin, 2025). The Partnership is reporting a good payoff on its Omni channeloffer of investment with refurbished stores faring better than the bigger estate. This favours modernisation though the locations difference might not be isolable of the investment effects of the management. Change in technology can be used to cut down on the duplication of the administration implementation would require training, transfer of knowledge and coordination between the central team and shops(Carvalho et al., 2025). So getting rid of good personnel before the requisite replacement machinery can be devised, could be a risk to the skills that technology is expected to develop. </w:t>
      </w:r>
    </w:p>
    <w:p w14:paraId="687CB154"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Legal and environmental pressures</w:t>
      </w:r>
    </w:p>
    <w:p w14:paraId="12ABC201"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process of implementation depends on the employment context, and the procedural justice becomes a strategic issue (Ferrara et al., 2022). Following the Acas guidelines, the measures that should be applied to conduct consultations before the decision is made and to learn how the redundancy can be avoided and what other options for employment are possible, should be applied. The process of planning will depend on the consultations and will not serve as an excuse for the past decisions. However, one should not forget that the effect of the environmental variables on the fiscal pressure is also possible: the Partnership had to spend 13M pounds of levies in 2025/26, and its further performance has shown that it was able to use the heat waves to increase the cost of operations. Fiscal pressure shows the need for compliance, procurement and resilience. The absence of the required knowledge would lead to losses.</w:t>
      </w:r>
    </w:p>
    <w:p w14:paraId="623E55B6"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Prioritisation of pressures</w:t>
      </w:r>
    </w:p>
    <w:p w14:paraId="0C6B0D8C"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most urgent incentive to restructure is the economic and political pressures and the most long-term oriented capability locations are the pressures, which are linked to changes in technology and social developments. The law and need to be resilient support the implementation that is regulated by the nature of the environment. However, PESTLE finds a pressure, rather than demonstrating a cause effect. The duo of the two uncovers the idea that the decided restructuring is the optimal choice to make (Eierle et al., 2021). Leadership should be devoted to the identified ineffective processes of work, preserve primary expertise, and appreciate savings and work and service outcomes (Ahmad, 2025). </w:t>
      </w:r>
    </w:p>
    <w:p w14:paraId="01F372F4"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6" w:name="_Toc243133865"/>
      <w:bookmarkStart w:id="7" w:name="_Toc235574884"/>
      <w:bookmarkEnd w:id="6"/>
      <w:bookmarkEnd w:id="7"/>
      <w:r w:rsidRPr="00B35B85">
        <w:rPr>
          <w:rFonts w:ascii="Times New Roman" w:eastAsia="Times New Roman" w:hAnsi="Times New Roman" w:cs="Times New Roman"/>
          <w:color w:val="000000"/>
          <w:kern w:val="0"/>
          <w:sz w:val="27"/>
          <w:szCs w:val="27"/>
          <w:u w:val="single"/>
          <w14:ligatures w14:val="none"/>
        </w:rPr>
        <w:t>Micro-environmental analysis and SWOT synthesis</w:t>
      </w:r>
    </w:p>
    <w:p w14:paraId="738DABDE" w14:textId="77777777" w:rsidR="00B35B85" w:rsidRPr="00B35B85" w:rsidRDefault="00B35B85" w:rsidP="00B35B85">
      <w:pPr>
        <w:spacing w:after="90" w:line="240" w:lineRule="auto"/>
        <w:jc w:val="center"/>
        <w:rPr>
          <w:rFonts w:ascii="-webkit-standard" w:hAnsi="-webkit-standard" w:cs="Times New Roman"/>
          <w:color w:val="000000"/>
          <w:kern w:val="0"/>
          <w:sz w:val="27"/>
          <w:szCs w:val="27"/>
          <w14:ligatures w14:val="none"/>
        </w:rPr>
      </w:pPr>
      <w:r w:rsidRPr="00B35B85">
        <w:rPr>
          <w:rFonts w:ascii="-webkit-standard" w:hAnsi="-webkit-standard" w:cs="Times New Roman"/>
          <w:noProof/>
          <w:color w:val="000000"/>
          <w:kern w:val="0"/>
          <w:sz w:val="27"/>
          <w:szCs w:val="27"/>
          <w14:ligatures w14:val="none"/>
        </w:rPr>
        <mc:AlternateContent>
          <mc:Choice Requires="wps">
            <w:drawing>
              <wp:inline distT="0" distB="0" distL="0" distR="0" wp14:anchorId="236A048A" wp14:editId="353CD649">
                <wp:extent cx="302260" cy="302260"/>
                <wp:effectExtent l="0" t="0" r="0" b="0"/>
                <wp:docPr id="188628434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5C1A40" id="Rectangle 2"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1D074A74" w14:textId="2E67C7C6"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8" w:name="_Toc235574572"/>
      <w:bookmarkEnd w:id="8"/>
      <w:r w:rsidRPr="00B35B85">
        <w:rPr>
          <w:rFonts w:ascii="Times New Roman" w:hAnsi="Times New Roman" w:cs="Times New Roman"/>
          <w:b/>
          <w:bCs/>
          <w:i/>
          <w:iCs/>
          <w:color w:val="000000"/>
          <w:kern w:val="0"/>
          <w:sz w:val="27"/>
          <w:szCs w:val="27"/>
          <w14:ligatures w14:val="none"/>
        </w:rPr>
        <w:t>SWOT Analysis</w:t>
      </w:r>
    </w:p>
    <w:p w14:paraId="3BC016A3"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i/>
          <w:iCs/>
          <w:color w:val="000000"/>
          <w:kern w:val="0"/>
          <w:sz w:val="27"/>
          <w:szCs w:val="27"/>
          <w14:ligatures w14:val="none"/>
        </w:rPr>
        <w:t>Source: (Taylor, 2014)</w:t>
      </w:r>
    </w:p>
    <w:p w14:paraId="53314487"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Internal conditions and stakeholder relationships</w:t>
      </w:r>
    </w:p>
    <w:p w14:paraId="241EDCA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John Lewis Partnership governance is strategic leadership, which is combined with employee representation through its Council and Board. These arrangements provide scrutiny and learning at the workplace but simply existing does not mean that employees have a significant influence over the restructuring decision. Effectiveness in leadership lies in the change proposals by consultation as opposed to communication alone (Koh, Askell-Williams and Barr, 2023).</w:t>
      </w:r>
    </w:p>
    <w:p w14:paraId="4F0435A1"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There is a certain degree of flexibility in terms of financial resources: the Partnership declared that there is 1.4 billion liquidity in August 2026. However, liquidity depicts the capacity to fund, but not demonstrating sufficient managerial care and human resource readiness to restructure along with technology and store investment. The difference is important since concurrent interventions can interfere with the staff on experience, training and operational resources.</w:t>
      </w:r>
    </w:p>
    <w:p w14:paraId="6F8A537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presence of the outdated technology is an established limitation on the inside. The exceptional costs of the Partnership in the period of 2025/26 have been associated with the write-offs of the legacy systems, which means that there may be the transitional costs and even efficiency of the process of modernisation. But this is not the reason for excessive staffing or breaking individual coordination. It is the task-level information which managers have to use in order to differentiate duplication from fragmentation of processes and unclear responsibilities. Any further reduction of jobs will result in redistribution of the unclear tasks instead of access to the specialist services provided by customer-facing employees. The coordination between shops, back office operations and online channels is crucial here, along with the fact that less number of lines reporting will be an advantage for decision making and provision of services.</w:t>
      </w:r>
    </w:p>
    <w:p w14:paraId="28B06D8C"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SWOT synthesis</w:t>
      </w:r>
    </w:p>
    <w:p w14:paraId="136756A0"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Synthesis below distinguishes between recorded internal conditions, external pressures, and the detection of opportunities, employing neither to be predicted advantages as a priori outcomes.</w:t>
      </w:r>
    </w:p>
    <w:p w14:paraId="7E72E587"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9" w:name="_Toc243150318"/>
      <w:bookmarkEnd w:id="9"/>
      <w:r w:rsidRPr="00B35B85">
        <w:rPr>
          <w:rFonts w:ascii="Times New Roman" w:hAnsi="Times New Roman" w:cs="Times New Roman"/>
          <w:b/>
          <w:bCs/>
          <w:i/>
          <w:iCs/>
          <w:color w:val="000000"/>
          <w:kern w:val="0"/>
          <w:sz w:val="27"/>
          <w:szCs w:val="27"/>
          <w14:ligatures w14:val="none"/>
        </w:rPr>
        <w:t>Table 1: SWOT synthesis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020"/>
        <w:gridCol w:w="3913"/>
        <w:gridCol w:w="4077"/>
      </w:tblGrid>
      <w:tr w:rsidR="00B35B85" w:rsidRPr="00B35B85" w14:paraId="1E93E26E" w14:textId="77777777">
        <w:trPr>
          <w:trHeight w:val="420"/>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8DC6F18"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Category</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B9EB9B8"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Evidence-based synthesis</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347A50D"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Restructuring implication</w:t>
            </w:r>
          </w:p>
        </w:tc>
      </w:tr>
      <w:tr w:rsidR="00B35B85" w:rsidRPr="00B35B85" w14:paraId="42A13B02" w14:textId="77777777">
        <w:trPr>
          <w:trHeight w:val="780"/>
        </w:trPr>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2A624F6F"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Strengths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188E1504"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Liquidity; employee representation; reported value of Partner expertise.</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1DC8FD11"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Finance transition and involve employees in protecting service knowledge.</w:t>
            </w:r>
          </w:p>
        </w:tc>
      </w:tr>
      <w:tr w:rsidR="00B35B85" w:rsidRPr="00B35B85" w14:paraId="458FCD71" w14:textId="77777777">
        <w:trPr>
          <w:trHeight w:val="780"/>
        </w:trPr>
        <w:tc>
          <w:tcPr>
            <w:tcW w:w="0" w:type="auto"/>
            <w:tcBorders>
              <w:top w:val="single" w:sz="6" w:space="0" w:color="000000"/>
              <w:left w:val="single" w:sz="6" w:space="0" w:color="000000"/>
              <w:bottom w:val="single" w:sz="6" w:space="0" w:color="000000"/>
              <w:right w:val="single" w:sz="6" w:space="0" w:color="000000"/>
            </w:tcBorders>
            <w:hideMark/>
          </w:tcPr>
          <w:p w14:paraId="3E61A0A8"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Weaknesses</w:t>
            </w:r>
          </w:p>
        </w:tc>
        <w:tc>
          <w:tcPr>
            <w:tcW w:w="0" w:type="auto"/>
            <w:tcBorders>
              <w:top w:val="single" w:sz="6" w:space="0" w:color="000000"/>
              <w:left w:val="single" w:sz="6" w:space="0" w:color="000000"/>
              <w:bottom w:val="single" w:sz="6" w:space="0" w:color="000000"/>
              <w:right w:val="single" w:sz="6" w:space="0" w:color="000000"/>
            </w:tcBorders>
            <w:hideMark/>
          </w:tcPr>
          <w:p w14:paraId="425D1A35"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Legacy systems requiring modernisation and associated write-downs.</w:t>
            </w:r>
          </w:p>
        </w:tc>
        <w:tc>
          <w:tcPr>
            <w:tcW w:w="0" w:type="auto"/>
            <w:tcBorders>
              <w:top w:val="single" w:sz="6" w:space="0" w:color="000000"/>
              <w:left w:val="single" w:sz="6" w:space="0" w:color="000000"/>
              <w:bottom w:val="single" w:sz="6" w:space="0" w:color="000000"/>
              <w:right w:val="single" w:sz="6" w:space="0" w:color="000000"/>
            </w:tcBorders>
            <w:hideMark/>
          </w:tcPr>
          <w:p w14:paraId="08C3408B"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Redesign processes before assuming roles are redundant.</w:t>
            </w:r>
          </w:p>
        </w:tc>
      </w:tr>
      <w:tr w:rsidR="00B35B85" w:rsidRPr="00B35B85" w14:paraId="7BA929EB" w14:textId="77777777">
        <w:trPr>
          <w:trHeight w:val="780"/>
        </w:trPr>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38C943B0"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Opportunities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1C369666"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Digital developments enabling better integration and task redesign.</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75348A4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Test improvements and retrain employees before reducing capacity.</w:t>
            </w:r>
          </w:p>
        </w:tc>
      </w:tr>
      <w:tr w:rsidR="00B35B85" w:rsidRPr="00B35B85" w14:paraId="0B869128" w14:textId="77777777">
        <w:trPr>
          <w:trHeight w:val="510"/>
        </w:trPr>
        <w:tc>
          <w:tcPr>
            <w:tcW w:w="0" w:type="auto"/>
            <w:tcBorders>
              <w:top w:val="single" w:sz="6" w:space="0" w:color="000000"/>
              <w:left w:val="single" w:sz="6" w:space="0" w:color="000000"/>
              <w:bottom w:val="single" w:sz="6" w:space="0" w:color="000000"/>
              <w:right w:val="single" w:sz="6" w:space="0" w:color="000000"/>
            </w:tcBorders>
            <w:hideMark/>
          </w:tcPr>
          <w:p w14:paraId="23BA06B2"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Threats</w:t>
            </w:r>
          </w:p>
        </w:tc>
        <w:tc>
          <w:tcPr>
            <w:tcW w:w="0" w:type="auto"/>
            <w:tcBorders>
              <w:top w:val="single" w:sz="6" w:space="0" w:color="000000"/>
              <w:left w:val="single" w:sz="6" w:space="0" w:color="000000"/>
              <w:bottom w:val="single" w:sz="6" w:space="0" w:color="000000"/>
              <w:right w:val="single" w:sz="6" w:space="0" w:color="000000"/>
            </w:tcBorders>
            <w:hideMark/>
          </w:tcPr>
          <w:p w14:paraId="329FAAEA"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Higher employment costs and cautious customer spending.</w:t>
            </w:r>
          </w:p>
        </w:tc>
        <w:tc>
          <w:tcPr>
            <w:tcW w:w="0" w:type="auto"/>
            <w:tcBorders>
              <w:top w:val="single" w:sz="6" w:space="0" w:color="000000"/>
              <w:left w:val="single" w:sz="6" w:space="0" w:color="000000"/>
              <w:bottom w:val="single" w:sz="6" w:space="0" w:color="000000"/>
              <w:right w:val="single" w:sz="6" w:space="0" w:color="000000"/>
            </w:tcBorders>
            <w:hideMark/>
          </w:tcPr>
          <w:p w14:paraId="326C9B17"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Pursue productivity without undermining service differentiation.</w:t>
            </w:r>
          </w:p>
        </w:tc>
      </w:tr>
    </w:tbl>
    <w:p w14:paraId="447B702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biggest conflict in this area is that restructuring can be inclined to eliminate experience and involvement that facilitate implementation. Public announcements dictate resource availability and investments, yet any extra staffing potential and the efficient repurposing of workloads. As such, a workload mapping, skills, and service underpinning assessment are arguably grounded decision on restructuring. Transition costs and operational effects should be considered to judge savings and ensure the lack of financial benefits by hiding capability losses.</w:t>
      </w:r>
    </w:p>
    <w:p w14:paraId="4E8AE3C8"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10" w:name="_Toc235574885"/>
      <w:bookmarkEnd w:id="10"/>
      <w:r w:rsidRPr="00B35B85">
        <w:rPr>
          <w:rFonts w:ascii="Times New Roman" w:eastAsia="Times New Roman" w:hAnsi="Times New Roman" w:cs="Times New Roman"/>
          <w:color w:val="000000"/>
          <w:kern w:val="0"/>
          <w:sz w:val="27"/>
          <w:szCs w:val="27"/>
          <w:u w:val="single"/>
          <w14:ligatures w14:val="none"/>
        </w:rPr>
        <w:t>Organisational culture and capability</w:t>
      </w:r>
    </w:p>
    <w:p w14:paraId="41515868"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Culture and employee expectations</w:t>
      </w:r>
    </w:p>
    <w:p w14:paraId="68B96512"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framework by Schein differentiates the visible organisational practices, proclaimed values and latent assumptions (Alankarage et al., 2024). In John Lewis Partnership, employee representation is explicit in terms of representation as a participant as opposed to the ownership model which makes expectations with respect to collective responsibility and influence. These arrangements themselvesare not able to prove the fairness of restructuring experienced by the employees. The greatest of all these issues is whether the effects of their contributions play any role in making the decision on roles, workloads and redeployment.</w:t>
      </w:r>
    </w:p>
    <w:p w14:paraId="2B6754D5"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Reorganising can have tensions of business interests and understanding of the partners by the employees. In case consultation is done after substantive decisions have been resolved, such participation might seem token as this can undermine the credibility of leaders. Workers ownership is not equivalent to a guaranteed employment or being out of the influence of the market. </w:t>
      </w:r>
    </w:p>
    <w:p w14:paraId="362E3B6F"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Possible occupational differences should also be explored as a way of looking into culture (Chin et al., 2023). The core teams will be able to specialise in expertise and strategy planning, the workers in the shop will be able to specialise in customer relations, and managers will have to strike a balance between the delivery targets and the considerations of the staff. These consist of analysis possibilities that include evidence by employees in contrast with an established finding. Schein sets the direction of inquiry but is not able to come up with common assumptions based on corporate utterances.</w:t>
      </w:r>
    </w:p>
    <w:p w14:paraId="26AAD2D0"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Capabilities affected by restructuring</w:t>
      </w:r>
    </w:p>
    <w:p w14:paraId="026645F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awareness of changing situations, choice and re-organising resources are the dynamic capabilities (Tanveer, 2026). Here, the recognition of cost pressures manifests awareness although the adaptation to assume success needs to be evidence-based so that restructuring can lead to a better performance of work. Resources are technology, funds and number of employees; capabilities like having a well-coordinated, learning and service delivery are formed with the help of resources.</w:t>
      </w:r>
    </w:p>
    <w:p w14:paraId="2896C46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This could lead to minimisation of duplication through elimination of roles but the experienced personnel may have the undocumented knowledge on systems, suppliers, and customer problems. Their leaving can disturb informal networks to resolve exceptions out of the direct rule. The knowledge transfer in this case should look forward to whether the remaining employees will have the capacity to do the required tasks without the need to be documented and not whether documentation is there or not.</w:t>
      </w:r>
    </w:p>
    <w:p w14:paraId="3AF8D186"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It also requires the ability of the management. Managers who are putting up new structures but preserving service might have no time to coach, consult and monitor (Rajasekaran et al., 2024). One would then have weak evidence of readiness when training attendance since employees would have to prove their competence. While reconfiguration could possibly be considered a basis of renewal, the theory of dynamic capability does not seem to be very helpful in finding out which roles to retain. It includes task analysis, fingerprints of abilities, and relocation opportunities.</w:t>
      </w:r>
    </w:p>
    <w:p w14:paraId="768ADE10"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Interaction between culture and capability</w:t>
      </w:r>
    </w:p>
    <w:p w14:paraId="48760A9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In this regard, culture does have an effect on the extent to which the contribution will be made by the staff, considering that it is necessary for them to know about the process of restructuring (Agung Solihin and Achmad Tarmizi, 2025). When the decision making process is viewed as fair and complaints are considered, then the staff will be in a position to point out flaws in the process, utilise their skills and even try out different approaches. On the contrary, when the process is unfair, it will result in silence, isolation or leaving.</w:t>
      </w:r>
    </w:p>
    <w:p w14:paraId="7381299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Disadvantages of participation include the following: the numerous consultations will slow the process, and the scrum style implementation will ignore the dependencies. It is necessary to clarify the decision rights and constraints on consultations and feedback process.</w:t>
      </w:r>
    </w:p>
    <w:p w14:paraId="3D251418"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To achieve success, it must have indications that employee feedback enhances process as well as compliant service, work manageable and skilled staff. That is concerning cultural legitimacy and the possibility to act without expecting agreement or improved outcomes because of engaging in the act.</w:t>
      </w:r>
    </w:p>
    <w:p w14:paraId="5280A3D3"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11" w:name="_Toc243133866"/>
      <w:bookmarkStart w:id="12" w:name="_Toc235574886"/>
      <w:bookmarkEnd w:id="11"/>
      <w:bookmarkEnd w:id="12"/>
      <w:r w:rsidRPr="00B35B85">
        <w:rPr>
          <w:rFonts w:ascii="Times New Roman" w:eastAsia="Times New Roman" w:hAnsi="Times New Roman" w:cs="Times New Roman"/>
          <w:color w:val="000000"/>
          <w:kern w:val="0"/>
          <w:sz w:val="27"/>
          <w:szCs w:val="27"/>
          <w:u w:val="single"/>
          <w14:ligatures w14:val="none"/>
        </w:rPr>
        <w:t>Evaluative case for change</w:t>
      </w:r>
    </w:p>
    <w:p w14:paraId="2C19BDF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John Lewis Partnership has a plausible change need because the rising costs of work, priorities on spending and electronic modernisation give rise to the working arrangements as it is run. Yet these forces justify more productivity but it does not dictate that the best response is to cut positions. The only justification of restructuring can also be in cases where it reflects a duplication and duplication of responsibilities, unnecessary complexity that can be easily removed without negativity to the performance.</w:t>
      </w:r>
    </w:p>
    <w:p w14:paraId="72990D7C"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These skills to be protected are customer service skills, specialised skills, communication skills between central teams and shops and skills of managers to motivate employees. The result of service failures, unnecessary workloads and new employees can be costs transferred to other areas by compromising these capabilities.</w:t>
      </w:r>
    </w:p>
    <w:p w14:paraId="74A731B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Participatory culture in the Partnership may enhance preparedness through uncovering operational issues and enhancing decisions on implementation (Ungvarsky, 2019). However, readiness involves having employees feel that they are being subjected with a meaningful influence, they need to be treated fairly, and this cannot be achieved through ownership.</w:t>
      </w:r>
    </w:p>
    <w:p w14:paraId="4D2A9032"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Public disclosures on the extent of financial stresses and investments but minimal information on the redistribution of workloads and skills retention or personnel experiences. This must change, and the nature and scope of the reorganising will depend upon the working evidence, possible alternatives and reasonable evaluation of the financial and labour outcomes.</w:t>
      </w:r>
    </w:p>
    <w:p w14:paraId="74EAA4D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webkit-standard" w:hAnsi="-webkit-standard" w:cs="Times New Roman"/>
          <w:color w:val="000000"/>
          <w:kern w:val="0"/>
          <w:sz w:val="27"/>
          <w:szCs w:val="27"/>
          <w14:ligatures w14:val="none"/>
        </w:rPr>
        <w:t> </w:t>
      </w:r>
    </w:p>
    <w:p w14:paraId="68C3457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 </w:t>
      </w:r>
    </w:p>
    <w:p w14:paraId="264CD341" w14:textId="77777777" w:rsidR="00B35B85" w:rsidRPr="00B35B85" w:rsidRDefault="00B35B85" w:rsidP="00B35B85">
      <w:pPr>
        <w:spacing w:before="75" w:after="75"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30"/>
          <w:szCs w:val="30"/>
          <w14:ligatures w14:val="none"/>
        </w:rPr>
        <w:t>Part 2: </w:t>
      </w:r>
      <w:r w:rsidRPr="00B35B85">
        <w:rPr>
          <w:rFonts w:ascii="Times New Roman" w:hAnsi="Times New Roman" w:cs="Times New Roman"/>
          <w:b/>
          <w:bCs/>
          <w:i/>
          <w:iCs/>
          <w:color w:val="000000"/>
          <w:kern w:val="0"/>
          <w:sz w:val="30"/>
          <w:szCs w:val="30"/>
          <w14:ligatures w14:val="none"/>
        </w:rPr>
        <w:t>Evaluate how organisational stakeholders can be led through complex workplace change</w:t>
      </w:r>
    </w:p>
    <w:p w14:paraId="6C51231A"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13" w:name="_Toc243133867"/>
      <w:bookmarkStart w:id="14" w:name="_Toc235574887"/>
      <w:bookmarkEnd w:id="13"/>
      <w:bookmarkEnd w:id="14"/>
      <w:r w:rsidRPr="00B35B85">
        <w:rPr>
          <w:rFonts w:ascii="Times New Roman" w:eastAsia="Times New Roman" w:hAnsi="Times New Roman" w:cs="Times New Roman"/>
          <w:color w:val="000000"/>
          <w:kern w:val="0"/>
          <w:sz w:val="27"/>
          <w:szCs w:val="27"/>
          <w:u w:val="single"/>
          <w14:ligatures w14:val="none"/>
        </w:rPr>
        <w:t>Nature and complexity of the restructuring</w:t>
      </w:r>
    </w:p>
    <w:p w14:paraId="7FBC890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central teams and the John Lewis shops at Partnership have been simplified with the cost of redundancy and restructuring as disclosed in the 2026 document of interim disclosure. The given direction is the simplification of its operations as a part of its overall transformation programme. Nevertheless, objective documentation fails fully to show what jobs are completely done away with, removed or transferred to the groups of suffering workers.</w:t>
      </w:r>
    </w:p>
    <w:p w14:paraId="7EE13FEE"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This in an analytic view is thought to have intended structural change that could have broader cultural implications. Reallocating the working load and specialised help could have been achieved via structural changes in the reporting lines and roles, as well as reallocation of decision-making power. The difficulty of the issue is compounded by the element of interdependence because the changes at the center could affect shop functioning, and technology change increases the coordination and learning requirements.</w:t>
      </w:r>
    </w:p>
    <w:p w14:paraId="225E99CE"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While strategic decision-making can take place at the center, its implementation requires adaptation to the local conditions such as the local staff, skills, and demands of customer service. Homogeneous timetable presented below will not yield similar results. Implementation process will be gradual, as outlined in the recommendation of process improvements, which will involve responsibility mapping, skills assessment, and operational assessment. These are not organisational practices that have been adopted, but suggestions for improvements. The success of the restructuring process will depend on improvement and savings achieved and not success via structural reduction.</w:t>
      </w:r>
    </w:p>
    <w:p w14:paraId="223F2F8E" w14:textId="77777777" w:rsidR="00B35B85" w:rsidRPr="00B35B85" w:rsidRDefault="00B35B85" w:rsidP="00B35B85">
      <w:pPr>
        <w:spacing w:after="0" w:line="240" w:lineRule="auto"/>
        <w:ind w:hanging="420"/>
        <w:jc w:val="both"/>
        <w:rPr>
          <w:rFonts w:ascii="-webkit-standard" w:eastAsia="Times New Roman" w:hAnsi="-webkit-standard" w:cs="Times New Roman"/>
          <w:color w:val="000000"/>
          <w:kern w:val="0"/>
          <w:sz w:val="27"/>
          <w:szCs w:val="27"/>
          <w14:ligatures w14:val="none"/>
        </w:rPr>
      </w:pPr>
      <w:bookmarkStart w:id="15" w:name="_Toc243133868"/>
      <w:bookmarkStart w:id="16" w:name="_Toc235574888"/>
      <w:bookmarkEnd w:id="15"/>
      <w:bookmarkEnd w:id="16"/>
      <w:r w:rsidRPr="00B35B85">
        <w:rPr>
          <w:rFonts w:ascii="Times New Roman" w:eastAsia="Times New Roman" w:hAnsi="Times New Roman" w:cs="Times New Roman"/>
          <w:color w:val="000000"/>
          <w:kern w:val="0"/>
          <w:sz w:val="27"/>
          <w:szCs w:val="27"/>
          <w:u w:val="single"/>
          <w14:ligatures w14:val="none"/>
        </w:rPr>
        <w:t>Stakeholder analysis and engagement priorities</w:t>
      </w:r>
    </w:p>
    <w:p w14:paraId="6D102B82"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decision-making power, dependence on and exposure to harm should be reflected in stakeholder priorities. These following evaluations are judgement judgements; apprehensions are the possible reactions as opposed to the identified employee views.</w:t>
      </w:r>
    </w:p>
    <w:p w14:paraId="2061FAA9"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17" w:name="_Toc243150319"/>
      <w:bookmarkEnd w:id="17"/>
      <w:r w:rsidRPr="00B35B85">
        <w:rPr>
          <w:rFonts w:ascii="Times New Roman" w:hAnsi="Times New Roman" w:cs="Times New Roman"/>
          <w:b/>
          <w:bCs/>
          <w:i/>
          <w:iCs/>
          <w:color w:val="000000"/>
          <w:kern w:val="0"/>
          <w:sz w:val="27"/>
          <w:szCs w:val="27"/>
          <w14:ligatures w14:val="none"/>
        </w:rPr>
        <w:t>Table 2: Stakeholder analysis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717"/>
        <w:gridCol w:w="1876"/>
        <w:gridCol w:w="1965"/>
        <w:gridCol w:w="1628"/>
        <w:gridCol w:w="1824"/>
      </w:tblGrid>
      <w:tr w:rsidR="00B35B85" w:rsidRPr="00B35B85" w14:paraId="5C0EFE67"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9D9F68A"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Stakeholder</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9D40178"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Interests and potential impacts</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54943AC"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Influence</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6B5C040"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Likely concerns</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59D3BE0" w14:textId="77777777" w:rsidR="00B35B85" w:rsidRPr="00B35B85" w:rsidRDefault="00B35B85" w:rsidP="00B35B85">
            <w:pPr>
              <w:spacing w:after="120" w:line="240" w:lineRule="auto"/>
              <w:jc w:val="center"/>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Engagement response</w:t>
            </w:r>
          </w:p>
        </w:tc>
      </w:tr>
      <w:tr w:rsidR="00B35B85" w:rsidRPr="00B35B85" w14:paraId="254C9239" w14:textId="77777777">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4642A330"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Senior leaders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057B4640"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Savings, service continuity and accountability</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6542C89C"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High: control strategy and resources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4E16EDD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Delayed benefits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60AE99BB"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Review financial and workforce outcomes</w:t>
            </w:r>
          </w:p>
        </w:tc>
      </w:tr>
      <w:tr w:rsidR="00B35B85" w:rsidRPr="00B35B85" w14:paraId="54E44C48" w14:textId="77777777">
        <w:tc>
          <w:tcPr>
            <w:tcW w:w="0" w:type="auto"/>
            <w:tcBorders>
              <w:top w:val="single" w:sz="6" w:space="0" w:color="000000"/>
              <w:left w:val="single" w:sz="6" w:space="0" w:color="000000"/>
              <w:bottom w:val="single" w:sz="6" w:space="0" w:color="000000"/>
              <w:right w:val="single" w:sz="6" w:space="0" w:color="000000"/>
            </w:tcBorders>
            <w:hideMark/>
          </w:tcPr>
          <w:p w14:paraId="05924EC8"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Central specialists</w:t>
            </w:r>
          </w:p>
        </w:tc>
        <w:tc>
          <w:tcPr>
            <w:tcW w:w="0" w:type="auto"/>
            <w:tcBorders>
              <w:top w:val="single" w:sz="6" w:space="0" w:color="000000"/>
              <w:left w:val="single" w:sz="6" w:space="0" w:color="000000"/>
              <w:bottom w:val="single" w:sz="6" w:space="0" w:color="000000"/>
              <w:right w:val="single" w:sz="6" w:space="0" w:color="000000"/>
            </w:tcBorders>
            <w:hideMark/>
          </w:tcPr>
          <w:p w14:paraId="58E4F95D"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Employment, expertise and role clarity</w:t>
            </w:r>
          </w:p>
        </w:tc>
        <w:tc>
          <w:tcPr>
            <w:tcW w:w="0" w:type="auto"/>
            <w:tcBorders>
              <w:top w:val="single" w:sz="6" w:space="0" w:color="000000"/>
              <w:left w:val="single" w:sz="6" w:space="0" w:color="000000"/>
              <w:bottom w:val="single" w:sz="6" w:space="0" w:color="000000"/>
              <w:right w:val="single" w:sz="6" w:space="0" w:color="000000"/>
            </w:tcBorders>
            <w:hideMark/>
          </w:tcPr>
          <w:p w14:paraId="633F5327"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Informal influence through specialist knowledge</w:t>
            </w:r>
          </w:p>
        </w:tc>
        <w:tc>
          <w:tcPr>
            <w:tcW w:w="0" w:type="auto"/>
            <w:tcBorders>
              <w:top w:val="single" w:sz="6" w:space="0" w:color="000000"/>
              <w:left w:val="single" w:sz="6" w:space="0" w:color="000000"/>
              <w:bottom w:val="single" w:sz="6" w:space="0" w:color="000000"/>
              <w:right w:val="single" w:sz="6" w:space="0" w:color="000000"/>
            </w:tcBorders>
            <w:hideMark/>
          </w:tcPr>
          <w:p w14:paraId="0F65EE5D"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Knowledge loss; unfair selection</w:t>
            </w:r>
          </w:p>
        </w:tc>
        <w:tc>
          <w:tcPr>
            <w:tcW w:w="0" w:type="auto"/>
            <w:tcBorders>
              <w:top w:val="single" w:sz="6" w:space="0" w:color="000000"/>
              <w:left w:val="single" w:sz="6" w:space="0" w:color="000000"/>
              <w:bottom w:val="single" w:sz="6" w:space="0" w:color="000000"/>
              <w:right w:val="single" w:sz="6" w:space="0" w:color="000000"/>
            </w:tcBorders>
            <w:hideMark/>
          </w:tcPr>
          <w:p w14:paraId="54762E8A"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Consult on dependencies and redeployment</w:t>
            </w:r>
          </w:p>
        </w:tc>
      </w:tr>
      <w:tr w:rsidR="00B35B85" w:rsidRPr="00B35B85" w14:paraId="5B4FC310" w14:textId="77777777">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554F526D"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Shop employees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5F1A0B7E"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Manageable workloads and customer support</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0537D032"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Limited individually; operationally important</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493AC576"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Reduced support; workload transfer</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6EB61BA7"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Test changes through local feedback</w:t>
            </w:r>
          </w:p>
        </w:tc>
      </w:tr>
      <w:tr w:rsidR="00B35B85" w:rsidRPr="00B35B85" w14:paraId="17E6B442" w14:textId="77777777">
        <w:tc>
          <w:tcPr>
            <w:tcW w:w="0" w:type="auto"/>
            <w:tcBorders>
              <w:top w:val="single" w:sz="6" w:space="0" w:color="000000"/>
              <w:left w:val="single" w:sz="6" w:space="0" w:color="000000"/>
              <w:bottom w:val="single" w:sz="6" w:space="0" w:color="000000"/>
              <w:right w:val="single" w:sz="6" w:space="0" w:color="000000"/>
            </w:tcBorders>
            <w:hideMark/>
          </w:tcPr>
          <w:p w14:paraId="1DFB1E26"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Line managers</w:t>
            </w:r>
          </w:p>
        </w:tc>
        <w:tc>
          <w:tcPr>
            <w:tcW w:w="0" w:type="auto"/>
            <w:tcBorders>
              <w:top w:val="single" w:sz="6" w:space="0" w:color="000000"/>
              <w:left w:val="single" w:sz="6" w:space="0" w:color="000000"/>
              <w:bottom w:val="single" w:sz="6" w:space="0" w:color="000000"/>
              <w:right w:val="single" w:sz="6" w:space="0" w:color="000000"/>
            </w:tcBorders>
            <w:hideMark/>
          </w:tcPr>
          <w:p w14:paraId="45C04968"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Delivery targets and team stability</w:t>
            </w:r>
          </w:p>
        </w:tc>
        <w:tc>
          <w:tcPr>
            <w:tcW w:w="0" w:type="auto"/>
            <w:tcBorders>
              <w:top w:val="single" w:sz="6" w:space="0" w:color="000000"/>
              <w:left w:val="single" w:sz="6" w:space="0" w:color="000000"/>
              <w:bottom w:val="single" w:sz="6" w:space="0" w:color="000000"/>
              <w:right w:val="single" w:sz="6" w:space="0" w:color="000000"/>
            </w:tcBorders>
            <w:hideMark/>
          </w:tcPr>
          <w:p w14:paraId="7CCCFE0F"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Translate strategy into practice</w:t>
            </w:r>
          </w:p>
        </w:tc>
        <w:tc>
          <w:tcPr>
            <w:tcW w:w="0" w:type="auto"/>
            <w:tcBorders>
              <w:top w:val="single" w:sz="6" w:space="0" w:color="000000"/>
              <w:left w:val="single" w:sz="6" w:space="0" w:color="000000"/>
              <w:bottom w:val="single" w:sz="6" w:space="0" w:color="000000"/>
              <w:right w:val="single" w:sz="6" w:space="0" w:color="000000"/>
            </w:tcBorders>
            <w:hideMark/>
          </w:tcPr>
          <w:p w14:paraId="5F3B792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Conflicting responsibilities</w:t>
            </w:r>
          </w:p>
        </w:tc>
        <w:tc>
          <w:tcPr>
            <w:tcW w:w="0" w:type="auto"/>
            <w:tcBorders>
              <w:top w:val="single" w:sz="6" w:space="0" w:color="000000"/>
              <w:left w:val="single" w:sz="6" w:space="0" w:color="000000"/>
              <w:bottom w:val="single" w:sz="6" w:space="0" w:color="000000"/>
              <w:right w:val="single" w:sz="6" w:space="0" w:color="000000"/>
            </w:tcBorders>
            <w:hideMark/>
          </w:tcPr>
          <w:p w14:paraId="07A31EF1"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Involve in scheduling and capacity assessment</w:t>
            </w:r>
          </w:p>
        </w:tc>
      </w:tr>
      <w:tr w:rsidR="00B35B85" w:rsidRPr="00B35B85" w14:paraId="56B3D237" w14:textId="77777777">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089DFE01"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HR teams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30261E6B"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Fair processes and skills retention</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4169AF3C"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Shape implementation procedures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0E746BC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Inconsistent treatment</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2356DEF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Review selection and transition support</w:t>
            </w:r>
          </w:p>
        </w:tc>
      </w:tr>
      <w:tr w:rsidR="00B35B85" w:rsidRPr="00B35B85" w14:paraId="7C57D3E6" w14:textId="77777777">
        <w:tc>
          <w:tcPr>
            <w:tcW w:w="0" w:type="auto"/>
            <w:tcBorders>
              <w:top w:val="single" w:sz="6" w:space="0" w:color="000000"/>
              <w:left w:val="single" w:sz="6" w:space="0" w:color="000000"/>
              <w:bottom w:val="single" w:sz="6" w:space="0" w:color="000000"/>
              <w:right w:val="single" w:sz="6" w:space="0" w:color="000000"/>
            </w:tcBorders>
            <w:hideMark/>
          </w:tcPr>
          <w:p w14:paraId="4B945BD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Partnership Council and representatives</w:t>
            </w:r>
          </w:p>
        </w:tc>
        <w:tc>
          <w:tcPr>
            <w:tcW w:w="0" w:type="auto"/>
            <w:tcBorders>
              <w:top w:val="single" w:sz="6" w:space="0" w:color="000000"/>
              <w:left w:val="single" w:sz="6" w:space="0" w:color="000000"/>
              <w:bottom w:val="single" w:sz="6" w:space="0" w:color="000000"/>
              <w:right w:val="single" w:sz="6" w:space="0" w:color="000000"/>
            </w:tcBorders>
            <w:hideMark/>
          </w:tcPr>
          <w:p w14:paraId="1593914F"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Employee interests and accountability</w:t>
            </w:r>
          </w:p>
        </w:tc>
        <w:tc>
          <w:tcPr>
            <w:tcW w:w="0" w:type="auto"/>
            <w:tcBorders>
              <w:top w:val="single" w:sz="6" w:space="0" w:color="000000"/>
              <w:left w:val="single" w:sz="6" w:space="0" w:color="000000"/>
              <w:bottom w:val="single" w:sz="6" w:space="0" w:color="000000"/>
              <w:right w:val="single" w:sz="6" w:space="0" w:color="000000"/>
            </w:tcBorders>
            <w:hideMark/>
          </w:tcPr>
          <w:p w14:paraId="593A4D81"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Formal representative influence</w:t>
            </w:r>
          </w:p>
        </w:tc>
        <w:tc>
          <w:tcPr>
            <w:tcW w:w="0" w:type="auto"/>
            <w:tcBorders>
              <w:top w:val="single" w:sz="6" w:space="0" w:color="000000"/>
              <w:left w:val="single" w:sz="6" w:space="0" w:color="000000"/>
              <w:bottom w:val="single" w:sz="6" w:space="0" w:color="000000"/>
              <w:right w:val="single" w:sz="6" w:space="0" w:color="000000"/>
            </w:tcBorders>
            <w:hideMark/>
          </w:tcPr>
          <w:p w14:paraId="2CBC247B"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Participation without impact</w:t>
            </w:r>
          </w:p>
        </w:tc>
        <w:tc>
          <w:tcPr>
            <w:tcW w:w="0" w:type="auto"/>
            <w:tcBorders>
              <w:top w:val="single" w:sz="6" w:space="0" w:color="000000"/>
              <w:left w:val="single" w:sz="6" w:space="0" w:color="000000"/>
              <w:bottom w:val="single" w:sz="6" w:space="0" w:color="000000"/>
              <w:right w:val="single" w:sz="6" w:space="0" w:color="000000"/>
            </w:tcBorders>
            <w:hideMark/>
          </w:tcPr>
          <w:p w14:paraId="48D05BA0"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Examine alternatives before decisions</w:t>
            </w:r>
          </w:p>
        </w:tc>
      </w:tr>
      <w:tr w:rsidR="00B35B85" w:rsidRPr="00B35B85" w14:paraId="5A7CBA8F" w14:textId="77777777">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50692965"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Customers</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6D65F7DB"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Reliable, knowledgeable service</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7BE28989"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Indirect influence through purchasing</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3CC34C13"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Service deterioration</w:t>
            </w:r>
          </w:p>
        </w:tc>
        <w:tc>
          <w:tcPr>
            <w:tcW w:w="0" w:type="auto"/>
            <w:tcBorders>
              <w:top w:val="single" w:sz="6" w:space="0" w:color="000000"/>
              <w:left w:val="single" w:sz="6" w:space="0" w:color="000000"/>
              <w:bottom w:val="single" w:sz="6" w:space="0" w:color="000000"/>
              <w:right w:val="single" w:sz="6" w:space="0" w:color="000000"/>
            </w:tcBorders>
            <w:shd w:val="clear" w:color="auto" w:fill="CCCCCC"/>
            <w:hideMark/>
          </w:tcPr>
          <w:p w14:paraId="2B4A3FC2" w14:textId="77777777" w:rsidR="00B35B85" w:rsidRPr="00B35B85" w:rsidRDefault="00B35B85" w:rsidP="00B35B85">
            <w:pPr>
              <w:spacing w:after="120" w:line="240" w:lineRule="auto"/>
              <w:rPr>
                <w:rFonts w:ascii="-webkit-standard" w:hAnsi="-webkit-standard" w:cs="Times New Roman"/>
                <w:kern w:val="0"/>
                <w:sz w:val="18"/>
                <w:szCs w:val="18"/>
                <w14:ligatures w14:val="none"/>
              </w:rPr>
            </w:pPr>
            <w:r w:rsidRPr="00B35B85">
              <w:rPr>
                <w:rFonts w:ascii="Times New Roman" w:hAnsi="Times New Roman" w:cs="Times New Roman"/>
                <w:kern w:val="0"/>
                <w:sz w:val="18"/>
                <w:szCs w:val="18"/>
                <w14:ligatures w14:val="none"/>
              </w:rPr>
              <w:t>Monitor complaints and service performance</w:t>
            </w:r>
          </w:p>
        </w:tc>
      </w:tr>
    </w:tbl>
    <w:p w14:paraId="7E0DEBEB"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greatest relationship with consequences ties senior leaders, managers and affected employees: leaders decide on resources but it will be carried through by judgement on the part of managers and compliance on the part of employees. There is no reason to prevent a specialist influence since replacement systems are based on a priori knowledge. Individual bargaining power on the other hand is very low and yet the affected employees due to the redundancy may be overwhelmed with personal problems.</w:t>
      </w:r>
    </w:p>
    <w:p w14:paraId="77208CC1"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power-interest matrix helps to prioritise the engagement and marginalises vulnerable groups (Horoki et al., 2025). Harm and influence put into consideration are part of ethical leadership. The consultation needs to be consultation and needs to outline the effects of feedback on the decision; updates about the resolute results can relay information but minimal intervention.</w:t>
      </w:r>
    </w:p>
    <w:p w14:paraId="36C4C804"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18" w:name="_Toc243133869"/>
      <w:bookmarkStart w:id="19" w:name="_Toc235574889"/>
      <w:bookmarkEnd w:id="18"/>
      <w:bookmarkEnd w:id="19"/>
      <w:r w:rsidRPr="00B35B85">
        <w:rPr>
          <w:rFonts w:ascii="Times New Roman" w:eastAsia="Times New Roman" w:hAnsi="Times New Roman" w:cs="Times New Roman"/>
          <w:color w:val="000000"/>
          <w:kern w:val="0"/>
          <w:sz w:val="27"/>
          <w:szCs w:val="27"/>
          <w:u w:val="single"/>
          <w14:ligatures w14:val="none"/>
        </w:rPr>
        <w:t>Critical evaluation of leadership and change implementation</w:t>
      </w:r>
    </w:p>
    <w:p w14:paraId="363A1DB1"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Establishing direction and leadership legitimacy</w:t>
      </w:r>
    </w:p>
    <w:p w14:paraId="6E91D9C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first three steps created by Kotter (creating a sense of urgency, creating a guiding coalition, and shaping a vision) give us a foundation to assess the re-designing of the Partnership. These are used here as an analytical system though not as organisationally adopted. The urge is facilitated by cost pressures, and achieving a frontal of redundancy would be the way to go about it in order to shut the door to best options and the resulting anxiety. The leaders should be able to explain the cause as to why the existing arrangements are not working and make comparisons and acknowledge uncertainties. There should be a solemn authority alongside the representatives of the employees, store administrators and specialists. They have to be represented but they must give the members an opportunity to challenge the assumptions. The vision should include better coordination and sustainable service and savings that should give the employees criteria on which the decisions made by the leadership can be judged.</w:t>
      </w:r>
    </w:p>
    <w:p w14:paraId="6C5C9642"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Communicating and enabling implementation</w:t>
      </w:r>
    </w:p>
    <w:p w14:paraId="36FD62A1"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elimination of obstacles links the fourth and fifth steps by Kotter to the communication (Mouazen et al., 2023). Constant announcements are not capable of replacing dialogue, mainly in situations whereby the workers fear that the effects of a criticism will have some impact on their future. The managers need a way to contain the concerns in a truthful way time, predictable information and channels of escalation are required.</w:t>
      </w:r>
    </w:p>
    <w:p w14:paraId="31BD8FAF"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Resources are also needed to make the implementation possible. It needs training, manageable systems and workable loads on the part of the employees because they will not be able to perform the additional roles without training. It is recommended that leaders measure competence based on performance of their tasks rather than attendance and formation of the middle support in place of the shops. The engagement can help in improving design but leaders must define what type of decisions ought to be open, who will make the decision, and when. This will hold accountability and will not give them an expectation of settling on the decision-making side of consultation.</w:t>
      </w:r>
    </w:p>
    <w:p w14:paraId="503DF434"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Demonstrating progress and sustaining change</w:t>
      </w:r>
    </w:p>
    <w:p w14:paraId="73CE619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sixth, seventh and eighth stages developed by Kotter focus on initial victories, the further enhancement and instilling of new behaviour. The initial success must be demonstrating that there are fewer delays in much of the process or clear roles without service or work corruption. Downsizing heads is not a great indicator of success because its costs of operation can be achieved later in the future. Similarly, the improvements in the customer results can be enhanced automatically also in case the store investment and technology changes at the same time with the restructuring.</w:t>
      </w:r>
    </w:p>
    <w:p w14:paraId="4F8354AB"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Leaders ought to make comparisons of results with set baselines, explore negative feedbacks and rework on implementation where deem fit. Consolidation involves both retaining good practices applicable in many places and the need to adjust to the differences in operation. It is possible that the early report of completion will lead to normalisation of unresolved work issues and deterrence of the workers to inflict failures.</w:t>
      </w:r>
    </w:p>
    <w:p w14:paraId="7C540A65"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Limitations and comparison with Lewin</w:t>
      </w:r>
    </w:p>
    <w:p w14:paraId="3F1FC292"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Kotter is clear and responsible value sequential implementation could downplay cross decisions, interests in conflict, and operation surprises. Power can also be concentrated by a leadership coalition unless it is a consequence due to employee challenge. The framework involves revisiting and instead of strict advancement.</w:t>
      </w:r>
    </w:p>
    <w:p w14:paraId="40783ADF" w14:textId="77777777" w:rsidR="00B35B85" w:rsidRPr="00B35B85" w:rsidRDefault="00B35B85" w:rsidP="00B35B85">
      <w:pPr>
        <w:spacing w:after="120" w:line="240" w:lineRule="auto"/>
        <w:jc w:val="center"/>
        <w:rPr>
          <w:rFonts w:ascii="-webkit-standard" w:hAnsi="-webkit-standard" w:cs="Times New Roman"/>
          <w:color w:val="000000"/>
          <w:kern w:val="0"/>
          <w:sz w:val="27"/>
          <w:szCs w:val="27"/>
          <w14:ligatures w14:val="none"/>
        </w:rPr>
      </w:pPr>
      <w:r w:rsidRPr="00B35B85">
        <w:rPr>
          <w:rFonts w:ascii="-webkit-standard" w:hAnsi="-webkit-standard" w:cs="Times New Roman"/>
          <w:noProof/>
          <w:color w:val="000000"/>
          <w:kern w:val="0"/>
          <w:sz w:val="27"/>
          <w:szCs w:val="27"/>
          <w14:ligatures w14:val="none"/>
        </w:rPr>
        <mc:AlternateContent>
          <mc:Choice Requires="wps">
            <w:drawing>
              <wp:inline distT="0" distB="0" distL="0" distR="0" wp14:anchorId="79F5722D" wp14:editId="582A295F">
                <wp:extent cx="302260" cy="302260"/>
                <wp:effectExtent l="0" t="0" r="0" b="0"/>
                <wp:docPr id="68610606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E547C5"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5F776310" w14:textId="4AECCEDB"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bookmarkStart w:id="20" w:name="_Toc235574573"/>
      <w:bookmarkEnd w:id="20"/>
      <w:r w:rsidRPr="00B35B85">
        <w:rPr>
          <w:rFonts w:ascii="Times New Roman" w:hAnsi="Times New Roman" w:cs="Times New Roman"/>
          <w:b/>
          <w:bCs/>
          <w:i/>
          <w:iCs/>
          <w:color w:val="000000"/>
          <w:kern w:val="0"/>
          <w:sz w:val="27"/>
          <w:szCs w:val="27"/>
          <w14:ligatures w14:val="none"/>
        </w:rPr>
        <w:t xml:space="preserve"> Kotter's 8 Step Change Model</w:t>
      </w:r>
    </w:p>
    <w:p w14:paraId="022045CB" w14:textId="77777777" w:rsidR="00B35B85" w:rsidRPr="00B35B85" w:rsidRDefault="00B35B85" w:rsidP="00B35B85">
      <w:pPr>
        <w:spacing w:after="150" w:line="240" w:lineRule="auto"/>
        <w:jc w:val="center"/>
        <w:rPr>
          <w:rFonts w:ascii="-webkit-standard" w:hAnsi="-webkit-standard" w:cs="Times New Roman"/>
          <w:color w:val="000000"/>
          <w:kern w:val="0"/>
          <w:sz w:val="27"/>
          <w:szCs w:val="27"/>
          <w14:ligatures w14:val="none"/>
        </w:rPr>
      </w:pPr>
      <w:r w:rsidRPr="00B35B85">
        <w:rPr>
          <w:rFonts w:ascii="Times New Roman" w:hAnsi="Times New Roman" w:cs="Times New Roman"/>
          <w:b/>
          <w:bCs/>
          <w:i/>
          <w:iCs/>
          <w:color w:val="000000"/>
          <w:kern w:val="0"/>
          <w:sz w:val="27"/>
          <w:szCs w:val="27"/>
          <w14:ligatures w14:val="none"/>
        </w:rPr>
        <w:t>Source: (Visual Paradigm, 2022)</w:t>
      </w:r>
    </w:p>
    <w:p w14:paraId="2B221C38"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Lewin also expounds this analysis with the level of readiness, mobility and stabilisation. Unfreezing must be able to look at the already existing practices without diminishing the confidence of the employees to their expertise. Practical experimentation and backing is needed in movement. This may be termed as refreezing and this does not mean that it should be permanence but rather establish dependable routines and give space of flexibility. Such an interpretation is appropriate to restructuring as well as the ongoing digital investment. The two strategies streamline political negotiating and inequitable stakeholder experiences. It is significant that the leadership behaviour rests on a reasoned judgment and outcome on practice rather than following model phases or managerial declaration of successful practice.</w:t>
      </w:r>
    </w:p>
    <w:p w14:paraId="56A14EE9"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21" w:name="_Toc243133870"/>
      <w:bookmarkStart w:id="22" w:name="_Toc235574890"/>
      <w:bookmarkEnd w:id="21"/>
      <w:bookmarkEnd w:id="22"/>
      <w:r w:rsidRPr="00B35B85">
        <w:rPr>
          <w:rFonts w:ascii="Times New Roman" w:eastAsia="Times New Roman" w:hAnsi="Times New Roman" w:cs="Times New Roman"/>
          <w:color w:val="000000"/>
          <w:kern w:val="0"/>
          <w:sz w:val="27"/>
          <w:szCs w:val="27"/>
          <w:u w:val="single"/>
          <w14:ligatures w14:val="none"/>
        </w:rPr>
        <w:t>Emotional responses, resistance and employee support</w:t>
      </w:r>
    </w:p>
    <w:p w14:paraId="055D24D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Understanding stakeholder responses</w:t>
      </w:r>
    </w:p>
    <w:p w14:paraId="615A86DF"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Restructuring may affect income of workers, their profession and anticipation of mutual dedication (Zhang and Liu, 2024). According to psychological-contract theory, it says perceived breaches would be pertinent where employee understanding to be supported or involved will be unmet in the way of actions undertaken by the organisation (Topa, Aranda-Carmena and De-Maria, 2022). In the case of John Lewis Partnership, these expectations might be compounded by ownership but the ownership model would not determine the responses of the employees.</w:t>
      </w:r>
    </w:p>
    <w:p w14:paraId="68F4F92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Organisational justice differentiates between fairness of results, processes and treatment other than human. The staff members can tolerate a bad choice as well as uncertainty about the non-uniform choice or weak justifications. They both have to be taken care of yet reassurance will not solve an operational capacity gap. Each person and each place will also react differentially to it and will not be appropriate to have a general emotional sequence.</w:t>
      </w:r>
    </w:p>
    <w:p w14:paraId="1906DC02"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Leadership responses and support</w:t>
      </w:r>
    </w:p>
    <w:p w14:paraId="3732EADB"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Leaders should not take chances to criticise the ideas but clarify the demands to make decisions and demonstrate the effect of the issues on the implementation. Listening can be styled as credible when it can bring about rectifications or logical justifications, but not scribbling discord. The experience may be preserved through the re-deployment and associated training but they also need the presence of the corresponding vacancy and the learning and realistic opportunity to demonstrate the skills.</w:t>
      </w:r>
    </w:p>
    <w:p w14:paraId="37689AE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managers also need support as they can convey the hard news and are in dilemma on whether they should act as managers themselves. Hardened time, steep ways and specific requirements may reduce un-treatable treatment. Workload reviews should go hand in hand with wellbeing support: no counselling would assist in response to the ever-increasing demands that cannot be controlled. All these measures foster implementation by keeping knowledge and being able to find the design failures and maintain collaboration. Not their level of involvement in support activities alone, but the demonstration of their work and results of the services they provided, and through employee feedback.</w:t>
      </w:r>
    </w:p>
    <w:p w14:paraId="430AF3AC" w14:textId="77777777" w:rsidR="00B35B85" w:rsidRPr="00B35B85" w:rsidRDefault="00B35B85" w:rsidP="00B35B85">
      <w:pPr>
        <w:spacing w:after="0" w:line="240" w:lineRule="auto"/>
        <w:jc w:val="both"/>
        <w:rPr>
          <w:rFonts w:ascii="-webkit-standard" w:eastAsia="Times New Roman" w:hAnsi="-webkit-standard" w:cs="Times New Roman"/>
          <w:color w:val="000000"/>
          <w:kern w:val="0"/>
          <w:sz w:val="27"/>
          <w:szCs w:val="27"/>
          <w14:ligatures w14:val="none"/>
        </w:rPr>
      </w:pPr>
      <w:bookmarkStart w:id="23" w:name="_Toc243133871"/>
      <w:bookmarkStart w:id="24" w:name="_Toc235574891"/>
      <w:bookmarkEnd w:id="23"/>
      <w:bookmarkEnd w:id="24"/>
      <w:r w:rsidRPr="00B35B85">
        <w:rPr>
          <w:rFonts w:ascii="Times New Roman" w:eastAsia="Times New Roman" w:hAnsi="Times New Roman" w:cs="Times New Roman"/>
          <w:color w:val="000000"/>
          <w:kern w:val="0"/>
          <w:sz w:val="27"/>
          <w:szCs w:val="27"/>
          <w:u w:val="single"/>
          <w14:ligatures w14:val="none"/>
        </w:rPr>
        <w:t>Recommendations, implementation and evaluation</w:t>
      </w:r>
    </w:p>
    <w:p w14:paraId="1632D4F8"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Prioritise meaningful participation and fair processes</w:t>
      </w:r>
    </w:p>
    <w:p w14:paraId="3720EC83"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HR director ought to organise consultation with the impacted employees, managers and concerned representatives before each phase of restructuring has been completed. The alternative, response and rationale of acceptance or rejection should be document in a decision log to deal with the risk of symbolic participation. Sources of resources are safeguarded consultation time and support of HR. The previous reviews ought to be guided by the initial views of fairness and outstanding issues as perceived by the employees. Consultation may also result in prolonged preparation, but they can be prevented by time and lack of a defined authority to make decisions by indefinite delay of legitimate challenge.</w:t>
      </w:r>
    </w:p>
    <w:p w14:paraId="051E1CD5"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Protect capabilities before removing roles</w:t>
      </w:r>
    </w:p>
    <w:p w14:paraId="6F44D68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Workload mapping and skill testing with the help of the HR should be performed to ensure teamwork and learning before roles transfers and exits. Knowledge transfer, redeployment and experience should address dependencies noted above. These resources are time of trainers, temporary overlapping of both staffing and learning budgets postponing savings. It should be implemented though only in situations where there is competence among the receiving teams and their capacity in them is manageable. Task proficiency, support response time and critical coverage of knowledge should be covered by baselines only attendance is not a criterion to feel ready.</w:t>
      </w:r>
    </w:p>
    <w:p w14:paraId="3EE7710E" w14:textId="77777777" w:rsidR="00B35B85" w:rsidRPr="00B35B85" w:rsidRDefault="00B35B85" w:rsidP="00B35B85">
      <w:pPr>
        <w:spacing w:before="75" w:after="75"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b/>
          <w:bCs/>
          <w:color w:val="000000"/>
          <w:kern w:val="0"/>
          <w:sz w:val="27"/>
          <w:szCs w:val="27"/>
          <w14:ligatures w14:val="none"/>
        </w:rPr>
        <w:t>Evaluate outcomes and revise implementation</w:t>
      </w:r>
    </w:p>
    <w:p w14:paraId="4FE908C4"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operations director and finance director are to examine monthly during transition and quarterly thereafter with the employees representatives regarding the workforce. </w:t>
      </w:r>
      <w:bookmarkStart w:id="25" w:name="_Toc243133872"/>
      <w:bookmarkEnd w:id="25"/>
      <w:r w:rsidRPr="00B35B85">
        <w:rPr>
          <w:rFonts w:ascii="Times New Roman" w:hAnsi="Times New Roman" w:cs="Times New Roman"/>
          <w:color w:val="000000"/>
          <w:kern w:val="0"/>
          <w:sz w:val="27"/>
          <w:szCs w:val="27"/>
          <w14:ligatures w14:val="none"/>
        </w:rPr>
        <w:t>Net savings, complaints, service delivery, overtime, absenteeism, and employee reactions will all need just one dashboard where the same will be measured against the pre-change base line. Funding will be required for the analysis capabilities and data collection process. Interventions at various levels can be suggested. Should there be any further deterioration or any major service breaches during later evaluations, an investigation, reassignment of duties, additional back-ups, or halting of the implementation should take place.</w:t>
      </w:r>
    </w:p>
    <w:p w14:paraId="3A022982" w14:textId="77777777" w:rsidR="00B35B85" w:rsidRPr="00B35B85" w:rsidRDefault="00B35B85" w:rsidP="00B35B85">
      <w:pPr>
        <w:spacing w:before="180" w:after="90" w:line="240" w:lineRule="auto"/>
        <w:jc w:val="both"/>
        <w:rPr>
          <w:rFonts w:ascii="-webkit-standard" w:hAnsi="-webkit-standard" w:cs="Times New Roman"/>
          <w:color w:val="000000"/>
          <w:kern w:val="0"/>
          <w:sz w:val="27"/>
          <w:szCs w:val="27"/>
          <w14:ligatures w14:val="none"/>
        </w:rPr>
      </w:pPr>
      <w:bookmarkStart w:id="26" w:name="_Toc235574892"/>
      <w:bookmarkEnd w:id="26"/>
      <w:r w:rsidRPr="00B35B85">
        <w:rPr>
          <w:rFonts w:ascii="Times New Roman" w:hAnsi="Times New Roman" w:cs="Times New Roman"/>
          <w:b/>
          <w:bCs/>
          <w:color w:val="000000"/>
          <w:kern w:val="0"/>
          <w:sz w:val="27"/>
          <w:szCs w:val="27"/>
          <w14:ligatures w14:val="none"/>
        </w:rPr>
        <w:t>Conclusion</w:t>
      </w:r>
    </w:p>
    <w:p w14:paraId="7FFF460D"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impact of increasing employment costs and reserved spending on customers places the John Lewis Partnership under the short-term pressure to boost productivity, whereas digital changes demand extended changes in the skillset and organisation. However, these pressures precondition the need to adapt without proving the efficiency of the most successful reaction being the shortening of the working force. The restructuring process is good only when it can be demonstrated in the course of its operations that simplification will be in position to retain the customer service, technical skill as well as fair workloads.</w:t>
      </w:r>
    </w:p>
    <w:p w14:paraId="7F2F5B27"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participatory culture within the Partnership can facilitate in the implementation using the employee insight, yet a perceived injustice will undermine the knowledge sharing and trust. Good leadership involves proper guidance, consultation, viable support as well as intent to retract decisions. Among the options provided by Kotter is implementation discipline and another is Lewin with readiness and stabilisation; both options do not replace a contextual judgement.</w:t>
      </w:r>
    </w:p>
    <w:p w14:paraId="56C8DFBA" w14:textId="77777777" w:rsidR="00B35B85" w:rsidRPr="00B35B85" w:rsidRDefault="00B35B85" w:rsidP="00B35B85">
      <w:pPr>
        <w:spacing w:after="120" w:line="240" w:lineRule="auto"/>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The sustainable benefits will be dependent on maintaining key skills, role modelisation of fair processes and net savings and human and services outcomes. Success must then mean improved capability in the end and not cutback of staffing costs post displaced burdens or weakened capability.</w:t>
      </w:r>
    </w:p>
    <w:p w14:paraId="733BC672" w14:textId="77777777" w:rsidR="00B35B85" w:rsidRPr="00B35B85" w:rsidRDefault="00B35B85" w:rsidP="00B35B85">
      <w:pPr>
        <w:spacing w:before="180" w:after="90" w:line="240" w:lineRule="auto"/>
        <w:jc w:val="both"/>
        <w:rPr>
          <w:rFonts w:ascii="-webkit-standard" w:hAnsi="-webkit-standard" w:cs="Times New Roman"/>
          <w:color w:val="000000"/>
          <w:kern w:val="0"/>
          <w:sz w:val="27"/>
          <w:szCs w:val="27"/>
          <w14:ligatures w14:val="none"/>
        </w:rPr>
      </w:pPr>
      <w:bookmarkStart w:id="27" w:name="_Toc235574893"/>
      <w:bookmarkEnd w:id="27"/>
      <w:r w:rsidRPr="00B35B85">
        <w:rPr>
          <w:rFonts w:ascii="Times New Roman" w:hAnsi="Times New Roman" w:cs="Times New Roman"/>
          <w:b/>
          <w:bCs/>
          <w:color w:val="000000"/>
          <w:kern w:val="0"/>
          <w:sz w:val="27"/>
          <w:szCs w:val="27"/>
          <w14:ligatures w14:val="none"/>
        </w:rPr>
        <w:t>References</w:t>
      </w:r>
    </w:p>
    <w:p w14:paraId="5739087C"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Agung Solihin and Achmad Tarmizi (2025). The influence of organizational culture, teacher and staff involvement, and leadership on the performance of teachers and staff at SMA dwi warna. </w:t>
      </w:r>
      <w:r w:rsidRPr="00B35B85">
        <w:rPr>
          <w:rFonts w:ascii="Times New Roman" w:hAnsi="Times New Roman" w:cs="Times New Roman"/>
          <w:i/>
          <w:iCs/>
          <w:color w:val="000000"/>
          <w:kern w:val="0"/>
          <w:sz w:val="27"/>
          <w:szCs w:val="27"/>
          <w14:ligatures w14:val="none"/>
        </w:rPr>
        <w:t>Jurnal Multidisiplin Sahombu</w:t>
      </w:r>
      <w:r w:rsidRPr="00B35B85">
        <w:rPr>
          <w:rFonts w:ascii="Times New Roman" w:hAnsi="Times New Roman" w:cs="Times New Roman"/>
          <w:color w:val="000000"/>
          <w:kern w:val="0"/>
          <w:sz w:val="27"/>
          <w:szCs w:val="27"/>
          <w14:ligatures w14:val="none"/>
        </w:rPr>
        <w:t>, [online] 5(5), pp.1667–1676. doi: </w:t>
      </w:r>
      <w:hyperlink r:id="rId4" w:history="1">
        <w:r w:rsidRPr="00B35B85">
          <w:rPr>
            <w:rFonts w:ascii="Times New Roman" w:hAnsi="Times New Roman" w:cs="Times New Roman"/>
            <w:color w:val="0563C1"/>
            <w:kern w:val="0"/>
            <w:sz w:val="27"/>
            <w:szCs w:val="27"/>
            <w:u w:val="single"/>
            <w14:ligatures w14:val="none"/>
          </w:rPr>
          <w:t>https://doi.org/10.5539/ijbm.v8n2p95</w:t>
        </w:r>
      </w:hyperlink>
      <w:r w:rsidRPr="00B35B85">
        <w:rPr>
          <w:rFonts w:ascii="Times New Roman" w:hAnsi="Times New Roman" w:cs="Times New Roman"/>
          <w:color w:val="000000"/>
          <w:kern w:val="0"/>
          <w:sz w:val="27"/>
          <w:szCs w:val="27"/>
          <w14:ligatures w14:val="none"/>
        </w:rPr>
        <w:t>. </w:t>
      </w:r>
    </w:p>
    <w:p w14:paraId="42076DAA"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Ahmad, N.R. (2025). Exploring the relationship between leadership styles and employee motivation in remote work environments. </w:t>
      </w:r>
      <w:r w:rsidRPr="00B35B85">
        <w:rPr>
          <w:rFonts w:ascii="Times New Roman" w:hAnsi="Times New Roman" w:cs="Times New Roman"/>
          <w:i/>
          <w:iCs/>
          <w:color w:val="000000"/>
          <w:kern w:val="0"/>
          <w:sz w:val="27"/>
          <w:szCs w:val="27"/>
          <w14:ligatures w14:val="none"/>
        </w:rPr>
        <w:t>AL AASAR JOURNAL</w:t>
      </w:r>
      <w:r w:rsidRPr="00B35B85">
        <w:rPr>
          <w:rFonts w:ascii="Times New Roman" w:hAnsi="Times New Roman" w:cs="Times New Roman"/>
          <w:color w:val="000000"/>
          <w:kern w:val="0"/>
          <w:sz w:val="27"/>
          <w:szCs w:val="27"/>
          <w14:ligatures w14:val="none"/>
        </w:rPr>
        <w:t>, [online] 2(1), pp.21–32. doi: </w:t>
      </w:r>
      <w:hyperlink r:id="rId5" w:history="1">
        <w:r w:rsidRPr="00B35B85">
          <w:rPr>
            <w:rFonts w:ascii="Times New Roman" w:hAnsi="Times New Roman" w:cs="Times New Roman"/>
            <w:color w:val="0563C1"/>
            <w:kern w:val="0"/>
            <w:sz w:val="27"/>
            <w:szCs w:val="27"/>
            <w:u w:val="single"/>
            <w14:ligatures w14:val="none"/>
          </w:rPr>
          <w:t>https://doi.org/10.63878/tvmjdg31</w:t>
        </w:r>
      </w:hyperlink>
      <w:r w:rsidRPr="00B35B85">
        <w:rPr>
          <w:rFonts w:ascii="Times New Roman" w:hAnsi="Times New Roman" w:cs="Times New Roman"/>
          <w:color w:val="000000"/>
          <w:kern w:val="0"/>
          <w:sz w:val="27"/>
          <w:szCs w:val="27"/>
          <w14:ligatures w14:val="none"/>
        </w:rPr>
        <w:t>. </w:t>
      </w:r>
    </w:p>
    <w:p w14:paraId="3206ECD3"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Alankarage, S., Chileshe, N., Samaraweera, A., Rameezdeen, R. and Edwards, D.J. (2024). Diagnosing organizational BIM culture: A qualitative case study using Schein’s model. </w:t>
      </w:r>
      <w:r w:rsidRPr="00B35B85">
        <w:rPr>
          <w:rFonts w:ascii="Times New Roman" w:hAnsi="Times New Roman" w:cs="Times New Roman"/>
          <w:i/>
          <w:iCs/>
          <w:color w:val="000000"/>
          <w:kern w:val="0"/>
          <w:sz w:val="27"/>
          <w:szCs w:val="27"/>
          <w14:ligatures w14:val="none"/>
        </w:rPr>
        <w:t>Journal of Management in Engineering</w:t>
      </w:r>
      <w:r w:rsidRPr="00B35B85">
        <w:rPr>
          <w:rFonts w:ascii="Times New Roman" w:hAnsi="Times New Roman" w:cs="Times New Roman"/>
          <w:color w:val="000000"/>
          <w:kern w:val="0"/>
          <w:sz w:val="27"/>
          <w:szCs w:val="27"/>
          <w14:ligatures w14:val="none"/>
        </w:rPr>
        <w:t>, 40(3). doi: </w:t>
      </w:r>
      <w:hyperlink r:id="rId6" w:history="1">
        <w:r w:rsidRPr="00B35B85">
          <w:rPr>
            <w:rFonts w:ascii="Times New Roman" w:hAnsi="Times New Roman" w:cs="Times New Roman"/>
            <w:color w:val="0563C1"/>
            <w:kern w:val="0"/>
            <w:sz w:val="27"/>
            <w:szCs w:val="27"/>
            <w:u w:val="single"/>
            <w14:ligatures w14:val="none"/>
          </w:rPr>
          <w:t>https://doi.org/10.1061/jmenea.meeng-5672</w:t>
        </w:r>
      </w:hyperlink>
      <w:r w:rsidRPr="00B35B85">
        <w:rPr>
          <w:rFonts w:ascii="Times New Roman" w:hAnsi="Times New Roman" w:cs="Times New Roman"/>
          <w:color w:val="000000"/>
          <w:kern w:val="0"/>
          <w:sz w:val="27"/>
          <w:szCs w:val="27"/>
          <w14:ligatures w14:val="none"/>
        </w:rPr>
        <w:t>. </w:t>
      </w:r>
    </w:p>
    <w:p w14:paraId="4EB81AD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Albuja, R., Ibujés-Villacís, J.M. and Yoo, S.G. (2026). Managing informational uncertainty in traceability systems: A structural entropy-based model for complex production systems. </w:t>
      </w:r>
      <w:r w:rsidRPr="00B35B85">
        <w:rPr>
          <w:rFonts w:ascii="Times New Roman" w:hAnsi="Times New Roman" w:cs="Times New Roman"/>
          <w:i/>
          <w:iCs/>
          <w:color w:val="000000"/>
          <w:kern w:val="0"/>
          <w:sz w:val="27"/>
          <w:szCs w:val="27"/>
          <w14:ligatures w14:val="none"/>
        </w:rPr>
        <w:t>Administrative Sciences</w:t>
      </w:r>
      <w:r w:rsidRPr="00B35B85">
        <w:rPr>
          <w:rFonts w:ascii="Times New Roman" w:hAnsi="Times New Roman" w:cs="Times New Roman"/>
          <w:color w:val="000000"/>
          <w:kern w:val="0"/>
          <w:sz w:val="27"/>
          <w:szCs w:val="27"/>
          <w14:ligatures w14:val="none"/>
        </w:rPr>
        <w:t>, [online] 16(8), p.391. doi: </w:t>
      </w:r>
      <w:hyperlink r:id="rId7" w:history="1">
        <w:r w:rsidRPr="00B35B85">
          <w:rPr>
            <w:rFonts w:ascii="Times New Roman" w:hAnsi="Times New Roman" w:cs="Times New Roman"/>
            <w:color w:val="0563C1"/>
            <w:kern w:val="0"/>
            <w:sz w:val="27"/>
            <w:szCs w:val="27"/>
            <w:u w:val="single"/>
            <w14:ligatures w14:val="none"/>
          </w:rPr>
          <w:t>https://doi.org/10.3390/admsci16080391</w:t>
        </w:r>
      </w:hyperlink>
      <w:r w:rsidRPr="00B35B85">
        <w:rPr>
          <w:rFonts w:ascii="Times New Roman" w:hAnsi="Times New Roman" w:cs="Times New Roman"/>
          <w:color w:val="000000"/>
          <w:kern w:val="0"/>
          <w:sz w:val="27"/>
          <w:szCs w:val="27"/>
          <w14:ligatures w14:val="none"/>
        </w:rPr>
        <w:t>. </w:t>
      </w:r>
    </w:p>
    <w:p w14:paraId="07EB83A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Butler, S. (2021). </w:t>
      </w:r>
      <w:r w:rsidRPr="00B35B85">
        <w:rPr>
          <w:rFonts w:ascii="Times New Roman" w:hAnsi="Times New Roman" w:cs="Times New Roman"/>
          <w:i/>
          <w:iCs/>
          <w:color w:val="000000"/>
          <w:kern w:val="0"/>
          <w:sz w:val="27"/>
          <w:szCs w:val="27"/>
          <w14:ligatures w14:val="none"/>
        </w:rPr>
        <w:t>John Lewis and Waitrose owner to cut 1,000 jobs in stores</w:t>
      </w:r>
      <w:r w:rsidRPr="00B35B85">
        <w:rPr>
          <w:rFonts w:ascii="Times New Roman" w:hAnsi="Times New Roman" w:cs="Times New Roman"/>
          <w:color w:val="000000"/>
          <w:kern w:val="0"/>
          <w:sz w:val="27"/>
          <w:szCs w:val="27"/>
          <w14:ligatures w14:val="none"/>
        </w:rPr>
        <w:t>. [online] the Guardian. Available at: </w:t>
      </w:r>
      <w:hyperlink r:id="rId8" w:history="1">
        <w:r w:rsidRPr="00B35B85">
          <w:rPr>
            <w:rFonts w:ascii="Times New Roman" w:hAnsi="Times New Roman" w:cs="Times New Roman"/>
            <w:color w:val="0563C1"/>
            <w:kern w:val="0"/>
            <w:sz w:val="27"/>
            <w:szCs w:val="27"/>
            <w:u w:val="single"/>
            <w14:ligatures w14:val="none"/>
          </w:rPr>
          <w:t>https://www.theguardian.com/business/2021/jul/14/john-lewis-and-waitrose-owner-to-cut-1000-jobs-in-stores</w:t>
        </w:r>
      </w:hyperlink>
    </w:p>
    <w:p w14:paraId="71275332"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Carvalho, E., Mascarenhas, M., Pinheiro, F., Correia, R., Balseiro, S., Barbosa, G., Guerra, A., Oliveira, D., Moura, R., Martins dos Santos, A. and Ramião, N. (2025). Predetermined change control plans: Guiding principles for advancing safe, effective, and high-quality AI-ML technologies. </w:t>
      </w:r>
      <w:r w:rsidRPr="00B35B85">
        <w:rPr>
          <w:rFonts w:ascii="Times New Roman" w:hAnsi="Times New Roman" w:cs="Times New Roman"/>
          <w:i/>
          <w:iCs/>
          <w:color w:val="000000"/>
          <w:kern w:val="0"/>
          <w:sz w:val="27"/>
          <w:szCs w:val="27"/>
          <w14:ligatures w14:val="none"/>
        </w:rPr>
        <w:t>JMIR AI</w:t>
      </w:r>
      <w:r w:rsidRPr="00B35B85">
        <w:rPr>
          <w:rFonts w:ascii="Times New Roman" w:hAnsi="Times New Roman" w:cs="Times New Roman"/>
          <w:color w:val="000000"/>
          <w:kern w:val="0"/>
          <w:sz w:val="27"/>
          <w:szCs w:val="27"/>
          <w14:ligatures w14:val="none"/>
        </w:rPr>
        <w:t>, [online] 4, pp.e76854-e76854. doi: </w:t>
      </w:r>
      <w:hyperlink r:id="rId9" w:history="1">
        <w:r w:rsidRPr="00B35B85">
          <w:rPr>
            <w:rFonts w:ascii="Times New Roman" w:hAnsi="Times New Roman" w:cs="Times New Roman"/>
            <w:color w:val="0563C1"/>
            <w:kern w:val="0"/>
            <w:sz w:val="27"/>
            <w:szCs w:val="27"/>
            <w:u w:val="single"/>
            <w14:ligatures w14:val="none"/>
          </w:rPr>
          <w:t>https://doi.org/10.2196/76854</w:t>
        </w:r>
      </w:hyperlink>
      <w:r w:rsidRPr="00B35B85">
        <w:rPr>
          <w:rFonts w:ascii="Times New Roman" w:hAnsi="Times New Roman" w:cs="Times New Roman"/>
          <w:color w:val="000000"/>
          <w:kern w:val="0"/>
          <w:sz w:val="27"/>
          <w:szCs w:val="27"/>
          <w14:ligatures w14:val="none"/>
        </w:rPr>
        <w:t>. </w:t>
      </w:r>
    </w:p>
    <w:p w14:paraId="0CAF8CB8"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Chin, H., Song, H., Baek, G., Shin, M., Jung, C., Cha, M., Choi, J. and Cha, C. (2023). The potential of chatbots for emotional support and promoting mental well-being in different cultures: Mixed methods study. </w:t>
      </w:r>
      <w:r w:rsidRPr="00B35B85">
        <w:rPr>
          <w:rFonts w:ascii="Times New Roman" w:hAnsi="Times New Roman" w:cs="Times New Roman"/>
          <w:i/>
          <w:iCs/>
          <w:color w:val="000000"/>
          <w:kern w:val="0"/>
          <w:sz w:val="27"/>
          <w:szCs w:val="27"/>
          <w14:ligatures w14:val="none"/>
        </w:rPr>
        <w:t>Journal of Medical Internet Research</w:t>
      </w:r>
      <w:r w:rsidRPr="00B35B85">
        <w:rPr>
          <w:rFonts w:ascii="Times New Roman" w:hAnsi="Times New Roman" w:cs="Times New Roman"/>
          <w:color w:val="000000"/>
          <w:kern w:val="0"/>
          <w:sz w:val="27"/>
          <w:szCs w:val="27"/>
          <w14:ligatures w14:val="none"/>
        </w:rPr>
        <w:t>, [online] 25(1), p.e51712. doi: </w:t>
      </w:r>
      <w:hyperlink r:id="rId10" w:history="1">
        <w:r w:rsidRPr="00B35B85">
          <w:rPr>
            <w:rFonts w:ascii="Times New Roman" w:hAnsi="Times New Roman" w:cs="Times New Roman"/>
            <w:color w:val="0563C1"/>
            <w:kern w:val="0"/>
            <w:sz w:val="27"/>
            <w:szCs w:val="27"/>
            <w:u w:val="single"/>
            <w14:ligatures w14:val="none"/>
          </w:rPr>
          <w:t>https://doi.org/10.2196/51712</w:t>
        </w:r>
      </w:hyperlink>
      <w:r w:rsidRPr="00B35B85">
        <w:rPr>
          <w:rFonts w:ascii="Times New Roman" w:hAnsi="Times New Roman" w:cs="Times New Roman"/>
          <w:color w:val="000000"/>
          <w:kern w:val="0"/>
          <w:sz w:val="27"/>
          <w:szCs w:val="27"/>
          <w14:ligatures w14:val="none"/>
        </w:rPr>
        <w:t>. </w:t>
      </w:r>
    </w:p>
    <w:p w14:paraId="45B6235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Eierle, B., Hartlieb, S., Hay, D.C., Niemi, L. and Ojala, H. (2021). External factors and the pricing of audit services: A systematic review of the archival literature using a PESTLE analysis. </w:t>
      </w:r>
      <w:r w:rsidRPr="00B35B85">
        <w:rPr>
          <w:rFonts w:ascii="Times New Roman" w:hAnsi="Times New Roman" w:cs="Times New Roman"/>
          <w:i/>
          <w:iCs/>
          <w:color w:val="000000"/>
          <w:kern w:val="0"/>
          <w:sz w:val="27"/>
          <w:szCs w:val="27"/>
          <w14:ligatures w14:val="none"/>
        </w:rPr>
        <w:t>AUDITING: a Journal of Practice &amp; Theory</w:t>
      </w:r>
      <w:r w:rsidRPr="00B35B85">
        <w:rPr>
          <w:rFonts w:ascii="Times New Roman" w:hAnsi="Times New Roman" w:cs="Times New Roman"/>
          <w:color w:val="000000"/>
          <w:kern w:val="0"/>
          <w:sz w:val="27"/>
          <w:szCs w:val="27"/>
          <w14:ligatures w14:val="none"/>
        </w:rPr>
        <w:t>, 41(3), pp.95–119. doi: </w:t>
      </w:r>
      <w:hyperlink r:id="rId11" w:history="1">
        <w:r w:rsidRPr="00B35B85">
          <w:rPr>
            <w:rFonts w:ascii="Times New Roman" w:hAnsi="Times New Roman" w:cs="Times New Roman"/>
            <w:color w:val="0563C1"/>
            <w:kern w:val="0"/>
            <w:sz w:val="27"/>
            <w:szCs w:val="27"/>
            <w:u w:val="single"/>
            <w14:ligatures w14:val="none"/>
          </w:rPr>
          <w:t>https://doi.org/10.2308/AJPT-2019-510</w:t>
        </w:r>
      </w:hyperlink>
      <w:r w:rsidRPr="00B35B85">
        <w:rPr>
          <w:rFonts w:ascii="Times New Roman" w:hAnsi="Times New Roman" w:cs="Times New Roman"/>
          <w:color w:val="000000"/>
          <w:kern w:val="0"/>
          <w:sz w:val="27"/>
          <w:szCs w:val="27"/>
          <w14:ligatures w14:val="none"/>
        </w:rPr>
        <w:t>. </w:t>
      </w:r>
    </w:p>
    <w:p w14:paraId="7777B3A6"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Ferrara, B., Pansini, M., De Vincenzi, C., Buonomo, I. and Benevene, P. (2022). Investigating the role of remote working on employees’ performance and well-being: An evidence-based systematic review. </w:t>
      </w:r>
      <w:r w:rsidRPr="00B35B85">
        <w:rPr>
          <w:rFonts w:ascii="Times New Roman" w:hAnsi="Times New Roman" w:cs="Times New Roman"/>
          <w:i/>
          <w:iCs/>
          <w:color w:val="000000"/>
          <w:kern w:val="0"/>
          <w:sz w:val="27"/>
          <w:szCs w:val="27"/>
          <w14:ligatures w14:val="none"/>
        </w:rPr>
        <w:t>International Journal of Environmental Research and Public Health</w:t>
      </w:r>
      <w:r w:rsidRPr="00B35B85">
        <w:rPr>
          <w:rFonts w:ascii="Times New Roman" w:hAnsi="Times New Roman" w:cs="Times New Roman"/>
          <w:color w:val="000000"/>
          <w:kern w:val="0"/>
          <w:sz w:val="27"/>
          <w:szCs w:val="27"/>
          <w14:ligatures w14:val="none"/>
        </w:rPr>
        <w:t>, [online] 19(19), p.12373. doi: </w:t>
      </w:r>
      <w:hyperlink r:id="rId12" w:history="1">
        <w:r w:rsidRPr="00B35B85">
          <w:rPr>
            <w:rFonts w:ascii="Times New Roman" w:hAnsi="Times New Roman" w:cs="Times New Roman"/>
            <w:color w:val="0563C1"/>
            <w:kern w:val="0"/>
            <w:sz w:val="27"/>
            <w:szCs w:val="27"/>
            <w:u w:val="single"/>
            <w14:ligatures w14:val="none"/>
          </w:rPr>
          <w:t>https://doi.org/10.3390/ijerph191912373</w:t>
        </w:r>
      </w:hyperlink>
      <w:r w:rsidRPr="00B35B85">
        <w:rPr>
          <w:rFonts w:ascii="Times New Roman" w:hAnsi="Times New Roman" w:cs="Times New Roman"/>
          <w:color w:val="000000"/>
          <w:kern w:val="0"/>
          <w:sz w:val="27"/>
          <w:szCs w:val="27"/>
          <w14:ligatures w14:val="none"/>
        </w:rPr>
        <w:t>. </w:t>
      </w:r>
    </w:p>
    <w:p w14:paraId="4633D3BA"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Horoki, A.Z., Abolhasani, M.S., Khah, E.S., Heydaripour, M. and Zarezadeh, M. (2025). Identifying barriers to the adoption of electronic prescribing: A stakeholder analysis approach using a power-interest matrix. </w:t>
      </w:r>
      <w:r w:rsidRPr="00B35B85">
        <w:rPr>
          <w:rFonts w:ascii="Times New Roman" w:hAnsi="Times New Roman" w:cs="Times New Roman"/>
          <w:i/>
          <w:iCs/>
          <w:color w:val="000000"/>
          <w:kern w:val="0"/>
          <w:sz w:val="27"/>
          <w:szCs w:val="27"/>
          <w14:ligatures w14:val="none"/>
        </w:rPr>
        <w:t>Evidence Based Health Policy, Management and Economics</w:t>
      </w:r>
      <w:r w:rsidRPr="00B35B85">
        <w:rPr>
          <w:rFonts w:ascii="Times New Roman" w:hAnsi="Times New Roman" w:cs="Times New Roman"/>
          <w:color w:val="000000"/>
          <w:kern w:val="0"/>
          <w:sz w:val="27"/>
          <w:szCs w:val="27"/>
          <w14:ligatures w14:val="none"/>
        </w:rPr>
        <w:t>. [online] doi: </w:t>
      </w:r>
      <w:hyperlink r:id="rId13" w:history="1">
        <w:r w:rsidRPr="00B35B85">
          <w:rPr>
            <w:rFonts w:ascii="Times New Roman" w:hAnsi="Times New Roman" w:cs="Times New Roman"/>
            <w:color w:val="0563C1"/>
            <w:kern w:val="0"/>
            <w:sz w:val="27"/>
            <w:szCs w:val="27"/>
            <w:u w:val="single"/>
            <w14:ligatures w14:val="none"/>
          </w:rPr>
          <w:t>https://doi.org/10.18502/jebhpme.v8i3.18076</w:t>
        </w:r>
      </w:hyperlink>
      <w:r w:rsidRPr="00B35B85">
        <w:rPr>
          <w:rFonts w:ascii="Times New Roman" w:hAnsi="Times New Roman" w:cs="Times New Roman"/>
          <w:color w:val="000000"/>
          <w:kern w:val="0"/>
          <w:sz w:val="27"/>
          <w:szCs w:val="27"/>
          <w14:ligatures w14:val="none"/>
        </w:rPr>
        <w:t>. </w:t>
      </w:r>
    </w:p>
    <w:p w14:paraId="4D4E5A1D"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Ko, K.-C., Lin, S.-J., Su, H.-J. and Chang, H.-H. (2014). Value investing and technical analysis in Taiwan stock market. </w:t>
      </w:r>
      <w:r w:rsidRPr="00B35B85">
        <w:rPr>
          <w:rFonts w:ascii="Times New Roman" w:hAnsi="Times New Roman" w:cs="Times New Roman"/>
          <w:i/>
          <w:iCs/>
          <w:color w:val="000000"/>
          <w:kern w:val="0"/>
          <w:sz w:val="27"/>
          <w:szCs w:val="27"/>
          <w14:ligatures w14:val="none"/>
        </w:rPr>
        <w:t>Pacific-Basin Finance Journal</w:t>
      </w:r>
      <w:r w:rsidRPr="00B35B85">
        <w:rPr>
          <w:rFonts w:ascii="Times New Roman" w:hAnsi="Times New Roman" w:cs="Times New Roman"/>
          <w:color w:val="000000"/>
          <w:kern w:val="0"/>
          <w:sz w:val="27"/>
          <w:szCs w:val="27"/>
          <w14:ligatures w14:val="none"/>
        </w:rPr>
        <w:t>, 26, pp.14–36. doi: </w:t>
      </w:r>
      <w:hyperlink r:id="rId14" w:history="1">
        <w:r w:rsidRPr="00B35B85">
          <w:rPr>
            <w:rFonts w:ascii="Times New Roman" w:hAnsi="Times New Roman" w:cs="Times New Roman"/>
            <w:color w:val="0563C1"/>
            <w:kern w:val="0"/>
            <w:sz w:val="27"/>
            <w:szCs w:val="27"/>
            <w:u w:val="single"/>
            <w14:ligatures w14:val="none"/>
          </w:rPr>
          <w:t>https://doi.org/10.1016/j.pacfin.2013.10.004</w:t>
        </w:r>
      </w:hyperlink>
      <w:r w:rsidRPr="00B35B85">
        <w:rPr>
          <w:rFonts w:ascii="Times New Roman" w:hAnsi="Times New Roman" w:cs="Times New Roman"/>
          <w:color w:val="000000"/>
          <w:kern w:val="0"/>
          <w:sz w:val="27"/>
          <w:szCs w:val="27"/>
          <w14:ligatures w14:val="none"/>
        </w:rPr>
        <w:t>. </w:t>
      </w:r>
    </w:p>
    <w:p w14:paraId="51E3F8A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Koh, G.A., Askell-Williams, H. and Barr, S. (2023). Sustaining school improvement initiatives: Advice from educational leaders. </w:t>
      </w:r>
      <w:r w:rsidRPr="00B35B85">
        <w:rPr>
          <w:rFonts w:ascii="Times New Roman" w:hAnsi="Times New Roman" w:cs="Times New Roman"/>
          <w:i/>
          <w:iCs/>
          <w:color w:val="000000"/>
          <w:kern w:val="0"/>
          <w:sz w:val="27"/>
          <w:szCs w:val="27"/>
          <w14:ligatures w14:val="none"/>
        </w:rPr>
        <w:t>School Effectiveness and School Improvement</w:t>
      </w:r>
      <w:r w:rsidRPr="00B35B85">
        <w:rPr>
          <w:rFonts w:ascii="Times New Roman" w:hAnsi="Times New Roman" w:cs="Times New Roman"/>
          <w:color w:val="000000"/>
          <w:kern w:val="0"/>
          <w:sz w:val="27"/>
          <w:szCs w:val="27"/>
          <w14:ligatures w14:val="none"/>
        </w:rPr>
        <w:t>, [online] 34(3), pp.1–33. doi: </w:t>
      </w:r>
      <w:hyperlink r:id="rId15" w:history="1">
        <w:r w:rsidRPr="00B35B85">
          <w:rPr>
            <w:rFonts w:ascii="Times New Roman" w:hAnsi="Times New Roman" w:cs="Times New Roman"/>
            <w:color w:val="0563C1"/>
            <w:kern w:val="0"/>
            <w:sz w:val="27"/>
            <w:szCs w:val="27"/>
            <w:u w:val="single"/>
            <w14:ligatures w14:val="none"/>
          </w:rPr>
          <w:t>https://doi.org/10.1080/09243453.2023.2190130</w:t>
        </w:r>
      </w:hyperlink>
      <w:r w:rsidRPr="00B35B85">
        <w:rPr>
          <w:rFonts w:ascii="Times New Roman" w:hAnsi="Times New Roman" w:cs="Times New Roman"/>
          <w:color w:val="000000"/>
          <w:kern w:val="0"/>
          <w:sz w:val="27"/>
          <w:szCs w:val="27"/>
          <w14:ligatures w14:val="none"/>
        </w:rPr>
        <w:t>. </w:t>
      </w:r>
    </w:p>
    <w:p w14:paraId="31C80580"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Mouazen, A.M., Hernández-Lara, A.B., Abdallah, F., Ramadan, M., Chahine, J., Baydoun, H. and Bou Zakhem, N. (2023). Transformational and transactional leaders and their role in implementing the kotter change management model ensuring sustainable change: An empirical study. </w:t>
      </w:r>
      <w:r w:rsidRPr="00B35B85">
        <w:rPr>
          <w:rFonts w:ascii="Times New Roman" w:hAnsi="Times New Roman" w:cs="Times New Roman"/>
          <w:i/>
          <w:iCs/>
          <w:color w:val="000000"/>
          <w:kern w:val="0"/>
          <w:sz w:val="27"/>
          <w:szCs w:val="27"/>
          <w14:ligatures w14:val="none"/>
        </w:rPr>
        <w:t>Sustainability</w:t>
      </w:r>
      <w:r w:rsidRPr="00B35B85">
        <w:rPr>
          <w:rFonts w:ascii="Times New Roman" w:hAnsi="Times New Roman" w:cs="Times New Roman"/>
          <w:color w:val="000000"/>
          <w:kern w:val="0"/>
          <w:sz w:val="27"/>
          <w:szCs w:val="27"/>
          <w14:ligatures w14:val="none"/>
        </w:rPr>
        <w:t>, 16(1), p.16.</w:t>
      </w:r>
    </w:p>
    <w:p w14:paraId="6187D49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Ormston, A. (2025). </w:t>
      </w:r>
      <w:r w:rsidRPr="00B35B85">
        <w:rPr>
          <w:rFonts w:ascii="Times New Roman" w:hAnsi="Times New Roman" w:cs="Times New Roman"/>
          <w:i/>
          <w:iCs/>
          <w:color w:val="000000"/>
          <w:kern w:val="0"/>
          <w:sz w:val="27"/>
          <w:szCs w:val="27"/>
          <w14:ligatures w14:val="none"/>
        </w:rPr>
        <w:t>PESTLE analysis: A guide to understanding market influences</w:t>
      </w:r>
      <w:r w:rsidRPr="00B35B85">
        <w:rPr>
          <w:rFonts w:ascii="Times New Roman" w:hAnsi="Times New Roman" w:cs="Times New Roman"/>
          <w:color w:val="000000"/>
          <w:kern w:val="0"/>
          <w:sz w:val="27"/>
          <w:szCs w:val="27"/>
          <w14:ligatures w14:val="none"/>
        </w:rPr>
        <w:t>. [online] B2B International. Available at: </w:t>
      </w:r>
      <w:hyperlink r:id="rId16" w:history="1">
        <w:r w:rsidRPr="00B35B85">
          <w:rPr>
            <w:rFonts w:ascii="Times New Roman" w:hAnsi="Times New Roman" w:cs="Times New Roman"/>
            <w:color w:val="0563C1"/>
            <w:kern w:val="0"/>
            <w:sz w:val="27"/>
            <w:szCs w:val="27"/>
            <w:u w:val="single"/>
            <w14:ligatures w14:val="none"/>
          </w:rPr>
          <w:t>https://www.b2binternational.com/2025/04/03/pestle-analysis/</w:t>
        </w:r>
      </w:hyperlink>
    </w:p>
    <w:p w14:paraId="32F4986D"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Rajasekaran, M., Sekar, S., Manikandaprabhu, K., Vijayakumar, R., Rajmohan, M. and Murugan, S. (2024). Next-gen coaching: IoT and linear regression for adaptive training load management. In: </w:t>
      </w:r>
      <w:r w:rsidRPr="00B35B85">
        <w:rPr>
          <w:rFonts w:ascii="Times New Roman" w:hAnsi="Times New Roman" w:cs="Times New Roman"/>
          <w:i/>
          <w:iCs/>
          <w:color w:val="000000"/>
          <w:kern w:val="0"/>
          <w:sz w:val="27"/>
          <w:szCs w:val="27"/>
          <w14:ligatures w14:val="none"/>
        </w:rPr>
        <w:t>2024 8th International Conference on I-SMAC (IoT in Social, Mobile, Analytics and Cloud) (I-SMAC)</w:t>
      </w:r>
      <w:r w:rsidRPr="00B35B85">
        <w:rPr>
          <w:rFonts w:ascii="Times New Roman" w:hAnsi="Times New Roman" w:cs="Times New Roman"/>
          <w:color w:val="000000"/>
          <w:kern w:val="0"/>
          <w:sz w:val="27"/>
          <w:szCs w:val="27"/>
          <w14:ligatures w14:val="none"/>
        </w:rPr>
        <w:t>. [online] IEEE, pp.224–229. Available at: </w:t>
      </w:r>
      <w:hyperlink r:id="rId17" w:history="1">
        <w:r w:rsidRPr="00B35B85">
          <w:rPr>
            <w:rFonts w:ascii="Times New Roman" w:hAnsi="Times New Roman" w:cs="Times New Roman"/>
            <w:color w:val="0563C1"/>
            <w:kern w:val="0"/>
            <w:sz w:val="27"/>
            <w:szCs w:val="27"/>
            <w:u w:val="single"/>
            <w14:ligatures w14:val="none"/>
          </w:rPr>
          <w:t>https://ieeexplore.ieee.org/document/10714605</w:t>
        </w:r>
      </w:hyperlink>
    </w:p>
    <w:p w14:paraId="6C885E11"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Tanveer, M. (2026). FinTech-enabled digital transformation for sustainable performance: The strategic role of dynamic capabilities. </w:t>
      </w:r>
      <w:r w:rsidRPr="00B35B85">
        <w:rPr>
          <w:rFonts w:ascii="Times New Roman" w:hAnsi="Times New Roman" w:cs="Times New Roman"/>
          <w:i/>
          <w:iCs/>
          <w:color w:val="000000"/>
          <w:kern w:val="0"/>
          <w:sz w:val="27"/>
          <w:szCs w:val="27"/>
          <w14:ligatures w14:val="none"/>
        </w:rPr>
        <w:t>Frontiers in Human Dynamics</w:t>
      </w:r>
      <w:r w:rsidRPr="00B35B85">
        <w:rPr>
          <w:rFonts w:ascii="Times New Roman" w:hAnsi="Times New Roman" w:cs="Times New Roman"/>
          <w:color w:val="000000"/>
          <w:kern w:val="0"/>
          <w:sz w:val="27"/>
          <w:szCs w:val="27"/>
          <w14:ligatures w14:val="none"/>
        </w:rPr>
        <w:t>, [online] 8. doi:</w:t>
      </w:r>
      <w:hyperlink r:id="rId18" w:history="1">
        <w:r w:rsidRPr="00B35B85">
          <w:rPr>
            <w:rFonts w:ascii="Times New Roman" w:hAnsi="Times New Roman" w:cs="Times New Roman"/>
            <w:color w:val="0563C1"/>
            <w:kern w:val="0"/>
            <w:sz w:val="27"/>
            <w:szCs w:val="27"/>
            <w:u w:val="single"/>
            <w14:ligatures w14:val="none"/>
          </w:rPr>
          <w:t>https://doi.org/10.3389/fhumd.2026.1747642</w:t>
        </w:r>
      </w:hyperlink>
      <w:r w:rsidRPr="00B35B85">
        <w:rPr>
          <w:rFonts w:ascii="Times New Roman" w:hAnsi="Times New Roman" w:cs="Times New Roman"/>
          <w:color w:val="000000"/>
          <w:kern w:val="0"/>
          <w:sz w:val="27"/>
          <w:szCs w:val="27"/>
          <w14:ligatures w14:val="none"/>
        </w:rPr>
        <w:t>.</w:t>
      </w:r>
    </w:p>
    <w:p w14:paraId="468DB586"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Taylor, I. (2014). </w:t>
      </w:r>
      <w:r w:rsidRPr="00B35B85">
        <w:rPr>
          <w:rFonts w:ascii="Times New Roman" w:hAnsi="Times New Roman" w:cs="Times New Roman"/>
          <w:i/>
          <w:iCs/>
          <w:color w:val="000000"/>
          <w:kern w:val="0"/>
          <w:sz w:val="27"/>
          <w:szCs w:val="27"/>
          <w14:ligatures w14:val="none"/>
        </w:rPr>
        <w:t>A SWOT analysis template for the overwhelmed marketer</w:t>
      </w:r>
      <w:r w:rsidRPr="00B35B85">
        <w:rPr>
          <w:rFonts w:ascii="Times New Roman" w:hAnsi="Times New Roman" w:cs="Times New Roman"/>
          <w:color w:val="000000"/>
          <w:kern w:val="0"/>
          <w:sz w:val="27"/>
          <w:szCs w:val="27"/>
          <w14:ligatures w14:val="none"/>
        </w:rPr>
        <w:t>. [online] QuestionPro. Available at: </w:t>
      </w:r>
      <w:hyperlink r:id="rId19" w:history="1">
        <w:r w:rsidRPr="00B35B85">
          <w:rPr>
            <w:rFonts w:ascii="Times New Roman" w:hAnsi="Times New Roman" w:cs="Times New Roman"/>
            <w:color w:val="0563C1"/>
            <w:kern w:val="0"/>
            <w:sz w:val="27"/>
            <w:szCs w:val="27"/>
            <w:u w:val="single"/>
            <w14:ligatures w14:val="none"/>
          </w:rPr>
          <w:t>https://www.questionpro.com/blog/a-swot-analysis-template-for-the-overwhelmed-marketer/</w:t>
        </w:r>
      </w:hyperlink>
    </w:p>
    <w:p w14:paraId="4579BF8E"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Topa, G., Aranda-Carmena, M. and De-Maria, B. (2022). Psychological contract breach and outcomes: A systematic review of reviews. </w:t>
      </w:r>
      <w:r w:rsidRPr="00B35B85">
        <w:rPr>
          <w:rFonts w:ascii="Times New Roman" w:hAnsi="Times New Roman" w:cs="Times New Roman"/>
          <w:i/>
          <w:iCs/>
          <w:color w:val="000000"/>
          <w:kern w:val="0"/>
          <w:sz w:val="27"/>
          <w:szCs w:val="27"/>
          <w14:ligatures w14:val="none"/>
        </w:rPr>
        <w:t>International Journal of Environmental Research and Public Health</w:t>
      </w:r>
      <w:r w:rsidRPr="00B35B85">
        <w:rPr>
          <w:rFonts w:ascii="Times New Roman" w:hAnsi="Times New Roman" w:cs="Times New Roman"/>
          <w:color w:val="000000"/>
          <w:kern w:val="0"/>
          <w:sz w:val="27"/>
          <w:szCs w:val="27"/>
          <w14:ligatures w14:val="none"/>
        </w:rPr>
        <w:t>, 19(23), p.15527.</w:t>
      </w:r>
    </w:p>
    <w:p w14:paraId="6AB6774F"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Umosen, L.E. and Essien, B.S. (2026). Macro-environmental forces and SME operational performance: Empirical evidence from Lagos State, Nigeria using PESTLE framework. </w:t>
      </w:r>
      <w:r w:rsidRPr="00B35B85">
        <w:rPr>
          <w:rFonts w:ascii="Times New Roman" w:hAnsi="Times New Roman" w:cs="Times New Roman"/>
          <w:i/>
          <w:iCs/>
          <w:color w:val="000000"/>
          <w:kern w:val="0"/>
          <w:sz w:val="27"/>
          <w:szCs w:val="27"/>
          <w14:ligatures w14:val="none"/>
        </w:rPr>
        <w:t>International Journal of Business and Management (IJBM)</w:t>
      </w:r>
      <w:r w:rsidRPr="00B35B85">
        <w:rPr>
          <w:rFonts w:ascii="Times New Roman" w:hAnsi="Times New Roman" w:cs="Times New Roman"/>
          <w:color w:val="000000"/>
          <w:kern w:val="0"/>
          <w:sz w:val="27"/>
          <w:szCs w:val="27"/>
          <w14:ligatures w14:val="none"/>
        </w:rPr>
        <w:t>, [online] 5(1), pp.924–951. doi:</w:t>
      </w:r>
      <w:hyperlink r:id="rId20" w:history="1">
        <w:r w:rsidRPr="00B35B85">
          <w:rPr>
            <w:rFonts w:ascii="Times New Roman" w:hAnsi="Times New Roman" w:cs="Times New Roman"/>
            <w:color w:val="0563C1"/>
            <w:kern w:val="0"/>
            <w:sz w:val="27"/>
            <w:szCs w:val="27"/>
            <w:u w:val="single"/>
            <w14:ligatures w14:val="none"/>
          </w:rPr>
          <w:t>https://doi.org/10.56879/ijbm.v5i1.44</w:t>
        </w:r>
      </w:hyperlink>
      <w:r w:rsidRPr="00B35B85">
        <w:rPr>
          <w:rFonts w:ascii="Times New Roman" w:hAnsi="Times New Roman" w:cs="Times New Roman"/>
          <w:color w:val="000000"/>
          <w:kern w:val="0"/>
          <w:sz w:val="27"/>
          <w:szCs w:val="27"/>
          <w14:ligatures w14:val="none"/>
        </w:rPr>
        <w:t>.</w:t>
      </w:r>
    </w:p>
    <w:p w14:paraId="750C11E6"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Ungvarsky, J. (2019). Participatory culture. In: </w:t>
      </w:r>
      <w:r w:rsidRPr="00B35B85">
        <w:rPr>
          <w:rFonts w:ascii="Times New Roman" w:hAnsi="Times New Roman" w:cs="Times New Roman"/>
          <w:i/>
          <w:iCs/>
          <w:color w:val="000000"/>
          <w:kern w:val="0"/>
          <w:sz w:val="27"/>
          <w:szCs w:val="27"/>
          <w14:ligatures w14:val="none"/>
        </w:rPr>
        <w:t>Research Starters</w:t>
      </w:r>
      <w:r w:rsidRPr="00B35B85">
        <w:rPr>
          <w:rFonts w:ascii="Times New Roman" w:hAnsi="Times New Roman" w:cs="Times New Roman"/>
          <w:color w:val="000000"/>
          <w:kern w:val="0"/>
          <w:sz w:val="27"/>
          <w:szCs w:val="27"/>
          <w14:ligatures w14:val="none"/>
        </w:rPr>
        <w:t>. [online] EBSCO. Available at: </w:t>
      </w:r>
      <w:hyperlink r:id="rId21" w:history="1">
        <w:r w:rsidRPr="00B35B85">
          <w:rPr>
            <w:rFonts w:ascii="Times New Roman" w:hAnsi="Times New Roman" w:cs="Times New Roman"/>
            <w:color w:val="0563C1"/>
            <w:kern w:val="0"/>
            <w:sz w:val="27"/>
            <w:szCs w:val="27"/>
            <w:u w:val="single"/>
            <w14:ligatures w14:val="none"/>
          </w:rPr>
          <w:t>https://www.ebsco.com/research-starters/communication-and-mass-media/participatory-culture/</w:t>
        </w:r>
      </w:hyperlink>
    </w:p>
    <w:p w14:paraId="6B179C96"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Visual Paradigm (2022). </w:t>
      </w:r>
      <w:r w:rsidRPr="00B35B85">
        <w:rPr>
          <w:rFonts w:ascii="Times New Roman" w:hAnsi="Times New Roman" w:cs="Times New Roman"/>
          <w:i/>
          <w:iCs/>
          <w:color w:val="000000"/>
          <w:kern w:val="0"/>
          <w:sz w:val="27"/>
          <w:szCs w:val="27"/>
          <w14:ligatures w14:val="none"/>
        </w:rPr>
        <w:t>Kotter’s 8 step change model - A comprehensive guide</w:t>
      </w:r>
      <w:r w:rsidRPr="00B35B85">
        <w:rPr>
          <w:rFonts w:ascii="Times New Roman" w:hAnsi="Times New Roman" w:cs="Times New Roman"/>
          <w:color w:val="000000"/>
          <w:kern w:val="0"/>
          <w:sz w:val="27"/>
          <w:szCs w:val="27"/>
          <w14:ligatures w14:val="none"/>
        </w:rPr>
        <w:t>. [online] Visual Paradigm Blog. Available at: </w:t>
      </w:r>
      <w:hyperlink r:id="rId22" w:history="1">
        <w:r w:rsidRPr="00B35B85">
          <w:rPr>
            <w:rFonts w:ascii="Times New Roman" w:hAnsi="Times New Roman" w:cs="Times New Roman"/>
            <w:color w:val="0563C1"/>
            <w:kern w:val="0"/>
            <w:sz w:val="27"/>
            <w:szCs w:val="27"/>
            <w:u w:val="single"/>
            <w14:ligatures w14:val="none"/>
          </w:rPr>
          <w:t>https://blog.visual-paradigm.com/kotters-8-step-change-model-a-comprehensive-guide/</w:t>
        </w:r>
      </w:hyperlink>
    </w:p>
    <w:p w14:paraId="03DF2640"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Zhang, G. and Liu, X. (2024). Industrial restructuring and corporate income distribution gap. </w:t>
      </w:r>
      <w:r w:rsidRPr="00B35B85">
        <w:rPr>
          <w:rFonts w:ascii="Times New Roman" w:hAnsi="Times New Roman" w:cs="Times New Roman"/>
          <w:i/>
          <w:iCs/>
          <w:color w:val="000000"/>
          <w:kern w:val="0"/>
          <w:sz w:val="27"/>
          <w:szCs w:val="27"/>
          <w14:ligatures w14:val="none"/>
        </w:rPr>
        <w:t>Finance Research Letters</w:t>
      </w:r>
      <w:r w:rsidRPr="00B35B85">
        <w:rPr>
          <w:rFonts w:ascii="Times New Roman" w:hAnsi="Times New Roman" w:cs="Times New Roman"/>
          <w:color w:val="000000"/>
          <w:kern w:val="0"/>
          <w:sz w:val="27"/>
          <w:szCs w:val="27"/>
          <w14:ligatures w14:val="none"/>
        </w:rPr>
        <w:t>, [online] 67, p.105896. doi:</w:t>
      </w:r>
      <w:hyperlink r:id="rId23" w:history="1">
        <w:r w:rsidRPr="00B35B85">
          <w:rPr>
            <w:rFonts w:ascii="Times New Roman" w:hAnsi="Times New Roman" w:cs="Times New Roman"/>
            <w:color w:val="0563C1"/>
            <w:kern w:val="0"/>
            <w:sz w:val="27"/>
            <w:szCs w:val="27"/>
            <w:u w:val="single"/>
            <w14:ligatures w14:val="none"/>
          </w:rPr>
          <w:t>https://doi.org/10.1016/j.frl.2024.105896</w:t>
        </w:r>
      </w:hyperlink>
      <w:r w:rsidRPr="00B35B85">
        <w:rPr>
          <w:rFonts w:ascii="Times New Roman" w:hAnsi="Times New Roman" w:cs="Times New Roman"/>
          <w:color w:val="000000"/>
          <w:kern w:val="0"/>
          <w:sz w:val="27"/>
          <w:szCs w:val="27"/>
          <w14:ligatures w14:val="none"/>
        </w:rPr>
        <w:t>.</w:t>
      </w:r>
    </w:p>
    <w:p w14:paraId="22CB0D30" w14:textId="77777777" w:rsidR="00B35B85" w:rsidRPr="00B35B85" w:rsidRDefault="00B35B85" w:rsidP="00B35B85">
      <w:pPr>
        <w:spacing w:after="180" w:line="240" w:lineRule="auto"/>
        <w:ind w:left="540" w:hanging="540"/>
        <w:jc w:val="both"/>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Zhou, S. and Salleh Hudin, N. (2025). How does in-store and online shopping experiences influence repurchase intentions in Shandong, China? Roles of perceived value, brand trust, and customer satisfaction. </w:t>
      </w:r>
      <w:r w:rsidRPr="00B35B85">
        <w:rPr>
          <w:rFonts w:ascii="Times New Roman" w:hAnsi="Times New Roman" w:cs="Times New Roman"/>
          <w:i/>
          <w:iCs/>
          <w:color w:val="000000"/>
          <w:kern w:val="0"/>
          <w:sz w:val="27"/>
          <w:szCs w:val="27"/>
          <w14:ligatures w14:val="none"/>
        </w:rPr>
        <w:t>PLOS One</w:t>
      </w:r>
      <w:r w:rsidRPr="00B35B85">
        <w:rPr>
          <w:rFonts w:ascii="Times New Roman" w:hAnsi="Times New Roman" w:cs="Times New Roman"/>
          <w:color w:val="000000"/>
          <w:kern w:val="0"/>
          <w:sz w:val="27"/>
          <w:szCs w:val="27"/>
          <w14:ligatures w14:val="none"/>
        </w:rPr>
        <w:t>, [online] 20(8), p.e0321485. doi:</w:t>
      </w:r>
      <w:hyperlink r:id="rId24" w:history="1">
        <w:r w:rsidRPr="00B35B85">
          <w:rPr>
            <w:rFonts w:ascii="Times New Roman" w:hAnsi="Times New Roman" w:cs="Times New Roman"/>
            <w:color w:val="0563C1"/>
            <w:kern w:val="0"/>
            <w:sz w:val="27"/>
            <w:szCs w:val="27"/>
            <w:u w:val="single"/>
            <w14:ligatures w14:val="none"/>
          </w:rPr>
          <w:t>https://doi.org/10.1371/journal.pone.0321485</w:t>
        </w:r>
      </w:hyperlink>
      <w:r w:rsidRPr="00B35B85">
        <w:rPr>
          <w:rFonts w:ascii="Times New Roman" w:hAnsi="Times New Roman" w:cs="Times New Roman"/>
          <w:color w:val="000000"/>
          <w:kern w:val="0"/>
          <w:sz w:val="27"/>
          <w:szCs w:val="27"/>
          <w14:ligatures w14:val="none"/>
        </w:rPr>
        <w:t>.</w:t>
      </w:r>
    </w:p>
    <w:p w14:paraId="62C5BD28" w14:textId="77777777" w:rsidR="00B35B85" w:rsidRPr="00B35B85" w:rsidRDefault="00B35B85" w:rsidP="00B35B85">
      <w:pPr>
        <w:spacing w:after="0" w:line="240" w:lineRule="auto"/>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18"/>
          <w:szCs w:val="18"/>
          <w14:ligatures w14:val="none"/>
        </w:rPr>
        <w:t> </w:t>
      </w:r>
    </w:p>
    <w:p w14:paraId="56F695C0" w14:textId="77777777" w:rsidR="00B35B85" w:rsidRPr="00B35B85" w:rsidRDefault="00B35B85" w:rsidP="00B35B85">
      <w:pPr>
        <w:spacing w:after="0" w:line="324" w:lineRule="atLeast"/>
        <w:rPr>
          <w:rFonts w:ascii="-webkit-standard" w:hAnsi="-webkit-standard" w:cs="Times New Roman"/>
          <w:color w:val="000000"/>
          <w:kern w:val="0"/>
          <w:sz w:val="27"/>
          <w:szCs w:val="27"/>
          <w14:ligatures w14:val="none"/>
        </w:rPr>
      </w:pPr>
      <w:r w:rsidRPr="00B35B85">
        <w:rPr>
          <w:rFonts w:ascii="Times New Roman" w:hAnsi="Times New Roman" w:cs="Times New Roman"/>
          <w:color w:val="000000"/>
          <w:kern w:val="0"/>
          <w:sz w:val="27"/>
          <w:szCs w:val="27"/>
          <w14:ligatures w14:val="none"/>
        </w:rPr>
        <w:t>20</w:t>
      </w:r>
    </w:p>
    <w:p w14:paraId="4CDBC802" w14:textId="77777777" w:rsidR="00B35B85" w:rsidRPr="00B35B85" w:rsidRDefault="00B35B85" w:rsidP="00B35B85">
      <w:pPr>
        <w:spacing w:after="0" w:line="240" w:lineRule="auto"/>
        <w:jc w:val="both"/>
        <w:rPr>
          <w:rFonts w:ascii="-webkit-standard" w:hAnsi="-webkit-standard" w:cs="Times New Roman"/>
          <w:color w:val="000000"/>
          <w:kern w:val="0"/>
          <w:sz w:val="27"/>
          <w:szCs w:val="27"/>
          <w14:ligatures w14:val="none"/>
        </w:rPr>
      </w:pPr>
      <w:r w:rsidRPr="00B35B85">
        <w:rPr>
          <w:rFonts w:ascii="-webkit-standard" w:hAnsi="-webkit-standard" w:cs="Times New Roman"/>
          <w:color w:val="000000"/>
          <w:kern w:val="0"/>
          <w:sz w:val="27"/>
          <w:szCs w:val="27"/>
          <w14:ligatures w14:val="none"/>
        </w:rPr>
        <w:t> </w:t>
      </w:r>
    </w:p>
    <w:p w14:paraId="5598804F" w14:textId="77777777" w:rsidR="00B35B85" w:rsidRDefault="00B35B85"/>
    <w:sectPr w:rsidR="00B35B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B85"/>
    <w:rsid w:val="001B1C98"/>
    <w:rsid w:val="00451F46"/>
    <w:rsid w:val="004B3C5B"/>
    <w:rsid w:val="004B617A"/>
    <w:rsid w:val="00A720D9"/>
    <w:rsid w:val="00B3025C"/>
    <w:rsid w:val="00B35B85"/>
    <w:rsid w:val="00EC3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82F0BF"/>
  <w15:chartTrackingRefBased/>
  <w15:docId w15:val="{14A705B6-DFA9-CA4D-A1BC-D5EF1428B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B85"/>
    <w:rPr>
      <w:rFonts w:eastAsiaTheme="majorEastAsia" w:cstheme="majorBidi"/>
      <w:color w:val="272727" w:themeColor="text1" w:themeTint="D8"/>
    </w:rPr>
  </w:style>
  <w:style w:type="paragraph" w:styleId="Title">
    <w:name w:val="Title"/>
    <w:basedOn w:val="Normal"/>
    <w:next w:val="Normal"/>
    <w:link w:val="TitleChar"/>
    <w:uiPriority w:val="10"/>
    <w:qFormat/>
    <w:rsid w:val="00B35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B85"/>
    <w:pPr>
      <w:spacing w:before="160"/>
      <w:jc w:val="center"/>
    </w:pPr>
    <w:rPr>
      <w:i/>
      <w:iCs/>
      <w:color w:val="404040" w:themeColor="text1" w:themeTint="BF"/>
    </w:rPr>
  </w:style>
  <w:style w:type="character" w:customStyle="1" w:styleId="QuoteChar">
    <w:name w:val="Quote Char"/>
    <w:basedOn w:val="DefaultParagraphFont"/>
    <w:link w:val="Quote"/>
    <w:uiPriority w:val="29"/>
    <w:rsid w:val="00B35B85"/>
    <w:rPr>
      <w:i/>
      <w:iCs/>
      <w:color w:val="404040" w:themeColor="text1" w:themeTint="BF"/>
    </w:rPr>
  </w:style>
  <w:style w:type="paragraph" w:styleId="ListParagraph">
    <w:name w:val="List Paragraph"/>
    <w:basedOn w:val="Normal"/>
    <w:uiPriority w:val="34"/>
    <w:qFormat/>
    <w:rsid w:val="00B35B85"/>
    <w:pPr>
      <w:ind w:left="720"/>
      <w:contextualSpacing/>
    </w:pPr>
  </w:style>
  <w:style w:type="character" w:styleId="IntenseEmphasis">
    <w:name w:val="Intense Emphasis"/>
    <w:basedOn w:val="DefaultParagraphFont"/>
    <w:uiPriority w:val="21"/>
    <w:qFormat/>
    <w:rsid w:val="00B35B85"/>
    <w:rPr>
      <w:i/>
      <w:iCs/>
      <w:color w:val="0F4761" w:themeColor="accent1" w:themeShade="BF"/>
    </w:rPr>
  </w:style>
  <w:style w:type="paragraph" w:styleId="IntenseQuote">
    <w:name w:val="Intense Quote"/>
    <w:basedOn w:val="Normal"/>
    <w:next w:val="Normal"/>
    <w:link w:val="IntenseQuoteChar"/>
    <w:uiPriority w:val="30"/>
    <w:qFormat/>
    <w:rsid w:val="00B35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B85"/>
    <w:rPr>
      <w:i/>
      <w:iCs/>
      <w:color w:val="0F4761" w:themeColor="accent1" w:themeShade="BF"/>
    </w:rPr>
  </w:style>
  <w:style w:type="character" w:styleId="IntenseReference">
    <w:name w:val="Intense Reference"/>
    <w:basedOn w:val="DefaultParagraphFont"/>
    <w:uiPriority w:val="32"/>
    <w:qFormat/>
    <w:rsid w:val="00B35B85"/>
    <w:rPr>
      <w:b/>
      <w:bCs/>
      <w:smallCaps/>
      <w:color w:val="0F4761" w:themeColor="accent1" w:themeShade="BF"/>
      <w:spacing w:val="5"/>
    </w:rPr>
  </w:style>
  <w:style w:type="paragraph" w:customStyle="1" w:styleId="s3">
    <w:name w:val="s3"/>
    <w:basedOn w:val="Normal"/>
    <w:rsid w:val="00B35B8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35B85"/>
  </w:style>
  <w:style w:type="character" w:customStyle="1" w:styleId="s4">
    <w:name w:val="s4"/>
    <w:basedOn w:val="DefaultParagraphFont"/>
    <w:rsid w:val="00B35B85"/>
  </w:style>
  <w:style w:type="paragraph" w:customStyle="1" w:styleId="s7">
    <w:name w:val="s7"/>
    <w:basedOn w:val="Normal"/>
    <w:rsid w:val="00B35B85"/>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B35B85"/>
  </w:style>
  <w:style w:type="paragraph" w:styleId="NormalWeb">
    <w:name w:val="Normal (Web)"/>
    <w:basedOn w:val="Normal"/>
    <w:uiPriority w:val="99"/>
    <w:semiHidden/>
    <w:unhideWhenUsed/>
    <w:rsid w:val="00B35B85"/>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B35B85"/>
  </w:style>
  <w:style w:type="character" w:customStyle="1" w:styleId="apple-converted-space">
    <w:name w:val="apple-converted-space"/>
    <w:basedOn w:val="DefaultParagraphFont"/>
    <w:rsid w:val="00B35B85"/>
  </w:style>
  <w:style w:type="paragraph" w:customStyle="1" w:styleId="s11">
    <w:name w:val="s11"/>
    <w:basedOn w:val="Normal"/>
    <w:rsid w:val="00B35B85"/>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B35B85"/>
  </w:style>
  <w:style w:type="paragraph" w:customStyle="1" w:styleId="s12">
    <w:name w:val="s12"/>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28">
    <w:name w:val="s28"/>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35">
    <w:name w:val="s35"/>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36">
    <w:name w:val="s36"/>
    <w:basedOn w:val="Normal"/>
    <w:rsid w:val="00B35B85"/>
    <w:pPr>
      <w:spacing w:before="100" w:beforeAutospacing="1" w:after="100" w:afterAutospacing="1" w:line="240" w:lineRule="auto"/>
    </w:pPr>
    <w:rPr>
      <w:rFonts w:ascii="Times New Roman" w:hAnsi="Times New Roman" w:cs="Times New Roman"/>
      <w:kern w:val="0"/>
      <w14:ligatures w14:val="none"/>
    </w:rPr>
  </w:style>
  <w:style w:type="paragraph" w:customStyle="1" w:styleId="s37">
    <w:name w:val="s37"/>
    <w:basedOn w:val="Normal"/>
    <w:rsid w:val="00B35B8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jul/14/john-lewis-and-waitrose-owner-to-cut-1000-jobs-in-stores" TargetMode="External"/><Relationship Id="rId13" Type="http://schemas.openxmlformats.org/officeDocument/2006/relationships/hyperlink" Target="https://doi.org/10.18502/jebhpme.v8i3.18076" TargetMode="External"/><Relationship Id="rId18" Type="http://schemas.openxmlformats.org/officeDocument/2006/relationships/hyperlink" Target="https://doi.org/10.3389/fhumd.2026.1747642"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ebsco.com/research-starters/communication-and-mass-media/participatory-culture/" TargetMode="External"/><Relationship Id="rId7" Type="http://schemas.openxmlformats.org/officeDocument/2006/relationships/hyperlink" Target="https://doi.org/10.3390/admsci16080391" TargetMode="External"/><Relationship Id="rId12" Type="http://schemas.openxmlformats.org/officeDocument/2006/relationships/hyperlink" Target="https://doi.org/10.3390/ijerph191912373" TargetMode="External"/><Relationship Id="rId17" Type="http://schemas.openxmlformats.org/officeDocument/2006/relationships/hyperlink" Target="https://ieeexplore.ieee.org/document/10714605"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2binternational.com/2025/04/03/pestle-analysis/" TargetMode="External"/><Relationship Id="rId20" Type="http://schemas.openxmlformats.org/officeDocument/2006/relationships/hyperlink" Target="https://doi.org/10.56879/ijbm.v5i1.44" TargetMode="External"/><Relationship Id="rId1" Type="http://schemas.openxmlformats.org/officeDocument/2006/relationships/styles" Target="styles.xml"/><Relationship Id="rId6" Type="http://schemas.openxmlformats.org/officeDocument/2006/relationships/hyperlink" Target="https://doi.org/10.1061/jmenea.meeng-5672" TargetMode="External"/><Relationship Id="rId11" Type="http://schemas.openxmlformats.org/officeDocument/2006/relationships/hyperlink" Target="https://doi.org/10.2308/AJPT-2019-510" TargetMode="External"/><Relationship Id="rId24" Type="http://schemas.openxmlformats.org/officeDocument/2006/relationships/hyperlink" Target="https://doi.org/10.1371/journal.pone.0321485" TargetMode="External"/><Relationship Id="rId5" Type="http://schemas.openxmlformats.org/officeDocument/2006/relationships/hyperlink" Target="https://doi.org/10.63878/tvmjdg31" TargetMode="External"/><Relationship Id="rId15" Type="http://schemas.openxmlformats.org/officeDocument/2006/relationships/hyperlink" Target="https://doi.org/10.1080/09243453.2023.2190130" TargetMode="External"/><Relationship Id="rId23" Type="http://schemas.openxmlformats.org/officeDocument/2006/relationships/hyperlink" Target="https://doi.org/10.1016/j.frl.2024.105896" TargetMode="External"/><Relationship Id="rId10" Type="http://schemas.openxmlformats.org/officeDocument/2006/relationships/hyperlink" Target="https://doi.org/10.2196/51712" TargetMode="External"/><Relationship Id="rId19" Type="http://schemas.openxmlformats.org/officeDocument/2006/relationships/hyperlink" Target="https://www.questionpro.com/blog/a-swot-analysis-template-for-the-overwhelmed-marketer/" TargetMode="External"/><Relationship Id="rId4" Type="http://schemas.openxmlformats.org/officeDocument/2006/relationships/hyperlink" Target="https://doi.org/10.5539/ijbm.v8n2p95" TargetMode="External"/><Relationship Id="rId9" Type="http://schemas.openxmlformats.org/officeDocument/2006/relationships/hyperlink" Target="https://doi.org/10.2196/76854" TargetMode="External"/><Relationship Id="rId14" Type="http://schemas.openxmlformats.org/officeDocument/2006/relationships/hyperlink" Target="https://doi.org/10.1016/j.pacfin.2013.10.004" TargetMode="External"/><Relationship Id="rId22" Type="http://schemas.openxmlformats.org/officeDocument/2006/relationships/hyperlink" Target="https://blog.visual-paradigm.com/kotters-8-step-change-model-a-comprehensiv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5639</Words>
  <Characters>32144</Characters>
  <Application>Microsoft Office Word</Application>
  <DocSecurity>0</DocSecurity>
  <Lines>267</Lines>
  <Paragraphs>75</Paragraphs>
  <ScaleCrop>false</ScaleCrop>
  <Company/>
  <LinksUpToDate>false</LinksUpToDate>
  <CharactersWithSpaces>37708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thomas</dc:creator>
  <cp:keywords/>
  <dc:description/>
  <cp:lastModifiedBy>leah thomas</cp:lastModifiedBy>
  <cp:revision>2</cp:revision>
  <dcterms:created xsi:type="dcterms:W3CDTF">2026-10-18T18:02:00Z</dcterms:created>
  <dcterms:modified xsi:type="dcterms:W3CDTF">2026-10-18T18:02:00Z</dcterms:modified>
</cp:coreProperties>
</file>