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82295A" w14:textId="77777777" w:rsidR="00DB4A45" w:rsidRDefault="00DB4A45" w:rsidP="00DB4A45">
      <w:pPr>
        <w:spacing w:line="360" w:lineRule="auto"/>
        <w:jc w:val="center"/>
        <w:rPr>
          <w:rFonts w:ascii="Arial" w:hAnsi="Arial" w:cs="Arial"/>
          <w:sz w:val="40"/>
          <w:szCs w:val="40"/>
        </w:rPr>
      </w:pPr>
    </w:p>
    <w:p w14:paraId="5AA8F70E" w14:textId="77777777" w:rsidR="00DB4A45" w:rsidRDefault="00DB4A45" w:rsidP="00DB4A45">
      <w:pPr>
        <w:spacing w:line="360" w:lineRule="auto"/>
        <w:jc w:val="center"/>
        <w:rPr>
          <w:rFonts w:ascii="Arial" w:hAnsi="Arial" w:cs="Arial"/>
          <w:sz w:val="40"/>
          <w:szCs w:val="40"/>
        </w:rPr>
      </w:pPr>
    </w:p>
    <w:p w14:paraId="686305A2" w14:textId="0E793312" w:rsidR="00877115" w:rsidRPr="00DB4A45" w:rsidRDefault="00DB4A45" w:rsidP="00DB4A45">
      <w:pPr>
        <w:spacing w:line="360" w:lineRule="auto"/>
        <w:jc w:val="center"/>
        <w:rPr>
          <w:rFonts w:ascii="Arial" w:hAnsi="Arial" w:cs="Arial"/>
          <w:sz w:val="40"/>
          <w:szCs w:val="40"/>
        </w:rPr>
      </w:pPr>
      <w:r w:rsidRPr="00DB4A45">
        <w:rPr>
          <w:rFonts w:ascii="Arial" w:hAnsi="Arial" w:cs="Arial"/>
          <w:sz w:val="40"/>
          <w:szCs w:val="40"/>
        </w:rPr>
        <w:t>Stakeholder engagement portfolio:</w:t>
      </w:r>
    </w:p>
    <w:p w14:paraId="3045A051" w14:textId="0E0CDA68" w:rsidR="00DB4A45" w:rsidRDefault="00DB4A45" w:rsidP="00DB4A45">
      <w:pPr>
        <w:spacing w:line="360" w:lineRule="auto"/>
        <w:jc w:val="center"/>
        <w:rPr>
          <w:rFonts w:ascii="Arial" w:hAnsi="Arial" w:cs="Arial"/>
          <w:sz w:val="40"/>
          <w:szCs w:val="40"/>
        </w:rPr>
      </w:pPr>
      <w:r w:rsidRPr="00DB4A45">
        <w:rPr>
          <w:rFonts w:ascii="Arial" w:hAnsi="Arial" w:cs="Arial"/>
          <w:sz w:val="40"/>
          <w:szCs w:val="40"/>
        </w:rPr>
        <w:t>New Hope Worcester</w:t>
      </w:r>
    </w:p>
    <w:p w14:paraId="73A60C30" w14:textId="77777777" w:rsidR="00DB4A45" w:rsidRDefault="00DB4A45" w:rsidP="00DB4A45">
      <w:pPr>
        <w:spacing w:line="360" w:lineRule="auto"/>
        <w:jc w:val="center"/>
        <w:rPr>
          <w:rFonts w:ascii="Arial" w:hAnsi="Arial" w:cs="Arial"/>
          <w:sz w:val="40"/>
          <w:szCs w:val="40"/>
        </w:rPr>
      </w:pPr>
    </w:p>
    <w:p w14:paraId="486CE4CA" w14:textId="77777777" w:rsidR="00DB4A45" w:rsidRDefault="00DB4A45" w:rsidP="00DB4A45">
      <w:pPr>
        <w:spacing w:line="360" w:lineRule="auto"/>
        <w:jc w:val="center"/>
        <w:rPr>
          <w:rFonts w:ascii="Arial" w:hAnsi="Arial" w:cs="Arial"/>
          <w:sz w:val="40"/>
          <w:szCs w:val="40"/>
        </w:rPr>
      </w:pPr>
    </w:p>
    <w:p w14:paraId="4148DF8E" w14:textId="77777777" w:rsidR="00DB4A45" w:rsidRDefault="00DB4A45" w:rsidP="00DB4A45">
      <w:pPr>
        <w:spacing w:line="360" w:lineRule="auto"/>
        <w:jc w:val="center"/>
        <w:rPr>
          <w:rFonts w:ascii="Arial" w:hAnsi="Arial" w:cs="Arial"/>
          <w:sz w:val="40"/>
          <w:szCs w:val="40"/>
        </w:rPr>
      </w:pPr>
    </w:p>
    <w:p w14:paraId="78994BE0" w14:textId="77777777" w:rsidR="00DB4A45" w:rsidRDefault="00DB4A45" w:rsidP="00DB4A45">
      <w:pPr>
        <w:spacing w:line="360" w:lineRule="auto"/>
        <w:jc w:val="center"/>
        <w:rPr>
          <w:rFonts w:ascii="Arial" w:hAnsi="Arial" w:cs="Arial"/>
          <w:sz w:val="40"/>
          <w:szCs w:val="40"/>
        </w:rPr>
      </w:pPr>
    </w:p>
    <w:p w14:paraId="377C61DC" w14:textId="77777777" w:rsidR="00DB4A45" w:rsidRDefault="00DB4A45" w:rsidP="00DB4A45">
      <w:pPr>
        <w:spacing w:line="360" w:lineRule="auto"/>
        <w:jc w:val="center"/>
        <w:rPr>
          <w:rFonts w:ascii="Arial" w:hAnsi="Arial" w:cs="Arial"/>
          <w:sz w:val="40"/>
          <w:szCs w:val="40"/>
        </w:rPr>
      </w:pPr>
    </w:p>
    <w:p w14:paraId="096DD3C9" w14:textId="77777777" w:rsidR="00DB4A45" w:rsidRDefault="00DB4A45" w:rsidP="00DB4A45">
      <w:pPr>
        <w:spacing w:line="360" w:lineRule="auto"/>
        <w:jc w:val="center"/>
        <w:rPr>
          <w:rFonts w:ascii="Arial" w:hAnsi="Arial" w:cs="Arial"/>
          <w:sz w:val="40"/>
          <w:szCs w:val="40"/>
        </w:rPr>
      </w:pPr>
    </w:p>
    <w:p w14:paraId="3DD32F32" w14:textId="77777777" w:rsidR="00DB4A45" w:rsidRDefault="00DB4A45" w:rsidP="00DB4A45">
      <w:pPr>
        <w:spacing w:line="360" w:lineRule="auto"/>
        <w:jc w:val="center"/>
        <w:rPr>
          <w:rFonts w:ascii="Arial" w:hAnsi="Arial" w:cs="Arial"/>
          <w:sz w:val="40"/>
          <w:szCs w:val="40"/>
        </w:rPr>
      </w:pPr>
    </w:p>
    <w:p w14:paraId="0E07D4E3" w14:textId="77777777" w:rsidR="00DB4A45" w:rsidRPr="00DB4A45" w:rsidRDefault="00DB4A45" w:rsidP="00DB4A45">
      <w:pPr>
        <w:spacing w:line="360" w:lineRule="auto"/>
        <w:jc w:val="both"/>
        <w:rPr>
          <w:rFonts w:ascii="Arial" w:eastAsia="Aptos" w:hAnsi="Arial" w:cs="Arial"/>
        </w:rPr>
      </w:pPr>
      <w:r w:rsidRPr="00DB4A45">
        <w:rPr>
          <w:rFonts w:ascii="Arial" w:eastAsia="Aptos" w:hAnsi="Arial" w:cs="Arial"/>
        </w:rPr>
        <w:t>Student name: Miruna Roberta Dumitru</w:t>
      </w:r>
    </w:p>
    <w:p w14:paraId="5D7EBA84" w14:textId="77777777" w:rsidR="00DB4A45" w:rsidRPr="00DB4A45" w:rsidRDefault="00DB4A45" w:rsidP="00DB4A45">
      <w:pPr>
        <w:spacing w:line="360" w:lineRule="auto"/>
        <w:jc w:val="both"/>
        <w:rPr>
          <w:rFonts w:ascii="Arial" w:eastAsia="Aptos" w:hAnsi="Arial" w:cs="Arial"/>
        </w:rPr>
      </w:pPr>
      <w:r w:rsidRPr="00DB4A45">
        <w:rPr>
          <w:rFonts w:ascii="Arial" w:eastAsia="Aptos" w:hAnsi="Arial" w:cs="Arial"/>
        </w:rPr>
        <w:t>Student ID: 2437534</w:t>
      </w:r>
    </w:p>
    <w:p w14:paraId="61C640AE" w14:textId="1F1A670D" w:rsidR="00DB4A45" w:rsidRPr="00DB4A45" w:rsidRDefault="00DB4A45" w:rsidP="00DB4A45">
      <w:pPr>
        <w:spacing w:line="360" w:lineRule="auto"/>
        <w:jc w:val="both"/>
        <w:rPr>
          <w:rFonts w:ascii="Arial" w:eastAsia="Aptos" w:hAnsi="Arial" w:cs="Arial"/>
        </w:rPr>
      </w:pPr>
      <w:r w:rsidRPr="00DB4A45">
        <w:rPr>
          <w:rFonts w:ascii="Arial" w:eastAsia="Aptos" w:hAnsi="Arial" w:cs="Arial"/>
        </w:rPr>
        <w:t xml:space="preserve">Module name: </w:t>
      </w:r>
      <w:r w:rsidR="00BC4A87">
        <w:rPr>
          <w:rFonts w:ascii="Arial" w:eastAsia="Aptos" w:hAnsi="Arial" w:cs="Arial"/>
        </w:rPr>
        <w:t xml:space="preserve">Stakeholder engagement </w:t>
      </w:r>
    </w:p>
    <w:p w14:paraId="0DAC2E2D" w14:textId="3BCEC60F" w:rsidR="00DB4A45" w:rsidRPr="00DB4A45" w:rsidRDefault="00DB4A45" w:rsidP="00DB4A45">
      <w:pPr>
        <w:spacing w:line="360" w:lineRule="auto"/>
        <w:jc w:val="both"/>
        <w:rPr>
          <w:rFonts w:ascii="Arial" w:eastAsia="Aptos" w:hAnsi="Arial" w:cs="Arial"/>
        </w:rPr>
      </w:pPr>
      <w:r w:rsidRPr="00DB4A45">
        <w:rPr>
          <w:rFonts w:ascii="Arial" w:eastAsia="Aptos" w:hAnsi="Arial" w:cs="Arial"/>
        </w:rPr>
        <w:t xml:space="preserve">Module code: </w:t>
      </w:r>
      <w:r w:rsidR="00BC4A87">
        <w:rPr>
          <w:rFonts w:ascii="Arial" w:eastAsia="Aptos" w:hAnsi="Arial" w:cs="Arial"/>
        </w:rPr>
        <w:t>LCBB4013</w:t>
      </w:r>
    </w:p>
    <w:p w14:paraId="7DCCE278" w14:textId="77777777" w:rsidR="00DB4A45" w:rsidRDefault="00DB4A45" w:rsidP="00DB4A45">
      <w:pPr>
        <w:spacing w:line="360" w:lineRule="auto"/>
        <w:jc w:val="center"/>
        <w:rPr>
          <w:rFonts w:ascii="Arial" w:hAnsi="Arial" w:cs="Arial"/>
          <w:sz w:val="40"/>
          <w:szCs w:val="40"/>
        </w:rPr>
      </w:pPr>
    </w:p>
    <w:p w14:paraId="62F3FBD9" w14:textId="77777777" w:rsidR="00DB4A45" w:rsidRDefault="00DB4A45" w:rsidP="00DB4A45">
      <w:pPr>
        <w:spacing w:line="360" w:lineRule="auto"/>
        <w:jc w:val="center"/>
        <w:rPr>
          <w:rFonts w:ascii="Arial" w:hAnsi="Arial" w:cs="Arial"/>
          <w:sz w:val="40"/>
          <w:szCs w:val="40"/>
        </w:rPr>
      </w:pPr>
    </w:p>
    <w:p w14:paraId="4DF90B35" w14:textId="77777777" w:rsidR="00DB4A45" w:rsidRDefault="00DB4A45" w:rsidP="00DB4A45">
      <w:pPr>
        <w:spacing w:line="360" w:lineRule="auto"/>
        <w:jc w:val="center"/>
        <w:rPr>
          <w:rFonts w:ascii="Arial" w:hAnsi="Arial" w:cs="Arial"/>
          <w:sz w:val="40"/>
          <w:szCs w:val="40"/>
        </w:rPr>
      </w:pPr>
    </w:p>
    <w:sdt>
      <w:sdtPr>
        <w:rPr>
          <w:rFonts w:asciiTheme="minorHAnsi" w:eastAsiaTheme="minorHAnsi" w:hAnsiTheme="minorHAnsi" w:cstheme="minorBidi"/>
          <w:color w:val="auto"/>
          <w:kern w:val="2"/>
          <w:sz w:val="24"/>
          <w:szCs w:val="24"/>
          <w:lang w:eastAsia="en-US"/>
          <w14:ligatures w14:val="standardContextual"/>
        </w:rPr>
        <w:id w:val="1064608976"/>
        <w:docPartObj>
          <w:docPartGallery w:val="Table of Contents"/>
          <w:docPartUnique/>
        </w:docPartObj>
      </w:sdtPr>
      <w:sdtEndPr>
        <w:rPr>
          <w:b/>
          <w:bCs/>
        </w:rPr>
      </w:sdtEndPr>
      <w:sdtContent>
        <w:p w14:paraId="05D6B4B3" w14:textId="0F337093" w:rsidR="00DB4A45" w:rsidRDefault="00DB4A45">
          <w:pPr>
            <w:pStyle w:val="TOCHeading"/>
          </w:pPr>
          <w:r>
            <w:t>Contents</w:t>
          </w:r>
        </w:p>
        <w:p w14:paraId="5938D483" w14:textId="5D22B63D" w:rsidR="00BC4A87" w:rsidRDefault="00DB4A45">
          <w:pPr>
            <w:pStyle w:val="TOC1"/>
            <w:tabs>
              <w:tab w:val="right" w:leader="dot" w:pos="9016"/>
            </w:tabs>
            <w:rPr>
              <w:noProof/>
            </w:rPr>
          </w:pPr>
          <w:r>
            <w:fldChar w:fldCharType="begin"/>
          </w:r>
          <w:r>
            <w:instrText xml:space="preserve"> TOC \o "1-3" \h \z \u </w:instrText>
          </w:r>
          <w:r>
            <w:fldChar w:fldCharType="separate"/>
          </w:r>
          <w:hyperlink w:anchor="_Toc225423401" w:history="1">
            <w:r w:rsidR="00BC4A87" w:rsidRPr="004B6C87">
              <w:rPr>
                <w:rStyle w:val="Hyperlink"/>
                <w:rFonts w:ascii="Arial" w:eastAsia="Times New Roman" w:hAnsi="Arial" w:cs="Arial"/>
                <w:noProof/>
                <w:kern w:val="0"/>
                <w:lang w:eastAsia="en-GB"/>
                <w14:ligatures w14:val="none"/>
              </w:rPr>
              <w:t>Introduction</w:t>
            </w:r>
            <w:r w:rsidR="00BC4A87">
              <w:rPr>
                <w:noProof/>
                <w:webHidden/>
              </w:rPr>
              <w:tab/>
            </w:r>
            <w:r w:rsidR="00BC4A87">
              <w:rPr>
                <w:noProof/>
                <w:webHidden/>
              </w:rPr>
              <w:fldChar w:fldCharType="begin"/>
            </w:r>
            <w:r w:rsidR="00BC4A87">
              <w:rPr>
                <w:noProof/>
                <w:webHidden/>
              </w:rPr>
              <w:instrText xml:space="preserve"> PAGEREF _Toc225423401 \h </w:instrText>
            </w:r>
            <w:r w:rsidR="00BC4A87">
              <w:rPr>
                <w:noProof/>
                <w:webHidden/>
              </w:rPr>
            </w:r>
            <w:r w:rsidR="00BC4A87">
              <w:rPr>
                <w:noProof/>
                <w:webHidden/>
              </w:rPr>
              <w:fldChar w:fldCharType="separate"/>
            </w:r>
            <w:r w:rsidR="00BC4A87">
              <w:rPr>
                <w:noProof/>
                <w:webHidden/>
              </w:rPr>
              <w:t>3</w:t>
            </w:r>
            <w:r w:rsidR="00BC4A87">
              <w:rPr>
                <w:noProof/>
                <w:webHidden/>
              </w:rPr>
              <w:fldChar w:fldCharType="end"/>
            </w:r>
          </w:hyperlink>
        </w:p>
        <w:p w14:paraId="743D8545" w14:textId="402EFFBE" w:rsidR="00BC4A87" w:rsidRDefault="00BC4A87" w:rsidP="00BC4A87">
          <w:pPr>
            <w:pStyle w:val="TOC2"/>
            <w:tabs>
              <w:tab w:val="right" w:leader="dot" w:pos="9016"/>
            </w:tabs>
            <w:ind w:left="0"/>
            <w:rPr>
              <w:noProof/>
            </w:rPr>
          </w:pPr>
          <w:hyperlink w:anchor="_Toc225423402" w:history="1">
            <w:r w:rsidRPr="004B6C87">
              <w:rPr>
                <w:rStyle w:val="Hyperlink"/>
                <w:rFonts w:ascii="Arial" w:eastAsia="Times New Roman" w:hAnsi="Arial" w:cs="Arial"/>
                <w:noProof/>
                <w:kern w:val="0"/>
                <w:lang w:eastAsia="en-GB"/>
                <w14:ligatures w14:val="none"/>
              </w:rPr>
              <w:t>Depth of Analysis and Application to include Stakeholder Engagement Strategies</w:t>
            </w:r>
            <w:r>
              <w:rPr>
                <w:noProof/>
                <w:webHidden/>
              </w:rPr>
              <w:tab/>
            </w:r>
            <w:r>
              <w:rPr>
                <w:noProof/>
                <w:webHidden/>
              </w:rPr>
              <w:fldChar w:fldCharType="begin"/>
            </w:r>
            <w:r>
              <w:rPr>
                <w:noProof/>
                <w:webHidden/>
              </w:rPr>
              <w:instrText xml:space="preserve"> PAGEREF _Toc225423402 \h </w:instrText>
            </w:r>
            <w:r>
              <w:rPr>
                <w:noProof/>
                <w:webHidden/>
              </w:rPr>
            </w:r>
            <w:r>
              <w:rPr>
                <w:noProof/>
                <w:webHidden/>
              </w:rPr>
              <w:fldChar w:fldCharType="separate"/>
            </w:r>
            <w:r>
              <w:rPr>
                <w:noProof/>
                <w:webHidden/>
              </w:rPr>
              <w:t>4</w:t>
            </w:r>
            <w:r>
              <w:rPr>
                <w:noProof/>
                <w:webHidden/>
              </w:rPr>
              <w:fldChar w:fldCharType="end"/>
            </w:r>
          </w:hyperlink>
        </w:p>
        <w:p w14:paraId="772EA68B" w14:textId="71D6C45A" w:rsidR="00BC4A87" w:rsidRDefault="00BC4A87" w:rsidP="00BC4A87">
          <w:pPr>
            <w:pStyle w:val="TOC2"/>
            <w:tabs>
              <w:tab w:val="right" w:leader="dot" w:pos="9016"/>
            </w:tabs>
            <w:ind w:left="0"/>
            <w:rPr>
              <w:noProof/>
            </w:rPr>
          </w:pPr>
          <w:hyperlink w:anchor="_Toc225423403" w:history="1">
            <w:r w:rsidRPr="004B6C87">
              <w:rPr>
                <w:rStyle w:val="Hyperlink"/>
                <w:rFonts w:ascii="Arial" w:eastAsia="Times New Roman" w:hAnsi="Arial" w:cs="Arial"/>
                <w:noProof/>
                <w:kern w:val="0"/>
                <w:lang w:eastAsia="en-GB"/>
                <w14:ligatures w14:val="none"/>
              </w:rPr>
              <w:t>Ethical Consideration and Awareness, and Reflective Insight</w:t>
            </w:r>
            <w:r>
              <w:rPr>
                <w:noProof/>
                <w:webHidden/>
              </w:rPr>
              <w:tab/>
            </w:r>
            <w:r>
              <w:rPr>
                <w:noProof/>
                <w:webHidden/>
              </w:rPr>
              <w:fldChar w:fldCharType="begin"/>
            </w:r>
            <w:r>
              <w:rPr>
                <w:noProof/>
                <w:webHidden/>
              </w:rPr>
              <w:instrText xml:space="preserve"> PAGEREF _Toc225423403 \h </w:instrText>
            </w:r>
            <w:r>
              <w:rPr>
                <w:noProof/>
                <w:webHidden/>
              </w:rPr>
            </w:r>
            <w:r>
              <w:rPr>
                <w:noProof/>
                <w:webHidden/>
              </w:rPr>
              <w:fldChar w:fldCharType="separate"/>
            </w:r>
            <w:r>
              <w:rPr>
                <w:noProof/>
                <w:webHidden/>
              </w:rPr>
              <w:t>8</w:t>
            </w:r>
            <w:r>
              <w:rPr>
                <w:noProof/>
                <w:webHidden/>
              </w:rPr>
              <w:fldChar w:fldCharType="end"/>
            </w:r>
          </w:hyperlink>
        </w:p>
        <w:p w14:paraId="53B813B6" w14:textId="0F1FB294" w:rsidR="00BC4A87" w:rsidRDefault="00BC4A87" w:rsidP="00BC4A87">
          <w:pPr>
            <w:pStyle w:val="TOC3"/>
            <w:tabs>
              <w:tab w:val="right" w:leader="dot" w:pos="9016"/>
            </w:tabs>
            <w:ind w:left="0"/>
            <w:rPr>
              <w:noProof/>
            </w:rPr>
          </w:pPr>
          <w:hyperlink w:anchor="_Toc225423404" w:history="1">
            <w:r w:rsidRPr="004B6C87">
              <w:rPr>
                <w:rStyle w:val="Hyperlink"/>
                <w:rFonts w:ascii="Arial" w:eastAsia="Times New Roman" w:hAnsi="Arial" w:cs="Arial"/>
                <w:noProof/>
                <w:kern w:val="0"/>
                <w:lang w:eastAsia="en-GB"/>
                <w14:ligatures w14:val="none"/>
              </w:rPr>
              <w:t>Conclusion and Recommendations</w:t>
            </w:r>
            <w:r>
              <w:rPr>
                <w:noProof/>
                <w:webHidden/>
              </w:rPr>
              <w:tab/>
            </w:r>
            <w:r>
              <w:rPr>
                <w:noProof/>
                <w:webHidden/>
              </w:rPr>
              <w:fldChar w:fldCharType="begin"/>
            </w:r>
            <w:r>
              <w:rPr>
                <w:noProof/>
                <w:webHidden/>
              </w:rPr>
              <w:instrText xml:space="preserve"> PAGEREF _Toc225423404 \h </w:instrText>
            </w:r>
            <w:r>
              <w:rPr>
                <w:noProof/>
                <w:webHidden/>
              </w:rPr>
            </w:r>
            <w:r>
              <w:rPr>
                <w:noProof/>
                <w:webHidden/>
              </w:rPr>
              <w:fldChar w:fldCharType="separate"/>
            </w:r>
            <w:r>
              <w:rPr>
                <w:noProof/>
                <w:webHidden/>
              </w:rPr>
              <w:t>12</w:t>
            </w:r>
            <w:r>
              <w:rPr>
                <w:noProof/>
                <w:webHidden/>
              </w:rPr>
              <w:fldChar w:fldCharType="end"/>
            </w:r>
          </w:hyperlink>
        </w:p>
        <w:p w14:paraId="57D918A3" w14:textId="3BD01487" w:rsidR="00BC4A87" w:rsidRDefault="00BC4A87" w:rsidP="00BC4A87">
          <w:pPr>
            <w:pStyle w:val="TOC3"/>
            <w:tabs>
              <w:tab w:val="right" w:leader="dot" w:pos="9016"/>
            </w:tabs>
            <w:ind w:left="0"/>
            <w:rPr>
              <w:noProof/>
            </w:rPr>
          </w:pPr>
          <w:hyperlink w:anchor="_Toc225423405" w:history="1">
            <w:r w:rsidRPr="004B6C87">
              <w:rPr>
                <w:rStyle w:val="Hyperlink"/>
                <w:rFonts w:ascii="Arial" w:eastAsia="Times New Roman" w:hAnsi="Arial" w:cs="Arial"/>
                <w:noProof/>
                <w:kern w:val="0"/>
                <w:lang w:eastAsia="en-GB"/>
                <w14:ligatures w14:val="none"/>
              </w:rPr>
              <w:t>Reference</w:t>
            </w:r>
            <w:r>
              <w:rPr>
                <w:noProof/>
                <w:webHidden/>
              </w:rPr>
              <w:tab/>
            </w:r>
            <w:r>
              <w:rPr>
                <w:noProof/>
                <w:webHidden/>
              </w:rPr>
              <w:fldChar w:fldCharType="begin"/>
            </w:r>
            <w:r>
              <w:rPr>
                <w:noProof/>
                <w:webHidden/>
              </w:rPr>
              <w:instrText xml:space="preserve"> PAGEREF _Toc225423405 \h </w:instrText>
            </w:r>
            <w:r>
              <w:rPr>
                <w:noProof/>
                <w:webHidden/>
              </w:rPr>
            </w:r>
            <w:r>
              <w:rPr>
                <w:noProof/>
                <w:webHidden/>
              </w:rPr>
              <w:fldChar w:fldCharType="separate"/>
            </w:r>
            <w:r>
              <w:rPr>
                <w:noProof/>
                <w:webHidden/>
              </w:rPr>
              <w:t>13</w:t>
            </w:r>
            <w:r>
              <w:rPr>
                <w:noProof/>
                <w:webHidden/>
              </w:rPr>
              <w:fldChar w:fldCharType="end"/>
            </w:r>
          </w:hyperlink>
        </w:p>
        <w:p w14:paraId="18DEF452" w14:textId="3E931828" w:rsidR="00DB4A45" w:rsidRDefault="00DB4A45">
          <w:r>
            <w:rPr>
              <w:b/>
              <w:bCs/>
            </w:rPr>
            <w:fldChar w:fldCharType="end"/>
          </w:r>
        </w:p>
      </w:sdtContent>
    </w:sdt>
    <w:p w14:paraId="52ADC949" w14:textId="77777777" w:rsidR="00DB4A45" w:rsidRDefault="00DB4A45" w:rsidP="00DB4A45">
      <w:pPr>
        <w:spacing w:line="360" w:lineRule="auto"/>
        <w:jc w:val="center"/>
        <w:rPr>
          <w:rFonts w:ascii="Arial" w:hAnsi="Arial" w:cs="Arial"/>
          <w:sz w:val="40"/>
          <w:szCs w:val="40"/>
        </w:rPr>
      </w:pPr>
    </w:p>
    <w:p w14:paraId="198974C0" w14:textId="77777777" w:rsidR="00DB4A45" w:rsidRDefault="00DB4A45" w:rsidP="00DB4A45">
      <w:pPr>
        <w:spacing w:line="360" w:lineRule="auto"/>
        <w:jc w:val="center"/>
        <w:rPr>
          <w:rFonts w:ascii="Arial" w:hAnsi="Arial" w:cs="Arial"/>
          <w:sz w:val="40"/>
          <w:szCs w:val="40"/>
        </w:rPr>
      </w:pPr>
    </w:p>
    <w:p w14:paraId="35A9805D" w14:textId="77777777" w:rsidR="00DB4A45" w:rsidRDefault="00DB4A45" w:rsidP="00DB4A45">
      <w:pPr>
        <w:spacing w:line="360" w:lineRule="auto"/>
        <w:jc w:val="center"/>
        <w:rPr>
          <w:rFonts w:ascii="Arial" w:hAnsi="Arial" w:cs="Arial"/>
          <w:sz w:val="40"/>
          <w:szCs w:val="40"/>
        </w:rPr>
      </w:pPr>
    </w:p>
    <w:p w14:paraId="309F2F94" w14:textId="77777777" w:rsidR="00DB4A45" w:rsidRDefault="00DB4A45" w:rsidP="00DB4A45">
      <w:pPr>
        <w:spacing w:line="360" w:lineRule="auto"/>
        <w:jc w:val="center"/>
        <w:rPr>
          <w:rFonts w:ascii="Arial" w:hAnsi="Arial" w:cs="Arial"/>
          <w:sz w:val="40"/>
          <w:szCs w:val="40"/>
        </w:rPr>
      </w:pPr>
    </w:p>
    <w:p w14:paraId="6B071B77" w14:textId="77777777" w:rsidR="00DB4A45" w:rsidRDefault="00DB4A45" w:rsidP="00DB4A45">
      <w:pPr>
        <w:spacing w:line="360" w:lineRule="auto"/>
        <w:jc w:val="center"/>
        <w:rPr>
          <w:rFonts w:ascii="Arial" w:hAnsi="Arial" w:cs="Arial"/>
          <w:sz w:val="40"/>
          <w:szCs w:val="40"/>
        </w:rPr>
      </w:pPr>
    </w:p>
    <w:p w14:paraId="72756A78" w14:textId="77777777" w:rsidR="00DB4A45" w:rsidRDefault="00DB4A45" w:rsidP="00DB4A45">
      <w:pPr>
        <w:spacing w:line="360" w:lineRule="auto"/>
        <w:jc w:val="center"/>
        <w:rPr>
          <w:rFonts w:ascii="Arial" w:hAnsi="Arial" w:cs="Arial"/>
          <w:sz w:val="40"/>
          <w:szCs w:val="40"/>
        </w:rPr>
      </w:pPr>
    </w:p>
    <w:p w14:paraId="30A83DB9" w14:textId="77777777" w:rsidR="00DB4A45" w:rsidRDefault="00DB4A45" w:rsidP="00DB4A45">
      <w:pPr>
        <w:spacing w:line="360" w:lineRule="auto"/>
        <w:jc w:val="center"/>
        <w:rPr>
          <w:rFonts w:ascii="Arial" w:hAnsi="Arial" w:cs="Arial"/>
          <w:sz w:val="40"/>
          <w:szCs w:val="40"/>
        </w:rPr>
      </w:pPr>
    </w:p>
    <w:p w14:paraId="6B180605" w14:textId="77777777" w:rsidR="00DB4A45" w:rsidRDefault="00DB4A45" w:rsidP="00DB4A45">
      <w:pPr>
        <w:spacing w:line="360" w:lineRule="auto"/>
        <w:jc w:val="center"/>
        <w:rPr>
          <w:rFonts w:ascii="Arial" w:hAnsi="Arial" w:cs="Arial"/>
          <w:sz w:val="40"/>
          <w:szCs w:val="40"/>
        </w:rPr>
      </w:pPr>
    </w:p>
    <w:p w14:paraId="43DFFE1F" w14:textId="77777777" w:rsidR="00DB4A45" w:rsidRDefault="00DB4A45" w:rsidP="00DB4A45">
      <w:pPr>
        <w:spacing w:line="360" w:lineRule="auto"/>
        <w:jc w:val="center"/>
        <w:rPr>
          <w:rFonts w:ascii="Arial" w:hAnsi="Arial" w:cs="Arial"/>
          <w:sz w:val="40"/>
          <w:szCs w:val="40"/>
        </w:rPr>
      </w:pPr>
    </w:p>
    <w:p w14:paraId="3370F637" w14:textId="77777777" w:rsidR="00DB4A45" w:rsidRDefault="00DB4A45" w:rsidP="00DB4A45">
      <w:pPr>
        <w:spacing w:line="360" w:lineRule="auto"/>
        <w:jc w:val="center"/>
        <w:rPr>
          <w:rFonts w:ascii="Arial" w:hAnsi="Arial" w:cs="Arial"/>
          <w:sz w:val="40"/>
          <w:szCs w:val="40"/>
        </w:rPr>
      </w:pPr>
    </w:p>
    <w:p w14:paraId="64D15602" w14:textId="77777777" w:rsidR="00DB4A45" w:rsidRDefault="00DB4A45" w:rsidP="00DB4A45">
      <w:pPr>
        <w:spacing w:line="360" w:lineRule="auto"/>
        <w:jc w:val="center"/>
        <w:rPr>
          <w:rFonts w:ascii="Arial" w:hAnsi="Arial" w:cs="Arial"/>
          <w:sz w:val="40"/>
          <w:szCs w:val="40"/>
        </w:rPr>
      </w:pPr>
    </w:p>
    <w:p w14:paraId="14DEF98C" w14:textId="73DF81EA" w:rsidR="006B25C4" w:rsidRPr="006B25C4" w:rsidRDefault="006B25C4" w:rsidP="00BC4A87">
      <w:pPr>
        <w:pStyle w:val="Heading1"/>
        <w:rPr>
          <w:rFonts w:ascii="Arial" w:eastAsia="Times New Roman" w:hAnsi="Arial" w:cs="Arial"/>
          <w:kern w:val="0"/>
          <w:sz w:val="28"/>
          <w:szCs w:val="28"/>
          <w:lang w:eastAsia="en-GB"/>
          <w14:ligatures w14:val="none"/>
        </w:rPr>
      </w:pPr>
      <w:bookmarkStart w:id="0" w:name="_Toc225423401"/>
      <w:r w:rsidRPr="006B25C4">
        <w:rPr>
          <w:rFonts w:ascii="Arial" w:eastAsia="Times New Roman" w:hAnsi="Arial" w:cs="Arial"/>
          <w:kern w:val="0"/>
          <w:sz w:val="28"/>
          <w:szCs w:val="28"/>
          <w:lang w:eastAsia="en-GB"/>
          <w14:ligatures w14:val="none"/>
        </w:rPr>
        <w:lastRenderedPageBreak/>
        <w:t>Introduction</w:t>
      </w:r>
      <w:bookmarkEnd w:id="0"/>
    </w:p>
    <w:p w14:paraId="49183013" w14:textId="0301ABB3"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 xml:space="preserve">Stakeholder management is a central concern in organisations that operate through collaboration, trust and shared social purpose. Freeman (1984) </w:t>
      </w:r>
      <w:r w:rsidR="00775B3C">
        <w:rPr>
          <w:rFonts w:ascii="Arial" w:eastAsia="Times New Roman" w:hAnsi="Arial" w:cs="Arial"/>
          <w:kern w:val="0"/>
          <w:lang w:eastAsia="en-GB"/>
          <w14:ligatures w14:val="none"/>
        </w:rPr>
        <w:t>describes stakeholders as any individuals or groups that have the ability to influence an organisation’s goals or are impacted by them</w:t>
      </w:r>
      <w:r w:rsidRPr="006B25C4">
        <w:rPr>
          <w:rFonts w:ascii="Arial" w:eastAsia="Times New Roman" w:hAnsi="Arial" w:cs="Arial"/>
          <w:kern w:val="0"/>
          <w:lang w:eastAsia="en-GB"/>
          <w14:ligatures w14:val="none"/>
        </w:rPr>
        <w:t>, which is especially relevant in charities where success depends on legitimacy as well as internal efficiency. In community organisations, stakeholder engagement shapes access to resources, influences service quality and affects long-term sustainability. Stakeholder management is therefore relational and ethical because organisations must respond to needs, expectations and power differences across groups.</w:t>
      </w:r>
    </w:p>
    <w:p w14:paraId="3FF915EE" w14:textId="0B969B4B"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 xml:space="preserve">This portfolio examines New Hope Worcester, a local charity and community-based provider supporting children and young </w:t>
      </w:r>
      <w:r w:rsidR="00775B3C">
        <w:rPr>
          <w:rFonts w:ascii="Arial" w:eastAsia="Times New Roman" w:hAnsi="Arial" w:cs="Arial"/>
          <w:kern w:val="0"/>
          <w:lang w:eastAsia="en-GB"/>
          <w14:ligatures w14:val="none"/>
        </w:rPr>
        <w:t>individuals</w:t>
      </w:r>
      <w:r w:rsidRPr="006B25C4">
        <w:rPr>
          <w:rFonts w:ascii="Arial" w:eastAsia="Times New Roman" w:hAnsi="Arial" w:cs="Arial"/>
          <w:kern w:val="0"/>
          <w:lang w:eastAsia="en-GB"/>
          <w14:ligatures w14:val="none"/>
        </w:rPr>
        <w:t xml:space="preserve"> with disabilities </w:t>
      </w:r>
      <w:r w:rsidR="00775B3C">
        <w:rPr>
          <w:rFonts w:ascii="Arial" w:eastAsia="Times New Roman" w:hAnsi="Arial" w:cs="Arial"/>
          <w:kern w:val="0"/>
          <w:lang w:eastAsia="en-GB"/>
          <w14:ligatures w14:val="none"/>
        </w:rPr>
        <w:t>along with their</w:t>
      </w:r>
      <w:r w:rsidRPr="006B25C4">
        <w:rPr>
          <w:rFonts w:ascii="Arial" w:eastAsia="Times New Roman" w:hAnsi="Arial" w:cs="Arial"/>
          <w:kern w:val="0"/>
          <w:lang w:eastAsia="en-GB"/>
          <w14:ligatures w14:val="none"/>
        </w:rPr>
        <w:t xml:space="preserve"> families. Official information from the charity states that New Hope</w:t>
      </w:r>
      <w:r w:rsidR="00775B3C">
        <w:rPr>
          <w:rFonts w:ascii="Arial" w:eastAsia="Times New Roman" w:hAnsi="Arial" w:cs="Arial"/>
          <w:kern w:val="0"/>
          <w:lang w:eastAsia="en-GB"/>
          <w14:ligatures w14:val="none"/>
        </w:rPr>
        <w:t xml:space="preserve"> seeks to create a supportive, secure and engaging environment where children are able to play, learn and grow</w:t>
      </w:r>
      <w:r w:rsidRPr="006B25C4">
        <w:rPr>
          <w:rFonts w:ascii="Arial" w:eastAsia="Times New Roman" w:hAnsi="Arial" w:cs="Arial"/>
          <w:kern w:val="0"/>
          <w:lang w:eastAsia="en-GB"/>
          <w14:ligatures w14:val="none"/>
        </w:rPr>
        <w:t xml:space="preserve">, while its wider service offer includes Saturday clubs and holiday clubs designed as short-break provision for families (New Hope Worcester, n.d.). Worcestershire County Council identifies New Hope within its SEND local offer as a short-break service with facilities such as a sensory room, soft play and a programme of activities including arts, gardening, themed days and independent living skills (Worcestershire County Council, n.d.). The charity register further shows that New Hope Worcestershire is an established registered charity working with </w:t>
      </w:r>
      <w:r w:rsidR="00775B3C">
        <w:rPr>
          <w:rFonts w:ascii="Arial" w:eastAsia="Times New Roman" w:hAnsi="Arial" w:cs="Arial"/>
          <w:kern w:val="0"/>
          <w:lang w:eastAsia="en-GB"/>
          <w14:ligatures w14:val="none"/>
        </w:rPr>
        <w:t>young people and children who have disabilities</w:t>
      </w:r>
      <w:r w:rsidRPr="006B25C4">
        <w:rPr>
          <w:rFonts w:ascii="Arial" w:eastAsia="Times New Roman" w:hAnsi="Arial" w:cs="Arial"/>
          <w:kern w:val="0"/>
          <w:lang w:eastAsia="en-GB"/>
          <w14:ligatures w14:val="none"/>
        </w:rPr>
        <w:t xml:space="preserve"> in Worcestershire and neighbouring counties (Charity Commission, n.d.).</w:t>
      </w:r>
    </w:p>
    <w:p w14:paraId="2CB7EDB0" w14:textId="77777777" w:rsidR="00BC4A87" w:rsidRDefault="00BC4A87" w:rsidP="00BC4A87">
      <w:pPr>
        <w:spacing w:before="100" w:beforeAutospacing="1" w:after="100" w:afterAutospacing="1" w:line="360" w:lineRule="auto"/>
        <w:jc w:val="both"/>
        <w:rPr>
          <w:rFonts w:ascii="Arial" w:eastAsia="Times New Roman" w:hAnsi="Arial" w:cs="Arial"/>
          <w:kern w:val="0"/>
          <w:lang w:eastAsia="en-GB"/>
          <w14:ligatures w14:val="none"/>
        </w:rPr>
      </w:pPr>
    </w:p>
    <w:p w14:paraId="04876ADD" w14:textId="77777777" w:rsidR="00BC4A87" w:rsidRDefault="00BC4A87" w:rsidP="00BC4A87">
      <w:pPr>
        <w:spacing w:before="100" w:beforeAutospacing="1" w:after="100" w:afterAutospacing="1" w:line="360" w:lineRule="auto"/>
        <w:jc w:val="both"/>
        <w:rPr>
          <w:rFonts w:ascii="Arial" w:eastAsia="Times New Roman" w:hAnsi="Arial" w:cs="Arial"/>
          <w:kern w:val="0"/>
          <w:lang w:eastAsia="en-GB"/>
          <w14:ligatures w14:val="none"/>
        </w:rPr>
      </w:pPr>
    </w:p>
    <w:p w14:paraId="67C4D65A" w14:textId="77777777" w:rsidR="00BC4A87" w:rsidRDefault="00BC4A87" w:rsidP="00BC4A87">
      <w:pPr>
        <w:spacing w:before="100" w:beforeAutospacing="1" w:after="100" w:afterAutospacing="1" w:line="360" w:lineRule="auto"/>
        <w:jc w:val="both"/>
        <w:rPr>
          <w:rFonts w:ascii="Arial" w:eastAsia="Times New Roman" w:hAnsi="Arial" w:cs="Arial"/>
          <w:kern w:val="0"/>
          <w:lang w:eastAsia="en-GB"/>
          <w14:ligatures w14:val="none"/>
        </w:rPr>
      </w:pPr>
    </w:p>
    <w:p w14:paraId="2A7DE3E5" w14:textId="77777777" w:rsidR="008A0154" w:rsidRDefault="008A0154" w:rsidP="00BC4A87">
      <w:pPr>
        <w:spacing w:before="100" w:beforeAutospacing="1" w:after="100" w:afterAutospacing="1" w:line="360" w:lineRule="auto"/>
        <w:jc w:val="both"/>
        <w:rPr>
          <w:rFonts w:ascii="Arial" w:eastAsia="Times New Roman" w:hAnsi="Arial" w:cs="Arial"/>
          <w:kern w:val="0"/>
          <w:lang w:eastAsia="en-GB"/>
          <w14:ligatures w14:val="none"/>
        </w:rPr>
      </w:pPr>
    </w:p>
    <w:p w14:paraId="77D05EBF" w14:textId="5A1B637F" w:rsidR="006B25C4" w:rsidRPr="006B25C4" w:rsidRDefault="006B25C4" w:rsidP="00BC4A87">
      <w:pPr>
        <w:pStyle w:val="Heading2"/>
        <w:rPr>
          <w:rFonts w:ascii="Arial" w:eastAsia="Times New Roman" w:hAnsi="Arial" w:cs="Arial"/>
          <w:kern w:val="0"/>
          <w:sz w:val="28"/>
          <w:szCs w:val="28"/>
          <w:lang w:eastAsia="en-GB"/>
          <w14:ligatures w14:val="none"/>
        </w:rPr>
      </w:pPr>
      <w:bookmarkStart w:id="1" w:name="_Toc225423402"/>
      <w:r w:rsidRPr="006B25C4">
        <w:rPr>
          <w:rFonts w:ascii="Arial" w:eastAsia="Times New Roman" w:hAnsi="Arial" w:cs="Arial"/>
          <w:kern w:val="0"/>
          <w:sz w:val="28"/>
          <w:szCs w:val="28"/>
          <w:lang w:eastAsia="en-GB"/>
          <w14:ligatures w14:val="none"/>
        </w:rPr>
        <w:lastRenderedPageBreak/>
        <w:t>Depth of Analysis and Application to include Stakeholder Engagement Strategies</w:t>
      </w:r>
      <w:bookmarkEnd w:id="1"/>
    </w:p>
    <w:p w14:paraId="0FCFC6A4" w14:textId="563A0F9D"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New Hope Worcester is a useful case for stakeholder analysis because it sits at the intersection of community need, public policy, charity governance and practical service delivery. The project emerged from local need.</w:t>
      </w:r>
      <w:r w:rsidR="000F7FCA">
        <w:rPr>
          <w:rFonts w:ascii="Arial" w:eastAsia="Times New Roman" w:hAnsi="Arial" w:cs="Arial"/>
          <w:kern w:val="0"/>
          <w:lang w:eastAsia="en-GB"/>
          <w14:ligatures w14:val="none"/>
        </w:rPr>
        <w:t xml:space="preserve"> The</w:t>
      </w:r>
      <w:r w:rsidRPr="006B25C4">
        <w:rPr>
          <w:rFonts w:ascii="Arial" w:eastAsia="Times New Roman" w:hAnsi="Arial" w:cs="Arial"/>
          <w:kern w:val="0"/>
          <w:lang w:eastAsia="en-GB"/>
          <w14:ligatures w14:val="none"/>
        </w:rPr>
        <w:t xml:space="preserve"> New Hope began in July 2010 with local support and that a linked charity was established in 2012 to raise funds (New Hope Worcester, n.d.). This </w:t>
      </w:r>
      <w:r w:rsidR="000F7FCA">
        <w:rPr>
          <w:rFonts w:ascii="Arial" w:eastAsia="Times New Roman" w:hAnsi="Arial" w:cs="Arial"/>
          <w:kern w:val="0"/>
          <w:lang w:eastAsia="en-GB"/>
          <w14:ligatures w14:val="none"/>
        </w:rPr>
        <w:t>shows that</w:t>
      </w:r>
      <w:r w:rsidRPr="006B25C4">
        <w:rPr>
          <w:rFonts w:ascii="Arial" w:eastAsia="Times New Roman" w:hAnsi="Arial" w:cs="Arial"/>
          <w:kern w:val="0"/>
          <w:lang w:eastAsia="en-GB"/>
          <w14:ligatures w14:val="none"/>
        </w:rPr>
        <w:t xml:space="preserve"> stakeholder engagement was not added later as a management process; it was present from the start as the foundation of the project itself.</w:t>
      </w:r>
    </w:p>
    <w:p w14:paraId="310441CB" w14:textId="2D162CEF"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Following Johnson, Scholes and Whittington (2017), stakeholders can be mapped according to power and interest. In New Hope Worcester, the first and most important stakeholder group is children and young people with disabilities who use the service. They have very high interest because the project directly affects their wellbeing, development and social inclusion</w:t>
      </w:r>
      <w:r w:rsidR="006C6E04">
        <w:rPr>
          <w:rFonts w:ascii="Arial" w:eastAsia="Times New Roman" w:hAnsi="Arial" w:cs="Arial"/>
          <w:kern w:val="0"/>
          <w:lang w:eastAsia="en-GB"/>
          <w14:ligatures w14:val="none"/>
        </w:rPr>
        <w:t>, but t</w:t>
      </w:r>
      <w:r w:rsidRPr="006B25C4">
        <w:rPr>
          <w:rFonts w:ascii="Arial" w:eastAsia="Times New Roman" w:hAnsi="Arial" w:cs="Arial"/>
          <w:kern w:val="0"/>
          <w:lang w:eastAsia="en-GB"/>
          <w14:ligatures w14:val="none"/>
        </w:rPr>
        <w:t xml:space="preserve">heir direct formal power is limited because they do not control funding or governance. However, a narrow reading of power would underestimate their real importance. Mitchell, Agle and Wood (1997) </w:t>
      </w:r>
      <w:r w:rsidR="00775B3C">
        <w:rPr>
          <w:rFonts w:ascii="Arial" w:eastAsia="Times New Roman" w:hAnsi="Arial" w:cs="Arial"/>
          <w:kern w:val="0"/>
          <w:lang w:eastAsia="en-GB"/>
          <w14:ligatures w14:val="none"/>
        </w:rPr>
        <w:t>suggest that stakeholder importance is also influenced by factors such as legitimacy and urgency</w:t>
      </w:r>
      <w:r w:rsidRPr="006B25C4">
        <w:rPr>
          <w:rFonts w:ascii="Arial" w:eastAsia="Times New Roman" w:hAnsi="Arial" w:cs="Arial"/>
          <w:kern w:val="0"/>
          <w:lang w:eastAsia="en-GB"/>
          <w14:ligatures w14:val="none"/>
        </w:rPr>
        <w:t>. On that basis, the children are highly salient because the charity exists for them and their needs are immediate.</w:t>
      </w:r>
    </w:p>
    <w:p w14:paraId="0B5CD5C7" w14:textId="23369404"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 xml:space="preserve">A second critical stakeholder group is parents and carers. They are also high-interest stakeholders and hold more influence than the children because they make referrals, provide feedback, consent to participation and shape the organisation’s reputation. New Hope’s mission statement says families may self-refer and that the organisation </w:t>
      </w:r>
      <w:r w:rsidR="00775B3C">
        <w:rPr>
          <w:rFonts w:ascii="Arial" w:eastAsia="Times New Roman" w:hAnsi="Arial" w:cs="Arial"/>
          <w:kern w:val="0"/>
          <w:lang w:eastAsia="en-GB"/>
          <w14:ligatures w14:val="none"/>
        </w:rPr>
        <w:t>seeks to provide children, parents and carers with the number of days per week that best meets their needs</w:t>
      </w:r>
      <w:r w:rsidRPr="006B25C4">
        <w:rPr>
          <w:rFonts w:ascii="Arial" w:eastAsia="Times New Roman" w:hAnsi="Arial" w:cs="Arial"/>
          <w:kern w:val="0"/>
          <w:lang w:eastAsia="en-GB"/>
          <w14:ligatures w14:val="none"/>
        </w:rPr>
        <w:t>, showing that parental needs are built into service design (New Hope Worcester, n.d.). Parents therefore belong in the keep-informed and, at times, manage-closely categories. They are not simply recipients of information; they are co-producers of value because the effectiveness of respite and activity provision depends on trust, communication and responsiveness.</w:t>
      </w:r>
    </w:p>
    <w:p w14:paraId="0381DC48" w14:textId="70F171D4"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 xml:space="preserve">A third stakeholder group is trustees and managers. These actors have high power and high interest because they shape governance, strategy, safeguarding and </w:t>
      </w:r>
      <w:r w:rsidRPr="006B25C4">
        <w:rPr>
          <w:rFonts w:ascii="Arial" w:eastAsia="Times New Roman" w:hAnsi="Arial" w:cs="Arial"/>
          <w:kern w:val="0"/>
          <w:lang w:eastAsia="en-GB"/>
          <w14:ligatures w14:val="none"/>
        </w:rPr>
        <w:lastRenderedPageBreak/>
        <w:t>financial oversight. The Charity Commission register records five trustees and confirms that no trustees receive remuneration, which reinforces the charity’s voluntary governance structure (Charity Commission, n.</w:t>
      </w:r>
      <w:r w:rsidR="00A50E13">
        <w:rPr>
          <w:rFonts w:ascii="Arial" w:eastAsia="Times New Roman" w:hAnsi="Arial" w:cs="Arial"/>
          <w:kern w:val="0"/>
          <w:lang w:eastAsia="en-GB"/>
          <w14:ligatures w14:val="none"/>
        </w:rPr>
        <w:t>d.</w:t>
      </w:r>
      <w:r w:rsidRPr="006B25C4">
        <w:rPr>
          <w:rFonts w:ascii="Arial" w:eastAsia="Times New Roman" w:hAnsi="Arial" w:cs="Arial"/>
          <w:kern w:val="0"/>
          <w:lang w:eastAsia="en-GB"/>
          <w14:ligatures w14:val="none"/>
        </w:rPr>
        <w:t>). Trustees are central in balancing mission and sustainability. They must ensure compliance, monitor risk and make difficult choices when stakeholder demands exceed available resources.</w:t>
      </w:r>
    </w:p>
    <w:p w14:paraId="27EC7758" w14:textId="7E4702AE"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A fourth group consists of staff and volunteers. They are indispensable because they deliver care, supervise activities and maintain family relationships. The Charity Commission reports that the charity has volunteers as part of its current people profile, while the governance page highlights policies relating to volunteer management and safeguarding vulnerable beneficiaries (Charity Commission, n.d.). Their power is moderate, but their practical influence is substantial. If staff capability, morale or volunteer availability decline, service quality will fall immediately. They are therefore important internal stakeholders whose commitment underpins the project’s effectiveness.</w:t>
      </w:r>
    </w:p>
    <w:p w14:paraId="35AB45DC" w14:textId="77777777"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A fifth group includes funders and donors. These stakeholders have high power because the charity’s resource base is relatively limited. Charity Commission financial data for the year ending 31 May 2024 records income of £56,436 and expenditure of £55,812, which suggests that financial resilience is important and that even moderate funding changes may affect operations materially (Charity Commission, n.d.). Donors, grant-makers and local supporters may not be involved in daily delivery, but they affect the scale, continuity and quality of provision. Their engagement must therefore be purposeful, evidence-based and trust-building.</w:t>
      </w:r>
    </w:p>
    <w:p w14:paraId="06A3C910" w14:textId="515A7A96"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 xml:space="preserve">A sixth stakeholder group is local authorities and regulatory bodies. Worcestershire County Council lists New Hope in the local SEND </w:t>
      </w:r>
      <w:r w:rsidR="00680F65" w:rsidRPr="006B25C4">
        <w:rPr>
          <w:rFonts w:ascii="Arial" w:eastAsia="Times New Roman" w:hAnsi="Arial" w:cs="Arial"/>
          <w:kern w:val="0"/>
          <w:lang w:eastAsia="en-GB"/>
          <w14:ligatures w14:val="none"/>
        </w:rPr>
        <w:t>short break</w:t>
      </w:r>
      <w:r w:rsidRPr="006B25C4">
        <w:rPr>
          <w:rFonts w:ascii="Arial" w:eastAsia="Times New Roman" w:hAnsi="Arial" w:cs="Arial"/>
          <w:kern w:val="0"/>
          <w:lang w:eastAsia="en-GB"/>
          <w14:ligatures w14:val="none"/>
        </w:rPr>
        <w:t xml:space="preserve"> offer, and national guidance from the Department for Education frames short breaks as a service intended to improve the welfare of disabled children and support families (Worcestershire County Council, n.d.; Department for Education, 2010). In addition, the Charity Commission governance page indicates that Ofsted is another regulator relevant to the charity (Charity Commission, n.d.). These bodies hold high power because they shape standards, legitimacy and policy context. Their interest may vary, but their decisions affect referrals, compliance demands and the wider operating environment.</w:t>
      </w:r>
    </w:p>
    <w:p w14:paraId="546530DF" w14:textId="58EA0667"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lastRenderedPageBreak/>
        <w:t>The final significant stakeholder group is the wider local community, including schools, partner organisations, businesses and local media. Their formal power may be low to moderate, yet they influence awareness, fundraising and social legitimacy. New Hope’s history page shows that early support came from community organisations and donors, while the charity’s ongoing public-facing identity continues to depend on local goodwill (New Hope Worcester, n.d.).</w:t>
      </w:r>
    </w:p>
    <w:p w14:paraId="4910AE7B" w14:textId="132662D6"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 xml:space="preserve">In terms of engagement strategies, New Hope Worcester appears to use a mixture of relational, participative and formal methods. With children and families, engagement is likely to be direct, personal and continuous. This is appropriate because services for disabled children require sensitivity to individual needs, routines and communication differences. The mission statement emphasises respect for </w:t>
      </w:r>
      <w:r w:rsidR="00775B3C">
        <w:rPr>
          <w:rFonts w:ascii="Arial" w:eastAsia="Times New Roman" w:hAnsi="Arial" w:cs="Arial"/>
          <w:kern w:val="0"/>
          <w:lang w:eastAsia="en-GB"/>
          <w14:ligatures w14:val="none"/>
        </w:rPr>
        <w:t>each child as a unique individual, irrespective of their gender, cultural background or level of ability</w:t>
      </w:r>
      <w:r w:rsidRPr="006B25C4">
        <w:rPr>
          <w:rFonts w:ascii="Arial" w:eastAsia="Times New Roman" w:hAnsi="Arial" w:cs="Arial"/>
          <w:kern w:val="0"/>
          <w:lang w:eastAsia="en-GB"/>
          <w14:ligatures w14:val="none"/>
        </w:rPr>
        <w:t>, and this indicates a personalised rather than standardised approach (New Hope Worcester, n.d.). This strategy strengthens trust and allows services to adapt, but it is time-intensive and dependent on staff capability.</w:t>
      </w:r>
    </w:p>
    <w:p w14:paraId="20028BDD" w14:textId="77FA3DD6"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With parents and carers, effective channels are likely to include face-to-face discussion, phone calls, messaging, consent forms, updates on activities and feedback conversations. These channels are effective because they support reassurance and quick problem solving. However, challenges may arise where expectations differ. Some parents may seek more sessions than the organisation can provide, while others may have highly specific preferences around care, behaviour support or safety. This can create tension between responsiveness and capacity.</w:t>
      </w:r>
    </w:p>
    <w:p w14:paraId="1CBC5556" w14:textId="77777777"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With trustees, funders and regulators, the communication style must be more formal. Reports, impact summaries, safeguarding records, financial statements and policy documents are the most effective channels because these stakeholders are interested in accountability and evidence. Bourne (2015) argues that high-power stakeholders need clear, tailored communication that aligns interests and expectations. For New Hope Worcester, this means demonstrating both mission impact and sound management. A major challenge is that funders often prefer measurable outcomes, while much of the charity’s value lies in relational outcomes such as confidence, relief and inclusion, which are harder to quantify.</w:t>
      </w:r>
    </w:p>
    <w:p w14:paraId="002272A1" w14:textId="6392C9E5"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lastRenderedPageBreak/>
        <w:t xml:space="preserve">Volunteer engagement requires a different strategy again. Volunteers need recruitment, induction, support, recognition and a sense of purpose. Hager and Brudney (2011) note that volunteer retention is strongly linked to management quality and role clarity. In New Hope Worcester, volunteer engagement is likely to work best through supportive supervision, appreciation and inclusion in the mission. The challenge is that volunteers may have </w:t>
      </w:r>
      <w:r w:rsidR="00680F65" w:rsidRPr="006B25C4">
        <w:rPr>
          <w:rFonts w:ascii="Arial" w:eastAsia="Times New Roman" w:hAnsi="Arial" w:cs="Arial"/>
          <w:kern w:val="0"/>
          <w:lang w:eastAsia="en-GB"/>
          <w14:ligatures w14:val="none"/>
        </w:rPr>
        <w:t>changed</w:t>
      </w:r>
      <w:r w:rsidRPr="006B25C4">
        <w:rPr>
          <w:rFonts w:ascii="Arial" w:eastAsia="Times New Roman" w:hAnsi="Arial" w:cs="Arial"/>
          <w:kern w:val="0"/>
          <w:lang w:eastAsia="en-GB"/>
          <w14:ligatures w14:val="none"/>
        </w:rPr>
        <w:t xml:space="preserve"> availability, and a small charity may struggle to offer extensive training or progression opportunities. This makes retention fragile.</w:t>
      </w:r>
    </w:p>
    <w:p w14:paraId="4494284F" w14:textId="77777777"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Digital communication also matters. A website supports legitimacy, awareness and information sharing, while social media can promote events, donations and community connection. Lovejoy and Saxton (2012) argue that non-profit social media use is most effective when it goes beyond broadcasting and encourages interaction. Digital channels can widen reach at relatively low cost. Yet they also require time, consistency and careful safeguarding. A charity working with children must be especially cautious about privacy, consent and representation.</w:t>
      </w:r>
    </w:p>
    <w:p w14:paraId="02DB43C8" w14:textId="77777777" w:rsid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Overall, the organisation’s stakeholder engagement appears broadly effective because it aligns with the project’s community roots and service purpose. Nevertheless, there are clear challenges: resource constraints, rising demand, dependence on external funding, balancing formal accountability with personal care, and managing different stakeholder expectations. The most effective strategy is not a single approach but a differentiated model that treats stakeholder management as an ongoing process grounded in trust, communication and mission clarity.</w:t>
      </w:r>
    </w:p>
    <w:p w14:paraId="547900FD" w14:textId="77777777" w:rsidR="00BC4A87" w:rsidRPr="006B25C4" w:rsidRDefault="00BC4A87" w:rsidP="00BC4A87">
      <w:pPr>
        <w:spacing w:before="100" w:beforeAutospacing="1" w:after="100" w:afterAutospacing="1" w:line="360" w:lineRule="auto"/>
        <w:jc w:val="both"/>
        <w:rPr>
          <w:rFonts w:ascii="Arial" w:eastAsia="Times New Roman" w:hAnsi="Arial" w:cs="Arial"/>
          <w:kern w:val="0"/>
          <w:lang w:eastAsia="en-GB"/>
          <w14:ligatures w14:val="none"/>
        </w:rPr>
      </w:pPr>
    </w:p>
    <w:p w14:paraId="30C412CB" w14:textId="64770B74" w:rsidR="006B25C4" w:rsidRPr="006B25C4" w:rsidRDefault="006B25C4" w:rsidP="00BC4A87">
      <w:pPr>
        <w:pStyle w:val="Heading2"/>
        <w:rPr>
          <w:rFonts w:ascii="Arial" w:eastAsia="Times New Roman" w:hAnsi="Arial" w:cs="Arial"/>
          <w:kern w:val="0"/>
          <w:sz w:val="28"/>
          <w:szCs w:val="28"/>
          <w:lang w:eastAsia="en-GB"/>
          <w14:ligatures w14:val="none"/>
        </w:rPr>
      </w:pPr>
      <w:bookmarkStart w:id="2" w:name="_Toc225423403"/>
      <w:r w:rsidRPr="006B25C4">
        <w:rPr>
          <w:rFonts w:ascii="Arial" w:eastAsia="Times New Roman" w:hAnsi="Arial" w:cs="Arial"/>
          <w:kern w:val="0"/>
          <w:sz w:val="28"/>
          <w:szCs w:val="28"/>
          <w:lang w:eastAsia="en-GB"/>
          <w14:ligatures w14:val="none"/>
        </w:rPr>
        <w:t>Ethical Consideration and Awareness, and Reflective Insight</w:t>
      </w:r>
      <w:bookmarkEnd w:id="2"/>
    </w:p>
    <w:p w14:paraId="6D11C5FF" w14:textId="288A53E2"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 xml:space="preserve">Ethics are central to stakeholder engagement in a project such as New Hope Worcester because the organisation works with vulnerable children and families and because its decisions affect access to care, inclusion and quality of life. Ethical stakeholder management requires more than satisfying powerful actors; it involves fairness, transparency, responsibility and respect. Crane and Matten (2016) argue that organisational ethics concerns the moral standards guiding behaviour and decision </w:t>
      </w:r>
      <w:r w:rsidRPr="006B25C4">
        <w:rPr>
          <w:rFonts w:ascii="Arial" w:eastAsia="Times New Roman" w:hAnsi="Arial" w:cs="Arial"/>
          <w:kern w:val="0"/>
          <w:lang w:eastAsia="en-GB"/>
          <w14:ligatures w14:val="none"/>
        </w:rPr>
        <w:lastRenderedPageBreak/>
        <w:t>making. In this case, ethical awareness means recognising that stakeholder relationships are not neutral managerial transactions</w:t>
      </w:r>
      <w:r w:rsidR="000F3875">
        <w:rPr>
          <w:rFonts w:ascii="Arial" w:eastAsia="Times New Roman" w:hAnsi="Arial" w:cs="Arial"/>
          <w:kern w:val="0"/>
          <w:lang w:eastAsia="en-GB"/>
          <w14:ligatures w14:val="none"/>
        </w:rPr>
        <w:t>, but t</w:t>
      </w:r>
      <w:r w:rsidRPr="006B25C4">
        <w:rPr>
          <w:rFonts w:ascii="Arial" w:eastAsia="Times New Roman" w:hAnsi="Arial" w:cs="Arial"/>
          <w:kern w:val="0"/>
          <w:lang w:eastAsia="en-GB"/>
          <w14:ligatures w14:val="none"/>
        </w:rPr>
        <w:t>hey involve real human needs, unequal power and competing claims.</w:t>
      </w:r>
    </w:p>
    <w:p w14:paraId="5DE5A6B8" w14:textId="77777777"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A first ethical issue is fairness in access to services. Demand for short-break support is often greater than available provision, especially in local settings where funding is constrained. Government guidance on short breaks emphasises that local authorities must provide services that improve welfare and respond to family needs (Department for Education, 2010; Department for Education, 2011). Yet in practice, organisations such as New Hope Worcester must still decide how places are allocated, how often children can attend and how support is prioritised. Fairness means applying transparent criteria while remaining sensitive to different forms of need. Equal treatment is not always equitable treatment; some children require more specialised support than others.</w:t>
      </w:r>
    </w:p>
    <w:p w14:paraId="4E39CE04" w14:textId="1006225F"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A second ethical issue is transparency. Stakeholders should understand what the organisation can provide, how decisions are made and how money is used. Transparency is especially important in charities because public trust underpins their operating model. Carroll and Buchholtz (2015) argue that stakeholders are more likely to support organisations they see as honest and accountable. For New Hope Worcester, transparency matters to parents, donors, regulators and the community. The charity’s published information on mission, history, governance and finances contributes positively here because it makes the organisation more understandable and credible (New Hope Worcester, n.d.; Charity Commission, n.d.). However, transparency also has a practical side</w:t>
      </w:r>
      <w:r w:rsidR="000F3875">
        <w:rPr>
          <w:rFonts w:ascii="Arial" w:eastAsia="Times New Roman" w:hAnsi="Arial" w:cs="Arial"/>
          <w:kern w:val="0"/>
          <w:lang w:eastAsia="en-GB"/>
          <w14:ligatures w14:val="none"/>
        </w:rPr>
        <w:t>, i</w:t>
      </w:r>
      <w:r w:rsidRPr="006B25C4">
        <w:rPr>
          <w:rFonts w:ascii="Arial" w:eastAsia="Times New Roman" w:hAnsi="Arial" w:cs="Arial"/>
          <w:kern w:val="0"/>
          <w:lang w:eastAsia="en-GB"/>
          <w14:ligatures w14:val="none"/>
        </w:rPr>
        <w:t>t requires difficult conversations when services are full, resources are tight or expectations cannot be met.</w:t>
      </w:r>
    </w:p>
    <w:p w14:paraId="1AA13BE2" w14:textId="171DAD61"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 xml:space="preserve">A third ethical consideration is responsibility and safeguarding. Working with disabled children demands a particularly high duty of care. The Charity Commission governance entry lists safeguarding policies and procedures among the charity’s governance arrangements, which is a strong indicator that the organisation recognises this duty formally (Charity Commission, n.d.). Ethically, responsibility extends beyond legal compliance. It includes creating an environment in which children are respected, safe and able to participate meaningfully. New Hope’s mission statement, with its emphasis on a safe and stimulating environment and respect for each child as an </w:t>
      </w:r>
      <w:r w:rsidRPr="006B25C4">
        <w:rPr>
          <w:rFonts w:ascii="Arial" w:eastAsia="Times New Roman" w:hAnsi="Arial" w:cs="Arial"/>
          <w:kern w:val="0"/>
          <w:lang w:eastAsia="en-GB"/>
          <w14:ligatures w14:val="none"/>
        </w:rPr>
        <w:lastRenderedPageBreak/>
        <w:t>individual, reflects this responsibility clearly (New Hope Worcester, n.d.). The ethical challenge is to ensure that such values are enacted in everyday practice rather than remaining aspirational.</w:t>
      </w:r>
    </w:p>
    <w:p w14:paraId="36830B11" w14:textId="77777777"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A fourth issue is representation and voice. Children with disabilities may not always be able to articulate preferences in conventional ways, which creates a risk that adults speak for them without fully hearing them. Stakeholder theory can become ethically weak if it privileges the most vocal or powerful stakeholders. Mitchell, Agle and Wood (1997) help address this by widening the basis of salience beyond power alone, but there is still a practical challenge in ensuring that children’s experiences shape the service. This may require adapted communication, observation, close work with families and reflective staff practice. Ethically, the project should avoid assuming that parental voice and child voice are identical, even when parents are essential advocates.</w:t>
      </w:r>
    </w:p>
    <w:p w14:paraId="5C4C6D55" w14:textId="77777777"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CSR is also relevant. Carroll’s (1991) framework presents CSR as economic, legal, ethical and philanthropic responsibility. Although New Hope Worcester is a charity rather than a corporation, the framework still applies. Economically, the organisation must remain viable. Legally, it must comply with charity, safeguarding and regulatory requirements. Ethically, it must treat stakeholders fairly and responsibly. Philanthropically, it exists to create social good for children and families. This framework usefully shows responsibility as layered rather than optional. In a charity context, however, the boundaries blur because social purpose is not an addition to the model; it is the model.</w:t>
      </w:r>
    </w:p>
    <w:p w14:paraId="7B0B2DC4" w14:textId="77777777"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 xml:space="preserve">Sustainability is another ethical dimension. A service that meets needs today but becomes unviable tomorrow may not be ethically robust. The Charity Commission financial figures suggest that New Hope Worcester operates on a modest financial base, which makes sustainability a real concern (Charity Commission, n.d.). Ethical stakeholder management must therefore consider the long term. This includes maintaining donor confidence, supporting volunteer retention, protecting staff wellbeing and building community partnerships. Elkington’s (1997) triple bottom line is useful here because it encourages attention to social and economic sustainability together. For New Hope Worcester, sustainability means preserving the capacity to </w:t>
      </w:r>
      <w:r w:rsidRPr="006B25C4">
        <w:rPr>
          <w:rFonts w:ascii="Arial" w:eastAsia="Times New Roman" w:hAnsi="Arial" w:cs="Arial"/>
          <w:kern w:val="0"/>
          <w:lang w:eastAsia="en-GB"/>
          <w14:ligatures w14:val="none"/>
        </w:rPr>
        <w:lastRenderedPageBreak/>
        <w:t>continue delivering relational, high-quality support rather than chasing growth for its own sake.</w:t>
      </w:r>
    </w:p>
    <w:p w14:paraId="76E7BAE0" w14:textId="202EC856"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 xml:space="preserve">Reflecting on this case has deepened my understanding of stakeholder management in several ways. First, it has shown me that stakeholder theory is most useful when it is applied critically. Freeman’s (1984) broad definition is helpful, but in practice organisations must distinguish between stakeholders by power, legitimacy, urgency and dependency. Analysing New Hope Worcester through a power-interest grid initially made the stakeholder environment appear manageable. However, the case becomes more complex when ethical considerations are included. Stakeholders with less formal power, particularly children, are </w:t>
      </w:r>
      <w:r w:rsidR="00680F65" w:rsidRPr="006B25C4">
        <w:rPr>
          <w:rFonts w:ascii="Arial" w:eastAsia="Times New Roman" w:hAnsi="Arial" w:cs="Arial"/>
          <w:kern w:val="0"/>
          <w:lang w:eastAsia="en-GB"/>
          <w14:ligatures w14:val="none"/>
        </w:rPr>
        <w:t>central</w:t>
      </w:r>
      <w:r w:rsidRPr="006B25C4">
        <w:rPr>
          <w:rFonts w:ascii="Arial" w:eastAsia="Times New Roman" w:hAnsi="Arial" w:cs="Arial"/>
          <w:kern w:val="0"/>
          <w:lang w:eastAsia="en-GB"/>
          <w14:ligatures w14:val="none"/>
        </w:rPr>
        <w:t xml:space="preserve"> to the organisation’s legitimacy. This has strengthened my ability to question simplistic assumptions.</w:t>
      </w:r>
    </w:p>
    <w:p w14:paraId="32F91B30" w14:textId="77777777"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Second, I have learned that engagement strategy must be contingent. Different stakeholders require different channels, tones and kinds of evidence. Families need empathy and responsiveness. Regulators need compliance and documentation. Donors need trust and impact. Volunteers need appreciation and role clarity. The case has therefore improved my understanding of communication as a strategic skill rather than a routine task. It has also shown me that strong stakeholder engagement depends on listening as much as informing.</w:t>
      </w:r>
    </w:p>
    <w:p w14:paraId="1994C500" w14:textId="49A461C7"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 xml:space="preserve">Third, the portfolio has developed my ethical awareness. Before this analysis, I tended to think of stakeholder management mainly in terms of balancing interests. I now see that it also involves protecting those whose interests are easiest to overlook. In New Hope Worcester, fairness, safeguarding and representation are not side issues; they are at the centre of effective management. This insight is relevant to my future career because organisations in every sector face </w:t>
      </w:r>
      <w:r w:rsidR="00680F65" w:rsidRPr="006B25C4">
        <w:rPr>
          <w:rFonts w:ascii="Arial" w:eastAsia="Times New Roman" w:hAnsi="Arial" w:cs="Arial"/>
          <w:kern w:val="0"/>
          <w:lang w:eastAsia="en-GB"/>
          <w14:ligatures w14:val="none"/>
        </w:rPr>
        <w:t>pressure</w:t>
      </w:r>
      <w:r w:rsidRPr="006B25C4">
        <w:rPr>
          <w:rFonts w:ascii="Arial" w:eastAsia="Times New Roman" w:hAnsi="Arial" w:cs="Arial"/>
          <w:kern w:val="0"/>
          <w:lang w:eastAsia="en-GB"/>
          <w14:ligatures w14:val="none"/>
        </w:rPr>
        <w:t xml:space="preserve"> to prioritise visible, measurable and powerful stakeholder demands. Ethical management requires the confidence to resist that bias.</w:t>
      </w:r>
    </w:p>
    <w:p w14:paraId="7B564C31" w14:textId="77777777" w:rsid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 xml:space="preserve">Finally, this study has developed transferable skills that matter for academic and professional growth. These include applying theory to real cases, evaluating evidence from official and academic sources, writing critically, and reflecting on management decisions. In a future career in business or non-profit management, these skills will help me assess stakeholder environments more carefully, communicate more </w:t>
      </w:r>
      <w:r w:rsidRPr="006B25C4">
        <w:rPr>
          <w:rFonts w:ascii="Arial" w:eastAsia="Times New Roman" w:hAnsi="Arial" w:cs="Arial"/>
          <w:kern w:val="0"/>
          <w:lang w:eastAsia="en-GB"/>
          <w14:ligatures w14:val="none"/>
        </w:rPr>
        <w:lastRenderedPageBreak/>
        <w:t>effectively and make decisions that are both strategically sound and socially responsible.</w:t>
      </w:r>
    </w:p>
    <w:p w14:paraId="20B7720A" w14:textId="77777777" w:rsidR="00BC4A87" w:rsidRDefault="00BC4A87" w:rsidP="00BC4A87">
      <w:pPr>
        <w:spacing w:before="100" w:beforeAutospacing="1" w:after="100" w:afterAutospacing="1" w:line="360" w:lineRule="auto"/>
        <w:jc w:val="both"/>
        <w:rPr>
          <w:rFonts w:ascii="Arial" w:eastAsia="Times New Roman" w:hAnsi="Arial" w:cs="Arial"/>
          <w:kern w:val="0"/>
          <w:lang w:eastAsia="en-GB"/>
          <w14:ligatures w14:val="none"/>
        </w:rPr>
      </w:pPr>
    </w:p>
    <w:p w14:paraId="3A31737F" w14:textId="77777777" w:rsidR="00BC4A87" w:rsidRDefault="00BC4A87" w:rsidP="00BC4A87">
      <w:pPr>
        <w:spacing w:before="100" w:beforeAutospacing="1" w:after="100" w:afterAutospacing="1" w:line="360" w:lineRule="auto"/>
        <w:jc w:val="both"/>
        <w:rPr>
          <w:rFonts w:ascii="Arial" w:eastAsia="Times New Roman" w:hAnsi="Arial" w:cs="Arial"/>
          <w:kern w:val="0"/>
          <w:lang w:eastAsia="en-GB"/>
          <w14:ligatures w14:val="none"/>
        </w:rPr>
      </w:pPr>
    </w:p>
    <w:p w14:paraId="308594E4" w14:textId="77777777" w:rsidR="00BC4A87" w:rsidRDefault="00BC4A87" w:rsidP="00BC4A87">
      <w:pPr>
        <w:spacing w:before="100" w:beforeAutospacing="1" w:after="100" w:afterAutospacing="1" w:line="360" w:lineRule="auto"/>
        <w:jc w:val="both"/>
        <w:rPr>
          <w:rFonts w:ascii="Arial" w:eastAsia="Times New Roman" w:hAnsi="Arial" w:cs="Arial"/>
          <w:kern w:val="0"/>
          <w:lang w:eastAsia="en-GB"/>
          <w14:ligatures w14:val="none"/>
        </w:rPr>
      </w:pPr>
    </w:p>
    <w:p w14:paraId="16E73197" w14:textId="77777777" w:rsidR="00BC4A87" w:rsidRDefault="00BC4A87" w:rsidP="00BC4A87">
      <w:pPr>
        <w:spacing w:before="100" w:beforeAutospacing="1" w:after="100" w:afterAutospacing="1" w:line="360" w:lineRule="auto"/>
        <w:jc w:val="both"/>
        <w:rPr>
          <w:rFonts w:ascii="Arial" w:eastAsia="Times New Roman" w:hAnsi="Arial" w:cs="Arial"/>
          <w:kern w:val="0"/>
          <w:lang w:eastAsia="en-GB"/>
          <w14:ligatures w14:val="none"/>
        </w:rPr>
      </w:pPr>
    </w:p>
    <w:p w14:paraId="736F19A1" w14:textId="77777777" w:rsidR="00BC4A87" w:rsidRDefault="00BC4A87" w:rsidP="00BC4A87">
      <w:pPr>
        <w:spacing w:before="100" w:beforeAutospacing="1" w:after="100" w:afterAutospacing="1" w:line="360" w:lineRule="auto"/>
        <w:jc w:val="both"/>
        <w:rPr>
          <w:rFonts w:ascii="Arial" w:eastAsia="Times New Roman" w:hAnsi="Arial" w:cs="Arial"/>
          <w:kern w:val="0"/>
          <w:lang w:eastAsia="en-GB"/>
          <w14:ligatures w14:val="none"/>
        </w:rPr>
      </w:pPr>
    </w:p>
    <w:p w14:paraId="4656389A" w14:textId="77777777" w:rsidR="00BC4A87" w:rsidRDefault="00BC4A87" w:rsidP="00BC4A87">
      <w:pPr>
        <w:spacing w:before="100" w:beforeAutospacing="1" w:after="100" w:afterAutospacing="1" w:line="360" w:lineRule="auto"/>
        <w:jc w:val="both"/>
        <w:rPr>
          <w:rFonts w:ascii="Arial" w:eastAsia="Times New Roman" w:hAnsi="Arial" w:cs="Arial"/>
          <w:kern w:val="0"/>
          <w:lang w:eastAsia="en-GB"/>
          <w14:ligatures w14:val="none"/>
        </w:rPr>
      </w:pPr>
    </w:p>
    <w:p w14:paraId="77A08878" w14:textId="77777777" w:rsidR="00BC4A87" w:rsidRDefault="00BC4A87" w:rsidP="00BC4A87">
      <w:pPr>
        <w:spacing w:before="100" w:beforeAutospacing="1" w:after="100" w:afterAutospacing="1" w:line="360" w:lineRule="auto"/>
        <w:jc w:val="both"/>
        <w:rPr>
          <w:rFonts w:ascii="Arial" w:eastAsia="Times New Roman" w:hAnsi="Arial" w:cs="Arial"/>
          <w:kern w:val="0"/>
          <w:lang w:eastAsia="en-GB"/>
          <w14:ligatures w14:val="none"/>
        </w:rPr>
      </w:pPr>
    </w:p>
    <w:p w14:paraId="78609802" w14:textId="77777777" w:rsidR="00BC4A87" w:rsidRDefault="00BC4A87" w:rsidP="00BC4A87">
      <w:pPr>
        <w:spacing w:before="100" w:beforeAutospacing="1" w:after="100" w:afterAutospacing="1" w:line="360" w:lineRule="auto"/>
        <w:jc w:val="both"/>
        <w:rPr>
          <w:rFonts w:ascii="Arial" w:eastAsia="Times New Roman" w:hAnsi="Arial" w:cs="Arial"/>
          <w:kern w:val="0"/>
          <w:lang w:eastAsia="en-GB"/>
          <w14:ligatures w14:val="none"/>
        </w:rPr>
      </w:pPr>
    </w:p>
    <w:p w14:paraId="233FDCF0" w14:textId="77777777" w:rsidR="00BC4A87" w:rsidRDefault="00BC4A87" w:rsidP="00BC4A87">
      <w:pPr>
        <w:spacing w:before="100" w:beforeAutospacing="1" w:after="100" w:afterAutospacing="1" w:line="360" w:lineRule="auto"/>
        <w:jc w:val="both"/>
        <w:rPr>
          <w:rFonts w:ascii="Arial" w:eastAsia="Times New Roman" w:hAnsi="Arial" w:cs="Arial"/>
          <w:kern w:val="0"/>
          <w:lang w:eastAsia="en-GB"/>
          <w14:ligatures w14:val="none"/>
        </w:rPr>
      </w:pPr>
    </w:p>
    <w:p w14:paraId="2F34C02D" w14:textId="77777777" w:rsidR="00BC4A87" w:rsidRDefault="00BC4A87" w:rsidP="00BC4A87">
      <w:pPr>
        <w:spacing w:before="100" w:beforeAutospacing="1" w:after="100" w:afterAutospacing="1" w:line="360" w:lineRule="auto"/>
        <w:jc w:val="both"/>
        <w:rPr>
          <w:rFonts w:ascii="Arial" w:eastAsia="Times New Roman" w:hAnsi="Arial" w:cs="Arial"/>
          <w:kern w:val="0"/>
          <w:lang w:eastAsia="en-GB"/>
          <w14:ligatures w14:val="none"/>
        </w:rPr>
      </w:pPr>
    </w:p>
    <w:p w14:paraId="1A51ED9B" w14:textId="77777777" w:rsidR="00BC4A87" w:rsidRDefault="00BC4A87" w:rsidP="00BC4A87">
      <w:pPr>
        <w:spacing w:before="100" w:beforeAutospacing="1" w:after="100" w:afterAutospacing="1" w:line="360" w:lineRule="auto"/>
        <w:jc w:val="both"/>
        <w:rPr>
          <w:rFonts w:ascii="Arial" w:eastAsia="Times New Roman" w:hAnsi="Arial" w:cs="Arial"/>
          <w:kern w:val="0"/>
          <w:lang w:eastAsia="en-GB"/>
          <w14:ligatures w14:val="none"/>
        </w:rPr>
      </w:pPr>
    </w:p>
    <w:p w14:paraId="47B4A78B" w14:textId="77777777" w:rsidR="00BC4A87" w:rsidRDefault="00BC4A87" w:rsidP="00BC4A87">
      <w:pPr>
        <w:spacing w:before="100" w:beforeAutospacing="1" w:after="100" w:afterAutospacing="1" w:line="360" w:lineRule="auto"/>
        <w:jc w:val="both"/>
        <w:rPr>
          <w:rFonts w:ascii="Arial" w:eastAsia="Times New Roman" w:hAnsi="Arial" w:cs="Arial"/>
          <w:kern w:val="0"/>
          <w:lang w:eastAsia="en-GB"/>
          <w14:ligatures w14:val="none"/>
        </w:rPr>
      </w:pPr>
    </w:p>
    <w:p w14:paraId="39EA79D2" w14:textId="77777777" w:rsidR="00BC4A87" w:rsidRDefault="00BC4A87" w:rsidP="00BC4A87">
      <w:pPr>
        <w:spacing w:before="100" w:beforeAutospacing="1" w:after="100" w:afterAutospacing="1" w:line="360" w:lineRule="auto"/>
        <w:jc w:val="both"/>
        <w:rPr>
          <w:rFonts w:ascii="Arial" w:eastAsia="Times New Roman" w:hAnsi="Arial" w:cs="Arial"/>
          <w:kern w:val="0"/>
          <w:lang w:eastAsia="en-GB"/>
          <w14:ligatures w14:val="none"/>
        </w:rPr>
      </w:pPr>
    </w:p>
    <w:p w14:paraId="2820BEBB" w14:textId="77777777" w:rsidR="00BC4A87" w:rsidRDefault="00BC4A87" w:rsidP="00BC4A87">
      <w:pPr>
        <w:spacing w:before="100" w:beforeAutospacing="1" w:after="100" w:afterAutospacing="1" w:line="360" w:lineRule="auto"/>
        <w:jc w:val="both"/>
        <w:rPr>
          <w:rFonts w:ascii="Arial" w:eastAsia="Times New Roman" w:hAnsi="Arial" w:cs="Arial"/>
          <w:kern w:val="0"/>
          <w:lang w:eastAsia="en-GB"/>
          <w14:ligatures w14:val="none"/>
        </w:rPr>
      </w:pPr>
    </w:p>
    <w:p w14:paraId="2FC1E2F2" w14:textId="77777777" w:rsidR="00A24711" w:rsidRDefault="00A24711" w:rsidP="00BC4A87">
      <w:pPr>
        <w:spacing w:before="100" w:beforeAutospacing="1" w:after="100" w:afterAutospacing="1" w:line="360" w:lineRule="auto"/>
        <w:jc w:val="both"/>
        <w:rPr>
          <w:rFonts w:ascii="Arial" w:eastAsia="Times New Roman" w:hAnsi="Arial" w:cs="Arial"/>
          <w:kern w:val="0"/>
          <w:lang w:eastAsia="en-GB"/>
          <w14:ligatures w14:val="none"/>
        </w:rPr>
      </w:pPr>
    </w:p>
    <w:p w14:paraId="710C364A" w14:textId="77777777" w:rsidR="000F3875" w:rsidRDefault="000F3875" w:rsidP="00BC4A87">
      <w:pPr>
        <w:spacing w:before="100" w:beforeAutospacing="1" w:after="100" w:afterAutospacing="1" w:line="360" w:lineRule="auto"/>
        <w:jc w:val="both"/>
        <w:rPr>
          <w:rFonts w:ascii="Arial" w:eastAsia="Times New Roman" w:hAnsi="Arial" w:cs="Arial"/>
          <w:kern w:val="0"/>
          <w:lang w:eastAsia="en-GB"/>
          <w14:ligatures w14:val="none"/>
        </w:rPr>
      </w:pPr>
    </w:p>
    <w:p w14:paraId="15E2C7D9" w14:textId="77777777" w:rsidR="000F3875" w:rsidRDefault="000F3875" w:rsidP="00BC4A87">
      <w:pPr>
        <w:spacing w:before="100" w:beforeAutospacing="1" w:after="100" w:afterAutospacing="1" w:line="360" w:lineRule="auto"/>
        <w:jc w:val="both"/>
        <w:rPr>
          <w:rFonts w:ascii="Arial" w:eastAsia="Times New Roman" w:hAnsi="Arial" w:cs="Arial"/>
          <w:kern w:val="0"/>
          <w:lang w:eastAsia="en-GB"/>
          <w14:ligatures w14:val="none"/>
        </w:rPr>
      </w:pPr>
    </w:p>
    <w:p w14:paraId="4966C796" w14:textId="77777777" w:rsidR="000F3875" w:rsidRDefault="000F3875" w:rsidP="00BC4A87">
      <w:pPr>
        <w:spacing w:before="100" w:beforeAutospacing="1" w:after="100" w:afterAutospacing="1" w:line="360" w:lineRule="auto"/>
        <w:jc w:val="both"/>
        <w:rPr>
          <w:rFonts w:ascii="Arial" w:eastAsia="Times New Roman" w:hAnsi="Arial" w:cs="Arial"/>
          <w:kern w:val="0"/>
          <w:lang w:eastAsia="en-GB"/>
          <w14:ligatures w14:val="none"/>
        </w:rPr>
      </w:pPr>
    </w:p>
    <w:p w14:paraId="38B5E0AC" w14:textId="5FE67B9A" w:rsidR="006B25C4" w:rsidRPr="006B25C4" w:rsidRDefault="006B25C4" w:rsidP="00BC4A87">
      <w:pPr>
        <w:pStyle w:val="Heading3"/>
        <w:rPr>
          <w:rFonts w:ascii="Arial" w:eastAsia="Times New Roman" w:hAnsi="Arial" w:cs="Arial"/>
          <w:kern w:val="0"/>
          <w:lang w:eastAsia="en-GB"/>
          <w14:ligatures w14:val="none"/>
        </w:rPr>
      </w:pPr>
      <w:bookmarkStart w:id="3" w:name="_Toc225423404"/>
      <w:r w:rsidRPr="006B25C4">
        <w:rPr>
          <w:rFonts w:ascii="Arial" w:eastAsia="Times New Roman" w:hAnsi="Arial" w:cs="Arial"/>
          <w:kern w:val="0"/>
          <w:lang w:eastAsia="en-GB"/>
          <w14:ligatures w14:val="none"/>
        </w:rPr>
        <w:lastRenderedPageBreak/>
        <w:t>Conclusion and Recommendations</w:t>
      </w:r>
      <w:bookmarkEnd w:id="3"/>
    </w:p>
    <w:p w14:paraId="3478FD7A" w14:textId="77777777"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This portfolio has shown that stakeholder engagement is fundamental to the success of New Hope Worcester. The organisation exists because of stakeholder need, operates through stakeholder relationships and survives through stakeholder support. Children with disabilities and their families are the core stakeholders, but trustees, staff, volunteers, funders, regulators and the wider community all shape project outcomes. Stakeholder theory and a power-interest perspective show that influence is uneven, yet ethical analysis shows that moral importance cannot be reduced to formal power.</w:t>
      </w:r>
    </w:p>
    <w:p w14:paraId="20A106BE" w14:textId="185E2D91"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 xml:space="preserve">The discussion suggests that New Hope Worcester’s engagement strategies are strongest where they are relational, responsive and </w:t>
      </w:r>
      <w:r w:rsidR="00680F65" w:rsidRPr="006B25C4">
        <w:rPr>
          <w:rFonts w:ascii="Arial" w:eastAsia="Times New Roman" w:hAnsi="Arial" w:cs="Arial"/>
          <w:kern w:val="0"/>
          <w:lang w:eastAsia="en-GB"/>
          <w14:ligatures w14:val="none"/>
        </w:rPr>
        <w:t>mission led</w:t>
      </w:r>
      <w:r w:rsidRPr="006B25C4">
        <w:rPr>
          <w:rFonts w:ascii="Arial" w:eastAsia="Times New Roman" w:hAnsi="Arial" w:cs="Arial"/>
          <w:kern w:val="0"/>
          <w:lang w:eastAsia="en-GB"/>
          <w14:ligatures w14:val="none"/>
        </w:rPr>
        <w:t>. Direct communication with families, formal accountability to funders and regulators, and community-based support have all contributed to the project’s continued legitimacy. Significant challenges remain, including limited resources, dependence on external funding, varying stakeholder expectations and the need to balance personalised care with formal accountability.</w:t>
      </w:r>
    </w:p>
    <w:p w14:paraId="5C8C5D32" w14:textId="77777777"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Three recommendations follow. First, New Hope Worcester should strengthen structured feedback systems so that children, where possible, and parents can shape provision more visibly and regularly. Second, the organisation should continue developing digital communication to support fundraising, volunteer recruitment and public awareness without weakening safeguarding standards. Third, trustees should prioritise long-term sustainability by combining impact reporting, volunteer support and partnership building to reduce vulnerability to funding pressures.</w:t>
      </w:r>
    </w:p>
    <w:p w14:paraId="0FE02D85" w14:textId="77777777"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Overall, effective stakeholder management at New Hope Worcester depends on combining strategy with ethics. The case demonstrates that good engagement is not simply about keeping influential groups satisfied. It is about building fair, transparent and durable relationships that enable meaningful support while remaining fully sustainable over time.</w:t>
      </w:r>
    </w:p>
    <w:p w14:paraId="41746BFC" w14:textId="77777777" w:rsidR="00BC4A87" w:rsidRDefault="00BC4A87" w:rsidP="00BC4A87">
      <w:pPr>
        <w:spacing w:before="100" w:beforeAutospacing="1" w:after="100" w:afterAutospacing="1" w:line="360" w:lineRule="auto"/>
        <w:jc w:val="both"/>
        <w:rPr>
          <w:rFonts w:ascii="Arial" w:eastAsia="Times New Roman" w:hAnsi="Arial" w:cs="Arial"/>
          <w:b/>
          <w:bCs/>
          <w:kern w:val="0"/>
          <w:lang w:eastAsia="en-GB"/>
          <w14:ligatures w14:val="none"/>
        </w:rPr>
      </w:pPr>
    </w:p>
    <w:p w14:paraId="74C06C28" w14:textId="77777777" w:rsidR="00BC4A87" w:rsidRDefault="00BC4A87" w:rsidP="00BC4A87">
      <w:pPr>
        <w:spacing w:before="100" w:beforeAutospacing="1" w:after="100" w:afterAutospacing="1" w:line="360" w:lineRule="auto"/>
        <w:jc w:val="both"/>
        <w:rPr>
          <w:rFonts w:ascii="Arial" w:eastAsia="Times New Roman" w:hAnsi="Arial" w:cs="Arial"/>
          <w:kern w:val="0"/>
          <w:lang w:eastAsia="en-GB"/>
          <w14:ligatures w14:val="none"/>
        </w:rPr>
      </w:pPr>
    </w:p>
    <w:p w14:paraId="263EFF71" w14:textId="59E75D47" w:rsidR="006B25C4" w:rsidRPr="006B25C4" w:rsidRDefault="006B25C4" w:rsidP="00BC4A87">
      <w:pPr>
        <w:pStyle w:val="Heading3"/>
        <w:rPr>
          <w:rFonts w:ascii="Arial" w:eastAsia="Times New Roman" w:hAnsi="Arial" w:cs="Arial"/>
          <w:kern w:val="0"/>
          <w:lang w:eastAsia="en-GB"/>
          <w14:ligatures w14:val="none"/>
        </w:rPr>
      </w:pPr>
      <w:bookmarkStart w:id="4" w:name="_Toc225423405"/>
      <w:r w:rsidRPr="006B25C4">
        <w:rPr>
          <w:rFonts w:ascii="Arial" w:eastAsia="Times New Roman" w:hAnsi="Arial" w:cs="Arial"/>
          <w:kern w:val="0"/>
          <w:lang w:eastAsia="en-GB"/>
          <w14:ligatures w14:val="none"/>
        </w:rPr>
        <w:lastRenderedPageBreak/>
        <w:t>Reference</w:t>
      </w:r>
      <w:bookmarkEnd w:id="4"/>
      <w:r w:rsidR="000C5BFD">
        <w:rPr>
          <w:rFonts w:ascii="Arial" w:eastAsia="Times New Roman" w:hAnsi="Arial" w:cs="Arial"/>
          <w:kern w:val="0"/>
          <w:lang w:eastAsia="en-GB"/>
          <w14:ligatures w14:val="none"/>
        </w:rPr>
        <w:t>s</w:t>
      </w:r>
      <w:r w:rsidRPr="006B25C4">
        <w:rPr>
          <w:rFonts w:ascii="Arial" w:eastAsia="Times New Roman" w:hAnsi="Arial" w:cs="Arial"/>
          <w:kern w:val="0"/>
          <w:lang w:eastAsia="en-GB"/>
          <w14:ligatures w14:val="none"/>
        </w:rPr>
        <w:t xml:space="preserve"> </w:t>
      </w:r>
    </w:p>
    <w:p w14:paraId="59DA4766" w14:textId="77777777"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 xml:space="preserve">Bourne, L. (2015) </w:t>
      </w:r>
      <w:r w:rsidRPr="006B25C4">
        <w:rPr>
          <w:rFonts w:ascii="Arial" w:eastAsia="Times New Roman" w:hAnsi="Arial" w:cs="Arial"/>
          <w:i/>
          <w:iCs/>
          <w:kern w:val="0"/>
          <w:lang w:eastAsia="en-GB"/>
          <w14:ligatures w14:val="none"/>
        </w:rPr>
        <w:t>Stakeholder Relationship Management: A Maturity Model for Organisational Implementation</w:t>
      </w:r>
      <w:r w:rsidRPr="006B25C4">
        <w:rPr>
          <w:rFonts w:ascii="Arial" w:eastAsia="Times New Roman" w:hAnsi="Arial" w:cs="Arial"/>
          <w:kern w:val="0"/>
          <w:lang w:eastAsia="en-GB"/>
          <w14:ligatures w14:val="none"/>
        </w:rPr>
        <w:t>. Farnham: Gower.</w:t>
      </w:r>
    </w:p>
    <w:p w14:paraId="25F1FA7C" w14:textId="77777777"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 xml:space="preserve">Carroll, A.B. (1991) ‘The pyramid of corporate social responsibility: Toward the moral management of organisational stakeholders’, </w:t>
      </w:r>
      <w:r w:rsidRPr="006B25C4">
        <w:rPr>
          <w:rFonts w:ascii="Arial" w:eastAsia="Times New Roman" w:hAnsi="Arial" w:cs="Arial"/>
          <w:i/>
          <w:iCs/>
          <w:kern w:val="0"/>
          <w:lang w:eastAsia="en-GB"/>
          <w14:ligatures w14:val="none"/>
        </w:rPr>
        <w:t>Business Horizons</w:t>
      </w:r>
      <w:r w:rsidRPr="006B25C4">
        <w:rPr>
          <w:rFonts w:ascii="Arial" w:eastAsia="Times New Roman" w:hAnsi="Arial" w:cs="Arial"/>
          <w:kern w:val="0"/>
          <w:lang w:eastAsia="en-GB"/>
          <w14:ligatures w14:val="none"/>
        </w:rPr>
        <w:t>, 34(4), pp. 39–48.</w:t>
      </w:r>
    </w:p>
    <w:p w14:paraId="4F232623" w14:textId="77777777"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 xml:space="preserve">Carroll, A.B. and Buchholtz, A.K. (2015) </w:t>
      </w:r>
      <w:r w:rsidRPr="006B25C4">
        <w:rPr>
          <w:rFonts w:ascii="Arial" w:eastAsia="Times New Roman" w:hAnsi="Arial" w:cs="Arial"/>
          <w:i/>
          <w:iCs/>
          <w:kern w:val="0"/>
          <w:lang w:eastAsia="en-GB"/>
          <w14:ligatures w14:val="none"/>
        </w:rPr>
        <w:t>Business and Society: Ethics, Sustainability, and Stakeholder Management</w:t>
      </w:r>
      <w:r w:rsidRPr="006B25C4">
        <w:rPr>
          <w:rFonts w:ascii="Arial" w:eastAsia="Times New Roman" w:hAnsi="Arial" w:cs="Arial"/>
          <w:kern w:val="0"/>
          <w:lang w:eastAsia="en-GB"/>
          <w14:ligatures w14:val="none"/>
        </w:rPr>
        <w:t>. 9th edn. Stamford, CT: Cengage Learning.</w:t>
      </w:r>
    </w:p>
    <w:p w14:paraId="127AE44F" w14:textId="77777777"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 xml:space="preserve">Charity Commission (n.d.) </w:t>
      </w:r>
      <w:r w:rsidRPr="006B25C4">
        <w:rPr>
          <w:rFonts w:ascii="Arial" w:eastAsia="Times New Roman" w:hAnsi="Arial" w:cs="Arial"/>
          <w:i/>
          <w:iCs/>
          <w:kern w:val="0"/>
          <w:lang w:eastAsia="en-GB"/>
          <w14:ligatures w14:val="none"/>
        </w:rPr>
        <w:t>New Hope Worcestershire: Charity number 1149659</w:t>
      </w:r>
      <w:r w:rsidRPr="006B25C4">
        <w:rPr>
          <w:rFonts w:ascii="Arial" w:eastAsia="Times New Roman" w:hAnsi="Arial" w:cs="Arial"/>
          <w:kern w:val="0"/>
          <w:lang w:eastAsia="en-GB"/>
          <w14:ligatures w14:val="none"/>
        </w:rPr>
        <w:t>. Available at: Charity Commission register.</w:t>
      </w:r>
    </w:p>
    <w:p w14:paraId="0F956B24" w14:textId="3C273D03"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 xml:space="preserve">Charity Commission (n.d.) </w:t>
      </w:r>
      <w:r w:rsidRPr="006B25C4">
        <w:rPr>
          <w:rFonts w:ascii="Arial" w:eastAsia="Times New Roman" w:hAnsi="Arial" w:cs="Arial"/>
          <w:i/>
          <w:iCs/>
          <w:kern w:val="0"/>
          <w:lang w:eastAsia="en-GB"/>
          <w14:ligatures w14:val="none"/>
        </w:rPr>
        <w:t>Governance: New Hope Worcestershire</w:t>
      </w:r>
      <w:r w:rsidRPr="006B25C4">
        <w:rPr>
          <w:rFonts w:ascii="Arial" w:eastAsia="Times New Roman" w:hAnsi="Arial" w:cs="Arial"/>
          <w:kern w:val="0"/>
          <w:lang w:eastAsia="en-GB"/>
          <w14:ligatures w14:val="none"/>
        </w:rPr>
        <w:t>. Available at: Charity Commission register.</w:t>
      </w:r>
    </w:p>
    <w:p w14:paraId="723BFFA5" w14:textId="77777777"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 xml:space="preserve">Clarkson, M.B.E. (1995) ‘A stakeholder framework for analysing and evaluating corporate social performance’, </w:t>
      </w:r>
      <w:r w:rsidRPr="006B25C4">
        <w:rPr>
          <w:rFonts w:ascii="Arial" w:eastAsia="Times New Roman" w:hAnsi="Arial" w:cs="Arial"/>
          <w:i/>
          <w:iCs/>
          <w:kern w:val="0"/>
          <w:lang w:eastAsia="en-GB"/>
          <w14:ligatures w14:val="none"/>
        </w:rPr>
        <w:t>Academy of Management Review</w:t>
      </w:r>
      <w:r w:rsidRPr="006B25C4">
        <w:rPr>
          <w:rFonts w:ascii="Arial" w:eastAsia="Times New Roman" w:hAnsi="Arial" w:cs="Arial"/>
          <w:kern w:val="0"/>
          <w:lang w:eastAsia="en-GB"/>
          <w14:ligatures w14:val="none"/>
        </w:rPr>
        <w:t>, 20(1), pp. 92–117.</w:t>
      </w:r>
    </w:p>
    <w:p w14:paraId="02CB464B" w14:textId="77777777"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 xml:space="preserve">Crane, A. and Matten, D. (2016) </w:t>
      </w:r>
      <w:r w:rsidRPr="006B25C4">
        <w:rPr>
          <w:rFonts w:ascii="Arial" w:eastAsia="Times New Roman" w:hAnsi="Arial" w:cs="Arial"/>
          <w:i/>
          <w:iCs/>
          <w:kern w:val="0"/>
          <w:lang w:eastAsia="en-GB"/>
          <w14:ligatures w14:val="none"/>
        </w:rPr>
        <w:t>Business Ethics</w:t>
      </w:r>
      <w:r w:rsidRPr="006B25C4">
        <w:rPr>
          <w:rFonts w:ascii="Arial" w:eastAsia="Times New Roman" w:hAnsi="Arial" w:cs="Arial"/>
          <w:kern w:val="0"/>
          <w:lang w:eastAsia="en-GB"/>
          <w14:ligatures w14:val="none"/>
        </w:rPr>
        <w:t>. 4th edn. Oxford: Oxford University Press.</w:t>
      </w:r>
    </w:p>
    <w:p w14:paraId="4B546DB5" w14:textId="77777777"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 xml:space="preserve">Department for Education (2010) </w:t>
      </w:r>
      <w:r w:rsidRPr="006B25C4">
        <w:rPr>
          <w:rFonts w:ascii="Arial" w:eastAsia="Times New Roman" w:hAnsi="Arial" w:cs="Arial"/>
          <w:i/>
          <w:iCs/>
          <w:kern w:val="0"/>
          <w:lang w:eastAsia="en-GB"/>
          <w14:ligatures w14:val="none"/>
        </w:rPr>
        <w:t>Short Breaks for Disabled Children</w:t>
      </w:r>
      <w:r w:rsidRPr="006B25C4">
        <w:rPr>
          <w:rFonts w:ascii="Arial" w:eastAsia="Times New Roman" w:hAnsi="Arial" w:cs="Arial"/>
          <w:kern w:val="0"/>
          <w:lang w:eastAsia="en-GB"/>
          <w14:ligatures w14:val="none"/>
        </w:rPr>
        <w:t>. London: Department for Education.</w:t>
      </w:r>
    </w:p>
    <w:p w14:paraId="01019705" w14:textId="77777777"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 xml:space="preserve">Department for Education (2011) </w:t>
      </w:r>
      <w:r w:rsidRPr="006B25C4">
        <w:rPr>
          <w:rFonts w:ascii="Arial" w:eastAsia="Times New Roman" w:hAnsi="Arial" w:cs="Arial"/>
          <w:i/>
          <w:iCs/>
          <w:kern w:val="0"/>
          <w:lang w:eastAsia="en-GB"/>
          <w14:ligatures w14:val="none"/>
        </w:rPr>
        <w:t>Short Break Care: How Local Authorities Should Provide It</w:t>
      </w:r>
      <w:r w:rsidRPr="006B25C4">
        <w:rPr>
          <w:rFonts w:ascii="Arial" w:eastAsia="Times New Roman" w:hAnsi="Arial" w:cs="Arial"/>
          <w:kern w:val="0"/>
          <w:lang w:eastAsia="en-GB"/>
          <w14:ligatures w14:val="none"/>
        </w:rPr>
        <w:t>. London: Department for Education.</w:t>
      </w:r>
    </w:p>
    <w:p w14:paraId="350B5244" w14:textId="77777777"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 xml:space="preserve">Elkington, J. (1997) </w:t>
      </w:r>
      <w:r w:rsidRPr="006B25C4">
        <w:rPr>
          <w:rFonts w:ascii="Arial" w:eastAsia="Times New Roman" w:hAnsi="Arial" w:cs="Arial"/>
          <w:i/>
          <w:iCs/>
          <w:kern w:val="0"/>
          <w:lang w:eastAsia="en-GB"/>
          <w14:ligatures w14:val="none"/>
        </w:rPr>
        <w:t>Cannibals with Forks: The Triple Bottom Line of 21st Century Business</w:t>
      </w:r>
      <w:r w:rsidRPr="006B25C4">
        <w:rPr>
          <w:rFonts w:ascii="Arial" w:eastAsia="Times New Roman" w:hAnsi="Arial" w:cs="Arial"/>
          <w:kern w:val="0"/>
          <w:lang w:eastAsia="en-GB"/>
          <w14:ligatures w14:val="none"/>
        </w:rPr>
        <w:t>. Oxford: Capstone.</w:t>
      </w:r>
    </w:p>
    <w:p w14:paraId="0E5FBE11" w14:textId="77777777"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 xml:space="preserve">Freeman, R.E. (1984) </w:t>
      </w:r>
      <w:r w:rsidRPr="006B25C4">
        <w:rPr>
          <w:rFonts w:ascii="Arial" w:eastAsia="Times New Roman" w:hAnsi="Arial" w:cs="Arial"/>
          <w:i/>
          <w:iCs/>
          <w:kern w:val="0"/>
          <w:lang w:eastAsia="en-GB"/>
          <w14:ligatures w14:val="none"/>
        </w:rPr>
        <w:t>Strategic Management: A Stakeholder Approach</w:t>
      </w:r>
      <w:r w:rsidRPr="006B25C4">
        <w:rPr>
          <w:rFonts w:ascii="Arial" w:eastAsia="Times New Roman" w:hAnsi="Arial" w:cs="Arial"/>
          <w:kern w:val="0"/>
          <w:lang w:eastAsia="en-GB"/>
          <w14:ligatures w14:val="none"/>
        </w:rPr>
        <w:t>. Boston: Pitman.</w:t>
      </w:r>
    </w:p>
    <w:p w14:paraId="0A0B5C79" w14:textId="77777777"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 xml:space="preserve">Hager, M.A. and Brudney, J.L. (2011) ‘Problems recruiting volunteers: Nature versus nurture’, </w:t>
      </w:r>
      <w:r w:rsidRPr="006B25C4">
        <w:rPr>
          <w:rFonts w:ascii="Arial" w:eastAsia="Times New Roman" w:hAnsi="Arial" w:cs="Arial"/>
          <w:i/>
          <w:iCs/>
          <w:kern w:val="0"/>
          <w:lang w:eastAsia="en-GB"/>
          <w14:ligatures w14:val="none"/>
        </w:rPr>
        <w:t>Nonprofit Management and Leadership</w:t>
      </w:r>
      <w:r w:rsidRPr="006B25C4">
        <w:rPr>
          <w:rFonts w:ascii="Arial" w:eastAsia="Times New Roman" w:hAnsi="Arial" w:cs="Arial"/>
          <w:kern w:val="0"/>
          <w:lang w:eastAsia="en-GB"/>
          <w14:ligatures w14:val="none"/>
        </w:rPr>
        <w:t>, 22(2), pp. 137–157.</w:t>
      </w:r>
    </w:p>
    <w:p w14:paraId="70E731F5" w14:textId="77777777"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lastRenderedPageBreak/>
        <w:t xml:space="preserve">Johnson, G., Scholes, K. and Whittington, R. (2017) </w:t>
      </w:r>
      <w:r w:rsidRPr="006B25C4">
        <w:rPr>
          <w:rFonts w:ascii="Arial" w:eastAsia="Times New Roman" w:hAnsi="Arial" w:cs="Arial"/>
          <w:i/>
          <w:iCs/>
          <w:kern w:val="0"/>
          <w:lang w:eastAsia="en-GB"/>
          <w14:ligatures w14:val="none"/>
        </w:rPr>
        <w:t>Exploring Strategy</w:t>
      </w:r>
      <w:r w:rsidRPr="006B25C4">
        <w:rPr>
          <w:rFonts w:ascii="Arial" w:eastAsia="Times New Roman" w:hAnsi="Arial" w:cs="Arial"/>
          <w:kern w:val="0"/>
          <w:lang w:eastAsia="en-GB"/>
          <w14:ligatures w14:val="none"/>
        </w:rPr>
        <w:t>. 11th edn. Harlow: Pearson.</w:t>
      </w:r>
    </w:p>
    <w:p w14:paraId="70747BB3" w14:textId="77777777"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 xml:space="preserve">Lovejoy, K. and Saxton, G.D. (2012) ‘Information, community, and action: How nonprofit organisations use social media’, </w:t>
      </w:r>
      <w:r w:rsidRPr="006B25C4">
        <w:rPr>
          <w:rFonts w:ascii="Arial" w:eastAsia="Times New Roman" w:hAnsi="Arial" w:cs="Arial"/>
          <w:i/>
          <w:iCs/>
          <w:kern w:val="0"/>
          <w:lang w:eastAsia="en-GB"/>
          <w14:ligatures w14:val="none"/>
        </w:rPr>
        <w:t>Journal of Computer-Mediated Communication</w:t>
      </w:r>
      <w:r w:rsidRPr="006B25C4">
        <w:rPr>
          <w:rFonts w:ascii="Arial" w:eastAsia="Times New Roman" w:hAnsi="Arial" w:cs="Arial"/>
          <w:kern w:val="0"/>
          <w:lang w:eastAsia="en-GB"/>
          <w14:ligatures w14:val="none"/>
        </w:rPr>
        <w:t>, 17(3), pp. 337–353.</w:t>
      </w:r>
    </w:p>
    <w:p w14:paraId="3FBA75A4" w14:textId="77777777"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 xml:space="preserve">Mitchell, R.K., Agle, B.R. and Wood, D.J. (1997) ‘Toward a theory of stakeholder identification and salience’, </w:t>
      </w:r>
      <w:r w:rsidRPr="006B25C4">
        <w:rPr>
          <w:rFonts w:ascii="Arial" w:eastAsia="Times New Roman" w:hAnsi="Arial" w:cs="Arial"/>
          <w:i/>
          <w:iCs/>
          <w:kern w:val="0"/>
          <w:lang w:eastAsia="en-GB"/>
          <w14:ligatures w14:val="none"/>
        </w:rPr>
        <w:t>Academy of Management Review</w:t>
      </w:r>
      <w:r w:rsidRPr="006B25C4">
        <w:rPr>
          <w:rFonts w:ascii="Arial" w:eastAsia="Times New Roman" w:hAnsi="Arial" w:cs="Arial"/>
          <w:kern w:val="0"/>
          <w:lang w:eastAsia="en-GB"/>
          <w14:ligatures w14:val="none"/>
        </w:rPr>
        <w:t>, 22(4), pp. 853–886.</w:t>
      </w:r>
    </w:p>
    <w:p w14:paraId="6F3FF8E8" w14:textId="1B4DBDDB"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 xml:space="preserve">New Hope Worcester (n.d.) </w:t>
      </w:r>
      <w:r w:rsidRPr="006B25C4">
        <w:rPr>
          <w:rFonts w:ascii="Arial" w:eastAsia="Times New Roman" w:hAnsi="Arial" w:cs="Arial"/>
          <w:i/>
          <w:iCs/>
          <w:kern w:val="0"/>
          <w:lang w:eastAsia="en-GB"/>
          <w14:ligatures w14:val="none"/>
        </w:rPr>
        <w:t>Home page</w:t>
      </w:r>
      <w:r w:rsidRPr="006B25C4">
        <w:rPr>
          <w:rFonts w:ascii="Arial" w:eastAsia="Times New Roman" w:hAnsi="Arial" w:cs="Arial"/>
          <w:kern w:val="0"/>
          <w:lang w:eastAsia="en-GB"/>
          <w14:ligatures w14:val="none"/>
        </w:rPr>
        <w:t>. Available at: New Hope Worcester official website.</w:t>
      </w:r>
    </w:p>
    <w:p w14:paraId="043CBE71" w14:textId="14DC35F4"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 xml:space="preserve">New Hope Worcester (n.d.) </w:t>
      </w:r>
      <w:r w:rsidRPr="006B25C4">
        <w:rPr>
          <w:rFonts w:ascii="Arial" w:eastAsia="Times New Roman" w:hAnsi="Arial" w:cs="Arial"/>
          <w:i/>
          <w:iCs/>
          <w:kern w:val="0"/>
          <w:lang w:eastAsia="en-GB"/>
          <w14:ligatures w14:val="none"/>
        </w:rPr>
        <w:t>Mission Statement</w:t>
      </w:r>
      <w:r w:rsidRPr="006B25C4">
        <w:rPr>
          <w:rFonts w:ascii="Arial" w:eastAsia="Times New Roman" w:hAnsi="Arial" w:cs="Arial"/>
          <w:kern w:val="0"/>
          <w:lang w:eastAsia="en-GB"/>
          <w14:ligatures w14:val="none"/>
        </w:rPr>
        <w:t>. Available at: New Hope Worcester official website.</w:t>
      </w:r>
    </w:p>
    <w:p w14:paraId="2962A6BB" w14:textId="4A43CB03"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 xml:space="preserve">New Hope Worcester (n.d.) </w:t>
      </w:r>
      <w:r w:rsidRPr="006B25C4">
        <w:rPr>
          <w:rFonts w:ascii="Arial" w:eastAsia="Times New Roman" w:hAnsi="Arial" w:cs="Arial"/>
          <w:i/>
          <w:iCs/>
          <w:kern w:val="0"/>
          <w:lang w:eastAsia="en-GB"/>
          <w14:ligatures w14:val="none"/>
        </w:rPr>
        <w:t>History</w:t>
      </w:r>
      <w:r w:rsidRPr="006B25C4">
        <w:rPr>
          <w:rFonts w:ascii="Arial" w:eastAsia="Times New Roman" w:hAnsi="Arial" w:cs="Arial"/>
          <w:kern w:val="0"/>
          <w:lang w:eastAsia="en-GB"/>
          <w14:ligatures w14:val="none"/>
        </w:rPr>
        <w:t>. Available at: New Hope Worcester official website.</w:t>
      </w:r>
    </w:p>
    <w:p w14:paraId="48A317D2" w14:textId="77777777" w:rsidR="006B25C4" w:rsidRPr="006B25C4" w:rsidRDefault="006B25C4" w:rsidP="00BC4A87">
      <w:pPr>
        <w:spacing w:before="100" w:beforeAutospacing="1" w:after="100" w:afterAutospacing="1" w:line="360" w:lineRule="auto"/>
        <w:jc w:val="both"/>
        <w:rPr>
          <w:rFonts w:ascii="Arial" w:eastAsia="Times New Roman" w:hAnsi="Arial" w:cs="Arial"/>
          <w:kern w:val="0"/>
          <w:lang w:eastAsia="en-GB"/>
          <w14:ligatures w14:val="none"/>
        </w:rPr>
      </w:pPr>
      <w:r w:rsidRPr="006B25C4">
        <w:rPr>
          <w:rFonts w:ascii="Arial" w:eastAsia="Times New Roman" w:hAnsi="Arial" w:cs="Arial"/>
          <w:kern w:val="0"/>
          <w:lang w:eastAsia="en-GB"/>
          <w14:ligatures w14:val="none"/>
        </w:rPr>
        <w:t xml:space="preserve">Worcestershire County Council (n.d.) </w:t>
      </w:r>
      <w:r w:rsidRPr="006B25C4">
        <w:rPr>
          <w:rFonts w:ascii="Arial" w:eastAsia="Times New Roman" w:hAnsi="Arial" w:cs="Arial"/>
          <w:i/>
          <w:iCs/>
          <w:kern w:val="0"/>
          <w:lang w:eastAsia="en-GB"/>
          <w14:ligatures w14:val="none"/>
        </w:rPr>
        <w:t>New Hope: SEND short break groups and activities</w:t>
      </w:r>
      <w:r w:rsidRPr="006B25C4">
        <w:rPr>
          <w:rFonts w:ascii="Arial" w:eastAsia="Times New Roman" w:hAnsi="Arial" w:cs="Arial"/>
          <w:kern w:val="0"/>
          <w:lang w:eastAsia="en-GB"/>
          <w14:ligatures w14:val="none"/>
        </w:rPr>
        <w:t>. Available at: Worcestershire County Council official website.</w:t>
      </w:r>
    </w:p>
    <w:p w14:paraId="3D29D9C3" w14:textId="77777777" w:rsidR="007766B0" w:rsidRDefault="007766B0" w:rsidP="007766B0">
      <w:pPr>
        <w:spacing w:before="100" w:beforeAutospacing="1" w:after="100" w:afterAutospacing="1" w:line="360" w:lineRule="auto"/>
        <w:jc w:val="both"/>
        <w:rPr>
          <w:rFonts w:ascii="Arial" w:eastAsia="Times New Roman" w:hAnsi="Arial" w:cs="Arial"/>
          <w:kern w:val="0"/>
          <w:lang w:eastAsia="en-GB"/>
          <w14:ligatures w14:val="none"/>
        </w:rPr>
      </w:pPr>
    </w:p>
    <w:p w14:paraId="090F4827" w14:textId="77777777" w:rsidR="007766B0" w:rsidRDefault="007766B0" w:rsidP="007766B0">
      <w:pPr>
        <w:spacing w:before="100" w:beforeAutospacing="1" w:after="100" w:afterAutospacing="1" w:line="360" w:lineRule="auto"/>
        <w:jc w:val="both"/>
        <w:rPr>
          <w:rFonts w:ascii="Arial" w:eastAsia="Times New Roman" w:hAnsi="Arial" w:cs="Arial"/>
          <w:kern w:val="0"/>
          <w:lang w:eastAsia="en-GB"/>
          <w14:ligatures w14:val="none"/>
        </w:rPr>
      </w:pPr>
    </w:p>
    <w:p w14:paraId="510CF732" w14:textId="77777777" w:rsidR="007766B0" w:rsidRDefault="007766B0" w:rsidP="007766B0">
      <w:pPr>
        <w:spacing w:before="100" w:beforeAutospacing="1" w:after="100" w:afterAutospacing="1" w:line="360" w:lineRule="auto"/>
        <w:jc w:val="both"/>
        <w:rPr>
          <w:rFonts w:ascii="Arial" w:eastAsia="Times New Roman" w:hAnsi="Arial" w:cs="Arial"/>
          <w:kern w:val="0"/>
          <w:lang w:eastAsia="en-GB"/>
          <w14:ligatures w14:val="none"/>
        </w:rPr>
      </w:pPr>
    </w:p>
    <w:p w14:paraId="764610CE" w14:textId="77777777" w:rsidR="007766B0" w:rsidRDefault="007766B0" w:rsidP="007766B0">
      <w:pPr>
        <w:spacing w:before="100" w:beforeAutospacing="1" w:after="100" w:afterAutospacing="1" w:line="360" w:lineRule="auto"/>
        <w:jc w:val="both"/>
        <w:rPr>
          <w:rFonts w:ascii="Arial" w:eastAsia="Times New Roman" w:hAnsi="Arial" w:cs="Arial"/>
          <w:kern w:val="0"/>
          <w:lang w:eastAsia="en-GB"/>
          <w14:ligatures w14:val="none"/>
        </w:rPr>
      </w:pPr>
    </w:p>
    <w:p w14:paraId="04E7D901" w14:textId="77777777" w:rsidR="007766B0" w:rsidRDefault="007766B0" w:rsidP="007766B0">
      <w:pPr>
        <w:spacing w:before="100" w:beforeAutospacing="1" w:after="100" w:afterAutospacing="1" w:line="360" w:lineRule="auto"/>
        <w:jc w:val="both"/>
        <w:rPr>
          <w:rFonts w:ascii="Arial" w:eastAsia="Times New Roman" w:hAnsi="Arial" w:cs="Arial"/>
          <w:kern w:val="0"/>
          <w:lang w:eastAsia="en-GB"/>
          <w14:ligatures w14:val="none"/>
        </w:rPr>
      </w:pPr>
    </w:p>
    <w:p w14:paraId="41AE5267" w14:textId="77777777" w:rsidR="007766B0" w:rsidRDefault="007766B0" w:rsidP="007766B0">
      <w:pPr>
        <w:spacing w:before="100" w:beforeAutospacing="1" w:after="100" w:afterAutospacing="1" w:line="360" w:lineRule="auto"/>
        <w:jc w:val="both"/>
        <w:rPr>
          <w:rFonts w:ascii="Arial" w:eastAsia="Times New Roman" w:hAnsi="Arial" w:cs="Arial"/>
          <w:kern w:val="0"/>
          <w:lang w:eastAsia="en-GB"/>
          <w14:ligatures w14:val="none"/>
        </w:rPr>
      </w:pPr>
    </w:p>
    <w:p w14:paraId="167C809B" w14:textId="77777777" w:rsidR="007766B0" w:rsidRDefault="007766B0" w:rsidP="007766B0">
      <w:pPr>
        <w:spacing w:before="100" w:beforeAutospacing="1" w:after="100" w:afterAutospacing="1" w:line="360" w:lineRule="auto"/>
        <w:jc w:val="both"/>
        <w:rPr>
          <w:rFonts w:ascii="Arial" w:eastAsia="Times New Roman" w:hAnsi="Arial" w:cs="Arial"/>
          <w:kern w:val="0"/>
          <w:lang w:eastAsia="en-GB"/>
          <w14:ligatures w14:val="none"/>
        </w:rPr>
      </w:pPr>
    </w:p>
    <w:p w14:paraId="3DF89047" w14:textId="10998CE5" w:rsidR="00DB4A45" w:rsidRPr="00DB4A45" w:rsidRDefault="00DB4A45" w:rsidP="007766B0">
      <w:pPr>
        <w:spacing w:line="360" w:lineRule="auto"/>
        <w:jc w:val="both"/>
        <w:rPr>
          <w:rFonts w:ascii="Arial" w:hAnsi="Arial" w:cs="Arial"/>
          <w:sz w:val="40"/>
          <w:szCs w:val="40"/>
        </w:rPr>
      </w:pPr>
    </w:p>
    <w:sectPr w:rsidR="00DB4A45" w:rsidRPr="00DB4A4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FA22B9" w14:textId="77777777" w:rsidR="00445F24" w:rsidRDefault="00445F24" w:rsidP="00BC4A87">
      <w:pPr>
        <w:spacing w:after="0" w:line="240" w:lineRule="auto"/>
      </w:pPr>
      <w:r>
        <w:separator/>
      </w:r>
    </w:p>
  </w:endnote>
  <w:endnote w:type="continuationSeparator" w:id="0">
    <w:p w14:paraId="0DCFC891" w14:textId="77777777" w:rsidR="00445F24" w:rsidRDefault="00445F24" w:rsidP="00BC4A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909530"/>
      <w:docPartObj>
        <w:docPartGallery w:val="Page Numbers (Bottom of Page)"/>
        <w:docPartUnique/>
      </w:docPartObj>
    </w:sdtPr>
    <w:sdtContent>
      <w:p w14:paraId="758FB954" w14:textId="2F1CAF7D" w:rsidR="00BC4A87" w:rsidRDefault="00BC4A87">
        <w:pPr>
          <w:pStyle w:val="Footer"/>
          <w:jc w:val="center"/>
        </w:pPr>
        <w:r>
          <w:fldChar w:fldCharType="begin"/>
        </w:r>
        <w:r>
          <w:instrText>PAGE   \* MERGEFORMAT</w:instrText>
        </w:r>
        <w:r>
          <w:fldChar w:fldCharType="separate"/>
        </w:r>
        <w:r>
          <w:t>2</w:t>
        </w:r>
        <w:r>
          <w:fldChar w:fldCharType="end"/>
        </w:r>
      </w:p>
    </w:sdtContent>
  </w:sdt>
  <w:p w14:paraId="6EA5CCE1" w14:textId="77777777" w:rsidR="00BC4A87" w:rsidRDefault="00BC4A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8132C0" w14:textId="77777777" w:rsidR="00445F24" w:rsidRDefault="00445F24" w:rsidP="00BC4A87">
      <w:pPr>
        <w:spacing w:after="0" w:line="240" w:lineRule="auto"/>
      </w:pPr>
      <w:r>
        <w:separator/>
      </w:r>
    </w:p>
  </w:footnote>
  <w:footnote w:type="continuationSeparator" w:id="0">
    <w:p w14:paraId="1F47E244" w14:textId="77777777" w:rsidR="00445F24" w:rsidRDefault="00445F24" w:rsidP="00BC4A8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7115"/>
    <w:rsid w:val="000C5BFD"/>
    <w:rsid w:val="000F3875"/>
    <w:rsid w:val="000F7FCA"/>
    <w:rsid w:val="001B2978"/>
    <w:rsid w:val="002B117E"/>
    <w:rsid w:val="00354B9B"/>
    <w:rsid w:val="00445F24"/>
    <w:rsid w:val="00680F65"/>
    <w:rsid w:val="006B25C4"/>
    <w:rsid w:val="006C6E04"/>
    <w:rsid w:val="00775B3C"/>
    <w:rsid w:val="007766B0"/>
    <w:rsid w:val="00877115"/>
    <w:rsid w:val="008A0154"/>
    <w:rsid w:val="00A24711"/>
    <w:rsid w:val="00A416F9"/>
    <w:rsid w:val="00A50E13"/>
    <w:rsid w:val="00AB01AD"/>
    <w:rsid w:val="00B73F60"/>
    <w:rsid w:val="00BC4A87"/>
    <w:rsid w:val="00DB4A45"/>
    <w:rsid w:val="00DC3A41"/>
    <w:rsid w:val="00ED2F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38B06"/>
  <w15:chartTrackingRefBased/>
  <w15:docId w15:val="{5DE4B9A5-D430-460C-8EE3-C18F4E389D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71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71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71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71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71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71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71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71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71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71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71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71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71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71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71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71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71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7115"/>
    <w:rPr>
      <w:rFonts w:eastAsiaTheme="majorEastAsia" w:cstheme="majorBidi"/>
      <w:color w:val="272727" w:themeColor="text1" w:themeTint="D8"/>
    </w:rPr>
  </w:style>
  <w:style w:type="paragraph" w:styleId="Title">
    <w:name w:val="Title"/>
    <w:basedOn w:val="Normal"/>
    <w:next w:val="Normal"/>
    <w:link w:val="TitleChar"/>
    <w:uiPriority w:val="10"/>
    <w:qFormat/>
    <w:rsid w:val="008771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71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71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71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7115"/>
    <w:pPr>
      <w:spacing w:before="160"/>
      <w:jc w:val="center"/>
    </w:pPr>
    <w:rPr>
      <w:i/>
      <w:iCs/>
      <w:color w:val="404040" w:themeColor="text1" w:themeTint="BF"/>
    </w:rPr>
  </w:style>
  <w:style w:type="character" w:customStyle="1" w:styleId="QuoteChar">
    <w:name w:val="Quote Char"/>
    <w:basedOn w:val="DefaultParagraphFont"/>
    <w:link w:val="Quote"/>
    <w:uiPriority w:val="29"/>
    <w:rsid w:val="00877115"/>
    <w:rPr>
      <w:i/>
      <w:iCs/>
      <w:color w:val="404040" w:themeColor="text1" w:themeTint="BF"/>
    </w:rPr>
  </w:style>
  <w:style w:type="paragraph" w:styleId="ListParagraph">
    <w:name w:val="List Paragraph"/>
    <w:basedOn w:val="Normal"/>
    <w:uiPriority w:val="34"/>
    <w:qFormat/>
    <w:rsid w:val="00877115"/>
    <w:pPr>
      <w:ind w:left="720"/>
      <w:contextualSpacing/>
    </w:pPr>
  </w:style>
  <w:style w:type="character" w:styleId="IntenseEmphasis">
    <w:name w:val="Intense Emphasis"/>
    <w:basedOn w:val="DefaultParagraphFont"/>
    <w:uiPriority w:val="21"/>
    <w:qFormat/>
    <w:rsid w:val="00877115"/>
    <w:rPr>
      <w:i/>
      <w:iCs/>
      <w:color w:val="0F4761" w:themeColor="accent1" w:themeShade="BF"/>
    </w:rPr>
  </w:style>
  <w:style w:type="paragraph" w:styleId="IntenseQuote">
    <w:name w:val="Intense Quote"/>
    <w:basedOn w:val="Normal"/>
    <w:next w:val="Normal"/>
    <w:link w:val="IntenseQuoteChar"/>
    <w:uiPriority w:val="30"/>
    <w:qFormat/>
    <w:rsid w:val="008771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7115"/>
    <w:rPr>
      <w:i/>
      <w:iCs/>
      <w:color w:val="0F4761" w:themeColor="accent1" w:themeShade="BF"/>
    </w:rPr>
  </w:style>
  <w:style w:type="character" w:styleId="IntenseReference">
    <w:name w:val="Intense Reference"/>
    <w:basedOn w:val="DefaultParagraphFont"/>
    <w:uiPriority w:val="32"/>
    <w:qFormat/>
    <w:rsid w:val="00877115"/>
    <w:rPr>
      <w:b/>
      <w:bCs/>
      <w:smallCaps/>
      <w:color w:val="0F4761" w:themeColor="accent1" w:themeShade="BF"/>
      <w:spacing w:val="5"/>
    </w:rPr>
  </w:style>
  <w:style w:type="paragraph" w:styleId="TOCHeading">
    <w:name w:val="TOC Heading"/>
    <w:basedOn w:val="Heading1"/>
    <w:next w:val="Normal"/>
    <w:uiPriority w:val="39"/>
    <w:unhideWhenUsed/>
    <w:qFormat/>
    <w:rsid w:val="00DB4A45"/>
    <w:pPr>
      <w:spacing w:before="240" w:after="0" w:line="259" w:lineRule="auto"/>
      <w:outlineLvl w:val="9"/>
    </w:pPr>
    <w:rPr>
      <w:kern w:val="0"/>
      <w:sz w:val="32"/>
      <w:szCs w:val="32"/>
      <w:lang w:eastAsia="en-GB"/>
      <w14:ligatures w14:val="none"/>
    </w:rPr>
  </w:style>
  <w:style w:type="character" w:styleId="Hyperlink">
    <w:name w:val="Hyperlink"/>
    <w:basedOn w:val="DefaultParagraphFont"/>
    <w:uiPriority w:val="99"/>
    <w:unhideWhenUsed/>
    <w:rsid w:val="00354B9B"/>
    <w:rPr>
      <w:color w:val="467886" w:themeColor="hyperlink"/>
      <w:u w:val="single"/>
    </w:rPr>
  </w:style>
  <w:style w:type="character" w:styleId="UnresolvedMention">
    <w:name w:val="Unresolved Mention"/>
    <w:basedOn w:val="DefaultParagraphFont"/>
    <w:uiPriority w:val="99"/>
    <w:semiHidden/>
    <w:unhideWhenUsed/>
    <w:rsid w:val="00354B9B"/>
    <w:rPr>
      <w:color w:val="605E5C"/>
      <w:shd w:val="clear" w:color="auto" w:fill="E1DFDD"/>
    </w:rPr>
  </w:style>
  <w:style w:type="paragraph" w:styleId="TOC1">
    <w:name w:val="toc 1"/>
    <w:basedOn w:val="Normal"/>
    <w:next w:val="Normal"/>
    <w:autoRedefine/>
    <w:uiPriority w:val="39"/>
    <w:unhideWhenUsed/>
    <w:rsid w:val="00BC4A87"/>
    <w:pPr>
      <w:spacing w:after="100"/>
    </w:pPr>
  </w:style>
  <w:style w:type="paragraph" w:styleId="TOC2">
    <w:name w:val="toc 2"/>
    <w:basedOn w:val="Normal"/>
    <w:next w:val="Normal"/>
    <w:autoRedefine/>
    <w:uiPriority w:val="39"/>
    <w:unhideWhenUsed/>
    <w:rsid w:val="00BC4A87"/>
    <w:pPr>
      <w:spacing w:after="100"/>
      <w:ind w:left="240"/>
    </w:pPr>
  </w:style>
  <w:style w:type="paragraph" w:styleId="TOC3">
    <w:name w:val="toc 3"/>
    <w:basedOn w:val="Normal"/>
    <w:next w:val="Normal"/>
    <w:autoRedefine/>
    <w:uiPriority w:val="39"/>
    <w:unhideWhenUsed/>
    <w:rsid w:val="00BC4A87"/>
    <w:pPr>
      <w:spacing w:after="100"/>
      <w:ind w:left="480"/>
    </w:pPr>
  </w:style>
  <w:style w:type="paragraph" w:styleId="Header">
    <w:name w:val="header"/>
    <w:basedOn w:val="Normal"/>
    <w:link w:val="HeaderChar"/>
    <w:uiPriority w:val="99"/>
    <w:unhideWhenUsed/>
    <w:rsid w:val="00BC4A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4A87"/>
  </w:style>
  <w:style w:type="paragraph" w:styleId="Footer">
    <w:name w:val="footer"/>
    <w:basedOn w:val="Normal"/>
    <w:link w:val="FooterChar"/>
    <w:uiPriority w:val="99"/>
    <w:unhideWhenUsed/>
    <w:rsid w:val="00BC4A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4A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22CAD8-CB9E-4CE1-8EF3-C61E148E92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14</Pages>
  <Words>3546</Words>
  <Characters>20213</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Catalin Manole (2223641)</dc:creator>
  <cp:keywords/>
  <dc:description/>
  <cp:lastModifiedBy>Gabriel Catalin Manole (2223641)</cp:lastModifiedBy>
  <cp:revision>8</cp:revision>
  <dcterms:created xsi:type="dcterms:W3CDTF">2026-03-26T11:56:00Z</dcterms:created>
  <dcterms:modified xsi:type="dcterms:W3CDTF">2026-03-26T14:25:00Z</dcterms:modified>
</cp:coreProperties>
</file>