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rPr>
          <w:b w:val="1"/>
        </w:rPr>
      </w:pPr>
      <w:r w:rsidDel="00000000" w:rsidR="00000000" w:rsidRPr="00000000">
        <w:rPr>
          <w:rtl w:val="0"/>
        </w:rPr>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rtl w:val="0"/>
        </w:rPr>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rPr>
          <w:b w:val="1"/>
        </w:rPr>
      </w:pPr>
      <w:r w:rsidDel="00000000" w:rsidR="00000000" w:rsidRPr="00000000">
        <w:rPr>
          <w:rtl w:val="0"/>
        </w:rPr>
      </w:r>
    </w:p>
    <w:p w:rsidR="00000000" w:rsidDel="00000000" w:rsidP="00000000" w:rsidRDefault="00000000" w:rsidRPr="00000000" w14:paraId="00000006">
      <w:pPr>
        <w:rPr>
          <w:b w:val="1"/>
        </w:rPr>
      </w:pPr>
      <w:r w:rsidDel="00000000" w:rsidR="00000000" w:rsidRPr="00000000">
        <w:rPr>
          <w:rtl w:val="0"/>
        </w:rPr>
      </w:r>
    </w:p>
    <w:p w:rsidR="00000000" w:rsidDel="00000000" w:rsidP="00000000" w:rsidRDefault="00000000" w:rsidRPr="00000000" w14:paraId="00000007">
      <w:pPr>
        <w:rPr>
          <w:b w:val="1"/>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b w:val="1"/>
          <w:i w:val="1"/>
          <w:sz w:val="54"/>
          <w:szCs w:val="54"/>
        </w:rPr>
      </w:pPr>
      <w:r w:rsidDel="00000000" w:rsidR="00000000" w:rsidRPr="00000000">
        <w:rPr>
          <w:rFonts w:ascii="Times New Roman" w:cs="Times New Roman" w:eastAsia="Times New Roman" w:hAnsi="Times New Roman"/>
          <w:b w:val="1"/>
          <w:i w:val="1"/>
          <w:sz w:val="54"/>
          <w:szCs w:val="54"/>
          <w:rtl w:val="0"/>
        </w:rPr>
        <w:t xml:space="preserve">Living with Care: The Older Person</w:t>
      </w:r>
    </w:p>
    <w:p w:rsidR="00000000" w:rsidDel="00000000" w:rsidP="00000000" w:rsidRDefault="00000000" w:rsidRPr="00000000" w14:paraId="00000009">
      <w:pPr>
        <w:jc w:val="center"/>
        <w:rPr>
          <w:rFonts w:ascii="Times New Roman" w:cs="Times New Roman" w:eastAsia="Times New Roman" w:hAnsi="Times New Roman"/>
          <w:b w:val="1"/>
          <w:i w:val="1"/>
          <w:sz w:val="54"/>
          <w:szCs w:val="54"/>
        </w:rPr>
      </w:pPr>
      <w:r w:rsidDel="00000000" w:rsidR="00000000" w:rsidRPr="00000000">
        <w:rPr>
          <w:rFonts w:ascii="Times New Roman" w:cs="Times New Roman" w:eastAsia="Times New Roman" w:hAnsi="Times New Roman"/>
          <w:b w:val="1"/>
          <w:i w:val="1"/>
          <w:sz w:val="54"/>
          <w:szCs w:val="54"/>
          <w:rtl w:val="0"/>
        </w:rPr>
        <w:t xml:space="preserve">Report</w:t>
      </w:r>
    </w:p>
    <w:p w:rsidR="00000000" w:rsidDel="00000000" w:rsidP="00000000" w:rsidRDefault="00000000" w:rsidRPr="00000000" w14:paraId="0000000A">
      <w:pPr>
        <w:jc w:val="center"/>
        <w:rPr>
          <w:rFonts w:ascii="Times New Roman" w:cs="Times New Roman" w:eastAsia="Times New Roman" w:hAnsi="Times New Roman"/>
          <w:b w:val="1"/>
          <w:i w:val="1"/>
          <w:sz w:val="54"/>
          <w:szCs w:val="54"/>
        </w:rPr>
      </w:pPr>
      <w:r w:rsidDel="00000000" w:rsidR="00000000" w:rsidRPr="00000000">
        <w:rPr>
          <w:rtl w:val="0"/>
        </w:rPr>
      </w:r>
    </w:p>
    <w:p w:rsidR="00000000" w:rsidDel="00000000" w:rsidP="00000000" w:rsidRDefault="00000000" w:rsidRPr="00000000" w14:paraId="0000000B">
      <w:pPr>
        <w:jc w:val="center"/>
        <w:rPr>
          <w:b w:val="1"/>
          <w:i w:val="1"/>
          <w:sz w:val="54"/>
          <w:szCs w:val="54"/>
        </w:rPr>
      </w:pPr>
      <w:r w:rsidDel="00000000" w:rsidR="00000000" w:rsidRPr="00000000">
        <w:rPr>
          <w:b w:val="1"/>
          <w:i w:val="1"/>
          <w:sz w:val="54"/>
          <w:szCs w:val="54"/>
          <w:rtl w:val="0"/>
        </w:rPr>
        <w:t xml:space="preserve">student Name: Jubli Aktar </w:t>
      </w:r>
    </w:p>
    <w:p w:rsidR="00000000" w:rsidDel="00000000" w:rsidP="00000000" w:rsidRDefault="00000000" w:rsidRPr="00000000" w14:paraId="0000000C">
      <w:pPr>
        <w:jc w:val="center"/>
        <w:rPr>
          <w:b w:val="1"/>
          <w:i w:val="1"/>
          <w:sz w:val="54"/>
          <w:szCs w:val="54"/>
        </w:rPr>
      </w:pPr>
      <w:r w:rsidDel="00000000" w:rsidR="00000000" w:rsidRPr="00000000">
        <w:rPr>
          <w:b w:val="1"/>
          <w:i w:val="1"/>
          <w:sz w:val="54"/>
          <w:szCs w:val="54"/>
          <w:rtl w:val="0"/>
        </w:rPr>
        <w:t xml:space="preserve">ID: 2128699 </w:t>
      </w:r>
    </w:p>
    <w:p w:rsidR="00000000" w:rsidDel="00000000" w:rsidP="00000000" w:rsidRDefault="00000000" w:rsidRPr="00000000" w14:paraId="0000000D">
      <w:pPr>
        <w:jc w:val="center"/>
        <w:rPr>
          <w:b w:val="1"/>
          <w:i w:val="1"/>
          <w:sz w:val="54"/>
          <w:szCs w:val="54"/>
        </w:rPr>
      </w:pPr>
      <w:r w:rsidDel="00000000" w:rsidR="00000000" w:rsidRPr="00000000">
        <w:rPr>
          <w:b w:val="1"/>
          <w:i w:val="1"/>
          <w:sz w:val="54"/>
          <w:szCs w:val="54"/>
          <w:rtl w:val="0"/>
        </w:rPr>
        <w:t xml:space="preserve">Module Code: BMHP6009</w:t>
      </w:r>
    </w:p>
    <w:p w:rsidR="00000000" w:rsidDel="00000000" w:rsidP="00000000" w:rsidRDefault="00000000" w:rsidRPr="00000000" w14:paraId="0000000E">
      <w:pPr>
        <w:jc w:val="center"/>
        <w:rPr>
          <w:b w:val="1"/>
          <w:i w:val="1"/>
          <w:sz w:val="54"/>
          <w:szCs w:val="54"/>
        </w:rPr>
      </w:pPr>
      <w:r w:rsidDel="00000000" w:rsidR="00000000" w:rsidRPr="00000000">
        <w:rPr>
          <w:b w:val="1"/>
          <w:i w:val="1"/>
          <w:sz w:val="54"/>
          <w:szCs w:val="54"/>
          <w:rtl w:val="0"/>
        </w:rPr>
        <w:t xml:space="preserve">Lecturer: Joanne Davies \ Liz Tilly </w:t>
      </w:r>
    </w:p>
    <w:p w:rsidR="00000000" w:rsidDel="00000000" w:rsidP="00000000" w:rsidRDefault="00000000" w:rsidRPr="00000000" w14:paraId="0000000F">
      <w:pPr>
        <w:jc w:val="center"/>
        <w:rPr>
          <w:b w:val="1"/>
          <w:i w:val="1"/>
          <w:sz w:val="54"/>
          <w:szCs w:val="54"/>
        </w:rPr>
      </w:pPr>
      <w:r w:rsidDel="00000000" w:rsidR="00000000" w:rsidRPr="00000000">
        <w:rPr>
          <w:b w:val="1"/>
          <w:i w:val="1"/>
          <w:sz w:val="54"/>
          <w:szCs w:val="54"/>
          <w:rtl w:val="0"/>
        </w:rPr>
        <w:t xml:space="preserve">Assignment Title: Component 2 Written Report</w:t>
      </w:r>
    </w:p>
    <w:p w:rsidR="00000000" w:rsidDel="00000000" w:rsidP="00000000" w:rsidRDefault="00000000" w:rsidRPr="00000000" w14:paraId="00000010">
      <w:pPr>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11">
      <w:pPr>
        <w:rPr>
          <w:b w:val="1"/>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rPr>
          <w:b w:val="1"/>
        </w:rPr>
      </w:pPr>
      <w:r w:rsidDel="00000000" w:rsidR="00000000" w:rsidRPr="00000000">
        <w:rPr>
          <w:rtl w:val="0"/>
        </w:rPr>
      </w:r>
    </w:p>
    <w:p w:rsidR="00000000" w:rsidDel="00000000" w:rsidP="00000000" w:rsidRDefault="00000000" w:rsidRPr="00000000" w14:paraId="00000016">
      <w:pPr>
        <w:rPr>
          <w:b w:val="1"/>
        </w:rPr>
      </w:pPr>
      <w:r w:rsidDel="00000000" w:rsidR="00000000" w:rsidRPr="00000000">
        <w:rPr>
          <w:rtl w:val="0"/>
        </w:rPr>
      </w:r>
    </w:p>
    <w:p w:rsidR="00000000" w:rsidDel="00000000" w:rsidP="00000000" w:rsidRDefault="00000000" w:rsidRPr="00000000" w14:paraId="00000017">
      <w:pPr>
        <w:pStyle w:val="Heading1"/>
        <w:rPr>
          <w:rFonts w:ascii="Arial" w:cs="Arial" w:eastAsia="Arial" w:hAnsi="Arial"/>
          <w:b w:val="1"/>
          <w:sz w:val="22"/>
          <w:szCs w:val="22"/>
        </w:rPr>
      </w:pPr>
      <w:bookmarkStart w:colFirst="0" w:colLast="0" w:name="_heading=h.gjdgxs" w:id="0"/>
      <w:bookmarkEnd w:id="0"/>
      <w:r w:rsidDel="00000000" w:rsidR="00000000" w:rsidRPr="00000000">
        <w:rPr>
          <w:rFonts w:ascii="Arial" w:cs="Arial" w:eastAsia="Arial" w:hAnsi="Arial"/>
          <w:b w:val="1"/>
          <w:sz w:val="22"/>
          <w:szCs w:val="22"/>
          <w:rtl w:val="0"/>
        </w:rPr>
        <w:t xml:space="preserve">Introduction </w:t>
      </w:r>
    </w:p>
    <w:p w:rsidR="00000000" w:rsidDel="00000000" w:rsidP="00000000" w:rsidRDefault="00000000" w:rsidRPr="00000000" w14:paraId="00000018">
      <w:pPr>
        <w:rPr/>
      </w:pPr>
      <w:r w:rsidDel="00000000" w:rsidR="00000000" w:rsidRPr="00000000">
        <w:rPr>
          <w:rtl w:val="0"/>
        </w:rPr>
        <w:t xml:space="preserve">The United Kingdom's ageing population creates major social and medical problems. The Office for National Statistics (2020) reports that, mostly due to developments in medical treatment, better living conditions, and reduced birth rates, the percentage of people aged 65 and beyond is at an unheard-of high. This demographic shift necessitates a complete examination of the struggling health and social care systems (Prince et al., 2015). Old age begins about 65 and includes physical, psychological, and social changes, according to the WHO (2021). Disability, sensory issues, and chronic diseases like diabetes and dementia can result from ageing (NHS, 2020; Alzheimer's Society, 2021). Mental health issues like depression and cognitive impairment can lower the quality of life for older people (Prince et al., 2015). </w:t>
      </w:r>
    </w:p>
    <w:p w:rsidR="00000000" w:rsidDel="00000000" w:rsidP="00000000" w:rsidRDefault="00000000" w:rsidRPr="00000000" w14:paraId="00000019">
      <w:pPr>
        <w:rPr/>
      </w:pPr>
      <w:r w:rsidDel="00000000" w:rsidR="00000000" w:rsidRPr="00000000">
        <w:rPr>
          <w:rtl w:val="0"/>
        </w:rPr>
        <w:t xml:space="preserve">Retirement and losing work-related social networks may lead to loneliness and low self-esteem (Bengtson et al., 2009). Seniors' major illnesses, social isolation, and healthcare access are worsening due to the COVID-19 pandemic (Age UK, 2021; ONS, 2021). These difficulties demonstrate the need for better aged support. An 81-year-old nursing home resident, Bernard, is studied to identify his medical and support demands and their impact on the UK social and healthcare system. Bernard's story shows how physical, psychological, and social variables affect ageing and the need for person-centred care (Kitwood, 1997; Department of Health and Social Care, 2014). Meeting Bernard's needs, this study seeks effective elderly support and protection methods.</w:t>
      </w:r>
    </w:p>
    <w:p w:rsidR="00000000" w:rsidDel="00000000" w:rsidP="00000000" w:rsidRDefault="00000000" w:rsidRPr="00000000" w14:paraId="0000001A">
      <w:pPr>
        <w:pStyle w:val="Heading1"/>
        <w:rPr>
          <w:rFonts w:ascii="Arial" w:cs="Arial" w:eastAsia="Arial" w:hAnsi="Arial"/>
          <w:b w:val="1"/>
          <w:sz w:val="22"/>
          <w:szCs w:val="22"/>
        </w:rPr>
      </w:pPr>
      <w:bookmarkStart w:colFirst="0" w:colLast="0" w:name="_heading=h.30j0zll" w:id="1"/>
      <w:bookmarkEnd w:id="1"/>
      <w:r w:rsidDel="00000000" w:rsidR="00000000" w:rsidRPr="00000000">
        <w:rPr>
          <w:rFonts w:ascii="Arial" w:cs="Arial" w:eastAsia="Arial" w:hAnsi="Arial"/>
          <w:b w:val="1"/>
          <w:sz w:val="22"/>
          <w:szCs w:val="22"/>
          <w:rtl w:val="0"/>
        </w:rPr>
        <w:t xml:space="preserve">Defining Old Age </w:t>
      </w:r>
    </w:p>
    <w:p w:rsidR="00000000" w:rsidDel="00000000" w:rsidP="00000000" w:rsidRDefault="00000000" w:rsidRPr="00000000" w14:paraId="0000001B">
      <w:pPr>
        <w:rPr/>
      </w:pPr>
      <w:r w:rsidDel="00000000" w:rsidR="00000000" w:rsidRPr="00000000">
        <w:rPr>
          <w:rtl w:val="0"/>
        </w:rPr>
        <w:t xml:space="preserve">Depending on culture, old age can start at any point after the age of 65 (WHO, 2021). Significant physical, emotional, and social changes occur. Mobility challenges, sensory impairments, and chronic conditions like diabetes, cardiovascular disease, and arthritis require medical support (NHS, 2020; Prince et al., 2015). More people have dementia and depression, requiring specialised care (Alzheimer's Society, 2021; Kitwood, 1997). Reduced social participation and purpose after retirement affect mental health (Bengtson et al., 2009). Social isolation increases with shrinking networks (Pillemer et al., 2003).  The Disengagement Theory says older persons retreat from social roles, affecting self-identity (Cumming &amp; Henry, 1961). Activity Theory states that being active improves life pleasure and health (Havighurst, 1961). Understanding old age demands acknowledging its complexity and individuality (Moody &amp; Sasser, 2017). Supporting older individuals' quality of life and well-being requires a holistic approach to physical, mental, and social health (WHO, 2021; Department of Health and Social Care, 2014).</w:t>
      </w:r>
    </w:p>
    <w:p w:rsidR="00000000" w:rsidDel="00000000" w:rsidP="00000000" w:rsidRDefault="00000000" w:rsidRPr="00000000" w14:paraId="0000001C">
      <w:pPr>
        <w:pStyle w:val="Heading1"/>
        <w:rPr>
          <w:rFonts w:ascii="Arial" w:cs="Arial" w:eastAsia="Arial" w:hAnsi="Arial"/>
          <w:b w:val="1"/>
          <w:sz w:val="22"/>
          <w:szCs w:val="22"/>
        </w:rPr>
      </w:pPr>
      <w:bookmarkStart w:colFirst="0" w:colLast="0" w:name="_heading=h.1fob9te" w:id="2"/>
      <w:bookmarkEnd w:id="2"/>
      <w:r w:rsidDel="00000000" w:rsidR="00000000" w:rsidRPr="00000000">
        <w:rPr>
          <w:rFonts w:ascii="Arial" w:cs="Arial" w:eastAsia="Arial" w:hAnsi="Arial"/>
          <w:b w:val="1"/>
          <w:sz w:val="22"/>
          <w:szCs w:val="22"/>
          <w:rtl w:val="0"/>
        </w:rPr>
        <w:t xml:space="preserve">The Aging Population </w:t>
      </w:r>
    </w:p>
    <w:p w:rsidR="00000000" w:rsidDel="00000000" w:rsidP="00000000" w:rsidRDefault="00000000" w:rsidRPr="00000000" w14:paraId="0000001D">
      <w:pPr>
        <w:rPr/>
      </w:pPr>
      <w:r w:rsidDel="00000000" w:rsidR="00000000" w:rsidRPr="00000000">
        <w:rPr>
          <w:rtl w:val="0"/>
        </w:rPr>
        <w:t xml:space="preserve">The UK and other affluent nations are experiencing an ageing population that is being exacerbated by lower birth rates, enhanced living standards, and healthcare advancements (Office for National Statistics, 2020). Improved medical care and public health have increased life expectancy and reduced diabetes and cardiovascular disease mortality (Bloom et al., 2015; NHS, 2020). This demographic change causes greater rates of chronic diseases, cognitive decline, and mobility impairments, requiring expensive healthcare and social support (Alzheimer's Society, 2021; Prince et al., 2015). COVID-19 limits have increased elderly social isolation and loneliness (Age UK, 2021). Pensions and social security are under pressure from the ageing population (Walker &amp; Maltby, 2012). To help older individuals enjoy healthy, satisfying lives, governmental reforms, innovative healthcare, and community support are needed (Moody &amp; Sasser, 2017; WHO, 2021).</w:t>
      </w:r>
    </w:p>
    <w:p w:rsidR="00000000" w:rsidDel="00000000" w:rsidP="00000000" w:rsidRDefault="00000000" w:rsidRPr="00000000" w14:paraId="0000001E">
      <w:pPr>
        <w:rPr>
          <w:b w:val="1"/>
        </w:rPr>
      </w:pPr>
      <w:r w:rsidDel="00000000" w:rsidR="00000000" w:rsidRPr="00000000">
        <w:rPr>
          <w:rtl w:val="0"/>
        </w:rPr>
      </w:r>
    </w:p>
    <w:p w:rsidR="00000000" w:rsidDel="00000000" w:rsidP="00000000" w:rsidRDefault="00000000" w:rsidRPr="00000000" w14:paraId="0000001F">
      <w:pPr>
        <w:pStyle w:val="Heading1"/>
        <w:rPr>
          <w:rFonts w:ascii="Arial" w:cs="Arial" w:eastAsia="Arial" w:hAnsi="Arial"/>
          <w:b w:val="1"/>
          <w:sz w:val="24"/>
          <w:szCs w:val="24"/>
        </w:rPr>
      </w:pPr>
      <w:bookmarkStart w:colFirst="0" w:colLast="0" w:name="_heading=h.3znysh7" w:id="3"/>
      <w:bookmarkEnd w:id="3"/>
      <w:r w:rsidDel="00000000" w:rsidR="00000000" w:rsidRPr="00000000">
        <w:rPr>
          <w:rFonts w:ascii="Arial" w:cs="Arial" w:eastAsia="Arial" w:hAnsi="Arial"/>
          <w:b w:val="1"/>
          <w:sz w:val="24"/>
          <w:szCs w:val="24"/>
          <w:rtl w:val="0"/>
        </w:rPr>
        <w:t xml:space="preserve">Issues Experienced by Older People </w:t>
      </w:r>
    </w:p>
    <w:p w:rsidR="00000000" w:rsidDel="00000000" w:rsidP="00000000" w:rsidRDefault="00000000" w:rsidRPr="00000000" w14:paraId="00000020">
      <w:pPr>
        <w:rPr/>
      </w:pPr>
      <w:r w:rsidDel="00000000" w:rsidR="00000000" w:rsidRPr="00000000">
        <w:rPr>
          <w:rtl w:val="0"/>
        </w:rPr>
        <w:t xml:space="preserve">As individuals age, they encounter a multitude of obstacles that diminish their quality of life. Fixed salaries that cannot keep up with escalating living and healthcare expenditures cause financial insecurity (Hirst, 2005). Heart disease, diabetes, and arthritis limit movement and require medical management in many senior people (NHS, 2020). Depression and anxiety, exacerbated by physical illness and social isolation, are common (Alzheimer's Society 2021). Seniors who lose friends or live far from relatives are lonely (Wenger &amp; Burholt, 2004). Ageism worsens their situation by limiting work, social involvement, and healthcare (Walker, 2006). Significant illness, isolation, and difficulty receiving care have increased because to the COVID-19 pandemic (Age UK, 2021). Addressing ageism, financial support, healthcare access, and social isolation are key (Bloom et al., 2015; Moody &amp; Sasser, 2017).</w:t>
      </w:r>
    </w:p>
    <w:p w:rsidR="00000000" w:rsidDel="00000000" w:rsidP="00000000" w:rsidRDefault="00000000" w:rsidRPr="00000000" w14:paraId="00000021">
      <w:pPr>
        <w:pStyle w:val="Heading1"/>
        <w:rPr>
          <w:rFonts w:ascii="Arial" w:cs="Arial" w:eastAsia="Arial" w:hAnsi="Arial"/>
          <w:b w:val="1"/>
          <w:sz w:val="24"/>
          <w:szCs w:val="24"/>
        </w:rPr>
      </w:pPr>
      <w:bookmarkStart w:colFirst="0" w:colLast="0" w:name="_heading=h.2et92p0" w:id="4"/>
      <w:bookmarkEnd w:id="4"/>
      <w:r w:rsidDel="00000000" w:rsidR="00000000" w:rsidRPr="00000000">
        <w:rPr>
          <w:rFonts w:ascii="Arial" w:cs="Arial" w:eastAsia="Arial" w:hAnsi="Arial"/>
          <w:b w:val="1"/>
          <w:sz w:val="24"/>
          <w:szCs w:val="24"/>
          <w:rtl w:val="0"/>
        </w:rPr>
        <w:t xml:space="preserve">Case Study of Bernard </w:t>
      </w:r>
    </w:p>
    <w:p w:rsidR="00000000" w:rsidDel="00000000" w:rsidP="00000000" w:rsidRDefault="00000000" w:rsidRPr="00000000" w14:paraId="00000022">
      <w:pPr>
        <w:rPr/>
      </w:pPr>
      <w:r w:rsidDel="00000000" w:rsidR="00000000" w:rsidRPr="00000000">
        <w:rPr>
          <w:rtl w:val="0"/>
        </w:rPr>
        <w:t xml:space="preserve">Bernard, an 81-year-old resident of a nursing facility, serves as a prime example of the intricate requirements of older adults. He needs advanced medical care for Type 1 diabetes and vascular dementia (NHS, 2020; Alzheimer's Society, 2021). His family pays £345 for blood glucose monitoring and insulin delivery in an £850-per-week care facility (NHS, 2020). To be healthy and avoid cognitive deterioration, his dementia requires specialised care and structure (Kitwood, 1997). Bernard needs family visits to find emotional stability and connect to his past. His wife, daughter, granddaughters, and great-grandchildren support him, but rare visits strain her (Pillemer et al., 2003). </w:t>
      </w:r>
    </w:p>
    <w:p w:rsidR="00000000" w:rsidDel="00000000" w:rsidP="00000000" w:rsidRDefault="00000000" w:rsidRPr="00000000" w14:paraId="00000023">
      <w:pPr>
        <w:rPr>
          <w:b w:val="1"/>
        </w:rPr>
      </w:pPr>
      <w:r w:rsidDel="00000000" w:rsidR="00000000" w:rsidRPr="00000000">
        <w:rPr>
          <w:rtl w:val="0"/>
        </w:rPr>
        <w:t xml:space="preserve">Due to his memory deficits, wandering and inappropriate fixing pose safety hazards (Alzheimer's Society, 2021). Regular assessments of Bernard's care plan and adjustments are made by occupational therapists, social workers, and medical professionals (Department of Health and Social Care, 2014). His example underlines the need of person-centred care that upholds dignity and quality of life by respecting choices and histories (NHS, 2020). Bernard's well-being is enhanced by holistic, tailored treatment; family involvement; continuous medical and emotional support; Kitwood, 1997.</w:t>
      </w:r>
      <w:r w:rsidDel="00000000" w:rsidR="00000000" w:rsidRPr="00000000">
        <w:rPr>
          <w:rtl w:val="0"/>
        </w:rPr>
      </w:r>
    </w:p>
    <w:p w:rsidR="00000000" w:rsidDel="00000000" w:rsidP="00000000" w:rsidRDefault="00000000" w:rsidRPr="00000000" w14:paraId="00000024">
      <w:pPr>
        <w:pStyle w:val="Heading1"/>
        <w:rPr>
          <w:rFonts w:ascii="Arial" w:cs="Arial" w:eastAsia="Arial" w:hAnsi="Arial"/>
          <w:b w:val="1"/>
          <w:sz w:val="24"/>
          <w:szCs w:val="24"/>
        </w:rPr>
      </w:pPr>
      <w:bookmarkStart w:colFirst="0" w:colLast="0" w:name="_heading=h.tyjcwt" w:id="5"/>
      <w:bookmarkEnd w:id="5"/>
      <w:r w:rsidDel="00000000" w:rsidR="00000000" w:rsidRPr="00000000">
        <w:rPr>
          <w:rFonts w:ascii="Arial" w:cs="Arial" w:eastAsia="Arial" w:hAnsi="Arial"/>
          <w:b w:val="1"/>
          <w:sz w:val="24"/>
          <w:szCs w:val="24"/>
          <w:rtl w:val="0"/>
        </w:rPr>
        <w:t xml:space="preserve">Health and Social Care Needs </w:t>
      </w:r>
    </w:p>
    <w:p w:rsidR="00000000" w:rsidDel="00000000" w:rsidP="00000000" w:rsidRDefault="00000000" w:rsidRPr="00000000" w14:paraId="00000025">
      <w:pPr>
        <w:pStyle w:val="Heading2"/>
        <w:rPr>
          <w:rFonts w:ascii="Arial" w:cs="Arial" w:eastAsia="Arial" w:hAnsi="Arial"/>
          <w:b w:val="1"/>
          <w:sz w:val="22"/>
          <w:szCs w:val="22"/>
        </w:rPr>
      </w:pPr>
      <w:bookmarkStart w:colFirst="0" w:colLast="0" w:name="_heading=h.3dy6vkm" w:id="6"/>
      <w:bookmarkEnd w:id="6"/>
      <w:r w:rsidDel="00000000" w:rsidR="00000000" w:rsidRPr="00000000">
        <w:rPr>
          <w:rFonts w:ascii="Arial" w:cs="Arial" w:eastAsia="Arial" w:hAnsi="Arial"/>
          <w:b w:val="1"/>
          <w:sz w:val="22"/>
          <w:szCs w:val="22"/>
          <w:rtl w:val="0"/>
        </w:rPr>
        <w:t xml:space="preserve">Medical Care</w:t>
      </w:r>
    </w:p>
    <w:p w:rsidR="00000000" w:rsidDel="00000000" w:rsidP="00000000" w:rsidRDefault="00000000" w:rsidRPr="00000000" w14:paraId="00000026">
      <w:pPr>
        <w:rPr/>
      </w:pPr>
      <w:r w:rsidDel="00000000" w:rsidR="00000000" w:rsidRPr="00000000">
        <w:rPr>
          <w:rtl w:val="0"/>
        </w:rPr>
        <w:t xml:space="preserve">Bernard requires comprehensive medical care due to his intricate health profile. His Type 1 diabetes requires constant blood glucose monitoring, insulin administration, and a well-managed diet to avoid hyperglycaemia (NHS, 2020). His cognitive limitations from vascular dementia require support with these chores to follow his diabetes management plan. His dementia and diabetes complicate his care since cognitive loss can impair his capacity to recognise blood sugar variations and manage his illness autonomously (Alzheimer's Society, 2021).</w:t>
      </w:r>
    </w:p>
    <w:p w:rsidR="00000000" w:rsidDel="00000000" w:rsidP="00000000" w:rsidRDefault="00000000" w:rsidRPr="00000000" w14:paraId="00000027">
      <w:pPr>
        <w:rPr/>
      </w:pPr>
      <w:r w:rsidDel="00000000" w:rsidR="00000000" w:rsidRPr="00000000">
        <w:rPr>
          <w:rtl w:val="0"/>
        </w:rPr>
        <w:t xml:space="preserve">Bernard's healthcare demands are complicated by vascular dementia, which requires treatment to limit progression. Antihypertensives, cholesterol-lowering medicines, and cognitive therapy to sustain mental function are included (Prince et al., 2015). Regular medical evaluations are needed to track dementia progression and adapt treatment approaches to address both his physical and cognitive health (NHS, 2020).</w:t>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pStyle w:val="Heading2"/>
        <w:rPr>
          <w:rFonts w:ascii="Arial" w:cs="Arial" w:eastAsia="Arial" w:hAnsi="Arial"/>
          <w:b w:val="1"/>
          <w:sz w:val="22"/>
          <w:szCs w:val="22"/>
        </w:rPr>
      </w:pPr>
      <w:bookmarkStart w:colFirst="0" w:colLast="0" w:name="_heading=h.1t3h5sf" w:id="7"/>
      <w:bookmarkEnd w:id="7"/>
      <w:r w:rsidDel="00000000" w:rsidR="00000000" w:rsidRPr="00000000">
        <w:rPr>
          <w:rFonts w:ascii="Arial" w:cs="Arial" w:eastAsia="Arial" w:hAnsi="Arial"/>
          <w:b w:val="1"/>
          <w:sz w:val="22"/>
          <w:szCs w:val="22"/>
          <w:rtl w:val="0"/>
        </w:rPr>
        <w:t xml:space="preserve">Mental Health</w:t>
      </w:r>
    </w:p>
    <w:p w:rsidR="00000000" w:rsidDel="00000000" w:rsidP="00000000" w:rsidRDefault="00000000" w:rsidRPr="00000000" w14:paraId="0000002C">
      <w:pPr>
        <w:rPr/>
      </w:pPr>
      <w:r w:rsidDel="00000000" w:rsidR="00000000" w:rsidRPr="00000000">
        <w:rPr>
          <w:rtl w:val="0"/>
        </w:rPr>
        <w:t xml:space="preserve">Bernard requires mental health support because of the emotional distress resulting from diminished family interactions, particularly with his wife, and the psychological impact of his conditions (Pillemer et al., 2003). He needs structured social connections and cognitive stimulation to manage dementia and prevent depression. Reminiscence treatment can boost his mood and cognition (Woods et al., 2012). Puzzles and modest exercise can improve Bernard's mental health and give him purpose (Kitwood, 1997).</w:t>
      </w:r>
    </w:p>
    <w:p w:rsidR="00000000" w:rsidDel="00000000" w:rsidP="00000000" w:rsidRDefault="00000000" w:rsidRPr="00000000" w14:paraId="0000002D">
      <w:pPr>
        <w:pStyle w:val="Heading2"/>
        <w:rPr>
          <w:rFonts w:ascii="Arial" w:cs="Arial" w:eastAsia="Arial" w:hAnsi="Arial"/>
          <w:b w:val="1"/>
          <w:sz w:val="22"/>
          <w:szCs w:val="22"/>
        </w:rPr>
      </w:pPr>
      <w:bookmarkStart w:colFirst="0" w:colLast="0" w:name="_heading=h.4d34og8" w:id="8"/>
      <w:bookmarkEnd w:id="8"/>
      <w:r w:rsidDel="00000000" w:rsidR="00000000" w:rsidRPr="00000000">
        <w:rPr>
          <w:rFonts w:ascii="Arial" w:cs="Arial" w:eastAsia="Arial" w:hAnsi="Arial"/>
          <w:b w:val="1"/>
          <w:sz w:val="22"/>
          <w:szCs w:val="22"/>
          <w:rtl w:val="0"/>
        </w:rPr>
        <w:t xml:space="preserve">Personal Care</w:t>
      </w:r>
    </w:p>
    <w:p w:rsidR="00000000" w:rsidDel="00000000" w:rsidP="00000000" w:rsidRDefault="00000000" w:rsidRPr="00000000" w14:paraId="0000002E">
      <w:pPr>
        <w:rPr/>
      </w:pPr>
      <w:r w:rsidDel="00000000" w:rsidR="00000000" w:rsidRPr="00000000">
        <w:rPr>
          <w:rtl w:val="0"/>
        </w:rPr>
        <w:t xml:space="preserve">Bernard needs personal attention everyday due to his physical and cognitive difficulties. Hygiene and dignity require assistance with bathing, clothing, and toileting (Department of Health and Social Care, 2014). The nursing home staff must respect Bernard's dignity and autonomy when performing these responsibilities. His comfort and contentment with care can improve with personalised care plans (NHS, 2020).</w:t>
      </w:r>
    </w:p>
    <w:p w:rsidR="00000000" w:rsidDel="00000000" w:rsidP="00000000" w:rsidRDefault="00000000" w:rsidRPr="00000000" w14:paraId="0000002F">
      <w:pPr>
        <w:pStyle w:val="Heading2"/>
        <w:rPr>
          <w:rFonts w:ascii="Arial" w:cs="Arial" w:eastAsia="Arial" w:hAnsi="Arial"/>
          <w:b w:val="1"/>
          <w:sz w:val="22"/>
          <w:szCs w:val="22"/>
        </w:rPr>
      </w:pPr>
      <w:bookmarkStart w:colFirst="0" w:colLast="0" w:name="_heading=h.2s8eyo1" w:id="9"/>
      <w:bookmarkEnd w:id="9"/>
      <w:r w:rsidDel="00000000" w:rsidR="00000000" w:rsidRPr="00000000">
        <w:rPr>
          <w:rFonts w:ascii="Arial" w:cs="Arial" w:eastAsia="Arial" w:hAnsi="Arial"/>
          <w:b w:val="1"/>
          <w:sz w:val="22"/>
          <w:szCs w:val="22"/>
          <w:rtl w:val="0"/>
        </w:rPr>
        <w:t xml:space="preserve">Mobility</w:t>
      </w:r>
    </w:p>
    <w:p w:rsidR="00000000" w:rsidDel="00000000" w:rsidP="00000000" w:rsidRDefault="00000000" w:rsidRPr="00000000" w14:paraId="00000030">
      <w:pPr>
        <w:rPr/>
      </w:pPr>
      <w:r w:rsidDel="00000000" w:rsidR="00000000" w:rsidRPr="00000000">
        <w:rPr>
          <w:rtl w:val="0"/>
        </w:rPr>
        <w:t xml:space="preserve">Bernard's independence and quality of life depend on mobility. Despite his physical and cognitive limitations, frequent physical therapy and exercise can enhance his strength, balance, and flexibility, minimising the risk of falls and improving his daily activities (Prince et al., 2015). Provide walkers or wheelchairs to facilitate his movement safely. Bernard can improve his health by doing light physical activities he enjoys (Moody &amp; Sasser, 2017).</w:t>
      </w:r>
    </w:p>
    <w:p w:rsidR="00000000" w:rsidDel="00000000" w:rsidP="00000000" w:rsidRDefault="00000000" w:rsidRPr="00000000" w14:paraId="00000031">
      <w:pPr>
        <w:pStyle w:val="Heading2"/>
        <w:rPr>
          <w:rFonts w:ascii="Arial" w:cs="Arial" w:eastAsia="Arial" w:hAnsi="Arial"/>
          <w:b w:val="1"/>
          <w:sz w:val="22"/>
          <w:szCs w:val="22"/>
        </w:rPr>
      </w:pPr>
      <w:bookmarkStart w:colFirst="0" w:colLast="0" w:name="_heading=h.17dp8vu" w:id="10"/>
      <w:bookmarkEnd w:id="10"/>
      <w:r w:rsidDel="00000000" w:rsidR="00000000" w:rsidRPr="00000000">
        <w:rPr>
          <w:rFonts w:ascii="Arial" w:cs="Arial" w:eastAsia="Arial" w:hAnsi="Arial"/>
          <w:b w:val="1"/>
          <w:sz w:val="22"/>
          <w:szCs w:val="22"/>
          <w:rtl w:val="0"/>
        </w:rPr>
        <w:t xml:space="preserve">Social Needs</w:t>
      </w:r>
    </w:p>
    <w:p w:rsidR="00000000" w:rsidDel="00000000" w:rsidP="00000000" w:rsidRDefault="00000000" w:rsidRPr="00000000" w14:paraId="00000032">
      <w:pPr>
        <w:rPr/>
      </w:pPr>
      <w:r w:rsidDel="00000000" w:rsidR="00000000" w:rsidRPr="00000000">
        <w:rPr>
          <w:rtl w:val="0"/>
        </w:rPr>
        <w:t xml:space="preserve">Bernard's psychological and emotional well-being are contingent upon his level of social interaction. Regular family visits help him feel connected to his past and loved ones. The nursing home should arrange these visits and allow Bernard to socialise with other residents (Wenger &amp; Burholt, 2004). Group games, trips, and community events can minimise loneliness and enhance connectedness (Alzheimer's Society, 2021).</w:t>
      </w:r>
    </w:p>
    <w:p w:rsidR="00000000" w:rsidDel="00000000" w:rsidP="00000000" w:rsidRDefault="00000000" w:rsidRPr="00000000" w14:paraId="00000033">
      <w:pPr>
        <w:pStyle w:val="Heading2"/>
        <w:rPr>
          <w:rFonts w:ascii="Arial" w:cs="Arial" w:eastAsia="Arial" w:hAnsi="Arial"/>
          <w:b w:val="1"/>
          <w:sz w:val="22"/>
          <w:szCs w:val="22"/>
        </w:rPr>
      </w:pPr>
      <w:bookmarkStart w:colFirst="0" w:colLast="0" w:name="_heading=h.3rdcrjn" w:id="11"/>
      <w:bookmarkEnd w:id="11"/>
      <w:r w:rsidDel="00000000" w:rsidR="00000000" w:rsidRPr="00000000">
        <w:rPr>
          <w:rFonts w:ascii="Arial" w:cs="Arial" w:eastAsia="Arial" w:hAnsi="Arial"/>
          <w:b w:val="1"/>
          <w:sz w:val="22"/>
          <w:szCs w:val="22"/>
          <w:rtl w:val="0"/>
        </w:rPr>
        <w:t xml:space="preserve">Safety and Environmental Adaptations</w:t>
      </w:r>
    </w:p>
    <w:p w:rsidR="00000000" w:rsidDel="00000000" w:rsidP="00000000" w:rsidRDefault="00000000" w:rsidRPr="00000000" w14:paraId="00000034">
      <w:pPr>
        <w:rPr/>
      </w:pPr>
      <w:r w:rsidDel="00000000" w:rsidR="00000000" w:rsidRPr="00000000">
        <w:rPr>
          <w:rtl w:val="0"/>
        </w:rPr>
        <w:t xml:space="preserve">It is imperative to guarantee Bernard's safety within the nursing home, as he has a propensity to wander and participate in hazardous activities (Kitwood, 1997). Monitoring systems and secure outdoor areas are examples of environmental adaptations that can prevent wandering and improve safety. To effectively identify and manage behaviours associated with cognitive decline, it is essential to provide staff training on dementia care (Department of Health and Social Care, 2014).</w:t>
      </w:r>
    </w:p>
    <w:p w:rsidR="00000000" w:rsidDel="00000000" w:rsidP="00000000" w:rsidRDefault="00000000" w:rsidRPr="00000000" w14:paraId="00000035">
      <w:pPr>
        <w:pStyle w:val="Heading2"/>
        <w:rPr>
          <w:rFonts w:ascii="Arial" w:cs="Arial" w:eastAsia="Arial" w:hAnsi="Arial"/>
          <w:b w:val="1"/>
          <w:sz w:val="22"/>
          <w:szCs w:val="22"/>
        </w:rPr>
      </w:pPr>
      <w:bookmarkStart w:colFirst="0" w:colLast="0" w:name="_heading=h.26in1rg" w:id="12"/>
      <w:bookmarkEnd w:id="12"/>
      <w:r w:rsidDel="00000000" w:rsidR="00000000" w:rsidRPr="00000000">
        <w:rPr>
          <w:rFonts w:ascii="Arial" w:cs="Arial" w:eastAsia="Arial" w:hAnsi="Arial"/>
          <w:b w:val="1"/>
          <w:sz w:val="22"/>
          <w:szCs w:val="22"/>
          <w:rtl w:val="0"/>
        </w:rPr>
        <w:t xml:space="preserve">Policy and Legislative Frameworks</w:t>
      </w:r>
    </w:p>
    <w:p w:rsidR="00000000" w:rsidDel="00000000" w:rsidP="00000000" w:rsidRDefault="00000000" w:rsidRPr="00000000" w14:paraId="00000036">
      <w:pPr>
        <w:rPr/>
      </w:pPr>
      <w:r w:rsidDel="00000000" w:rsidR="00000000" w:rsidRPr="00000000">
        <w:rPr>
          <w:rtl w:val="0"/>
        </w:rPr>
        <w:t xml:space="preserve">In accordance with the Mental Capacity Act 2005 and the Care Act 2014, which prioritise the protection of individuals' rights and person-centred care, Bernard's care must be consistent with pertinent policies and legislative frameworks (Department of Health, 2005; Department of Health and Social Care, 2014). These frameworks ensure Bernard receives expert care that respects his dignity and autonomy and protects his health.</w:t>
      </w:r>
    </w:p>
    <w:p w:rsidR="00000000" w:rsidDel="00000000" w:rsidP="00000000" w:rsidRDefault="00000000" w:rsidRPr="00000000" w14:paraId="00000037">
      <w:pPr>
        <w:rPr>
          <w:b w:val="1"/>
        </w:rPr>
      </w:pPr>
      <w:r w:rsidDel="00000000" w:rsidR="00000000" w:rsidRPr="00000000">
        <w:rPr>
          <w:rtl w:val="0"/>
        </w:rPr>
      </w:r>
    </w:p>
    <w:p w:rsidR="00000000" w:rsidDel="00000000" w:rsidP="00000000" w:rsidRDefault="00000000" w:rsidRPr="00000000" w14:paraId="00000038">
      <w:pPr>
        <w:rPr>
          <w:b w:val="1"/>
        </w:rPr>
      </w:pPr>
      <w:r w:rsidDel="00000000" w:rsidR="00000000" w:rsidRPr="00000000">
        <w:rPr>
          <w:rtl w:val="0"/>
        </w:rPr>
      </w:r>
    </w:p>
    <w:p w:rsidR="00000000" w:rsidDel="00000000" w:rsidP="00000000" w:rsidRDefault="00000000" w:rsidRPr="00000000" w14:paraId="00000039">
      <w:pPr>
        <w:rPr>
          <w:b w:val="1"/>
        </w:rPr>
      </w:pPr>
      <w:r w:rsidDel="00000000" w:rsidR="00000000" w:rsidRPr="00000000">
        <w:rPr>
          <w:rtl w:val="0"/>
        </w:rPr>
      </w:r>
    </w:p>
    <w:p w:rsidR="00000000" w:rsidDel="00000000" w:rsidP="00000000" w:rsidRDefault="00000000" w:rsidRPr="00000000" w14:paraId="0000003A">
      <w:pPr>
        <w:pStyle w:val="Heading1"/>
        <w:rPr>
          <w:rFonts w:ascii="Arial" w:cs="Arial" w:eastAsia="Arial" w:hAnsi="Arial"/>
          <w:b w:val="1"/>
          <w:sz w:val="24"/>
          <w:szCs w:val="24"/>
        </w:rPr>
      </w:pPr>
      <w:bookmarkStart w:colFirst="0" w:colLast="0" w:name="_heading=h.lnxbz9" w:id="13"/>
      <w:bookmarkEnd w:id="13"/>
      <w:r w:rsidDel="00000000" w:rsidR="00000000" w:rsidRPr="00000000">
        <w:rPr>
          <w:rFonts w:ascii="Arial" w:cs="Arial" w:eastAsia="Arial" w:hAnsi="Arial"/>
          <w:b w:val="1"/>
          <w:sz w:val="24"/>
          <w:szCs w:val="24"/>
          <w:rtl w:val="0"/>
        </w:rPr>
        <w:t xml:space="preserve">Proposed Support and Interventions</w:t>
      </w:r>
    </w:p>
    <w:p w:rsidR="00000000" w:rsidDel="00000000" w:rsidP="00000000" w:rsidRDefault="00000000" w:rsidRPr="00000000" w14:paraId="0000003B">
      <w:pPr>
        <w:pStyle w:val="Heading2"/>
        <w:rPr>
          <w:rFonts w:ascii="Arial" w:cs="Arial" w:eastAsia="Arial" w:hAnsi="Arial"/>
          <w:b w:val="1"/>
          <w:sz w:val="22"/>
          <w:szCs w:val="22"/>
        </w:rPr>
      </w:pPr>
      <w:bookmarkStart w:colFirst="0" w:colLast="0" w:name="_heading=h.35nkun2" w:id="14"/>
      <w:bookmarkEnd w:id="14"/>
      <w:r w:rsidDel="00000000" w:rsidR="00000000" w:rsidRPr="00000000">
        <w:rPr>
          <w:rFonts w:ascii="Arial" w:cs="Arial" w:eastAsia="Arial" w:hAnsi="Arial"/>
          <w:b w:val="1"/>
          <w:sz w:val="22"/>
          <w:szCs w:val="22"/>
          <w:rtl w:val="0"/>
        </w:rPr>
        <w:t xml:space="preserve">Person-Centred Care</w:t>
      </w:r>
    </w:p>
    <w:p w:rsidR="00000000" w:rsidDel="00000000" w:rsidP="00000000" w:rsidRDefault="00000000" w:rsidRPr="00000000" w14:paraId="0000003C">
      <w:pPr>
        <w:rPr/>
      </w:pPr>
      <w:r w:rsidDel="00000000" w:rsidR="00000000" w:rsidRPr="00000000">
        <w:rPr>
          <w:rtl w:val="0"/>
        </w:rPr>
        <w:t xml:space="preserve">It is imperative that Bernard receives treatment that is customised to his unique health needs and preferences. The patient is listened to and care is tailored to their needs and life experiences. Person-centred care affords Bernard and his family respect and decision-making power (DHSC, 2014). Recalling past events and exercising help Bernard relax (Woods et al., 2012).</w:t>
      </w:r>
    </w:p>
    <w:p w:rsidR="00000000" w:rsidDel="00000000" w:rsidP="00000000" w:rsidRDefault="00000000" w:rsidRPr="00000000" w14:paraId="0000003D">
      <w:pPr>
        <w:rPr>
          <w:b w:val="1"/>
        </w:rPr>
      </w:pPr>
      <w:r w:rsidDel="00000000" w:rsidR="00000000" w:rsidRPr="00000000">
        <w:rPr>
          <w:b w:val="1"/>
          <w:rtl w:val="0"/>
        </w:rPr>
        <w:t xml:space="preserve">Enhanced Medical Management</w:t>
      </w:r>
    </w:p>
    <w:p w:rsidR="00000000" w:rsidDel="00000000" w:rsidP="00000000" w:rsidRDefault="00000000" w:rsidRPr="00000000" w14:paraId="0000003E">
      <w:pPr>
        <w:rPr/>
      </w:pPr>
      <w:r w:rsidDel="00000000" w:rsidR="00000000" w:rsidRPr="00000000">
        <w:rPr>
          <w:rtl w:val="0"/>
        </w:rPr>
        <w:t xml:space="preserve">Bernard needs comprehensive Type 1 diabetes and vascular dementia treatment. Regular blood sugar checks and medication can prevent diabetes complications (NHS, 2020). Heart and brain medicines should be checked and changed routinely by healthcare workers. Alzheimer's Society, 2021). Bernard stays healthy by tracking his medications and visiting the doctor.</w:t>
      </w:r>
    </w:p>
    <w:p w:rsidR="00000000" w:rsidDel="00000000" w:rsidP="00000000" w:rsidRDefault="00000000" w:rsidRPr="00000000" w14:paraId="0000003F">
      <w:pPr>
        <w:pStyle w:val="Heading2"/>
        <w:rPr>
          <w:rFonts w:ascii="Arial" w:cs="Arial" w:eastAsia="Arial" w:hAnsi="Arial"/>
          <w:b w:val="1"/>
          <w:sz w:val="22"/>
          <w:szCs w:val="22"/>
        </w:rPr>
      </w:pPr>
      <w:bookmarkStart w:colFirst="0" w:colLast="0" w:name="_heading=h.1ksv4uv" w:id="15"/>
      <w:bookmarkEnd w:id="15"/>
      <w:r w:rsidDel="00000000" w:rsidR="00000000" w:rsidRPr="00000000">
        <w:rPr>
          <w:rFonts w:ascii="Arial" w:cs="Arial" w:eastAsia="Arial" w:hAnsi="Arial"/>
          <w:b w:val="1"/>
          <w:sz w:val="22"/>
          <w:szCs w:val="22"/>
          <w:rtl w:val="0"/>
        </w:rPr>
        <w:t xml:space="preserve">Specialized Dementia Care</w:t>
      </w:r>
    </w:p>
    <w:p w:rsidR="00000000" w:rsidDel="00000000" w:rsidP="00000000" w:rsidRDefault="00000000" w:rsidRPr="00000000" w14:paraId="00000040">
      <w:pPr>
        <w:rPr/>
      </w:pPr>
      <w:r w:rsidDel="00000000" w:rsidR="00000000" w:rsidRPr="00000000">
        <w:rPr>
          <w:rtl w:val="0"/>
        </w:rPr>
        <w:t xml:space="preserve">Bernard needs cognitively customised dementia care to manage his vascular dementia. Creating a supportive environment reduces confusion and agitation. Structured routines, memory aids, and cognitive therapy should be part of his daily routine to improve his cognition and emotional stability (Kitwood, 1997). Carers need dementia care training to address difficult behaviours and provide compassionate support (Department of Health and Social Care, 2014).</w:t>
      </w:r>
    </w:p>
    <w:p w:rsidR="00000000" w:rsidDel="00000000" w:rsidP="00000000" w:rsidRDefault="00000000" w:rsidRPr="00000000" w14:paraId="00000041">
      <w:pPr>
        <w:pStyle w:val="Heading2"/>
        <w:rPr>
          <w:rFonts w:ascii="Arial" w:cs="Arial" w:eastAsia="Arial" w:hAnsi="Arial"/>
          <w:b w:val="1"/>
          <w:sz w:val="22"/>
          <w:szCs w:val="22"/>
        </w:rPr>
      </w:pPr>
      <w:bookmarkStart w:colFirst="0" w:colLast="0" w:name="_heading=h.44sinio" w:id="16"/>
      <w:bookmarkEnd w:id="16"/>
      <w:r w:rsidDel="00000000" w:rsidR="00000000" w:rsidRPr="00000000">
        <w:rPr>
          <w:rFonts w:ascii="Arial" w:cs="Arial" w:eastAsia="Arial" w:hAnsi="Arial"/>
          <w:b w:val="1"/>
          <w:sz w:val="22"/>
          <w:szCs w:val="22"/>
          <w:rtl w:val="0"/>
        </w:rPr>
        <w:t xml:space="preserve">Social Engagement and Activities</w:t>
      </w:r>
    </w:p>
    <w:p w:rsidR="00000000" w:rsidDel="00000000" w:rsidP="00000000" w:rsidRDefault="00000000" w:rsidRPr="00000000" w14:paraId="00000042">
      <w:pPr>
        <w:rPr/>
      </w:pPr>
      <w:r w:rsidDel="00000000" w:rsidR="00000000" w:rsidRPr="00000000">
        <w:rPr>
          <w:rtl w:val="0"/>
        </w:rPr>
        <w:t xml:space="preserve">Bernard's mental and emotional wellness requires social involvement. To keep him connected, the nursing home should encourage and support family visits (Wenger &amp; Burholt, 2004). Group activities and community outings can also alleviate loneliness and encourage belonging (Age UK, 2021). Bernard can improve his quality of life by joining social clubs, hobby groups, and intergenerational programmes (Moody &amp; Sasser, 2017).</w:t>
      </w:r>
    </w:p>
    <w:p w:rsidR="00000000" w:rsidDel="00000000" w:rsidP="00000000" w:rsidRDefault="00000000" w:rsidRPr="00000000" w14:paraId="00000043">
      <w:pPr>
        <w:pStyle w:val="Heading2"/>
        <w:rPr>
          <w:rFonts w:ascii="Arial" w:cs="Arial" w:eastAsia="Arial" w:hAnsi="Arial"/>
          <w:b w:val="1"/>
          <w:sz w:val="22"/>
          <w:szCs w:val="22"/>
        </w:rPr>
      </w:pPr>
      <w:bookmarkStart w:colFirst="0" w:colLast="0" w:name="_heading=h.2jxsxqh" w:id="17"/>
      <w:bookmarkEnd w:id="17"/>
      <w:r w:rsidDel="00000000" w:rsidR="00000000" w:rsidRPr="00000000">
        <w:rPr>
          <w:rFonts w:ascii="Arial" w:cs="Arial" w:eastAsia="Arial" w:hAnsi="Arial"/>
          <w:b w:val="1"/>
          <w:sz w:val="22"/>
          <w:szCs w:val="22"/>
          <w:rtl w:val="0"/>
        </w:rPr>
        <w:t xml:space="preserve">Safety Enhancements</w:t>
      </w:r>
    </w:p>
    <w:p w:rsidR="00000000" w:rsidDel="00000000" w:rsidP="00000000" w:rsidRDefault="00000000" w:rsidRPr="00000000" w14:paraId="00000044">
      <w:pPr>
        <w:rPr/>
      </w:pPr>
      <w:r w:rsidDel="00000000" w:rsidR="00000000" w:rsidRPr="00000000">
        <w:rPr>
          <w:rtl w:val="0"/>
        </w:rPr>
        <w:t xml:space="preserve">It is of the utmost importance to guarantee Bernard's safety in the nursing home setting. Modifications such as surveillance systems, plain signage, and secure outdoor areas can mitigate the risk of accidents and prevent wandering (Kitwood, 1997). To establish a secure and supportive environment, it is imperative to implement safety protocols and conduct regular staff training on the management of dementia-related behaviours (Alzheimer's Society, 2021).</w:t>
      </w:r>
    </w:p>
    <w:p w:rsidR="00000000" w:rsidDel="00000000" w:rsidP="00000000" w:rsidRDefault="00000000" w:rsidRPr="00000000" w14:paraId="00000045">
      <w:pPr>
        <w:pStyle w:val="Heading2"/>
        <w:rPr>
          <w:rFonts w:ascii="Arial" w:cs="Arial" w:eastAsia="Arial" w:hAnsi="Arial"/>
          <w:b w:val="1"/>
          <w:sz w:val="22"/>
          <w:szCs w:val="22"/>
        </w:rPr>
      </w:pPr>
      <w:bookmarkStart w:colFirst="0" w:colLast="0" w:name="_heading=h.z337ya" w:id="18"/>
      <w:bookmarkEnd w:id="18"/>
      <w:r w:rsidDel="00000000" w:rsidR="00000000" w:rsidRPr="00000000">
        <w:rPr>
          <w:rFonts w:ascii="Arial" w:cs="Arial" w:eastAsia="Arial" w:hAnsi="Arial"/>
          <w:b w:val="1"/>
          <w:sz w:val="22"/>
          <w:szCs w:val="22"/>
          <w:rtl w:val="0"/>
        </w:rPr>
        <w:t xml:space="preserve">Support for Family Caregivers</w:t>
      </w:r>
    </w:p>
    <w:p w:rsidR="00000000" w:rsidDel="00000000" w:rsidP="00000000" w:rsidRDefault="00000000" w:rsidRPr="00000000" w14:paraId="00000046">
      <w:pPr>
        <w:rPr/>
      </w:pPr>
      <w:r w:rsidDel="00000000" w:rsidR="00000000" w:rsidRPr="00000000">
        <w:rPr>
          <w:rtl w:val="0"/>
        </w:rPr>
        <w:t xml:space="preserve">Bernard's family, especially his wife, needs support to give effective care without emotional stress. Family carers can benefit from counselling, support groups, and respite (Pillemer et al., 2003). Their dementia and diabetes management training equips them to support Bernard (Johnson, 2005).</w:t>
      </w:r>
    </w:p>
    <w:p w:rsidR="00000000" w:rsidDel="00000000" w:rsidP="00000000" w:rsidRDefault="00000000" w:rsidRPr="00000000" w14:paraId="00000047">
      <w:pPr>
        <w:rPr>
          <w:b w:val="1"/>
        </w:rPr>
      </w:pPr>
      <w:r w:rsidDel="00000000" w:rsidR="00000000" w:rsidRPr="00000000">
        <w:rPr>
          <w:rtl w:val="0"/>
        </w:rPr>
      </w:r>
    </w:p>
    <w:p w:rsidR="00000000" w:rsidDel="00000000" w:rsidP="00000000" w:rsidRDefault="00000000" w:rsidRPr="00000000" w14:paraId="00000048">
      <w:pPr>
        <w:rPr>
          <w:b w:val="1"/>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rtl w:val="0"/>
        </w:rPr>
      </w:r>
    </w:p>
    <w:p w:rsidR="00000000" w:rsidDel="00000000" w:rsidP="00000000" w:rsidRDefault="00000000" w:rsidRPr="00000000" w14:paraId="0000004A">
      <w:pPr>
        <w:rPr>
          <w:b w:val="1"/>
        </w:rPr>
      </w:pPr>
      <w:r w:rsidDel="00000000" w:rsidR="00000000" w:rsidRPr="00000000">
        <w:rPr>
          <w:rtl w:val="0"/>
        </w:rPr>
      </w:r>
    </w:p>
    <w:p w:rsidR="00000000" w:rsidDel="00000000" w:rsidP="00000000" w:rsidRDefault="00000000" w:rsidRPr="00000000" w14:paraId="0000004B">
      <w:pPr>
        <w:rPr>
          <w:b w:val="1"/>
        </w:rPr>
      </w:pPr>
      <w:r w:rsidDel="00000000" w:rsidR="00000000" w:rsidRPr="00000000">
        <w:rPr>
          <w:rtl w:val="0"/>
        </w:rPr>
      </w:r>
    </w:p>
    <w:p w:rsidR="00000000" w:rsidDel="00000000" w:rsidP="00000000" w:rsidRDefault="00000000" w:rsidRPr="00000000" w14:paraId="0000004C">
      <w:pPr>
        <w:pStyle w:val="Heading1"/>
        <w:rPr>
          <w:rFonts w:ascii="Arial" w:cs="Arial" w:eastAsia="Arial" w:hAnsi="Arial"/>
          <w:b w:val="1"/>
          <w:sz w:val="24"/>
          <w:szCs w:val="24"/>
        </w:rPr>
      </w:pPr>
      <w:bookmarkStart w:colFirst="0" w:colLast="0" w:name="_heading=h.3j2qqm3" w:id="19"/>
      <w:bookmarkEnd w:id="19"/>
      <w:r w:rsidDel="00000000" w:rsidR="00000000" w:rsidRPr="00000000">
        <w:rPr>
          <w:rFonts w:ascii="Arial" w:cs="Arial" w:eastAsia="Arial" w:hAnsi="Arial"/>
          <w:b w:val="1"/>
          <w:sz w:val="24"/>
          <w:szCs w:val="24"/>
          <w:rtl w:val="0"/>
        </w:rPr>
        <w:t xml:space="preserve">Relevant Policy and Legislation</w:t>
      </w:r>
    </w:p>
    <w:p w:rsidR="00000000" w:rsidDel="00000000" w:rsidP="00000000" w:rsidRDefault="00000000" w:rsidRPr="00000000" w14:paraId="0000004D">
      <w:pPr>
        <w:pStyle w:val="Heading2"/>
        <w:rPr>
          <w:rFonts w:ascii="Arial" w:cs="Arial" w:eastAsia="Arial" w:hAnsi="Arial"/>
          <w:b w:val="1"/>
          <w:sz w:val="22"/>
          <w:szCs w:val="22"/>
        </w:rPr>
      </w:pPr>
      <w:bookmarkStart w:colFirst="0" w:colLast="0" w:name="_heading=h.1y810tw" w:id="20"/>
      <w:bookmarkEnd w:id="20"/>
      <w:r w:rsidDel="00000000" w:rsidR="00000000" w:rsidRPr="00000000">
        <w:rPr>
          <w:rFonts w:ascii="Arial" w:cs="Arial" w:eastAsia="Arial" w:hAnsi="Arial"/>
          <w:b w:val="1"/>
          <w:sz w:val="22"/>
          <w:szCs w:val="22"/>
          <w:rtl w:val="0"/>
        </w:rPr>
        <w:t xml:space="preserve">The Care Act 2014</w:t>
      </w:r>
    </w:p>
    <w:p w:rsidR="00000000" w:rsidDel="00000000" w:rsidP="00000000" w:rsidRDefault="00000000" w:rsidRPr="00000000" w14:paraId="0000004E">
      <w:pPr>
        <w:rPr/>
      </w:pPr>
      <w:r w:rsidDel="00000000" w:rsidR="00000000" w:rsidRPr="00000000">
        <w:rPr>
          <w:rtl w:val="0"/>
        </w:rPr>
        <w:t xml:space="preserve">In the UK, the Care Act 2014 is essential to care for older persons like Bernard. It prioritises well-being and individual needs and preferences in care planning and delivery (Department of Health and Social Care, 2014). According to Walker (2006), the Care Act requires local authorities to prevent, decrease, or delay the need for care and support to promote independence and quality of life for older individuals. Under the Care Act 2014, local authorities must assess needs for care and support eligibility.  Under the Act, cross-sector collaboration simplifies health and social services. Healthcare professionals, social workers, and carers must coordinate treatment for complex individuals like Bernard (NHS, 2020).</w:t>
      </w:r>
    </w:p>
    <w:p w:rsidR="00000000" w:rsidDel="00000000" w:rsidP="00000000" w:rsidRDefault="00000000" w:rsidRPr="00000000" w14:paraId="0000004F">
      <w:pPr>
        <w:pStyle w:val="Heading2"/>
        <w:rPr>
          <w:rFonts w:ascii="Arial" w:cs="Arial" w:eastAsia="Arial" w:hAnsi="Arial"/>
          <w:b w:val="1"/>
          <w:sz w:val="22"/>
          <w:szCs w:val="22"/>
        </w:rPr>
      </w:pPr>
      <w:bookmarkStart w:colFirst="0" w:colLast="0" w:name="_heading=h.4i7ojhp" w:id="21"/>
      <w:bookmarkEnd w:id="21"/>
      <w:r w:rsidDel="00000000" w:rsidR="00000000" w:rsidRPr="00000000">
        <w:rPr>
          <w:rFonts w:ascii="Arial" w:cs="Arial" w:eastAsia="Arial" w:hAnsi="Arial"/>
          <w:b w:val="1"/>
          <w:sz w:val="22"/>
          <w:szCs w:val="22"/>
          <w:rtl w:val="0"/>
        </w:rPr>
        <w:t xml:space="preserve">Mental Capacity Act 2005</w:t>
      </w:r>
    </w:p>
    <w:p w:rsidR="00000000" w:rsidDel="00000000" w:rsidP="00000000" w:rsidRDefault="00000000" w:rsidRPr="00000000" w14:paraId="00000050">
      <w:pPr>
        <w:rPr/>
      </w:pPr>
      <w:r w:rsidDel="00000000" w:rsidR="00000000" w:rsidRPr="00000000">
        <w:rPr>
          <w:rtl w:val="0"/>
        </w:rPr>
        <w:t xml:space="preserve">The Mental Capacity Act 2005 (MCA) governs decision-making for people with dementia (Department of Health, 2005). The MCA safeguards Bernard's rights and ensures smart decisions. The five principles of the Act are presuming ability, letting individuals make their own decisions, letting them make incorrect choices, acting in their best interests, and choosing the least restrictive option (Department of Health, 2005).  Bernard wants to be as involved as possible in his care decisions, and any decisions made for him must consider his wishes, feelings, and values. The MCA allows individuals to choose a Lasting Power of Attorney if they lose capacity. A trustworthy friend or relative can help Bernard achieve his goals (Johnson, 2005).</w:t>
      </w:r>
    </w:p>
    <w:p w:rsidR="00000000" w:rsidDel="00000000" w:rsidP="00000000" w:rsidRDefault="00000000" w:rsidRPr="00000000" w14:paraId="00000051">
      <w:pPr>
        <w:pStyle w:val="Heading2"/>
        <w:rPr>
          <w:rFonts w:ascii="Arial" w:cs="Arial" w:eastAsia="Arial" w:hAnsi="Arial"/>
          <w:b w:val="1"/>
          <w:sz w:val="22"/>
          <w:szCs w:val="22"/>
        </w:rPr>
      </w:pPr>
      <w:bookmarkStart w:colFirst="0" w:colLast="0" w:name="_heading=h.2xcytpi" w:id="22"/>
      <w:bookmarkEnd w:id="22"/>
      <w:r w:rsidDel="00000000" w:rsidR="00000000" w:rsidRPr="00000000">
        <w:rPr>
          <w:rFonts w:ascii="Arial" w:cs="Arial" w:eastAsia="Arial" w:hAnsi="Arial"/>
          <w:b w:val="1"/>
          <w:sz w:val="22"/>
          <w:szCs w:val="22"/>
          <w:rtl w:val="0"/>
        </w:rPr>
        <w:t xml:space="preserve">Health and Social Care Act 2012</w:t>
      </w:r>
    </w:p>
    <w:p w:rsidR="00000000" w:rsidDel="00000000" w:rsidP="00000000" w:rsidRDefault="00000000" w:rsidRPr="00000000" w14:paraId="00000052">
      <w:pPr>
        <w:rPr/>
      </w:pPr>
      <w:r w:rsidDel="00000000" w:rsidR="00000000" w:rsidRPr="00000000">
        <w:rPr>
          <w:rtl w:val="0"/>
        </w:rPr>
        <w:t xml:space="preserve">To improve patient outcomes, the Health and Social Care Act 2012 reformed the NHS on patient choice and integrated care. This law promotes health services to work together for more personalised and efficient care (Department of Health, 2012). Bernard, an older adult, needs a better coordinated strategy to managing his complicated health issues to meet all his healthcare demands. The Act also created Clinical Commissioning Groups (CCGs) to commission healthcare services based on local needs. Seniors with special needs benefit from this local focus since care services are adapted to community needs (Royal College of Nursing, 2020).</w:t>
      </w:r>
    </w:p>
    <w:p w:rsidR="00000000" w:rsidDel="00000000" w:rsidP="00000000" w:rsidRDefault="00000000" w:rsidRPr="00000000" w14:paraId="00000053">
      <w:pPr>
        <w:pStyle w:val="Heading2"/>
        <w:rPr>
          <w:rFonts w:ascii="Arial" w:cs="Arial" w:eastAsia="Arial" w:hAnsi="Arial"/>
          <w:b w:val="1"/>
          <w:sz w:val="22"/>
          <w:szCs w:val="22"/>
        </w:rPr>
      </w:pPr>
      <w:bookmarkStart w:colFirst="0" w:colLast="0" w:name="_heading=h.1ci93xb" w:id="23"/>
      <w:bookmarkEnd w:id="23"/>
      <w:r w:rsidDel="00000000" w:rsidR="00000000" w:rsidRPr="00000000">
        <w:rPr>
          <w:rFonts w:ascii="Arial" w:cs="Arial" w:eastAsia="Arial" w:hAnsi="Arial"/>
          <w:b w:val="1"/>
          <w:sz w:val="22"/>
          <w:szCs w:val="22"/>
          <w:rtl w:val="0"/>
        </w:rPr>
        <w:t xml:space="preserve">Equality Act 2010</w:t>
      </w:r>
    </w:p>
    <w:p w:rsidR="00000000" w:rsidDel="00000000" w:rsidP="00000000" w:rsidRDefault="00000000" w:rsidRPr="00000000" w14:paraId="00000054">
      <w:pPr>
        <w:rPr/>
      </w:pPr>
      <w:r w:rsidDel="00000000" w:rsidR="00000000" w:rsidRPr="00000000">
        <w:rPr>
          <w:rtl w:val="0"/>
        </w:rPr>
        <w:t xml:space="preserve">The 2010 Equality Act protects against age discrimination. This law is essential for older individuals to get fair treatment and equal services (Walker, 2006). Bernard enjoys the same quality of healthcare and social services under the Equality Act because he is not discriminated against. The Act requires reasonable adaptations to make services accessible and inclusive. This is crucial for older persons with disabilities or health issues that require modifications (Department of Health, 2010). Ensuring Bernard has mobility aids and suitable surroundings are direct implementations of this legislation.</w:t>
      </w:r>
    </w:p>
    <w:p w:rsidR="00000000" w:rsidDel="00000000" w:rsidP="00000000" w:rsidRDefault="00000000" w:rsidRPr="00000000" w14:paraId="00000055">
      <w:pPr>
        <w:pStyle w:val="Heading2"/>
        <w:rPr>
          <w:rFonts w:ascii="Arial" w:cs="Arial" w:eastAsia="Arial" w:hAnsi="Arial"/>
          <w:b w:val="1"/>
          <w:sz w:val="22"/>
          <w:szCs w:val="22"/>
        </w:rPr>
      </w:pPr>
      <w:bookmarkStart w:colFirst="0" w:colLast="0" w:name="_heading=h.3whwml4" w:id="24"/>
      <w:bookmarkEnd w:id="24"/>
      <w:r w:rsidDel="00000000" w:rsidR="00000000" w:rsidRPr="00000000">
        <w:rPr>
          <w:rFonts w:ascii="Arial" w:cs="Arial" w:eastAsia="Arial" w:hAnsi="Arial"/>
          <w:b w:val="1"/>
          <w:sz w:val="22"/>
          <w:szCs w:val="22"/>
          <w:rtl w:val="0"/>
        </w:rPr>
        <w:t xml:space="preserve">The Human Rights Act 1998</w:t>
      </w:r>
    </w:p>
    <w:p w:rsidR="00000000" w:rsidDel="00000000" w:rsidP="00000000" w:rsidRDefault="00000000" w:rsidRPr="00000000" w14:paraId="00000056">
      <w:pPr>
        <w:rPr/>
      </w:pPr>
      <w:r w:rsidDel="00000000" w:rsidR="00000000" w:rsidRPr="00000000">
        <w:rPr>
          <w:rtl w:val="0"/>
        </w:rPr>
        <w:t xml:space="preserve">The UK Human Rights Act 1998 guarantees public authorities' respect and protection of basic rights and freedoms. This Act is essential for protecting older individuals' dignity and rights in care (Department of Health, 1998). The Human Rights Act protects Bernard's privacy, dignity, and autonomy and guarantees he is treated with respect and compassion in his care setting. The Act also allows people to contest rights abuses, ensuring accountability and protection from abuse and neglect (Johnson, 2005). Bernard and other older individuals need this legal protection to live with dignity and security.</w:t>
      </w:r>
    </w:p>
    <w:p w:rsidR="00000000" w:rsidDel="00000000" w:rsidP="00000000" w:rsidRDefault="00000000" w:rsidRPr="00000000" w14:paraId="00000057">
      <w:pPr>
        <w:pStyle w:val="Heading1"/>
        <w:rPr>
          <w:rFonts w:ascii="Arial" w:cs="Arial" w:eastAsia="Arial" w:hAnsi="Arial"/>
          <w:b w:val="1"/>
          <w:sz w:val="24"/>
          <w:szCs w:val="24"/>
        </w:rPr>
      </w:pPr>
      <w:bookmarkStart w:colFirst="0" w:colLast="0" w:name="_heading=h.2bn6wsx" w:id="25"/>
      <w:bookmarkEnd w:id="25"/>
      <w:r w:rsidDel="00000000" w:rsidR="00000000" w:rsidRPr="00000000">
        <w:rPr>
          <w:rFonts w:ascii="Arial" w:cs="Arial" w:eastAsia="Arial" w:hAnsi="Arial"/>
          <w:b w:val="1"/>
          <w:sz w:val="24"/>
          <w:szCs w:val="24"/>
          <w:rtl w:val="0"/>
        </w:rPr>
        <w:t xml:space="preserve">Theory Application</w:t>
      </w:r>
    </w:p>
    <w:p w:rsidR="00000000" w:rsidDel="00000000" w:rsidP="00000000" w:rsidRDefault="00000000" w:rsidRPr="00000000" w14:paraId="00000058">
      <w:pPr>
        <w:pStyle w:val="Heading2"/>
        <w:rPr>
          <w:rFonts w:ascii="Arial" w:cs="Arial" w:eastAsia="Arial" w:hAnsi="Arial"/>
          <w:b w:val="1"/>
          <w:sz w:val="22"/>
          <w:szCs w:val="22"/>
        </w:rPr>
      </w:pPr>
      <w:bookmarkStart w:colFirst="0" w:colLast="0" w:name="_heading=h.qsh70q" w:id="26"/>
      <w:bookmarkEnd w:id="26"/>
      <w:r w:rsidDel="00000000" w:rsidR="00000000" w:rsidRPr="00000000">
        <w:rPr>
          <w:rFonts w:ascii="Arial" w:cs="Arial" w:eastAsia="Arial" w:hAnsi="Arial"/>
          <w:b w:val="1"/>
          <w:sz w:val="22"/>
          <w:szCs w:val="22"/>
          <w:rtl w:val="0"/>
        </w:rPr>
        <w:t xml:space="preserve">Disengagement Theory</w:t>
      </w:r>
    </w:p>
    <w:p w:rsidR="00000000" w:rsidDel="00000000" w:rsidP="00000000" w:rsidRDefault="00000000" w:rsidRPr="00000000" w14:paraId="00000059">
      <w:pPr>
        <w:rPr/>
      </w:pPr>
      <w:r w:rsidDel="00000000" w:rsidR="00000000" w:rsidRPr="00000000">
        <w:rPr>
          <w:rtl w:val="0"/>
        </w:rPr>
        <w:t xml:space="preserve">According to Cumming and Henry (1961), Disengagement Theory says that ageing naturally withdraws from social duties and relationships. According to this belief, as people age, they increasingly withdraw from society, allowing them to reflect on their lives and prepare for death. This theory illuminates ageing societal changes, but it has been criticised for implying that disengagement is desirable for all older persons (Bengtson et al., 2009). While adjusting to his health issues, Bernard shows signs of disengagement. Bernard's need to relate to his family and participate in meaningful activities is not entirely explained by the theory, stressing the need for a more nuanced understanding of his social needs (Pillemer et al., 2003).</w:t>
      </w:r>
    </w:p>
    <w:p w:rsidR="00000000" w:rsidDel="00000000" w:rsidP="00000000" w:rsidRDefault="00000000" w:rsidRPr="00000000" w14:paraId="0000005A">
      <w:pPr>
        <w:pStyle w:val="Heading2"/>
        <w:rPr>
          <w:rFonts w:ascii="Arial" w:cs="Arial" w:eastAsia="Arial" w:hAnsi="Arial"/>
          <w:b w:val="1"/>
          <w:sz w:val="22"/>
          <w:szCs w:val="22"/>
        </w:rPr>
      </w:pPr>
      <w:bookmarkStart w:colFirst="0" w:colLast="0" w:name="_heading=h.3as4poj" w:id="27"/>
      <w:bookmarkEnd w:id="27"/>
      <w:r w:rsidDel="00000000" w:rsidR="00000000" w:rsidRPr="00000000">
        <w:rPr>
          <w:rFonts w:ascii="Arial" w:cs="Arial" w:eastAsia="Arial" w:hAnsi="Arial"/>
          <w:b w:val="1"/>
          <w:sz w:val="22"/>
          <w:szCs w:val="22"/>
          <w:rtl w:val="0"/>
        </w:rPr>
        <w:t xml:space="preserve">Activity Theory</w:t>
      </w:r>
    </w:p>
    <w:p w:rsidR="00000000" w:rsidDel="00000000" w:rsidP="00000000" w:rsidRDefault="00000000" w:rsidRPr="00000000" w14:paraId="0000005B">
      <w:pPr>
        <w:rPr/>
      </w:pPr>
      <w:r w:rsidDel="00000000" w:rsidR="00000000" w:rsidRPr="00000000">
        <w:rPr>
          <w:rtl w:val="0"/>
        </w:rPr>
        <w:t xml:space="preserve">Unlike Disengagement Theory, Havighurst (1961)'s Activity Theory holds that engaged and productive ageing is successful. In old age, social, physical, and cognitive involvement improve life satisfaction and well-being, according to this notion. Bernard believes this idea emphasises the importance of involving him in activities that match his skills and interests. Structured social connections, cognitive stimulation, and physical activity can improve his mental and physical health and quality of life (Woods et al., 2012). Activity Theory supports person-centred care by promoting Bernard's autonomy and enjoyment through individualised activities (Kitwood, 1997).</w:t>
      </w:r>
    </w:p>
    <w:p w:rsidR="00000000" w:rsidDel="00000000" w:rsidP="00000000" w:rsidRDefault="00000000" w:rsidRPr="00000000" w14:paraId="0000005C">
      <w:pPr>
        <w:pStyle w:val="Heading2"/>
        <w:rPr>
          <w:rFonts w:ascii="Arial" w:cs="Arial" w:eastAsia="Arial" w:hAnsi="Arial"/>
          <w:b w:val="1"/>
          <w:sz w:val="22"/>
          <w:szCs w:val="22"/>
        </w:rPr>
      </w:pPr>
      <w:bookmarkStart w:colFirst="0" w:colLast="0" w:name="_heading=h.1pxezwc" w:id="28"/>
      <w:bookmarkEnd w:id="28"/>
      <w:r w:rsidDel="00000000" w:rsidR="00000000" w:rsidRPr="00000000">
        <w:rPr>
          <w:rFonts w:ascii="Arial" w:cs="Arial" w:eastAsia="Arial" w:hAnsi="Arial"/>
          <w:b w:val="1"/>
          <w:sz w:val="22"/>
          <w:szCs w:val="22"/>
          <w:rtl w:val="0"/>
        </w:rPr>
        <w:t xml:space="preserve">Continuity Theory</w:t>
      </w:r>
    </w:p>
    <w:p w:rsidR="00000000" w:rsidDel="00000000" w:rsidP="00000000" w:rsidRDefault="00000000" w:rsidRPr="00000000" w14:paraId="0000005D">
      <w:pPr>
        <w:rPr/>
      </w:pPr>
      <w:r w:rsidDel="00000000" w:rsidR="00000000" w:rsidRPr="00000000">
        <w:rPr>
          <w:rtl w:val="0"/>
        </w:rPr>
        <w:t xml:space="preserve">Continuity Theory, created by Atchley (1989), posits that older persons use ways to preserve and continue prior behaviours and responsibilities to maintain internal and outward consistency. This approach stresses personal history and essential values and activities sticking around. For Bernard, Continuity Theory suggests that old habits can bring comfort and security. He can feel more connected to himself and better (Moody &amp; Sasser, 2017) by incorporating hobbies and family traditions into his care plan.</w:t>
      </w:r>
    </w:p>
    <w:p w:rsidR="00000000" w:rsidDel="00000000" w:rsidP="00000000" w:rsidRDefault="00000000" w:rsidRPr="00000000" w14:paraId="0000005E">
      <w:pPr>
        <w:pStyle w:val="Heading2"/>
        <w:rPr>
          <w:rFonts w:ascii="Arial" w:cs="Arial" w:eastAsia="Arial" w:hAnsi="Arial"/>
          <w:b w:val="1"/>
          <w:sz w:val="22"/>
          <w:szCs w:val="22"/>
        </w:rPr>
      </w:pPr>
      <w:bookmarkStart w:colFirst="0" w:colLast="0" w:name="_heading=h.49x2ik5" w:id="29"/>
      <w:bookmarkEnd w:id="29"/>
      <w:r w:rsidDel="00000000" w:rsidR="00000000" w:rsidRPr="00000000">
        <w:rPr>
          <w:rFonts w:ascii="Arial" w:cs="Arial" w:eastAsia="Arial" w:hAnsi="Arial"/>
          <w:b w:val="1"/>
          <w:sz w:val="22"/>
          <w:szCs w:val="22"/>
          <w:rtl w:val="0"/>
        </w:rPr>
        <w:t xml:space="preserve">Socioemotional Selectivity Theory</w:t>
      </w:r>
    </w:p>
    <w:p w:rsidR="00000000" w:rsidDel="00000000" w:rsidP="00000000" w:rsidRDefault="00000000" w:rsidRPr="00000000" w14:paraId="0000005F">
      <w:pPr>
        <w:rPr/>
      </w:pPr>
      <w:r w:rsidDel="00000000" w:rsidR="00000000" w:rsidRPr="00000000">
        <w:rPr>
          <w:rtl w:val="0"/>
        </w:rPr>
        <w:t xml:space="preserve">According to Carstensen et al. (1999), older individuals prioritise emotionally important goals and connections. This hypothesis implies that older persons depend on emotional support and comfort in social relationships. Bernard thinks this approach emphasises tight, supportive ties, especially with family. Engaging with his daughter, granddaughters, and great-grandchildren can improve his mental health and provide him a feeling of purpose (Wenger &amp; Burholt, 2004).</w:t>
      </w:r>
    </w:p>
    <w:p w:rsidR="00000000" w:rsidDel="00000000" w:rsidP="00000000" w:rsidRDefault="00000000" w:rsidRPr="00000000" w14:paraId="00000060">
      <w:pPr>
        <w:pStyle w:val="Heading2"/>
        <w:rPr>
          <w:rFonts w:ascii="Arial" w:cs="Arial" w:eastAsia="Arial" w:hAnsi="Arial"/>
          <w:b w:val="1"/>
          <w:sz w:val="22"/>
          <w:szCs w:val="22"/>
        </w:rPr>
      </w:pPr>
      <w:bookmarkStart w:colFirst="0" w:colLast="0" w:name="_heading=h.2p2csry" w:id="30"/>
      <w:bookmarkEnd w:id="30"/>
      <w:r w:rsidDel="00000000" w:rsidR="00000000" w:rsidRPr="00000000">
        <w:rPr>
          <w:rFonts w:ascii="Arial" w:cs="Arial" w:eastAsia="Arial" w:hAnsi="Arial"/>
          <w:b w:val="1"/>
          <w:sz w:val="22"/>
          <w:szCs w:val="22"/>
          <w:rtl w:val="0"/>
        </w:rPr>
        <w:t xml:space="preserve">Person-Environment Fit Theory</w:t>
      </w:r>
    </w:p>
    <w:p w:rsidR="00000000" w:rsidDel="00000000" w:rsidP="00000000" w:rsidRDefault="00000000" w:rsidRPr="00000000" w14:paraId="00000061">
      <w:pPr>
        <w:rPr/>
      </w:pPr>
      <w:r w:rsidDel="00000000" w:rsidR="00000000" w:rsidRPr="00000000">
        <w:rPr>
          <w:rtl w:val="0"/>
        </w:rPr>
        <w:t xml:space="preserve">Lawton and Nahemow (1973)'s Person-Environment Fit Theory emphasises human-environment interaction. Based on this notion, an individual's abilities and environmental needs determine their well-being in old age. Bernard must have his nursing facility adjusted to his physical and cognitive demands. Safety, independence, and quality of life can be improved by safe outside settings, clear signage, and mobility aids (Kitwood, 1997).</w:t>
      </w:r>
    </w:p>
    <w:p w:rsidR="00000000" w:rsidDel="00000000" w:rsidP="00000000" w:rsidRDefault="00000000" w:rsidRPr="00000000" w14:paraId="00000062">
      <w:pPr>
        <w:rPr/>
      </w:pPr>
      <w:r w:rsidDel="00000000" w:rsidR="00000000" w:rsidRPr="00000000">
        <w:rPr>
          <w:rtl w:val="0"/>
        </w:rPr>
        <w:t xml:space="preserve">These theories explain and fulfil Bernard's complex needs. Activity Theory demands meaningful tasks, while Disengagement Theory highlights aging-related social role changes. While Continuity Theory values routines, Socioemotional Selectivity Theory values emotionally satisfying interactions. Finally, Person-surroundings Fit Theory tailors Bernard's environment to his needs. Bernard's treatment can be comprehensive and person-centred using these theories, enhancing his well-being and quality of life (World Health Organisation, 2021; Moody &amp; Sasser, 2017).</w:t>
      </w:r>
    </w:p>
    <w:p w:rsidR="00000000" w:rsidDel="00000000" w:rsidP="00000000" w:rsidRDefault="00000000" w:rsidRPr="00000000" w14:paraId="00000063">
      <w:pPr>
        <w:pStyle w:val="Heading1"/>
        <w:rPr>
          <w:rFonts w:ascii="Arial" w:cs="Arial" w:eastAsia="Arial" w:hAnsi="Arial"/>
          <w:b w:val="1"/>
          <w:sz w:val="24"/>
          <w:szCs w:val="24"/>
        </w:rPr>
      </w:pPr>
      <w:bookmarkStart w:colFirst="0" w:colLast="0" w:name="_heading=h.147n2zr" w:id="31"/>
      <w:bookmarkEnd w:id="31"/>
      <w:r w:rsidDel="00000000" w:rsidR="00000000" w:rsidRPr="00000000">
        <w:rPr>
          <w:rFonts w:ascii="Arial" w:cs="Arial" w:eastAsia="Arial" w:hAnsi="Arial"/>
          <w:b w:val="1"/>
          <w:sz w:val="24"/>
          <w:szCs w:val="24"/>
          <w:rtl w:val="0"/>
        </w:rPr>
        <w:t xml:space="preserve">Conclusion </w:t>
      </w:r>
    </w:p>
    <w:p w:rsidR="00000000" w:rsidDel="00000000" w:rsidP="00000000" w:rsidRDefault="00000000" w:rsidRPr="00000000" w14:paraId="00000064">
      <w:pPr>
        <w:rPr/>
      </w:pPr>
      <w:r w:rsidDel="00000000" w:rsidR="00000000" w:rsidRPr="00000000">
        <w:rPr>
          <w:rtl w:val="0"/>
        </w:rPr>
        <w:t xml:space="preserve">Bernard's situation illustrates the many obstacles and requirements of older persons, especially those with Type 1 diabetes with vascular dementia. His case highlights the need for holistic, person-centred care that incorporates medical, mental health, and social support (NHS, 2020; Alzheimer's Society, 2021). We can improve Bernard's quality of life by managing his medical needs, providing dementia care, and encouraging social participation (Prince et al., 2015). UK's ageing population offers opportunities and challenges. Healthcare advances have enhanced life expectancy but also strain health and social care systems (Office for National Statistics, 2020). </w:t>
      </w:r>
    </w:p>
    <w:p w:rsidR="00000000" w:rsidDel="00000000" w:rsidP="00000000" w:rsidRDefault="00000000" w:rsidRPr="00000000" w14:paraId="00000065">
      <w:pPr>
        <w:rPr/>
      </w:pPr>
      <w:r w:rsidDel="00000000" w:rsidR="00000000" w:rsidRPr="00000000">
        <w:rPr>
          <w:rtl w:val="0"/>
        </w:rPr>
        <w:t xml:space="preserve">The Care Act 2014 and Mental Capacity Act 2005 ensure older persons are cared for and have control over their life. They outline polite, personalised care. We can better care for Bernard and others with ageing theories. These principles say it's crucial to have friends, do things you care about, and be with people who support your body and mind.</w:t>
      </w:r>
    </w:p>
    <w:p w:rsidR="00000000" w:rsidDel="00000000" w:rsidP="00000000" w:rsidRDefault="00000000" w:rsidRPr="00000000" w14:paraId="00000066">
      <w:pPr>
        <w:rPr/>
      </w:pPr>
      <w:r w:rsidDel="00000000" w:rsidR="00000000" w:rsidRPr="00000000">
        <w:rPr>
          <w:rtl w:val="0"/>
        </w:rPr>
        <w:t xml:space="preserve">To aid older people, train carers, use technology to coordinate care, and advocate for their rights and happiness. Royal College of Nursing (2020; Walker, 2006). Healthcare providers, politicians, and community groups must collaborate to support seniors. Bernard's case illustrates the importance of comprehensive health care for seniors. Making individual care plans, working as a team, and applying what we know about ageing can help older persons like Bernard get the care and support they need (World Health Organisation, 2021; Department of Health and Social Care, 2014).</w:t>
      </w:r>
    </w:p>
    <w:p w:rsidR="00000000" w:rsidDel="00000000" w:rsidP="00000000" w:rsidRDefault="00000000" w:rsidRPr="00000000" w14:paraId="00000067">
      <w:pPr>
        <w:pStyle w:val="Heading1"/>
        <w:rPr>
          <w:rFonts w:ascii="Arial" w:cs="Arial" w:eastAsia="Arial" w:hAnsi="Arial"/>
          <w:b w:val="1"/>
          <w:sz w:val="24"/>
          <w:szCs w:val="24"/>
        </w:rPr>
      </w:pPr>
      <w:bookmarkStart w:colFirst="0" w:colLast="0" w:name="_heading=h.3o7alnk" w:id="32"/>
      <w:bookmarkEnd w:id="32"/>
      <w:r w:rsidDel="00000000" w:rsidR="00000000" w:rsidRPr="00000000">
        <w:rPr>
          <w:rFonts w:ascii="Arial" w:cs="Arial" w:eastAsia="Arial" w:hAnsi="Arial"/>
          <w:b w:val="1"/>
          <w:sz w:val="24"/>
          <w:szCs w:val="24"/>
          <w:rtl w:val="0"/>
        </w:rPr>
        <w:t xml:space="preserve">Recommendations </w:t>
      </w:r>
    </w:p>
    <w:p w:rsidR="00000000" w:rsidDel="00000000" w:rsidP="00000000" w:rsidRDefault="00000000" w:rsidRPr="00000000" w14:paraId="00000068">
      <w:pPr>
        <w:rPr/>
      </w:pPr>
      <w:r w:rsidDel="00000000" w:rsidR="00000000" w:rsidRPr="00000000">
        <w:rPr>
          <w:rtl w:val="0"/>
        </w:rPr>
        <w:t xml:space="preserve">To effectively care for older adults like Bernard, carers need improved training and assistance. Nursing home workers and family carers should learn dementia care, diabetes management, and communication. This training should continue (Royal College of Nursing, 2020). This course will teach carers how to treat older adults' physical and emotional needs with compassion. Counselling and breaks help reduce stress in carers (Pillemer et al., 2003).</w:t>
      </w:r>
    </w:p>
    <w:p w:rsidR="00000000" w:rsidDel="00000000" w:rsidP="00000000" w:rsidRDefault="00000000" w:rsidRPr="00000000" w14:paraId="00000069">
      <w:pPr>
        <w:rPr/>
      </w:pPr>
      <w:r w:rsidDel="00000000" w:rsidR="00000000" w:rsidRPr="00000000">
        <w:rPr>
          <w:rtl w:val="0"/>
        </w:rPr>
        <w:t xml:space="preserve">Technology can simplify elderly care home organisation. Many healthcare professionals should use EHRs to share data. This can assist control chronic conditions and provide emergency aid. (2015, Bloom et al.) People can get regular medical care without visiting to the hospital with telemedicine. Devices that help seniors move and think can help them live independently (Cahill et al., 2007). Older folks need additional activities and events to feel joyful and connected. Memory, music, and socialising with younger generations should be activities for nursing home residents. Woods et al. (2012) These activities improve brain function, reduce loneliness, and unite people (Moody &amp; Sasser, 2017). Encourage families to participate to boost mood. It also fosters relationships.</w:t>
      </w:r>
    </w:p>
    <w:p w:rsidR="00000000" w:rsidDel="00000000" w:rsidP="00000000" w:rsidRDefault="00000000" w:rsidRPr="00000000" w14:paraId="0000006A">
      <w:pPr>
        <w:rPr/>
      </w:pPr>
      <w:r w:rsidDel="00000000" w:rsidR="00000000" w:rsidRPr="00000000">
        <w:rPr>
          <w:rtl w:val="0"/>
        </w:rPr>
        <w:t xml:space="preserve">Elderly persons and their family should know their Care Act 2014 and Mental Capacity Act 2005 rights. Understanding lets people request the proper support based on their needs and wants. Decision makers must provide funding and assistance for older adults to receive high-quality care (Walker, 2006). These tips help improve care for older persons like Bernard. They can improve their life and meet their requirements. WHO (2021).</w:t>
      </w:r>
    </w:p>
    <w:p w:rsidR="00000000" w:rsidDel="00000000" w:rsidP="00000000" w:rsidRDefault="00000000" w:rsidRPr="00000000" w14:paraId="0000006B">
      <w:pPr>
        <w:rPr>
          <w:b w:val="1"/>
        </w:rPr>
      </w:pPr>
      <w:r w:rsidDel="00000000" w:rsidR="00000000" w:rsidRPr="00000000">
        <w:rPr>
          <w:rtl w:val="0"/>
        </w:rPr>
      </w:r>
    </w:p>
    <w:p w:rsidR="00000000" w:rsidDel="00000000" w:rsidP="00000000" w:rsidRDefault="00000000" w:rsidRPr="00000000" w14:paraId="0000006C">
      <w:pPr>
        <w:rPr>
          <w:b w:val="1"/>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rPr>
      </w:pPr>
      <w:r w:rsidDel="00000000" w:rsidR="00000000" w:rsidRPr="00000000">
        <w:rPr>
          <w:rtl w:val="0"/>
        </w:rPr>
      </w:r>
    </w:p>
    <w:p w:rsidR="00000000" w:rsidDel="00000000" w:rsidP="00000000" w:rsidRDefault="00000000" w:rsidRPr="00000000" w14:paraId="0000006F">
      <w:pPr>
        <w:pStyle w:val="Heading1"/>
        <w:rPr>
          <w:rFonts w:ascii="Arial" w:cs="Arial" w:eastAsia="Arial" w:hAnsi="Arial"/>
          <w:b w:val="1"/>
          <w:sz w:val="24"/>
          <w:szCs w:val="24"/>
        </w:rPr>
      </w:pPr>
      <w:bookmarkStart w:colFirst="0" w:colLast="0" w:name="_heading=h.23ckvvd" w:id="33"/>
      <w:bookmarkEnd w:id="33"/>
      <w:r w:rsidDel="00000000" w:rsidR="00000000" w:rsidRPr="00000000">
        <w:rPr>
          <w:rFonts w:ascii="Arial" w:cs="Arial" w:eastAsia="Arial" w:hAnsi="Arial"/>
          <w:b w:val="1"/>
          <w:sz w:val="24"/>
          <w:szCs w:val="24"/>
          <w:rtl w:val="0"/>
        </w:rPr>
        <w:t xml:space="preserve">References</w:t>
      </w:r>
    </w:p>
    <w:p w:rsidR="00000000" w:rsidDel="00000000" w:rsidP="00000000" w:rsidRDefault="00000000" w:rsidRPr="00000000" w14:paraId="00000070">
      <w:pPr>
        <w:rPr/>
      </w:pPr>
      <w:r w:rsidDel="00000000" w:rsidR="00000000" w:rsidRPr="00000000">
        <w:rPr>
          <w:rtl w:val="0"/>
        </w:rPr>
        <w:t xml:space="preserve">Age UK. (2021). The impact of COVID-19 on older people. Age UK. Retrieved from </w:t>
      </w:r>
      <w:hyperlink r:id="rId7">
        <w:r w:rsidDel="00000000" w:rsidR="00000000" w:rsidRPr="00000000">
          <w:rPr>
            <w:color w:val="0563c1"/>
            <w:u w:val="single"/>
            <w:rtl w:val="0"/>
          </w:rPr>
          <w:t xml:space="preserve">https://www.ageuk.org.uk/discover/2021/the-impact-of-covid-19-on-older-people/</w:t>
        </w:r>
      </w:hyperlink>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Alzheimer's Society. (2021). Vascular dementia: Symptoms, diagnosis and treatment. Alzheimer's Society. Retrieved from </w:t>
      </w:r>
      <w:hyperlink r:id="rId8">
        <w:r w:rsidDel="00000000" w:rsidR="00000000" w:rsidRPr="00000000">
          <w:rPr>
            <w:color w:val="0563c1"/>
            <w:u w:val="single"/>
            <w:rtl w:val="0"/>
          </w:rPr>
          <w:t xml:space="preserve">https://www.alzheimers.org.uk/about-dementia/types-dementia/vascular-dementia</w:t>
        </w:r>
      </w:hyperlink>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Atchley, R. C. (1989). A continuity theory of normal aging. The Gerontologist, 29(2), 183-190.</w:t>
      </w:r>
    </w:p>
    <w:p w:rsidR="00000000" w:rsidDel="00000000" w:rsidP="00000000" w:rsidRDefault="00000000" w:rsidRPr="00000000" w14:paraId="00000073">
      <w:pPr>
        <w:rPr/>
      </w:pPr>
      <w:r w:rsidDel="00000000" w:rsidR="00000000" w:rsidRPr="00000000">
        <w:rPr>
          <w:rtl w:val="0"/>
        </w:rPr>
        <w:t xml:space="preserve">Barker, P. (2020). Care planning in mental health: promoting recovery. John Wiley &amp; Sons.</w:t>
      </w:r>
    </w:p>
    <w:p w:rsidR="00000000" w:rsidDel="00000000" w:rsidP="00000000" w:rsidRDefault="00000000" w:rsidRPr="00000000" w14:paraId="00000074">
      <w:pPr>
        <w:rPr/>
      </w:pPr>
      <w:r w:rsidDel="00000000" w:rsidR="00000000" w:rsidRPr="00000000">
        <w:rPr>
          <w:rtl w:val="0"/>
        </w:rPr>
        <w:t xml:space="preserve">Bengtson, V. L., Gans, D., Putney, N. M., &amp; Silverstein, M. (2009). Handbook of theories of aging. Springer Publishing Company.</w:t>
      </w:r>
    </w:p>
    <w:p w:rsidR="00000000" w:rsidDel="00000000" w:rsidP="00000000" w:rsidRDefault="00000000" w:rsidRPr="00000000" w14:paraId="00000075">
      <w:pPr>
        <w:rPr/>
      </w:pPr>
      <w:r w:rsidDel="00000000" w:rsidR="00000000" w:rsidRPr="00000000">
        <w:rPr>
          <w:rtl w:val="0"/>
        </w:rPr>
        <w:t xml:space="preserve">Bloom, D. E., Canning, D., &amp; Fink, G. (2015). Implications of population ageing for economic growth. Oxford Review of Economic Policy, 26(4), 583-612.</w:t>
      </w:r>
    </w:p>
    <w:p w:rsidR="00000000" w:rsidDel="00000000" w:rsidP="00000000" w:rsidRDefault="00000000" w:rsidRPr="00000000" w14:paraId="00000076">
      <w:pPr>
        <w:rPr/>
      </w:pPr>
      <w:r w:rsidDel="00000000" w:rsidR="00000000" w:rsidRPr="00000000">
        <w:rPr>
          <w:rtl w:val="0"/>
        </w:rPr>
        <w:t xml:space="preserve">Bowling, A. (2014). Research methods in health: investigating health and health services. McGraw-Hill Education (UK).</w:t>
      </w:r>
    </w:p>
    <w:p w:rsidR="00000000" w:rsidDel="00000000" w:rsidP="00000000" w:rsidRDefault="00000000" w:rsidRPr="00000000" w14:paraId="00000077">
      <w:pPr>
        <w:rPr/>
      </w:pPr>
      <w:r w:rsidDel="00000000" w:rsidR="00000000" w:rsidRPr="00000000">
        <w:rPr>
          <w:rtl w:val="0"/>
        </w:rPr>
        <w:t xml:space="preserve">Cahill, S., Macijauskiene, J., Nygård, A. M., Faulkner, J. P., &amp; Hagen, I. (2007). Technology in dementia care. Technology and Disability, 19(2-3), 55-60.</w:t>
      </w:r>
    </w:p>
    <w:p w:rsidR="00000000" w:rsidDel="00000000" w:rsidP="00000000" w:rsidRDefault="00000000" w:rsidRPr="00000000" w14:paraId="00000078">
      <w:pPr>
        <w:rPr/>
      </w:pPr>
      <w:r w:rsidDel="00000000" w:rsidR="00000000" w:rsidRPr="00000000">
        <w:rPr>
          <w:rtl w:val="0"/>
        </w:rPr>
        <w:t xml:space="preserve">Clough, R., &amp; Brazier, J. (2005). Housing decisions in later life. Palgrave Macmillan.</w:t>
      </w:r>
    </w:p>
    <w:p w:rsidR="00000000" w:rsidDel="00000000" w:rsidP="00000000" w:rsidRDefault="00000000" w:rsidRPr="00000000" w14:paraId="00000079">
      <w:pPr>
        <w:rPr/>
      </w:pPr>
      <w:r w:rsidDel="00000000" w:rsidR="00000000" w:rsidRPr="00000000">
        <w:rPr>
          <w:rtl w:val="0"/>
        </w:rPr>
        <w:t xml:space="preserve">Cumming, E., &amp; Henry, W. E. (1961). Growing old: The process of disengagement. Basic Books.</w:t>
      </w:r>
    </w:p>
    <w:p w:rsidR="00000000" w:rsidDel="00000000" w:rsidP="00000000" w:rsidRDefault="00000000" w:rsidRPr="00000000" w14:paraId="0000007A">
      <w:pPr>
        <w:rPr/>
      </w:pPr>
      <w:r w:rsidDel="00000000" w:rsidR="00000000" w:rsidRPr="00000000">
        <w:rPr>
          <w:rtl w:val="0"/>
        </w:rPr>
        <w:t xml:space="preserve">Dening, T., &amp; Thomas, A. (2013). Oxford textbook of old age psychiatry. OUP Oxford.</w:t>
      </w:r>
    </w:p>
    <w:p w:rsidR="00000000" w:rsidDel="00000000" w:rsidP="00000000" w:rsidRDefault="00000000" w:rsidRPr="00000000" w14:paraId="0000007B">
      <w:pPr>
        <w:rPr/>
      </w:pPr>
      <w:r w:rsidDel="00000000" w:rsidR="00000000" w:rsidRPr="00000000">
        <w:rPr>
          <w:rtl w:val="0"/>
        </w:rPr>
        <w:t xml:space="preserve">Department of Health. (2005). Mental Capacity Act 2005. Retrieved from </w:t>
      </w:r>
      <w:hyperlink r:id="rId9">
        <w:r w:rsidDel="00000000" w:rsidR="00000000" w:rsidRPr="00000000">
          <w:rPr>
            <w:color w:val="0563c1"/>
            <w:u w:val="single"/>
            <w:rtl w:val="0"/>
          </w:rPr>
          <w:t xml:space="preserve">https://www.legislation.gov.uk/ukpga/2005/9/contents</w:t>
        </w:r>
      </w:hyperlink>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Department of Health and Social Care. (2014). Care Act 2014. Retrieved from </w:t>
      </w:r>
      <w:hyperlink r:id="rId10">
        <w:r w:rsidDel="00000000" w:rsidR="00000000" w:rsidRPr="00000000">
          <w:rPr>
            <w:color w:val="0563c1"/>
            <w:u w:val="single"/>
            <w:rtl w:val="0"/>
          </w:rPr>
          <w:t xml:space="preserve">https://www.legislation.gov.uk/ukpga/2014/23/contents/enacted</w:t>
        </w:r>
      </w:hyperlink>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Havighurst, R. J. (1961). Successful aging. The Gerontologist, 1(1), 8-13.</w:t>
      </w:r>
    </w:p>
    <w:p w:rsidR="00000000" w:rsidDel="00000000" w:rsidP="00000000" w:rsidRDefault="00000000" w:rsidRPr="00000000" w14:paraId="0000007E">
      <w:pPr>
        <w:rPr/>
      </w:pPr>
      <w:r w:rsidDel="00000000" w:rsidR="00000000" w:rsidRPr="00000000">
        <w:rPr>
          <w:rtl w:val="0"/>
        </w:rPr>
        <w:t xml:space="preserve">Higgs, P., &amp; Gilleard, C. (2015). Rethinking old age: Theorising the fourth age. Macmillan International Higher Education.</w:t>
      </w:r>
    </w:p>
    <w:p w:rsidR="00000000" w:rsidDel="00000000" w:rsidP="00000000" w:rsidRDefault="00000000" w:rsidRPr="00000000" w14:paraId="0000007F">
      <w:pPr>
        <w:rPr/>
      </w:pPr>
      <w:r w:rsidDel="00000000" w:rsidR="00000000" w:rsidRPr="00000000">
        <w:rPr>
          <w:rtl w:val="0"/>
        </w:rPr>
        <w:t xml:space="preserve">Hirst, M. (2005). Carer distress: a prospective, population-based study. Social Science &amp; Medicine, 61(3), 697-708.</w:t>
      </w:r>
    </w:p>
    <w:p w:rsidR="00000000" w:rsidDel="00000000" w:rsidP="00000000" w:rsidRDefault="00000000" w:rsidRPr="00000000" w14:paraId="00000080">
      <w:pPr>
        <w:rPr/>
      </w:pPr>
      <w:r w:rsidDel="00000000" w:rsidR="00000000" w:rsidRPr="00000000">
        <w:rPr>
          <w:rtl w:val="0"/>
        </w:rPr>
        <w:t xml:space="preserve">Johnson, M. L. (2005). The Cambridge handbook of age and ageing. Cambridge University Press.</w:t>
      </w:r>
    </w:p>
    <w:p w:rsidR="00000000" w:rsidDel="00000000" w:rsidP="00000000" w:rsidRDefault="00000000" w:rsidRPr="00000000" w14:paraId="00000081">
      <w:pPr>
        <w:rPr/>
      </w:pPr>
      <w:r w:rsidDel="00000000" w:rsidR="00000000" w:rsidRPr="00000000">
        <w:rPr>
          <w:rtl w:val="0"/>
        </w:rPr>
        <w:t xml:space="preserve">Kitwood, T. (1997). Dementia reconsidered: The person comes first. Open University Press.</w:t>
      </w:r>
    </w:p>
    <w:p w:rsidR="00000000" w:rsidDel="00000000" w:rsidP="00000000" w:rsidRDefault="00000000" w:rsidRPr="00000000" w14:paraId="00000082">
      <w:pPr>
        <w:rPr/>
      </w:pPr>
      <w:r w:rsidDel="00000000" w:rsidR="00000000" w:rsidRPr="00000000">
        <w:rPr>
          <w:rtl w:val="0"/>
        </w:rPr>
        <w:t xml:space="preserve">Lloyd, L. (2012). Health and care in ageing societies: A new international approach. Policy Press.</w:t>
      </w:r>
    </w:p>
    <w:p w:rsidR="00000000" w:rsidDel="00000000" w:rsidP="00000000" w:rsidRDefault="00000000" w:rsidRPr="00000000" w14:paraId="00000083">
      <w:pPr>
        <w:rPr/>
      </w:pPr>
      <w:r w:rsidDel="00000000" w:rsidR="00000000" w:rsidRPr="00000000">
        <w:rPr>
          <w:rtl w:val="0"/>
        </w:rPr>
        <w:t xml:space="preserve">Moody, H. R., &amp; Sasser, J. R. (2017). Aging: Concepts and controversies. Sage Publications.</w:t>
      </w:r>
    </w:p>
    <w:p w:rsidR="00000000" w:rsidDel="00000000" w:rsidP="00000000" w:rsidRDefault="00000000" w:rsidRPr="00000000" w14:paraId="00000084">
      <w:pPr>
        <w:rPr/>
      </w:pPr>
      <w:r w:rsidDel="00000000" w:rsidR="00000000" w:rsidRPr="00000000">
        <w:rPr>
          <w:rtl w:val="0"/>
        </w:rPr>
        <w:t xml:space="preserve">NHS. (2020). Type 1 diabetes: Overview. NHS. Retrieved from </w:t>
      </w:r>
      <w:hyperlink r:id="rId11">
        <w:r w:rsidDel="00000000" w:rsidR="00000000" w:rsidRPr="00000000">
          <w:rPr>
            <w:color w:val="0563c1"/>
            <w:u w:val="single"/>
            <w:rtl w:val="0"/>
          </w:rPr>
          <w:t xml:space="preserve">https://www.nhs.uk/conditions/type-1-diabetes/</w:t>
        </w:r>
      </w:hyperlink>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Office for National Statistics. (2020). Overview of the UK population. ONS. Retrieved from </w:t>
      </w:r>
      <w:hyperlink r:id="rId12">
        <w:r w:rsidDel="00000000" w:rsidR="00000000" w:rsidRPr="00000000">
          <w:rPr>
            <w:color w:val="0563c1"/>
            <w:u w:val="single"/>
            <w:rtl w:val="0"/>
          </w:rPr>
          <w:t xml:space="preserve">https://www.ons.gov.uk/peoplepopulationandcommunity/populationandmigration/populationestimates/articles/overviewoftheukpopulation/january2020</w:t>
        </w:r>
      </w:hyperlink>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Office for National Statistics. (2021). Impact of COVID-19 on older people. ONS. Retrieved from </w:t>
      </w:r>
      <w:hyperlink r:id="rId13">
        <w:r w:rsidDel="00000000" w:rsidR="00000000" w:rsidRPr="00000000">
          <w:rPr>
            <w:color w:val="0563c1"/>
            <w:u w:val="single"/>
            <w:rtl w:val="0"/>
          </w:rPr>
          <w:t xml:space="preserve">https://www.ons.gov.uk/peoplepopulationandcommunity/populationandmigration/populationestimates/articles/impactofcovid19onolderpeople/2021</w:t>
        </w:r>
      </w:hyperlink>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Pillemer, K., Suitor, J. J., &amp; Wethington, E. (2003). Aging and social support: Theory, research, and practice. In: Handbook of aging and the social sciences (pp. 245-261). Academic Press.</w:t>
      </w:r>
    </w:p>
    <w:p w:rsidR="00000000" w:rsidDel="00000000" w:rsidP="00000000" w:rsidRDefault="00000000" w:rsidRPr="00000000" w14:paraId="00000088">
      <w:pPr>
        <w:rPr/>
      </w:pPr>
      <w:r w:rsidDel="00000000" w:rsidR="00000000" w:rsidRPr="00000000">
        <w:rPr>
          <w:rtl w:val="0"/>
        </w:rPr>
        <w:t xml:space="preserve">Prince, M. J., Wu, F., Guo, Y., Gutierrez Robledo, L. M., O'Donnell, M., Sullivan, R., &amp; Yusuf, S. (2015). The burden of disease in older people and implications for health policy and practice. The Lancet, 385(9967), 549-562.</w:t>
      </w:r>
    </w:p>
    <w:p w:rsidR="00000000" w:rsidDel="00000000" w:rsidP="00000000" w:rsidRDefault="00000000" w:rsidRPr="00000000" w14:paraId="00000089">
      <w:pPr>
        <w:rPr/>
      </w:pPr>
      <w:r w:rsidDel="00000000" w:rsidR="00000000" w:rsidRPr="00000000">
        <w:rPr>
          <w:rtl w:val="0"/>
        </w:rPr>
        <w:t xml:space="preserve">Royal College of Nursing. (2020). Digital technology in nursing. RCN. Retrieved from </w:t>
      </w:r>
      <w:hyperlink r:id="rId14">
        <w:r w:rsidDel="00000000" w:rsidR="00000000" w:rsidRPr="00000000">
          <w:rPr>
            <w:color w:val="0563c1"/>
            <w:u w:val="single"/>
            <w:rtl w:val="0"/>
          </w:rPr>
          <w:t xml:space="preserve">https://www.rcn.org.uk/clinical-topics/digital-health/digital-technology-in-nursing</w:t>
        </w:r>
      </w:hyperlink>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Rowe, J. W., &amp; Kahn, R. L. (1997). Successful aging. The Gerontologist, 37(4), 433-440.</w:t>
      </w:r>
    </w:p>
    <w:p w:rsidR="00000000" w:rsidDel="00000000" w:rsidP="00000000" w:rsidRDefault="00000000" w:rsidRPr="00000000" w14:paraId="0000008B">
      <w:pPr>
        <w:rPr/>
      </w:pPr>
      <w:r w:rsidDel="00000000" w:rsidR="00000000" w:rsidRPr="00000000">
        <w:rPr>
          <w:rtl w:val="0"/>
        </w:rPr>
        <w:t xml:space="preserve">Walker, A. (2006). Extending quality of life: Policy prescriptions from the growing older programme. Journal of Social Policy, 35(3), 437-454.</w:t>
      </w:r>
    </w:p>
    <w:p w:rsidR="00000000" w:rsidDel="00000000" w:rsidP="00000000" w:rsidRDefault="00000000" w:rsidRPr="00000000" w14:paraId="0000008C">
      <w:pPr>
        <w:rPr/>
      </w:pPr>
      <w:r w:rsidDel="00000000" w:rsidR="00000000" w:rsidRPr="00000000">
        <w:rPr>
          <w:rtl w:val="0"/>
        </w:rPr>
        <w:t xml:space="preserve">Walker, A., &amp; Maltby, T. (2012). Active ageing: A strategic policy solution to demographic ageing in the European Union. International Journal of Social Welfare, 21(s1), S117-S130.</w:t>
      </w:r>
    </w:p>
    <w:p w:rsidR="00000000" w:rsidDel="00000000" w:rsidP="00000000" w:rsidRDefault="00000000" w:rsidRPr="00000000" w14:paraId="0000008D">
      <w:pPr>
        <w:rPr/>
      </w:pPr>
      <w:r w:rsidDel="00000000" w:rsidR="00000000" w:rsidRPr="00000000">
        <w:rPr>
          <w:rtl w:val="0"/>
        </w:rPr>
        <w:t xml:space="preserve">Wenger, G. C., &amp; Burholt, V. (2004). Changes in levels of social isolation and loneliness among older people in a rural area: A twenty–year longitudinal study. Canadian Journal on Aging/La Revue canadienne du vieillissement, 23(2), 115-127.</w:t>
      </w:r>
    </w:p>
    <w:p w:rsidR="00000000" w:rsidDel="00000000" w:rsidP="00000000" w:rsidRDefault="00000000" w:rsidRPr="00000000" w14:paraId="0000008E">
      <w:pPr>
        <w:rPr/>
      </w:pPr>
      <w:r w:rsidDel="00000000" w:rsidR="00000000" w:rsidRPr="00000000">
        <w:rPr>
          <w:rtl w:val="0"/>
        </w:rPr>
        <w:t xml:space="preserve">Woods, B., O'Philbin, L., Farrell, E. M., Spector, A. E., &amp; Orrell, M. (2012). Reminiscence therapy for dementia. Cochrane Database of Systematic Reviews, (3).</w:t>
      </w:r>
    </w:p>
    <w:p w:rsidR="00000000" w:rsidDel="00000000" w:rsidP="00000000" w:rsidRDefault="00000000" w:rsidRPr="00000000" w14:paraId="0000008F">
      <w:pPr>
        <w:rPr/>
      </w:pPr>
      <w:r w:rsidDel="00000000" w:rsidR="00000000" w:rsidRPr="00000000">
        <w:rPr>
          <w:rtl w:val="0"/>
        </w:rPr>
        <w:t xml:space="preserve">World Health Organization. (2021). Ageing and health. WHO. Retrieved from </w:t>
      </w:r>
      <w:hyperlink r:id="rId15">
        <w:r w:rsidDel="00000000" w:rsidR="00000000" w:rsidRPr="00000000">
          <w:rPr>
            <w:color w:val="0563c1"/>
            <w:u w:val="single"/>
            <w:rtl w:val="0"/>
          </w:rPr>
          <w:t xml:space="preserve">https://www.who.int/news-room/fact-sheets/detail/ageing-and-health</w:t>
        </w:r>
      </w:hyperlink>
      <w:r w:rsidDel="00000000" w:rsidR="00000000" w:rsidRPr="00000000">
        <w:rPr>
          <w:rtl w:val="0"/>
        </w:rPr>
      </w:r>
    </w:p>
    <w:p w:rsidR="00000000" w:rsidDel="00000000" w:rsidP="00000000" w:rsidRDefault="00000000" w:rsidRPr="00000000" w14:paraId="00000090">
      <w:pPr>
        <w:rPr>
          <w:b w:val="1"/>
        </w:rPr>
      </w:pPr>
      <w:r w:rsidDel="00000000" w:rsidR="00000000" w:rsidRPr="00000000">
        <w:rPr>
          <w:rtl w:val="0"/>
        </w:rPr>
      </w:r>
    </w:p>
    <w:p w:rsidR="00000000" w:rsidDel="00000000" w:rsidP="00000000" w:rsidRDefault="00000000" w:rsidRPr="00000000" w14:paraId="00000091">
      <w:pPr>
        <w:rPr>
          <w:b w:val="1"/>
        </w:rPr>
      </w:pPr>
      <w:r w:rsidDel="00000000" w:rsidR="00000000" w:rsidRPr="00000000">
        <w:rPr>
          <w:rtl w:val="0"/>
        </w:rPr>
      </w:r>
    </w:p>
    <w:p w:rsidR="00000000" w:rsidDel="00000000" w:rsidP="00000000" w:rsidRDefault="00000000" w:rsidRPr="00000000" w14:paraId="00000092">
      <w:pPr>
        <w:rPr>
          <w:b w:val="1"/>
        </w:rPr>
      </w:pPr>
      <w:r w:rsidDel="00000000" w:rsidR="00000000" w:rsidRPr="00000000">
        <w:rPr>
          <w:rtl w:val="0"/>
        </w:rPr>
      </w:r>
    </w:p>
    <w:p w:rsidR="00000000" w:rsidDel="00000000" w:rsidP="00000000" w:rsidRDefault="00000000" w:rsidRPr="00000000" w14:paraId="00000093">
      <w:pPr>
        <w:rPr>
          <w:b w:val="1"/>
        </w:rPr>
      </w:pPr>
      <w:r w:rsidDel="00000000" w:rsidR="00000000" w:rsidRPr="00000000">
        <w:rPr>
          <w:rtl w:val="0"/>
        </w:rPr>
      </w:r>
    </w:p>
    <w:p w:rsidR="00000000" w:rsidDel="00000000" w:rsidP="00000000" w:rsidRDefault="00000000" w:rsidRPr="00000000" w14:paraId="00000094">
      <w:pPr>
        <w:rPr>
          <w:b w:val="1"/>
        </w:rPr>
      </w:pPr>
      <w:r w:rsidDel="00000000" w:rsidR="00000000" w:rsidRPr="00000000">
        <w:rPr>
          <w:rtl w:val="0"/>
        </w:rPr>
      </w:r>
    </w:p>
    <w:p w:rsidR="00000000" w:rsidDel="00000000" w:rsidP="00000000" w:rsidRDefault="00000000" w:rsidRPr="00000000" w14:paraId="00000095">
      <w:pPr>
        <w:rPr>
          <w:b w:val="1"/>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Calibri"/>
  <w:font w:name="Times New Rom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3547D1"/>
    <w:pPr>
      <w:keepNext w:val="1"/>
      <w:keepLines w:val="1"/>
      <w:spacing w:after="80" w:before="360"/>
      <w:outlineLvl w:val="0"/>
    </w:pPr>
    <w:rPr>
      <w:rFonts w:asciiTheme="majorHAnsi" w:cstheme="majorBidi" w:eastAsiaTheme="majorEastAsia" w:hAnsiTheme="majorHAnsi"/>
      <w:color w:val="2f5496" w:themeColor="accent1" w:themeShade="0000BF"/>
      <w:sz w:val="40"/>
      <w:szCs w:val="40"/>
    </w:rPr>
  </w:style>
  <w:style w:type="paragraph" w:styleId="Heading2">
    <w:name w:val="heading 2"/>
    <w:basedOn w:val="Normal"/>
    <w:next w:val="Normal"/>
    <w:link w:val="Heading2Char"/>
    <w:uiPriority w:val="9"/>
    <w:unhideWhenUsed w:val="1"/>
    <w:qFormat w:val="1"/>
    <w:rsid w:val="003547D1"/>
    <w:pPr>
      <w:keepNext w:val="1"/>
      <w:keepLines w:val="1"/>
      <w:spacing w:after="80" w:before="160"/>
      <w:outlineLvl w:val="1"/>
    </w:pPr>
    <w:rPr>
      <w:rFonts w:asciiTheme="majorHAnsi" w:cstheme="majorBidi" w:eastAsiaTheme="majorEastAsia" w:hAnsiTheme="majorHAnsi"/>
      <w:color w:val="2f5496" w:themeColor="accent1" w:themeShade="0000BF"/>
      <w:sz w:val="32"/>
      <w:szCs w:val="32"/>
    </w:rPr>
  </w:style>
  <w:style w:type="paragraph" w:styleId="Heading3">
    <w:name w:val="heading 3"/>
    <w:basedOn w:val="Normal"/>
    <w:next w:val="Normal"/>
    <w:link w:val="Heading3Char"/>
    <w:uiPriority w:val="9"/>
    <w:semiHidden w:val="1"/>
    <w:unhideWhenUsed w:val="1"/>
    <w:qFormat w:val="1"/>
    <w:rsid w:val="003547D1"/>
    <w:pPr>
      <w:keepNext w:val="1"/>
      <w:keepLines w:val="1"/>
      <w:spacing w:after="80" w:before="160"/>
      <w:outlineLvl w:val="2"/>
    </w:pPr>
    <w:rPr>
      <w:rFonts w:cstheme="majorBidi" w:eastAsiaTheme="majorEastAsia"/>
      <w:color w:val="2f5496" w:themeColor="accent1" w:themeShade="0000BF"/>
      <w:sz w:val="28"/>
      <w:szCs w:val="28"/>
    </w:rPr>
  </w:style>
  <w:style w:type="paragraph" w:styleId="Heading4">
    <w:name w:val="heading 4"/>
    <w:basedOn w:val="Normal"/>
    <w:next w:val="Normal"/>
    <w:link w:val="Heading4Char"/>
    <w:uiPriority w:val="9"/>
    <w:semiHidden w:val="1"/>
    <w:unhideWhenUsed w:val="1"/>
    <w:qFormat w:val="1"/>
    <w:rsid w:val="003547D1"/>
    <w:pPr>
      <w:keepNext w:val="1"/>
      <w:keepLines w:val="1"/>
      <w:spacing w:after="40" w:before="80"/>
      <w:outlineLvl w:val="3"/>
    </w:pPr>
    <w:rPr>
      <w:rFonts w:cstheme="majorBidi" w:eastAsiaTheme="majorEastAsia"/>
      <w:i w:val="1"/>
      <w:iCs w:val="1"/>
      <w:color w:val="2f5496" w:themeColor="accent1" w:themeShade="0000BF"/>
    </w:rPr>
  </w:style>
  <w:style w:type="paragraph" w:styleId="Heading5">
    <w:name w:val="heading 5"/>
    <w:basedOn w:val="Normal"/>
    <w:next w:val="Normal"/>
    <w:link w:val="Heading5Char"/>
    <w:uiPriority w:val="9"/>
    <w:semiHidden w:val="1"/>
    <w:unhideWhenUsed w:val="1"/>
    <w:qFormat w:val="1"/>
    <w:rsid w:val="003547D1"/>
    <w:pPr>
      <w:keepNext w:val="1"/>
      <w:keepLines w:val="1"/>
      <w:spacing w:after="40" w:before="80"/>
      <w:outlineLvl w:val="4"/>
    </w:pPr>
    <w:rPr>
      <w:rFonts w:cstheme="majorBidi" w:eastAsiaTheme="majorEastAsia"/>
      <w:color w:val="2f5496" w:themeColor="accent1" w:themeShade="0000BF"/>
    </w:rPr>
  </w:style>
  <w:style w:type="paragraph" w:styleId="Heading6">
    <w:name w:val="heading 6"/>
    <w:basedOn w:val="Normal"/>
    <w:next w:val="Normal"/>
    <w:link w:val="Heading6Char"/>
    <w:uiPriority w:val="9"/>
    <w:semiHidden w:val="1"/>
    <w:unhideWhenUsed w:val="1"/>
    <w:qFormat w:val="1"/>
    <w:rsid w:val="003547D1"/>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3547D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3547D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3547D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3547D1"/>
    <w:rPr>
      <w:rFonts w:asciiTheme="majorHAnsi" w:cstheme="majorBidi" w:eastAsiaTheme="majorEastAsia" w:hAnsiTheme="majorHAnsi"/>
      <w:color w:val="2f5496" w:themeColor="accent1" w:themeShade="0000BF"/>
      <w:sz w:val="40"/>
      <w:szCs w:val="40"/>
    </w:rPr>
  </w:style>
  <w:style w:type="character" w:styleId="Heading2Char" w:customStyle="1">
    <w:name w:val="Heading 2 Char"/>
    <w:basedOn w:val="DefaultParagraphFont"/>
    <w:link w:val="Heading2"/>
    <w:uiPriority w:val="9"/>
    <w:rsid w:val="003547D1"/>
    <w:rPr>
      <w:rFonts w:asciiTheme="majorHAnsi" w:cstheme="majorBidi" w:eastAsiaTheme="majorEastAsia" w:hAnsiTheme="majorHAnsi"/>
      <w:color w:val="2f5496" w:themeColor="accent1" w:themeShade="0000BF"/>
      <w:sz w:val="32"/>
      <w:szCs w:val="32"/>
    </w:rPr>
  </w:style>
  <w:style w:type="character" w:styleId="Heading3Char" w:customStyle="1">
    <w:name w:val="Heading 3 Char"/>
    <w:basedOn w:val="DefaultParagraphFont"/>
    <w:link w:val="Heading3"/>
    <w:uiPriority w:val="9"/>
    <w:semiHidden w:val="1"/>
    <w:rsid w:val="003547D1"/>
    <w:rPr>
      <w:rFonts w:cstheme="majorBidi" w:eastAsiaTheme="majorEastAsia"/>
      <w:color w:val="2f5496" w:themeColor="accent1" w:themeShade="0000BF"/>
      <w:sz w:val="28"/>
      <w:szCs w:val="28"/>
    </w:rPr>
  </w:style>
  <w:style w:type="character" w:styleId="Heading4Char" w:customStyle="1">
    <w:name w:val="Heading 4 Char"/>
    <w:basedOn w:val="DefaultParagraphFont"/>
    <w:link w:val="Heading4"/>
    <w:uiPriority w:val="9"/>
    <w:semiHidden w:val="1"/>
    <w:rsid w:val="003547D1"/>
    <w:rPr>
      <w:rFonts w:cstheme="majorBidi" w:eastAsiaTheme="majorEastAsia"/>
      <w:i w:val="1"/>
      <w:iCs w:val="1"/>
      <w:color w:val="2f5496" w:themeColor="accent1" w:themeShade="0000BF"/>
    </w:rPr>
  </w:style>
  <w:style w:type="character" w:styleId="Heading5Char" w:customStyle="1">
    <w:name w:val="Heading 5 Char"/>
    <w:basedOn w:val="DefaultParagraphFont"/>
    <w:link w:val="Heading5"/>
    <w:uiPriority w:val="9"/>
    <w:semiHidden w:val="1"/>
    <w:rsid w:val="003547D1"/>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3547D1"/>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3547D1"/>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3547D1"/>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3547D1"/>
    <w:rPr>
      <w:rFonts w:cstheme="majorBidi" w:eastAsiaTheme="majorEastAsia"/>
      <w:color w:val="272727" w:themeColor="text1" w:themeTint="0000D8"/>
    </w:rPr>
  </w:style>
  <w:style w:type="paragraph" w:styleId="Title">
    <w:name w:val="Title"/>
    <w:basedOn w:val="Normal"/>
    <w:next w:val="Normal"/>
    <w:link w:val="TitleChar"/>
    <w:uiPriority w:val="10"/>
    <w:qFormat w:val="1"/>
    <w:rsid w:val="003547D1"/>
    <w:pPr>
      <w:spacing w:after="8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3547D1"/>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3547D1"/>
    <w:pPr>
      <w:numPr>
        <w:ilvl w:val="1"/>
      </w:numPr>
    </w:pPr>
    <w:rPr>
      <w:rFonts w:cstheme="majorBidi" w:eastAsiaTheme="majorEastAsia"/>
      <w:color w:val="595959" w:themeColor="text1" w:themeTint="0000A6"/>
      <w:spacing w:val="15"/>
      <w:sz w:val="28"/>
      <w:szCs w:val="28"/>
    </w:rPr>
  </w:style>
  <w:style w:type="character" w:styleId="SubtitleChar" w:customStyle="1">
    <w:name w:val="Subtitle Char"/>
    <w:basedOn w:val="DefaultParagraphFont"/>
    <w:link w:val="Subtitle"/>
    <w:uiPriority w:val="11"/>
    <w:rsid w:val="003547D1"/>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3547D1"/>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3547D1"/>
    <w:rPr>
      <w:i w:val="1"/>
      <w:iCs w:val="1"/>
      <w:color w:val="404040" w:themeColor="text1" w:themeTint="0000BF"/>
    </w:rPr>
  </w:style>
  <w:style w:type="paragraph" w:styleId="ListParagraph">
    <w:name w:val="List Paragraph"/>
    <w:basedOn w:val="Normal"/>
    <w:uiPriority w:val="34"/>
    <w:qFormat w:val="1"/>
    <w:rsid w:val="003547D1"/>
    <w:pPr>
      <w:ind w:left="720"/>
      <w:contextualSpacing w:val="1"/>
    </w:pPr>
  </w:style>
  <w:style w:type="character" w:styleId="IntenseEmphasis">
    <w:name w:val="Intense Emphasis"/>
    <w:basedOn w:val="DefaultParagraphFont"/>
    <w:uiPriority w:val="21"/>
    <w:qFormat w:val="1"/>
    <w:rsid w:val="003547D1"/>
    <w:rPr>
      <w:i w:val="1"/>
      <w:iCs w:val="1"/>
      <w:color w:val="2f5496" w:themeColor="accent1" w:themeShade="0000BF"/>
    </w:rPr>
  </w:style>
  <w:style w:type="paragraph" w:styleId="IntenseQuote">
    <w:name w:val="Intense Quote"/>
    <w:basedOn w:val="Normal"/>
    <w:next w:val="Normal"/>
    <w:link w:val="IntenseQuoteChar"/>
    <w:uiPriority w:val="30"/>
    <w:qFormat w:val="1"/>
    <w:rsid w:val="003547D1"/>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3547D1"/>
    <w:rPr>
      <w:i w:val="1"/>
      <w:iCs w:val="1"/>
      <w:color w:val="2f5496" w:themeColor="accent1" w:themeShade="0000BF"/>
    </w:rPr>
  </w:style>
  <w:style w:type="character" w:styleId="IntenseReference">
    <w:name w:val="Intense Reference"/>
    <w:basedOn w:val="DefaultParagraphFont"/>
    <w:uiPriority w:val="32"/>
    <w:qFormat w:val="1"/>
    <w:rsid w:val="003547D1"/>
    <w:rPr>
      <w:b w:val="1"/>
      <w:bCs w:val="1"/>
      <w:smallCaps w:val="1"/>
      <w:color w:val="2f5496" w:themeColor="accent1" w:themeShade="0000BF"/>
      <w:spacing w:val="5"/>
    </w:rPr>
  </w:style>
  <w:style w:type="character" w:styleId="Hyperlink">
    <w:name w:val="Hyperlink"/>
    <w:basedOn w:val="DefaultParagraphFont"/>
    <w:uiPriority w:val="99"/>
    <w:unhideWhenUsed w:val="1"/>
    <w:rsid w:val="00AA1FF6"/>
    <w:rPr>
      <w:color w:val="0563c1" w:themeColor="hyperlink"/>
      <w:u w:val="single"/>
    </w:rPr>
  </w:style>
  <w:style w:type="character" w:styleId="UnresolvedMention">
    <w:name w:val="Unresolved Mention"/>
    <w:basedOn w:val="DefaultParagraphFont"/>
    <w:uiPriority w:val="99"/>
    <w:semiHidden w:val="1"/>
    <w:unhideWhenUsed w:val="1"/>
    <w:rsid w:val="00AA1FF6"/>
    <w:rPr>
      <w:color w:val="605e5c"/>
      <w:shd w:color="auto" w:fill="e1dfdd" w:val="clear"/>
    </w:rPr>
  </w:style>
  <w:style w:type="paragraph" w:styleId="TOCHeading">
    <w:name w:val="TOC Heading"/>
    <w:basedOn w:val="Heading1"/>
    <w:next w:val="Normal"/>
    <w:uiPriority w:val="39"/>
    <w:unhideWhenUsed w:val="1"/>
    <w:qFormat w:val="1"/>
    <w:rsid w:val="004D363B"/>
    <w:pPr>
      <w:spacing w:after="0" w:before="240"/>
      <w:outlineLvl w:val="9"/>
    </w:pPr>
    <w:rPr>
      <w:kern w:val="0"/>
      <w:sz w:val="32"/>
      <w:szCs w:val="32"/>
      <w:lang w:eastAsia="en-GB"/>
    </w:rPr>
  </w:style>
  <w:style w:type="paragraph" w:styleId="TOC1">
    <w:name w:val="toc 1"/>
    <w:basedOn w:val="Normal"/>
    <w:next w:val="Normal"/>
    <w:autoRedefine w:val="1"/>
    <w:uiPriority w:val="39"/>
    <w:unhideWhenUsed w:val="1"/>
    <w:rsid w:val="004D363B"/>
    <w:pPr>
      <w:spacing w:after="100"/>
    </w:pPr>
  </w:style>
  <w:style w:type="paragraph" w:styleId="TOC2">
    <w:name w:val="toc 2"/>
    <w:basedOn w:val="Normal"/>
    <w:next w:val="Normal"/>
    <w:autoRedefine w:val="1"/>
    <w:uiPriority w:val="39"/>
    <w:unhideWhenUsed w:val="1"/>
    <w:rsid w:val="004D363B"/>
    <w:pPr>
      <w:spacing w:after="100"/>
      <w:ind w:left="220"/>
    </w:p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nhs.uk/conditions/type-1-diabetes/" TargetMode="External"/><Relationship Id="rId10" Type="http://schemas.openxmlformats.org/officeDocument/2006/relationships/hyperlink" Target="https://www.legislation.gov.uk/ukpga/2014/23/contents/enacted" TargetMode="External"/><Relationship Id="rId13" Type="http://schemas.openxmlformats.org/officeDocument/2006/relationships/hyperlink" Target="https://www.ons.gov.uk/peoplepopulationandcommunity/populationandmigration/populationestimates/articles/impactofcovid19onolderpeople/2021" TargetMode="External"/><Relationship Id="rId12" Type="http://schemas.openxmlformats.org/officeDocument/2006/relationships/hyperlink" Target="https://www.ons.gov.uk/peoplepopulationandcommunity/populationandmigration/populationestimates/articles/overviewoftheukpopulation/january202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legislation.gov.uk/ukpga/2005/9/contents" TargetMode="External"/><Relationship Id="rId15" Type="http://schemas.openxmlformats.org/officeDocument/2006/relationships/hyperlink" Target="https://www.who.int/news-room/fact-sheets/detail/ageing-and-health" TargetMode="External"/><Relationship Id="rId14" Type="http://schemas.openxmlformats.org/officeDocument/2006/relationships/hyperlink" Target="https://www.rcn.org.uk/clinical-topics/digital-health/digital-technology-in-nursing"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ageuk.org.uk/discover/2021/the-impact-of-covid-19-on-older-people/" TargetMode="External"/><Relationship Id="rId8" Type="http://schemas.openxmlformats.org/officeDocument/2006/relationships/hyperlink" Target="https://www.alzheimers.org.uk/about-dementia/types-dementia/vascular-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pH/T+67wJTGzBSVqr56wnIIp2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4AHIhMS1uSjZsODUtR0FGcUw2aXFCQmV3QmZwWVJ5U0oyUWV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2024-07-03T07:56:00Z</dcterms:created>
  <dc:creator>h_reazul</dc:creator>
</cp:coreProperties>
</file>