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6E6DD9" w14:textId="77777777" w:rsidR="00BB7316" w:rsidRDefault="00BB7316" w:rsidP="00BD1500">
      <w:pPr>
        <w:jc w:val="center"/>
        <w:rPr>
          <w:b/>
          <w:bCs/>
          <w:sz w:val="44"/>
          <w:szCs w:val="44"/>
          <w:u w:val="single"/>
        </w:rPr>
      </w:pPr>
      <w:r>
        <w:rPr>
          <w:noProof/>
        </w:rPr>
        <w:drawing>
          <wp:inline distT="0" distB="0" distL="0" distR="0" wp14:anchorId="412C59B5" wp14:editId="5D7A5470">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10834" name="Picture 17" descr="University of Wales Trinity Saint David launches ‘One Planet ..."/>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41E97413" w14:textId="0ACA6417" w:rsidR="00BD1500" w:rsidRPr="00BD1500" w:rsidRDefault="00BD1500" w:rsidP="00BD1500">
      <w:pPr>
        <w:jc w:val="center"/>
        <w:rPr>
          <w:b/>
          <w:bCs/>
          <w:u w:val="single"/>
        </w:rPr>
      </w:pPr>
      <w:r w:rsidRPr="00BD1500">
        <w:rPr>
          <w:b/>
          <w:bCs/>
          <w:sz w:val="44"/>
          <w:szCs w:val="44"/>
          <w:u w:val="single"/>
        </w:rPr>
        <w:t xml:space="preserve">Data Security, Governance and Compliance Report for </w:t>
      </w:r>
      <w:proofErr w:type="spellStart"/>
      <w:r w:rsidRPr="00BD1500">
        <w:rPr>
          <w:b/>
          <w:bCs/>
          <w:sz w:val="44"/>
          <w:szCs w:val="44"/>
          <w:u w:val="single"/>
        </w:rPr>
        <w:t>NatureGreen</w:t>
      </w:r>
      <w:proofErr w:type="spellEnd"/>
    </w:p>
    <w:p w14:paraId="74447AD6" w14:textId="77777777" w:rsidR="00BD1500" w:rsidRDefault="00BD1500" w:rsidP="00BD1500">
      <w:pPr>
        <w:rPr>
          <w:b/>
          <w:bCs/>
        </w:rPr>
      </w:pPr>
    </w:p>
    <w:p w14:paraId="45E7B380" w14:textId="77777777" w:rsidR="00BD1500" w:rsidRDefault="00BD1500" w:rsidP="00BD1500">
      <w:pPr>
        <w:rPr>
          <w:b/>
          <w:bCs/>
        </w:rPr>
      </w:pPr>
    </w:p>
    <w:p w14:paraId="386D479B" w14:textId="77777777" w:rsidR="00BB7316" w:rsidRDefault="00BB7316" w:rsidP="00BD1500">
      <w:pPr>
        <w:rPr>
          <w:b/>
          <w:bCs/>
        </w:rPr>
      </w:pPr>
    </w:p>
    <w:p w14:paraId="4723DD8E" w14:textId="77777777" w:rsidR="00BB7316" w:rsidRDefault="00BB7316" w:rsidP="00BD1500">
      <w:pPr>
        <w:rPr>
          <w:b/>
          <w:bCs/>
        </w:rPr>
      </w:pPr>
    </w:p>
    <w:p w14:paraId="3D4AE555" w14:textId="77777777" w:rsidR="00BB7316" w:rsidRDefault="00BB7316" w:rsidP="00BD1500">
      <w:pPr>
        <w:rPr>
          <w:b/>
          <w:bCs/>
        </w:rPr>
      </w:pPr>
    </w:p>
    <w:p w14:paraId="7F96474F" w14:textId="77777777" w:rsidR="00BB7316" w:rsidRDefault="00BB7316" w:rsidP="00BD1500">
      <w:pPr>
        <w:rPr>
          <w:b/>
          <w:bCs/>
        </w:rPr>
      </w:pPr>
    </w:p>
    <w:p w14:paraId="3416CE0D" w14:textId="36A15C07" w:rsidR="00BD1500" w:rsidRPr="00BD1500" w:rsidRDefault="00BD1500" w:rsidP="00BD1500">
      <w:pPr>
        <w:rPr>
          <w:sz w:val="36"/>
          <w:szCs w:val="36"/>
        </w:rPr>
      </w:pPr>
      <w:r w:rsidRPr="00BD1500">
        <w:rPr>
          <w:b/>
          <w:bCs/>
          <w:sz w:val="36"/>
          <w:szCs w:val="36"/>
        </w:rPr>
        <w:t>Name:</w:t>
      </w:r>
      <w:r w:rsidRPr="00BD1500">
        <w:rPr>
          <w:sz w:val="36"/>
          <w:szCs w:val="36"/>
        </w:rPr>
        <w:t xml:space="preserve"> Vanshaj AshishKumar Patel</w:t>
      </w:r>
      <w:r w:rsidRPr="00BD1500">
        <w:rPr>
          <w:sz w:val="36"/>
          <w:szCs w:val="36"/>
        </w:rPr>
        <w:br/>
      </w:r>
      <w:r w:rsidRPr="00BD1500">
        <w:rPr>
          <w:b/>
          <w:bCs/>
          <w:sz w:val="36"/>
          <w:szCs w:val="36"/>
        </w:rPr>
        <w:t>Student ID:</w:t>
      </w:r>
      <w:r w:rsidRPr="00BD1500">
        <w:rPr>
          <w:sz w:val="36"/>
          <w:szCs w:val="36"/>
        </w:rPr>
        <w:t xml:space="preserve"> 2517969</w:t>
      </w:r>
      <w:r w:rsidRPr="00BD1500">
        <w:rPr>
          <w:sz w:val="36"/>
          <w:szCs w:val="36"/>
        </w:rPr>
        <w:br/>
      </w:r>
      <w:r w:rsidRPr="00BD1500">
        <w:rPr>
          <w:b/>
          <w:bCs/>
          <w:sz w:val="36"/>
          <w:szCs w:val="36"/>
        </w:rPr>
        <w:t>Course:</w:t>
      </w:r>
      <w:r w:rsidRPr="00BD1500">
        <w:rPr>
          <w:sz w:val="36"/>
          <w:szCs w:val="36"/>
        </w:rPr>
        <w:t xml:space="preserve"> MSc Cybersecurity and Digital Forensics</w:t>
      </w:r>
      <w:r w:rsidRPr="00BD1500">
        <w:rPr>
          <w:sz w:val="36"/>
          <w:szCs w:val="36"/>
        </w:rPr>
        <w:br/>
      </w:r>
      <w:r w:rsidRPr="00BD1500">
        <w:rPr>
          <w:b/>
          <w:bCs/>
          <w:sz w:val="36"/>
          <w:szCs w:val="36"/>
        </w:rPr>
        <w:t>Module:</w:t>
      </w:r>
      <w:r w:rsidRPr="00BD1500">
        <w:rPr>
          <w:sz w:val="36"/>
          <w:szCs w:val="36"/>
        </w:rPr>
        <w:t xml:space="preserve"> Data Security, Governance and Compliance</w:t>
      </w:r>
      <w:r w:rsidRPr="00BD1500">
        <w:rPr>
          <w:sz w:val="36"/>
          <w:szCs w:val="36"/>
        </w:rPr>
        <w:br/>
      </w:r>
      <w:r w:rsidRPr="00BD1500">
        <w:rPr>
          <w:b/>
          <w:bCs/>
          <w:sz w:val="36"/>
          <w:szCs w:val="36"/>
        </w:rPr>
        <w:t>University:</w:t>
      </w:r>
      <w:r w:rsidRPr="00BD1500">
        <w:rPr>
          <w:sz w:val="36"/>
          <w:szCs w:val="36"/>
        </w:rPr>
        <w:t xml:space="preserve"> University of Wales</w:t>
      </w:r>
      <w:r w:rsidR="00CA5410">
        <w:rPr>
          <w:sz w:val="36"/>
          <w:szCs w:val="36"/>
        </w:rPr>
        <w:t xml:space="preserve">, Trinity Saint David </w:t>
      </w:r>
    </w:p>
    <w:p w14:paraId="69EB97B2" w14:textId="77777777" w:rsidR="00BD1500" w:rsidRPr="00BD1500" w:rsidRDefault="00000000" w:rsidP="00BD1500">
      <w:r>
        <w:pict w14:anchorId="013F60B2">
          <v:rect id="_x0000_i1025" style="width:0;height:1.5pt" o:hralign="center" o:hrstd="t" o:hr="t" fillcolor="#a0a0a0" stroked="f"/>
        </w:pict>
      </w:r>
    </w:p>
    <w:p w14:paraId="33EABF5B" w14:textId="77777777" w:rsidR="00BD1500" w:rsidRDefault="00BD1500" w:rsidP="00BD1500">
      <w:pPr>
        <w:rPr>
          <w:b/>
          <w:bCs/>
        </w:rPr>
      </w:pPr>
      <w:r>
        <w:rPr>
          <w:b/>
          <w:bCs/>
        </w:rPr>
        <w:br w:type="page"/>
      </w:r>
    </w:p>
    <w:p w14:paraId="0E2772BD" w14:textId="53DBD798" w:rsidR="00BD1500" w:rsidRPr="00BD1500" w:rsidRDefault="00BD1500" w:rsidP="00BD1500">
      <w:pPr>
        <w:rPr>
          <w:b/>
          <w:bCs/>
        </w:rPr>
      </w:pPr>
      <w:r w:rsidRPr="00BD1500">
        <w:rPr>
          <w:b/>
          <w:bCs/>
        </w:rPr>
        <w:lastRenderedPageBreak/>
        <w:t>Abstract</w:t>
      </w:r>
    </w:p>
    <w:p w14:paraId="1A6985CB" w14:textId="77777777" w:rsidR="00BD1500" w:rsidRPr="00BD1500" w:rsidRDefault="00BD1500" w:rsidP="00BD1500">
      <w:r w:rsidRPr="00BD1500">
        <w:t xml:space="preserve">In today’s digital landscape, cloud platforms, mobile technologies, and the Internet-of-Things (IoT) have become essential to modern business operations, but they also introduce increasingly complex cyber risks. This report explores how </w:t>
      </w:r>
      <w:proofErr w:type="spellStart"/>
      <w:r w:rsidRPr="00BD1500">
        <w:t>NatureGreen</w:t>
      </w:r>
      <w:proofErr w:type="spellEnd"/>
      <w:r w:rsidRPr="00BD1500">
        <w:t xml:space="preserve">, a global wellness company, can enhance its governance, security, and compliance posture through the adoption of internationally </w:t>
      </w:r>
      <w:proofErr w:type="spellStart"/>
      <w:r w:rsidRPr="00BD1500">
        <w:t>recognised</w:t>
      </w:r>
      <w:proofErr w:type="spellEnd"/>
      <w:r w:rsidRPr="00BD1500">
        <w:t xml:space="preserve"> frameworks. Key standards examined include ISO 27001 for information security management, the NIST Cybersecurity Framework (CSF) for risk-based cybersecurity practices, COBIT for IT governance, ITIL 4 for service management, and the General Data Protection Regulation (GDPR) for data privacy compliance.</w:t>
      </w:r>
    </w:p>
    <w:p w14:paraId="5D3E7B03" w14:textId="77777777" w:rsidR="00BD1500" w:rsidRPr="00BD1500" w:rsidRDefault="00BD1500" w:rsidP="00BD1500">
      <w:r w:rsidRPr="00BD1500">
        <w:t xml:space="preserve">The report proposes a hybrid governance model tailored to </w:t>
      </w:r>
      <w:proofErr w:type="spellStart"/>
      <w:r w:rsidRPr="00BD1500">
        <w:t>NatureGreen’s</w:t>
      </w:r>
      <w:proofErr w:type="spellEnd"/>
      <w:r w:rsidRPr="00BD1500">
        <w:t xml:space="preserve"> operational needs, integrating security, compliance, and IT management to create a unified framework. In addition, a comprehensive risk management strategy is outlined, including the identification, assessment, and mitigation of potential cyber threats, alongside business continuity measures to ensure operational resilience. Policy recommendations focus on employee training, incident response protocols, and ongoing monitoring to strengthen the </w:t>
      </w:r>
      <w:proofErr w:type="spellStart"/>
      <w:r w:rsidRPr="00BD1500">
        <w:t>organisation’s</w:t>
      </w:r>
      <w:proofErr w:type="spellEnd"/>
      <w:r w:rsidRPr="00BD1500">
        <w:t xml:space="preserve"> security posture.</w:t>
      </w:r>
    </w:p>
    <w:p w14:paraId="4101F9C2" w14:textId="77777777" w:rsidR="00BD1500" w:rsidRPr="00BD1500" w:rsidRDefault="00BD1500" w:rsidP="00BD1500">
      <w:r w:rsidRPr="00BD1500">
        <w:t xml:space="preserve">The report </w:t>
      </w:r>
      <w:proofErr w:type="spellStart"/>
      <w:r w:rsidRPr="00BD1500">
        <w:t>emphasises</w:t>
      </w:r>
      <w:proofErr w:type="spellEnd"/>
      <w:r w:rsidRPr="00BD1500">
        <w:t xml:space="preserve"> that governance and security practices must be regularly updated to keep pace with the rapidly evolving threat landscape, ensuring that </w:t>
      </w:r>
      <w:proofErr w:type="spellStart"/>
      <w:r w:rsidRPr="00BD1500">
        <w:t>NatureGreen</w:t>
      </w:r>
      <w:proofErr w:type="spellEnd"/>
      <w:r w:rsidRPr="00BD1500">
        <w:t xml:space="preserve"> can protect sensitive data, maintain regulatory compliance, and sustain trust with stakeholders. By implementing these frameworks and strategies, </w:t>
      </w:r>
      <w:proofErr w:type="spellStart"/>
      <w:r w:rsidRPr="00BD1500">
        <w:t>NatureGreen</w:t>
      </w:r>
      <w:proofErr w:type="spellEnd"/>
      <w:r w:rsidRPr="00BD1500">
        <w:t xml:space="preserve"> can achieve a robust, proactive approach to cybersecurity that supports both business objectives and operational integrity.</w:t>
      </w:r>
    </w:p>
    <w:p w14:paraId="03D74EE3" w14:textId="77777777" w:rsidR="00BD1500" w:rsidRPr="00BD1500" w:rsidRDefault="00000000" w:rsidP="00BD1500">
      <w:r>
        <w:pict w14:anchorId="776D2CCE">
          <v:rect id="_x0000_i1026" style="width:0;height:1.5pt" o:hralign="center" o:hrstd="t" o:hr="t" fillcolor="#a0a0a0" stroked="f"/>
        </w:pict>
      </w:r>
    </w:p>
    <w:p w14:paraId="5E66E7E0" w14:textId="77777777" w:rsidR="00BD1500" w:rsidRDefault="00BD1500" w:rsidP="00BD1500">
      <w:pPr>
        <w:rPr>
          <w:b/>
          <w:bCs/>
        </w:rPr>
      </w:pPr>
      <w:r>
        <w:rPr>
          <w:b/>
          <w:bCs/>
        </w:rPr>
        <w:br w:type="page"/>
      </w:r>
    </w:p>
    <w:p w14:paraId="75FA11E9" w14:textId="578D2F92" w:rsidR="00BD1500" w:rsidRPr="00BD1500" w:rsidRDefault="00BD1500" w:rsidP="00BD1500">
      <w:pPr>
        <w:rPr>
          <w:b/>
          <w:bCs/>
        </w:rPr>
      </w:pPr>
      <w:r w:rsidRPr="00BD1500">
        <w:rPr>
          <w:b/>
          <w:bCs/>
        </w:rPr>
        <w:lastRenderedPageBreak/>
        <w:t>Table of Contents</w:t>
      </w:r>
    </w:p>
    <w:p w14:paraId="158E015F" w14:textId="77777777" w:rsidR="00BD1500" w:rsidRPr="00BD1500" w:rsidRDefault="00BD1500" w:rsidP="00BD1500">
      <w:pPr>
        <w:numPr>
          <w:ilvl w:val="0"/>
          <w:numId w:val="1"/>
        </w:numPr>
      </w:pPr>
      <w:r w:rsidRPr="00BD1500">
        <w:t>Introduction</w:t>
      </w:r>
    </w:p>
    <w:p w14:paraId="03D75861" w14:textId="77777777" w:rsidR="00BD1500" w:rsidRPr="00BD1500" w:rsidRDefault="00BD1500" w:rsidP="00BD1500">
      <w:pPr>
        <w:numPr>
          <w:ilvl w:val="0"/>
          <w:numId w:val="1"/>
        </w:numPr>
      </w:pPr>
      <w:r w:rsidRPr="00BD1500">
        <w:t>Review of Key Governance and Security Frameworks</w:t>
      </w:r>
      <w:r w:rsidRPr="00BD1500">
        <w:br/>
      </w:r>
      <w:r w:rsidRPr="00BD1500">
        <w:t> </w:t>
      </w:r>
      <w:r w:rsidRPr="00BD1500">
        <w:t>2.1 ISO 27000 Family</w:t>
      </w:r>
      <w:r w:rsidRPr="00BD1500">
        <w:br/>
      </w:r>
      <w:r w:rsidRPr="00BD1500">
        <w:t> </w:t>
      </w:r>
      <w:r w:rsidRPr="00BD1500">
        <w:t> </w:t>
      </w:r>
      <w:r w:rsidRPr="00BD1500">
        <w:t>Figure 1: ISO 27001 Framework</w:t>
      </w:r>
      <w:r w:rsidRPr="00BD1500">
        <w:br/>
      </w:r>
      <w:r w:rsidRPr="00BD1500">
        <w:t> </w:t>
      </w:r>
      <w:r w:rsidRPr="00BD1500">
        <w:t>2.2 NIST Cybersecurity Framework (CSF)</w:t>
      </w:r>
      <w:r w:rsidRPr="00BD1500">
        <w:br/>
      </w:r>
      <w:r w:rsidRPr="00BD1500">
        <w:t> </w:t>
      </w:r>
      <w:r w:rsidRPr="00BD1500">
        <w:t> </w:t>
      </w:r>
      <w:r w:rsidRPr="00BD1500">
        <w:t>Figure 2: NIST CSF</w:t>
      </w:r>
      <w:r w:rsidRPr="00BD1500">
        <w:br/>
      </w:r>
      <w:r w:rsidRPr="00BD1500">
        <w:t> </w:t>
      </w:r>
      <w:r w:rsidRPr="00BD1500">
        <w:t>2.3 COBIT 5 / COBIT 2019</w:t>
      </w:r>
      <w:r w:rsidRPr="00BD1500">
        <w:br/>
      </w:r>
      <w:r w:rsidRPr="00BD1500">
        <w:t> </w:t>
      </w:r>
      <w:r w:rsidRPr="00BD1500">
        <w:t> </w:t>
      </w:r>
      <w:r w:rsidRPr="00BD1500">
        <w:t>Figure 3: COBIT Governance Model</w:t>
      </w:r>
      <w:r w:rsidRPr="00BD1500">
        <w:br/>
      </w:r>
      <w:r w:rsidRPr="00BD1500">
        <w:t> </w:t>
      </w:r>
      <w:r w:rsidRPr="00BD1500">
        <w:t>2.4 ITIL 4</w:t>
      </w:r>
      <w:r w:rsidRPr="00BD1500">
        <w:br/>
      </w:r>
      <w:r w:rsidRPr="00BD1500">
        <w:t> </w:t>
      </w:r>
      <w:r w:rsidRPr="00BD1500">
        <w:t> </w:t>
      </w:r>
      <w:r w:rsidRPr="00BD1500">
        <w:t>Figure 4: ITIL 4</w:t>
      </w:r>
      <w:r w:rsidRPr="00BD1500">
        <w:br/>
      </w:r>
      <w:r w:rsidRPr="00BD1500">
        <w:t> </w:t>
      </w:r>
      <w:r w:rsidRPr="00BD1500">
        <w:t>2.5 GDPR &amp; Data Protection Act 2018</w:t>
      </w:r>
      <w:r w:rsidRPr="00BD1500">
        <w:br/>
      </w:r>
      <w:r w:rsidRPr="00BD1500">
        <w:t> </w:t>
      </w:r>
      <w:r w:rsidRPr="00BD1500">
        <w:t> </w:t>
      </w:r>
      <w:r w:rsidRPr="00BD1500">
        <w:t>Figure 5: GDPR &amp; Data Protection Act 2018</w:t>
      </w:r>
      <w:r w:rsidRPr="00BD1500">
        <w:br/>
      </w:r>
      <w:r w:rsidRPr="00BD1500">
        <w:t> </w:t>
      </w:r>
      <w:r w:rsidRPr="00BD1500">
        <w:t>2.6 Comparison of Frameworks</w:t>
      </w:r>
    </w:p>
    <w:p w14:paraId="776643EC" w14:textId="77777777" w:rsidR="00BD1500" w:rsidRPr="00BD1500" w:rsidRDefault="00BD1500" w:rsidP="00BD1500">
      <w:pPr>
        <w:numPr>
          <w:ilvl w:val="0"/>
          <w:numId w:val="1"/>
        </w:numPr>
      </w:pPr>
      <w:r w:rsidRPr="00BD1500">
        <w:t xml:space="preserve">Proposed Governance, Security and Compliance Model for </w:t>
      </w:r>
      <w:proofErr w:type="spellStart"/>
      <w:r w:rsidRPr="00BD1500">
        <w:t>NatureGreen</w:t>
      </w:r>
      <w:proofErr w:type="spellEnd"/>
      <w:r w:rsidRPr="00BD1500">
        <w:br/>
      </w:r>
      <w:r w:rsidRPr="00BD1500">
        <w:t> </w:t>
      </w:r>
      <w:r w:rsidRPr="00BD1500">
        <w:t>Figure 6</w:t>
      </w:r>
      <w:r w:rsidRPr="00BD1500">
        <w:br/>
      </w:r>
      <w:r w:rsidRPr="00BD1500">
        <w:t> </w:t>
      </w:r>
      <w:r w:rsidRPr="00BD1500">
        <w:t>3.1 Governance Structure</w:t>
      </w:r>
      <w:r w:rsidRPr="00BD1500">
        <w:br/>
      </w:r>
      <w:r w:rsidRPr="00BD1500">
        <w:t> </w:t>
      </w:r>
      <w:r w:rsidRPr="00BD1500">
        <w:t> </w:t>
      </w:r>
      <w:r w:rsidRPr="00BD1500">
        <w:t>Figure 7</w:t>
      </w:r>
      <w:r w:rsidRPr="00BD1500">
        <w:br/>
      </w:r>
      <w:r w:rsidRPr="00BD1500">
        <w:t> </w:t>
      </w:r>
      <w:r w:rsidRPr="00BD1500">
        <w:t>3.2 Security Policy Framework</w:t>
      </w:r>
      <w:r w:rsidRPr="00BD1500">
        <w:br/>
      </w:r>
      <w:r w:rsidRPr="00BD1500">
        <w:t> </w:t>
      </w:r>
      <w:r w:rsidRPr="00BD1500">
        <w:t> </w:t>
      </w:r>
      <w:r w:rsidRPr="00BD1500">
        <w:t>Figure 8</w:t>
      </w:r>
      <w:r w:rsidRPr="00BD1500">
        <w:br/>
      </w:r>
      <w:r w:rsidRPr="00BD1500">
        <w:t> </w:t>
      </w:r>
      <w:r w:rsidRPr="00BD1500">
        <w:t>3.3 Compliance Integration</w:t>
      </w:r>
      <w:r w:rsidRPr="00BD1500">
        <w:br/>
      </w:r>
      <w:r w:rsidRPr="00BD1500">
        <w:t> </w:t>
      </w:r>
      <w:r w:rsidRPr="00BD1500">
        <w:t> </w:t>
      </w:r>
      <w:r w:rsidRPr="00BD1500">
        <w:t>Figure 9</w:t>
      </w:r>
      <w:r w:rsidRPr="00BD1500">
        <w:br/>
      </w:r>
      <w:r w:rsidRPr="00BD1500">
        <w:t> </w:t>
      </w:r>
      <w:r w:rsidRPr="00BD1500">
        <w:t>3.4 Risk Management Framework</w:t>
      </w:r>
      <w:r w:rsidRPr="00BD1500">
        <w:br/>
      </w:r>
      <w:r w:rsidRPr="00BD1500">
        <w:t> </w:t>
      </w:r>
      <w:r w:rsidRPr="00BD1500">
        <w:t> </w:t>
      </w:r>
      <w:r w:rsidRPr="00BD1500">
        <w:t>Figure 10</w:t>
      </w:r>
      <w:r w:rsidRPr="00BD1500">
        <w:br/>
      </w:r>
      <w:r w:rsidRPr="00BD1500">
        <w:t> </w:t>
      </w:r>
      <w:r w:rsidRPr="00BD1500">
        <w:t>3.5 Contingency &amp; Business Continuity</w:t>
      </w:r>
      <w:r w:rsidRPr="00BD1500">
        <w:br/>
      </w:r>
      <w:r w:rsidRPr="00BD1500">
        <w:t> </w:t>
      </w:r>
      <w:r w:rsidRPr="00BD1500">
        <w:t>3.6 Service Level Agreements (SLAs)</w:t>
      </w:r>
      <w:r w:rsidRPr="00BD1500">
        <w:br/>
      </w:r>
      <w:r w:rsidRPr="00BD1500">
        <w:t> </w:t>
      </w:r>
      <w:r w:rsidRPr="00BD1500">
        <w:t>3.7 Benefits</w:t>
      </w:r>
    </w:p>
    <w:p w14:paraId="2948A7E7" w14:textId="77777777" w:rsidR="00BD1500" w:rsidRPr="00BD1500" w:rsidRDefault="00BD1500" w:rsidP="00BD1500">
      <w:pPr>
        <w:numPr>
          <w:ilvl w:val="0"/>
          <w:numId w:val="1"/>
        </w:numPr>
      </w:pPr>
      <w:r w:rsidRPr="00BD1500">
        <w:t>Importance of Updating Standards and Regulations</w:t>
      </w:r>
    </w:p>
    <w:p w14:paraId="635E036F" w14:textId="77777777" w:rsidR="00BD1500" w:rsidRPr="00BD1500" w:rsidRDefault="00BD1500" w:rsidP="00BD1500">
      <w:pPr>
        <w:numPr>
          <w:ilvl w:val="0"/>
          <w:numId w:val="1"/>
        </w:numPr>
      </w:pPr>
      <w:r w:rsidRPr="00BD1500">
        <w:t>Conclusion</w:t>
      </w:r>
    </w:p>
    <w:p w14:paraId="28B6B435" w14:textId="77777777" w:rsidR="00BD1500" w:rsidRPr="00BD1500" w:rsidRDefault="00BD1500" w:rsidP="00BD1500">
      <w:pPr>
        <w:numPr>
          <w:ilvl w:val="0"/>
          <w:numId w:val="1"/>
        </w:numPr>
      </w:pPr>
      <w:r w:rsidRPr="00BD1500">
        <w:t>IEEE References</w:t>
      </w:r>
    </w:p>
    <w:p w14:paraId="042C2AE7" w14:textId="77777777" w:rsidR="00BD1500" w:rsidRPr="00BD1500" w:rsidRDefault="00BD1500" w:rsidP="00BD1500">
      <w:pPr>
        <w:numPr>
          <w:ilvl w:val="0"/>
          <w:numId w:val="1"/>
        </w:numPr>
      </w:pPr>
      <w:r w:rsidRPr="00BD1500">
        <w:t>Academic References</w:t>
      </w:r>
    </w:p>
    <w:p w14:paraId="2D7684A2" w14:textId="77777777" w:rsidR="00BD1500" w:rsidRPr="00BD1500" w:rsidRDefault="00000000" w:rsidP="00BD1500">
      <w:r>
        <w:pict w14:anchorId="325CD81E">
          <v:rect id="_x0000_i1027" style="width:0;height:1.5pt" o:hralign="center" o:hrstd="t" o:hr="t" fillcolor="#a0a0a0" stroked="f"/>
        </w:pict>
      </w:r>
    </w:p>
    <w:p w14:paraId="3D8C63FD" w14:textId="77777777" w:rsidR="00BD1500" w:rsidRDefault="00BD1500" w:rsidP="00BD1500">
      <w:pPr>
        <w:rPr>
          <w:b/>
          <w:bCs/>
        </w:rPr>
      </w:pPr>
      <w:r>
        <w:rPr>
          <w:b/>
          <w:bCs/>
        </w:rPr>
        <w:br w:type="page"/>
      </w:r>
    </w:p>
    <w:p w14:paraId="4B3C60D1" w14:textId="77777777" w:rsidR="00231F79" w:rsidRPr="00231F79" w:rsidRDefault="00231F79" w:rsidP="00231F79">
      <w:pPr>
        <w:rPr>
          <w:b/>
          <w:bCs/>
        </w:rPr>
      </w:pPr>
      <w:r w:rsidRPr="00231F79">
        <w:rPr>
          <w:b/>
          <w:bCs/>
        </w:rPr>
        <w:lastRenderedPageBreak/>
        <w:t>Table of Figures</w:t>
      </w:r>
    </w:p>
    <w:p w14:paraId="665B1B46" w14:textId="77777777" w:rsidR="00231F79" w:rsidRPr="00231F79" w:rsidRDefault="00231F79" w:rsidP="00231F79">
      <w:r w:rsidRPr="00231F79">
        <w:rPr>
          <w:b/>
          <w:bCs/>
        </w:rPr>
        <w:t>Figure 1.</w:t>
      </w:r>
      <w:r w:rsidRPr="00231F79">
        <w:t xml:space="preserve"> ISO 27001 Framework</w:t>
      </w:r>
      <w:r w:rsidRPr="00231F79">
        <w:br/>
      </w:r>
      <w:r w:rsidRPr="00231F79">
        <w:rPr>
          <w:b/>
          <w:bCs/>
        </w:rPr>
        <w:t>Figure 2.</w:t>
      </w:r>
      <w:r w:rsidRPr="00231F79">
        <w:t xml:space="preserve"> NIST Cybersecurity Framework (CSF)</w:t>
      </w:r>
      <w:r w:rsidRPr="00231F79">
        <w:br/>
      </w:r>
      <w:r w:rsidRPr="00231F79">
        <w:rPr>
          <w:b/>
          <w:bCs/>
        </w:rPr>
        <w:t>Figure 3.</w:t>
      </w:r>
      <w:r w:rsidRPr="00231F79">
        <w:t xml:space="preserve"> COBIT Governance Model</w:t>
      </w:r>
      <w:r w:rsidRPr="00231F79">
        <w:br/>
      </w:r>
      <w:r w:rsidRPr="00231F79">
        <w:rPr>
          <w:b/>
          <w:bCs/>
        </w:rPr>
        <w:t>Figure 4.</w:t>
      </w:r>
      <w:r w:rsidRPr="00231F79">
        <w:t xml:space="preserve"> ITIL 4 Framework</w:t>
      </w:r>
      <w:r w:rsidRPr="00231F79">
        <w:br/>
      </w:r>
      <w:r w:rsidRPr="00231F79">
        <w:rPr>
          <w:b/>
          <w:bCs/>
        </w:rPr>
        <w:t>Figure 5.</w:t>
      </w:r>
      <w:r w:rsidRPr="00231F79">
        <w:t xml:space="preserve"> GDPR &amp; Data Protection Act 2018</w:t>
      </w:r>
      <w:r w:rsidRPr="00231F79">
        <w:br/>
      </w:r>
      <w:r w:rsidRPr="00231F79">
        <w:rPr>
          <w:b/>
          <w:bCs/>
        </w:rPr>
        <w:t>Figure 6.</w:t>
      </w:r>
      <w:r w:rsidRPr="00231F79">
        <w:t xml:space="preserve"> Proposed Governance, Security, and Compliance Model for </w:t>
      </w:r>
      <w:proofErr w:type="spellStart"/>
      <w:r w:rsidRPr="00231F79">
        <w:t>NatureGreen</w:t>
      </w:r>
      <w:proofErr w:type="spellEnd"/>
      <w:r w:rsidRPr="00231F79">
        <w:br/>
      </w:r>
      <w:r w:rsidRPr="00231F79">
        <w:rPr>
          <w:b/>
          <w:bCs/>
        </w:rPr>
        <w:t>Figure 7.</w:t>
      </w:r>
      <w:r w:rsidRPr="00231F79">
        <w:t xml:space="preserve"> Framework for </w:t>
      </w:r>
      <w:proofErr w:type="spellStart"/>
      <w:r w:rsidRPr="00231F79">
        <w:t>NatureGreen</w:t>
      </w:r>
      <w:proofErr w:type="spellEnd"/>
      <w:r w:rsidRPr="00231F79">
        <w:br/>
      </w:r>
      <w:r w:rsidRPr="00231F79">
        <w:rPr>
          <w:b/>
          <w:bCs/>
        </w:rPr>
        <w:t>Figure 8.</w:t>
      </w:r>
      <w:r w:rsidRPr="00231F79">
        <w:t xml:space="preserve"> Governance Structure for </w:t>
      </w:r>
      <w:proofErr w:type="spellStart"/>
      <w:r w:rsidRPr="00231F79">
        <w:t>NatureGreen</w:t>
      </w:r>
      <w:proofErr w:type="spellEnd"/>
      <w:r w:rsidRPr="00231F79">
        <w:br/>
      </w:r>
      <w:r w:rsidRPr="00231F79">
        <w:rPr>
          <w:b/>
          <w:bCs/>
        </w:rPr>
        <w:t>Figure 9.</w:t>
      </w:r>
      <w:r w:rsidRPr="00231F79">
        <w:t xml:space="preserve"> Security Policy Framework for </w:t>
      </w:r>
      <w:proofErr w:type="spellStart"/>
      <w:r w:rsidRPr="00231F79">
        <w:t>NatureGreen</w:t>
      </w:r>
      <w:proofErr w:type="spellEnd"/>
      <w:r w:rsidRPr="00231F79">
        <w:br/>
      </w:r>
      <w:r w:rsidRPr="00231F79">
        <w:rPr>
          <w:b/>
          <w:bCs/>
        </w:rPr>
        <w:t>Figure 10.</w:t>
      </w:r>
      <w:r w:rsidRPr="00231F79">
        <w:t xml:space="preserve"> Compliance Integration Framework</w:t>
      </w:r>
      <w:r w:rsidRPr="00231F79">
        <w:br/>
      </w:r>
      <w:r w:rsidRPr="00231F79">
        <w:rPr>
          <w:b/>
          <w:bCs/>
        </w:rPr>
        <w:t>Figure 11.</w:t>
      </w:r>
      <w:r w:rsidRPr="00231F79">
        <w:t xml:space="preserve"> Risk Management Framework</w:t>
      </w:r>
    </w:p>
    <w:p w14:paraId="70949A34" w14:textId="77777777" w:rsidR="00BD1500" w:rsidRPr="00BD1500" w:rsidRDefault="00000000" w:rsidP="00BD1500">
      <w:r>
        <w:pict w14:anchorId="2EDBD0E4">
          <v:rect id="_x0000_i1028" style="width:0;height:1.5pt" o:hralign="center" o:hrstd="t" o:hr="t" fillcolor="#a0a0a0" stroked="f"/>
        </w:pict>
      </w:r>
    </w:p>
    <w:p w14:paraId="296E7610" w14:textId="77777777" w:rsidR="00BD1500" w:rsidRDefault="00BD1500" w:rsidP="00BD1500">
      <w:pPr>
        <w:rPr>
          <w:b/>
          <w:bCs/>
        </w:rPr>
      </w:pPr>
      <w:r>
        <w:rPr>
          <w:b/>
          <w:bCs/>
        </w:rPr>
        <w:br w:type="page"/>
      </w:r>
    </w:p>
    <w:p w14:paraId="0FECC06E" w14:textId="01BC21EF" w:rsidR="00BD1500" w:rsidRPr="00BD1500" w:rsidRDefault="00BD1500" w:rsidP="00BD1500">
      <w:pPr>
        <w:rPr>
          <w:b/>
          <w:bCs/>
        </w:rPr>
      </w:pPr>
      <w:r w:rsidRPr="00BD1500">
        <w:rPr>
          <w:b/>
          <w:bCs/>
        </w:rPr>
        <w:lastRenderedPageBreak/>
        <w:t>1. Introduction</w:t>
      </w:r>
    </w:p>
    <w:p w14:paraId="089EFDAD" w14:textId="77777777" w:rsidR="00BD1500" w:rsidRPr="00BD1500" w:rsidRDefault="00BD1500" w:rsidP="00BD1500">
      <w:r w:rsidRPr="00BD1500">
        <w:t xml:space="preserve">Technology has become the core foundation of modern business operations, transforming how </w:t>
      </w:r>
      <w:proofErr w:type="spellStart"/>
      <w:r w:rsidRPr="00BD1500">
        <w:t>organisations</w:t>
      </w:r>
      <w:proofErr w:type="spellEnd"/>
      <w:r w:rsidRPr="00BD1500">
        <w:t xml:space="preserve"> communicate, manage resources, and deliver services. The widespread adoption of cloud computing, mobile applications, artificial intelligence, and Internet of Things (IoT) systems has enabled businesses to work more efficiently and </w:t>
      </w:r>
      <w:proofErr w:type="gramStart"/>
      <w:r w:rsidRPr="00BD1500">
        <w:t>at</w:t>
      </w:r>
      <w:proofErr w:type="gramEnd"/>
      <w:r w:rsidRPr="00BD1500">
        <w:t xml:space="preserve"> a global scale. However, this digital transformation has also introduced greater complexity to the cybersecurity environment. </w:t>
      </w:r>
      <w:proofErr w:type="spellStart"/>
      <w:r w:rsidRPr="00BD1500">
        <w:t>Organisations</w:t>
      </w:r>
      <w:proofErr w:type="spellEnd"/>
      <w:r w:rsidRPr="00BD1500">
        <w:t xml:space="preserve"> now face threats such as data breaches, ransomware, insider misuse, system vulnerabilities, and regulatory penalties. These security risks make it essential for companies to implement strong governance and compliance frameworks that safeguard digital assets and support continuous business performance.</w:t>
      </w:r>
    </w:p>
    <w:p w14:paraId="567694C9" w14:textId="77777777" w:rsidR="00BD1500" w:rsidRPr="00BD1500" w:rsidRDefault="00BD1500" w:rsidP="00BD1500">
      <w:proofErr w:type="spellStart"/>
      <w:r w:rsidRPr="00BD1500">
        <w:t>NatureGreen</w:t>
      </w:r>
      <w:proofErr w:type="spellEnd"/>
      <w:r w:rsidRPr="00BD1500">
        <w:t xml:space="preserve"> (NG), a global wellness and lifestyle company, handles extensive amounts of sensitive and business-critical information. This includes personal data of customers and employees, confidential research materials, product development data, and financial records. As the </w:t>
      </w:r>
      <w:proofErr w:type="spellStart"/>
      <w:r w:rsidRPr="00BD1500">
        <w:t>organisation</w:t>
      </w:r>
      <w:proofErr w:type="spellEnd"/>
      <w:r w:rsidRPr="00BD1500">
        <w:t xml:space="preserve"> increasingly relies on cloud platforms, online collaboration tools, e-commerce systems, and Bring-Your-Own-Device (BYOD) practices, its exposure to cyber risks also expands. Remote working environments, third-party integrations, and high levels of digital interconnectivity provide flexibility and scalability but also create more opportunities for </w:t>
      </w:r>
      <w:proofErr w:type="spellStart"/>
      <w:r w:rsidRPr="00BD1500">
        <w:t>unauthorised</w:t>
      </w:r>
      <w:proofErr w:type="spellEnd"/>
      <w:r w:rsidRPr="00BD1500">
        <w:t xml:space="preserve"> access, data leaks, and compliance challenges.</w:t>
      </w:r>
    </w:p>
    <w:p w14:paraId="1E36D30A" w14:textId="77777777" w:rsidR="00BD1500" w:rsidRPr="00BD1500" w:rsidRDefault="00BD1500" w:rsidP="00BD1500">
      <w:r w:rsidRPr="00BD1500">
        <w:t>In the UK, regulations such as the Data Protection Act 2018 and the General Data Protection Regulation (GDPR</w:t>
      </w:r>
      <w:proofErr w:type="gramStart"/>
      <w:r w:rsidRPr="00BD1500">
        <w:t>)[</w:t>
      </w:r>
      <w:proofErr w:type="gramEnd"/>
      <w:r w:rsidRPr="00BD1500">
        <w:t xml:space="preserve">16] require </w:t>
      </w:r>
      <w:proofErr w:type="spellStart"/>
      <w:r w:rsidRPr="00BD1500">
        <w:t>organisations</w:t>
      </w:r>
      <w:proofErr w:type="spellEnd"/>
      <w:r w:rsidRPr="00BD1500">
        <w:t xml:space="preserve"> to manage personal data responsibly and transparently. Any failure to meet these obligations can result in major legal consequences, financial losses, and reputational damage. For an </w:t>
      </w:r>
      <w:proofErr w:type="spellStart"/>
      <w:r w:rsidRPr="00BD1500">
        <w:t>organisation</w:t>
      </w:r>
      <w:proofErr w:type="spellEnd"/>
      <w:r w:rsidRPr="00BD1500">
        <w:t xml:space="preserve"> like NG, maintaining compliance is not only a legal requirement but a critical part of customer trust and brand credibility. As digital threats evolve and regulatory expectations tighten, NG must adopt a comprehensive, structured approach to governance and security.</w:t>
      </w:r>
    </w:p>
    <w:p w14:paraId="384AEF50" w14:textId="77777777" w:rsidR="00BD1500" w:rsidRPr="00BD1500" w:rsidRDefault="00BD1500" w:rsidP="00BD1500">
      <w:r w:rsidRPr="00BD1500">
        <w:t xml:space="preserve">The purpose of this report is to help </w:t>
      </w:r>
      <w:proofErr w:type="spellStart"/>
      <w:r w:rsidRPr="00BD1500">
        <w:t>NatureGreen</w:t>
      </w:r>
      <w:proofErr w:type="spellEnd"/>
      <w:r w:rsidRPr="00BD1500">
        <w:t xml:space="preserve"> strengthen its governance, security, and compliance posture through internationally </w:t>
      </w:r>
      <w:proofErr w:type="spellStart"/>
      <w:r w:rsidRPr="00BD1500">
        <w:t>recognised</w:t>
      </w:r>
      <w:proofErr w:type="spellEnd"/>
      <w:r w:rsidRPr="00BD1500">
        <w:t xml:space="preserve"> frameworks. The report evaluates five major models: ISO 27001, the NIST Cybersecurity Framework (CSF), COBIT, ITIL 4, and GDPR. Each framework contributes unique strengths—ISO 27001 outlines a formal Information Security Management System (ISMS), NIST CSF enhances risk detection and incident response, COBIT ensures IT governance aligns with business goals, ITIL 4 supports efficient service management, and GDPR establishes rules for ethical and lawful data processing.</w:t>
      </w:r>
    </w:p>
    <w:p w14:paraId="2DCBB13F" w14:textId="77777777" w:rsidR="00BD1500" w:rsidRPr="00BD1500" w:rsidRDefault="00BD1500" w:rsidP="00BD1500">
      <w:r w:rsidRPr="00BD1500">
        <w:lastRenderedPageBreak/>
        <w:t xml:space="preserve">By </w:t>
      </w:r>
      <w:proofErr w:type="spellStart"/>
      <w:r w:rsidRPr="00BD1500">
        <w:t>analysing</w:t>
      </w:r>
      <w:proofErr w:type="spellEnd"/>
      <w:r w:rsidRPr="00BD1500">
        <w:t xml:space="preserve"> these frameworks, the report proposes a tailored hybrid governance model suitable for </w:t>
      </w:r>
      <w:proofErr w:type="spellStart"/>
      <w:r w:rsidRPr="00BD1500">
        <w:t>NatureGreen’s</w:t>
      </w:r>
      <w:proofErr w:type="spellEnd"/>
      <w:r w:rsidRPr="00BD1500">
        <w:t xml:space="preserve"> operational environment. This combined approach will help the </w:t>
      </w:r>
      <w:proofErr w:type="spellStart"/>
      <w:r w:rsidRPr="00BD1500">
        <w:t>organisation</w:t>
      </w:r>
      <w:proofErr w:type="spellEnd"/>
      <w:r w:rsidRPr="00BD1500">
        <w:t xml:space="preserve"> manage risks effectively, improve data protection, enhance compliance, and support ongoing innovation in a rapidly evolving digital landscape.</w:t>
      </w:r>
    </w:p>
    <w:p w14:paraId="3D374673" w14:textId="77777777" w:rsidR="00DA3988" w:rsidRDefault="00DA3988" w:rsidP="00DA3988"/>
    <w:p w14:paraId="0C96906F" w14:textId="77777777" w:rsidR="00DA3988" w:rsidRDefault="00DA3988" w:rsidP="00DA3988"/>
    <w:p w14:paraId="3D3C1EED" w14:textId="77777777" w:rsidR="00BD1500" w:rsidRDefault="00BD1500" w:rsidP="00DA3988">
      <w:r>
        <w:br w:type="page"/>
      </w:r>
    </w:p>
    <w:p w14:paraId="465006BA" w14:textId="77777777" w:rsidR="00BD1500" w:rsidRPr="00BD1500" w:rsidRDefault="00BD1500" w:rsidP="00BD1500">
      <w:pPr>
        <w:rPr>
          <w:b/>
          <w:bCs/>
        </w:rPr>
      </w:pPr>
      <w:r w:rsidRPr="00BD1500">
        <w:rPr>
          <w:b/>
          <w:bCs/>
        </w:rPr>
        <w:lastRenderedPageBreak/>
        <w:t>2. Review of Security, Governance, and Compliance Frameworks</w:t>
      </w:r>
    </w:p>
    <w:p w14:paraId="071EF75F" w14:textId="77777777" w:rsidR="00BD1500" w:rsidRPr="00BD1500" w:rsidRDefault="00BD1500" w:rsidP="00BD1500">
      <w:r w:rsidRPr="00BD1500">
        <w:t xml:space="preserve">To build a robust and resilient security posture, </w:t>
      </w:r>
      <w:proofErr w:type="spellStart"/>
      <w:r w:rsidRPr="00BD1500">
        <w:t>organisations</w:t>
      </w:r>
      <w:proofErr w:type="spellEnd"/>
      <w:r w:rsidRPr="00BD1500">
        <w:t xml:space="preserve"> must adopt structured approaches that address not only technological vulnerabilities but also process inefficiencies and human factors. For </w:t>
      </w:r>
      <w:proofErr w:type="spellStart"/>
      <w:r w:rsidRPr="00BD1500">
        <w:t>NatureGreen</w:t>
      </w:r>
      <w:proofErr w:type="spellEnd"/>
      <w:r w:rsidRPr="00BD1500">
        <w:t xml:space="preserve">, a global wellness company relying on cloud platforms, mobile technologies, and interconnected devices, implementing internationally </w:t>
      </w:r>
      <w:proofErr w:type="spellStart"/>
      <w:r w:rsidRPr="00BD1500">
        <w:t>recognised</w:t>
      </w:r>
      <w:proofErr w:type="spellEnd"/>
      <w:r w:rsidRPr="00BD1500">
        <w:t xml:space="preserve"> frameworks is essential.</w:t>
      </w:r>
    </w:p>
    <w:p w14:paraId="4A04BD45" w14:textId="77777777" w:rsidR="00BD1500" w:rsidRPr="00BD1500" w:rsidRDefault="00BD1500" w:rsidP="00BD1500">
      <w:r w:rsidRPr="00BD1500">
        <w:t xml:space="preserve">These frameworks offer best practices for managing risk, improving cybersecurity, ensuring regulatory compliance, and aligning IT operations with business goals. This section reviews key frameworks—ISO 27000 series, NIST Cybersecurity Framework, COBIT, ITIL 4, and GDPR/Data Protection Act 2018—highlighting their principles, applications, and relevance to </w:t>
      </w:r>
      <w:proofErr w:type="spellStart"/>
      <w:r w:rsidRPr="00BD1500">
        <w:t>NatureGreen</w:t>
      </w:r>
      <w:proofErr w:type="spellEnd"/>
      <w:r w:rsidRPr="00BD1500">
        <w:t>.</w:t>
      </w:r>
    </w:p>
    <w:p w14:paraId="32DDDE07" w14:textId="77777777" w:rsidR="00BD1500" w:rsidRPr="00BD1500" w:rsidRDefault="00000000" w:rsidP="00BD1500">
      <w:r>
        <w:pict w14:anchorId="0C25CB72">
          <v:rect id="_x0000_i1029" style="width:0;height:1.5pt" o:hralign="center" o:hrstd="t" o:hr="t" fillcolor="#a0a0a0" stroked="f"/>
        </w:pict>
      </w:r>
    </w:p>
    <w:p w14:paraId="049B83D8" w14:textId="77777777" w:rsidR="00BD1500" w:rsidRPr="00BD1500" w:rsidRDefault="00BD1500" w:rsidP="00BD1500">
      <w:pPr>
        <w:rPr>
          <w:b/>
          <w:bCs/>
        </w:rPr>
      </w:pPr>
      <w:r w:rsidRPr="00BD1500">
        <w:rPr>
          <w:b/>
          <w:bCs/>
        </w:rPr>
        <w:t>2.1 ISO 27000 Family</w:t>
      </w:r>
    </w:p>
    <w:p w14:paraId="5D1DAC04" w14:textId="77777777" w:rsidR="00BD1500" w:rsidRPr="00BD1500" w:rsidRDefault="00BD1500" w:rsidP="00BD1500">
      <w:r w:rsidRPr="00BD1500">
        <w:t xml:space="preserve">The ISO 27000 series is a globally </w:t>
      </w:r>
      <w:proofErr w:type="spellStart"/>
      <w:r w:rsidRPr="00BD1500">
        <w:t>recognised</w:t>
      </w:r>
      <w:proofErr w:type="spellEnd"/>
      <w:r w:rsidRPr="00BD1500">
        <w:t xml:space="preserve"> set of standards for information security management. Among these, ISO 27001 is particularly prominent, providing a structured methodology for implementing an Information Security Management System (ISMS). An ISMS takes a holistic approach to information security by integrating people, processes, and technology under a unified framework. Its core purpose is to protect </w:t>
      </w:r>
      <w:proofErr w:type="gramStart"/>
      <w:r w:rsidRPr="00BD1500">
        <w:t>the confidentiality</w:t>
      </w:r>
      <w:proofErr w:type="gramEnd"/>
      <w:r w:rsidRPr="00BD1500">
        <w:t xml:space="preserve">, integrity, and availability of information assets while aligning security measures with </w:t>
      </w:r>
      <w:proofErr w:type="spellStart"/>
      <w:r w:rsidRPr="00BD1500">
        <w:t>organisational</w:t>
      </w:r>
      <w:proofErr w:type="spellEnd"/>
      <w:r w:rsidRPr="00BD1500">
        <w:t xml:space="preserve"> objectives. Academic research highlights that </w:t>
      </w:r>
      <w:proofErr w:type="spellStart"/>
      <w:r w:rsidRPr="00BD1500">
        <w:t>organisations</w:t>
      </w:r>
      <w:proofErr w:type="spellEnd"/>
      <w:r w:rsidRPr="00BD1500">
        <w:t xml:space="preserve"> adopting ISO 27001 demonstrate measurable improvements in risk management maturity and breach reduction [A2].</w:t>
      </w:r>
    </w:p>
    <w:p w14:paraId="565CF848" w14:textId="77777777" w:rsidR="00BD1500" w:rsidRPr="00BD1500" w:rsidRDefault="00BD1500" w:rsidP="00BD1500">
      <w:r w:rsidRPr="00BD1500">
        <w:t>The ISO 27001 standard follows the Plan–Do–Check–Act (PDCA) cycle, which ensures continuous improvement:</w:t>
      </w:r>
    </w:p>
    <w:p w14:paraId="47ADD266" w14:textId="77777777" w:rsidR="00BD1500" w:rsidRPr="00BD1500" w:rsidRDefault="00BD1500" w:rsidP="00BD1500">
      <w:pPr>
        <w:numPr>
          <w:ilvl w:val="0"/>
          <w:numId w:val="2"/>
        </w:numPr>
      </w:pPr>
      <w:r w:rsidRPr="00BD1500">
        <w:rPr>
          <w:b/>
          <w:bCs/>
        </w:rPr>
        <w:t>Plan:</w:t>
      </w:r>
      <w:r w:rsidRPr="00BD1500">
        <w:t xml:space="preserve"> Define the ISMS scope, security policies, risk assessment methods, and control objectives.</w:t>
      </w:r>
    </w:p>
    <w:p w14:paraId="726D70A3" w14:textId="77777777" w:rsidR="00BD1500" w:rsidRPr="00BD1500" w:rsidRDefault="00BD1500" w:rsidP="00BD1500">
      <w:pPr>
        <w:numPr>
          <w:ilvl w:val="0"/>
          <w:numId w:val="2"/>
        </w:numPr>
      </w:pPr>
      <w:r w:rsidRPr="00BD1500">
        <w:rPr>
          <w:b/>
          <w:bCs/>
        </w:rPr>
        <w:t>Do:</w:t>
      </w:r>
      <w:r w:rsidRPr="00BD1500">
        <w:t xml:space="preserve"> Implement security controls, train staff, and enforce policies.</w:t>
      </w:r>
    </w:p>
    <w:p w14:paraId="6B871865" w14:textId="77777777" w:rsidR="00BD1500" w:rsidRPr="00BD1500" w:rsidRDefault="00BD1500" w:rsidP="00BD1500">
      <w:pPr>
        <w:numPr>
          <w:ilvl w:val="0"/>
          <w:numId w:val="2"/>
        </w:numPr>
      </w:pPr>
      <w:r w:rsidRPr="00BD1500">
        <w:rPr>
          <w:b/>
          <w:bCs/>
        </w:rPr>
        <w:t>Check:</w:t>
      </w:r>
      <w:r w:rsidRPr="00BD1500">
        <w:t xml:space="preserve"> Conduct audits, monitoring, reporting, and evaluate control performance.</w:t>
      </w:r>
    </w:p>
    <w:p w14:paraId="38BFCC35" w14:textId="77777777" w:rsidR="00BD1500" w:rsidRPr="00BD1500" w:rsidRDefault="00BD1500" w:rsidP="00BD1500">
      <w:pPr>
        <w:numPr>
          <w:ilvl w:val="0"/>
          <w:numId w:val="2"/>
        </w:numPr>
      </w:pPr>
      <w:r w:rsidRPr="00BD1500">
        <w:rPr>
          <w:b/>
          <w:bCs/>
        </w:rPr>
        <w:t>Act:</w:t>
      </w:r>
      <w:r w:rsidRPr="00BD1500">
        <w:t xml:space="preserve"> Review results and enhance security measures for ongoing improvement.</w:t>
      </w:r>
    </w:p>
    <w:p w14:paraId="3109EE4A" w14:textId="77777777" w:rsidR="00BD1500" w:rsidRPr="00BD1500" w:rsidRDefault="00BD1500" w:rsidP="00BD1500">
      <w:r w:rsidRPr="00BD1500">
        <w:t xml:space="preserve">ISO 27001 encompasses </w:t>
      </w:r>
      <w:r w:rsidRPr="00BD1500">
        <w:rPr>
          <w:b/>
          <w:bCs/>
        </w:rPr>
        <w:t>14 security domains</w:t>
      </w:r>
      <w:r w:rsidRPr="00BD1500">
        <w:t>, such as:</w:t>
      </w:r>
    </w:p>
    <w:p w14:paraId="650748F9" w14:textId="77777777" w:rsidR="00BD1500" w:rsidRPr="00BD1500" w:rsidRDefault="00BD1500" w:rsidP="00BD1500">
      <w:pPr>
        <w:numPr>
          <w:ilvl w:val="0"/>
          <w:numId w:val="3"/>
        </w:numPr>
      </w:pPr>
      <w:r w:rsidRPr="00BD1500">
        <w:t>Access control</w:t>
      </w:r>
    </w:p>
    <w:p w14:paraId="63876C38" w14:textId="77777777" w:rsidR="00BD1500" w:rsidRPr="00BD1500" w:rsidRDefault="00BD1500" w:rsidP="00BD1500">
      <w:pPr>
        <w:numPr>
          <w:ilvl w:val="0"/>
          <w:numId w:val="3"/>
        </w:numPr>
      </w:pPr>
      <w:r w:rsidRPr="00BD1500">
        <w:t>Cryptography</w:t>
      </w:r>
    </w:p>
    <w:p w14:paraId="5D4F9288" w14:textId="77777777" w:rsidR="00BD1500" w:rsidRPr="00BD1500" w:rsidRDefault="00BD1500" w:rsidP="00BD1500">
      <w:pPr>
        <w:numPr>
          <w:ilvl w:val="0"/>
          <w:numId w:val="3"/>
        </w:numPr>
      </w:pPr>
      <w:r w:rsidRPr="00BD1500">
        <w:lastRenderedPageBreak/>
        <w:t>Communications security</w:t>
      </w:r>
    </w:p>
    <w:p w14:paraId="50B564B7" w14:textId="77777777" w:rsidR="00BD1500" w:rsidRPr="00BD1500" w:rsidRDefault="00BD1500" w:rsidP="00BD1500">
      <w:pPr>
        <w:numPr>
          <w:ilvl w:val="0"/>
          <w:numId w:val="3"/>
        </w:numPr>
      </w:pPr>
      <w:r w:rsidRPr="00BD1500">
        <w:t>Asset management</w:t>
      </w:r>
    </w:p>
    <w:p w14:paraId="59E59D3E" w14:textId="77777777" w:rsidR="00BD1500" w:rsidRPr="00BD1500" w:rsidRDefault="00BD1500" w:rsidP="00BD1500">
      <w:pPr>
        <w:numPr>
          <w:ilvl w:val="0"/>
          <w:numId w:val="3"/>
        </w:numPr>
      </w:pPr>
      <w:r w:rsidRPr="00BD1500">
        <w:t>Supplier relationships</w:t>
      </w:r>
    </w:p>
    <w:p w14:paraId="58CE286A" w14:textId="77777777" w:rsidR="00BD1500" w:rsidRPr="00BD1500" w:rsidRDefault="00BD1500" w:rsidP="00BD1500">
      <w:r w:rsidRPr="00BD1500">
        <w:t xml:space="preserve">These domains provide a comprehensive structure for managing </w:t>
      </w:r>
      <w:proofErr w:type="spellStart"/>
      <w:r w:rsidRPr="00BD1500">
        <w:t>organisational</w:t>
      </w:r>
      <w:proofErr w:type="spellEnd"/>
      <w:r w:rsidRPr="00BD1500">
        <w:t xml:space="preserve"> security [1].</w:t>
      </w:r>
    </w:p>
    <w:p w14:paraId="77F162FD" w14:textId="77777777" w:rsidR="00BD1500" w:rsidRPr="00BD1500" w:rsidRDefault="00000000" w:rsidP="00BD1500">
      <w:r>
        <w:pict w14:anchorId="20FA9C33">
          <v:rect id="_x0000_i1030" style="width:0;height:1.5pt" o:hralign="center" o:hrstd="t" o:hr="t" fillcolor="#a0a0a0" stroked="f"/>
        </w:pict>
      </w:r>
    </w:p>
    <w:p w14:paraId="026F871D" w14:textId="77777777" w:rsidR="00BD1500" w:rsidRDefault="00BD1500" w:rsidP="00BD1500">
      <w:pPr>
        <w:rPr>
          <w:b/>
          <w:bCs/>
        </w:rPr>
      </w:pPr>
      <w:r w:rsidRPr="00BD1500">
        <w:rPr>
          <w:b/>
          <w:bCs/>
        </w:rPr>
        <w:t>Figure 1: ISO 27001 Framework</w:t>
      </w:r>
    </w:p>
    <w:p w14:paraId="122331BD" w14:textId="578B3EB6" w:rsidR="004C693F" w:rsidRPr="00BD1500" w:rsidRDefault="0097679A" w:rsidP="00BD1500">
      <w:pPr>
        <w:rPr>
          <w:b/>
          <w:bCs/>
        </w:rPr>
      </w:pPr>
      <w:r>
        <w:rPr>
          <w:b/>
          <w:bCs/>
          <w:noProof/>
        </w:rPr>
        <w:drawing>
          <wp:inline distT="0" distB="0" distL="0" distR="0" wp14:anchorId="13F1A788" wp14:editId="3DA66D93">
            <wp:extent cx="5201392" cy="3842695"/>
            <wp:effectExtent l="0" t="0" r="0" b="5715"/>
            <wp:docPr id="2112929399" name="Picture 3" descr="A diagram of a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29399" name="Picture 3" descr="A diagram of a pla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203488" cy="3844243"/>
                    </a:xfrm>
                    <a:prstGeom prst="rect">
                      <a:avLst/>
                    </a:prstGeom>
                  </pic:spPr>
                </pic:pic>
              </a:graphicData>
            </a:graphic>
          </wp:inline>
        </w:drawing>
      </w:r>
    </w:p>
    <w:p w14:paraId="71931C24" w14:textId="44FE2C46" w:rsidR="00BD1500" w:rsidRPr="00BD1500" w:rsidRDefault="00000000" w:rsidP="00BD1500">
      <w:r>
        <w:pict w14:anchorId="49470474">
          <v:rect id="_x0000_i1031" style="width:0;height:1.5pt" o:hralign="center" o:hrstd="t" o:hr="t" fillcolor="#a0a0a0" stroked="f"/>
        </w:pict>
      </w:r>
    </w:p>
    <w:p w14:paraId="33AB812A" w14:textId="77777777" w:rsidR="00BD1500" w:rsidRPr="00BD1500" w:rsidRDefault="00BD1500" w:rsidP="00BD1500">
      <w:pPr>
        <w:rPr>
          <w:b/>
          <w:bCs/>
        </w:rPr>
      </w:pPr>
      <w:r w:rsidRPr="00BD1500">
        <w:rPr>
          <w:b/>
          <w:bCs/>
        </w:rPr>
        <w:t xml:space="preserve">Relevance to </w:t>
      </w:r>
      <w:proofErr w:type="spellStart"/>
      <w:r w:rsidRPr="00BD1500">
        <w:rPr>
          <w:b/>
          <w:bCs/>
        </w:rPr>
        <w:t>NatureGreen</w:t>
      </w:r>
      <w:proofErr w:type="spellEnd"/>
    </w:p>
    <w:p w14:paraId="5586E8C5" w14:textId="77777777" w:rsidR="00BD1500" w:rsidRPr="00BD1500" w:rsidRDefault="00BD1500" w:rsidP="00BD1500">
      <w:r w:rsidRPr="00BD1500">
        <w:t xml:space="preserve">For </w:t>
      </w:r>
      <w:proofErr w:type="spellStart"/>
      <w:r w:rsidRPr="00BD1500">
        <w:t>NatureGreen</w:t>
      </w:r>
      <w:proofErr w:type="spellEnd"/>
      <w:r w:rsidRPr="00BD1500">
        <w:t xml:space="preserve">, ISO 27001 offers a systematic way to </w:t>
      </w:r>
      <w:proofErr w:type="spellStart"/>
      <w:r w:rsidRPr="00BD1500">
        <w:t>formalise</w:t>
      </w:r>
      <w:proofErr w:type="spellEnd"/>
      <w:r w:rsidRPr="00BD1500">
        <w:t xml:space="preserve"> security responsibilities across departments. Implementing this framework ensures that security policies are consistently applied, reducing the likelihood of breaches and misconfigurations.</w:t>
      </w:r>
    </w:p>
    <w:p w14:paraId="339CB678" w14:textId="77777777" w:rsidR="00BD1500" w:rsidRPr="00BD1500" w:rsidRDefault="00BD1500" w:rsidP="00BD1500">
      <w:r w:rsidRPr="00BD1500">
        <w:t>Additional benefits include:</w:t>
      </w:r>
    </w:p>
    <w:p w14:paraId="1E10D876" w14:textId="77777777" w:rsidR="00BD1500" w:rsidRPr="00BD1500" w:rsidRDefault="00BD1500" w:rsidP="00BD1500">
      <w:pPr>
        <w:numPr>
          <w:ilvl w:val="0"/>
          <w:numId w:val="4"/>
        </w:numPr>
      </w:pPr>
      <w:r w:rsidRPr="00BD1500">
        <w:t>Enhanced customer trust through certification</w:t>
      </w:r>
    </w:p>
    <w:p w14:paraId="074CE98F" w14:textId="77777777" w:rsidR="00BD1500" w:rsidRPr="00BD1500" w:rsidRDefault="00BD1500" w:rsidP="00BD1500">
      <w:pPr>
        <w:numPr>
          <w:ilvl w:val="0"/>
          <w:numId w:val="4"/>
        </w:numPr>
      </w:pPr>
      <w:r w:rsidRPr="00BD1500">
        <w:lastRenderedPageBreak/>
        <w:t>Stronger compliance alignment with GDPR</w:t>
      </w:r>
    </w:p>
    <w:p w14:paraId="2CA8B964" w14:textId="77777777" w:rsidR="00BD1500" w:rsidRPr="00BD1500" w:rsidRDefault="00BD1500" w:rsidP="00BD1500">
      <w:pPr>
        <w:numPr>
          <w:ilvl w:val="0"/>
          <w:numId w:val="4"/>
        </w:numPr>
      </w:pPr>
      <w:r w:rsidRPr="00BD1500">
        <w:t>A secure foundation to integrate NIST CSF, COBIT, and ITIL 4</w:t>
      </w:r>
    </w:p>
    <w:p w14:paraId="5FDCEBC5" w14:textId="77777777" w:rsidR="00BD1500" w:rsidRPr="00BD1500" w:rsidRDefault="00BD1500" w:rsidP="00BD1500">
      <w:r w:rsidRPr="00BD1500">
        <w:t xml:space="preserve">ISO 27001 therefore forms the core governance structure for </w:t>
      </w:r>
      <w:proofErr w:type="spellStart"/>
      <w:r w:rsidRPr="00BD1500">
        <w:t>NatureGreen</w:t>
      </w:r>
      <w:proofErr w:type="spellEnd"/>
      <w:r w:rsidRPr="00BD1500">
        <w:t>.</w:t>
      </w:r>
    </w:p>
    <w:p w14:paraId="394DD87B" w14:textId="77777777" w:rsidR="00BD1500" w:rsidRPr="00BD1500" w:rsidRDefault="00000000" w:rsidP="00BD1500">
      <w:r>
        <w:pict w14:anchorId="4482AB42">
          <v:rect id="_x0000_i1032" style="width:0;height:1.5pt" o:hralign="center" o:hrstd="t" o:hr="t" fillcolor="#a0a0a0" stroked="f"/>
        </w:pict>
      </w:r>
    </w:p>
    <w:p w14:paraId="1CF223C8" w14:textId="77777777" w:rsidR="00D91A40" w:rsidRDefault="00D91A40" w:rsidP="00BD1500">
      <w:pPr>
        <w:rPr>
          <w:b/>
          <w:bCs/>
        </w:rPr>
      </w:pPr>
    </w:p>
    <w:p w14:paraId="6CF75F87" w14:textId="77777777" w:rsidR="00D91A40" w:rsidRDefault="00D91A40" w:rsidP="00BD1500">
      <w:pPr>
        <w:rPr>
          <w:b/>
          <w:bCs/>
        </w:rPr>
      </w:pPr>
    </w:p>
    <w:p w14:paraId="707BDFC7" w14:textId="77777777" w:rsidR="00D91A40" w:rsidRDefault="00D91A40" w:rsidP="00BD1500">
      <w:pPr>
        <w:rPr>
          <w:b/>
          <w:bCs/>
        </w:rPr>
      </w:pPr>
    </w:p>
    <w:p w14:paraId="79ED6465" w14:textId="77777777" w:rsidR="00D91A40" w:rsidRDefault="00D91A40" w:rsidP="00BD1500">
      <w:pPr>
        <w:rPr>
          <w:b/>
          <w:bCs/>
        </w:rPr>
      </w:pPr>
    </w:p>
    <w:p w14:paraId="7A76C072" w14:textId="5B44D006" w:rsidR="00BD1500" w:rsidRPr="00BD1500" w:rsidRDefault="00BD1500" w:rsidP="00BD1500">
      <w:pPr>
        <w:rPr>
          <w:b/>
          <w:bCs/>
        </w:rPr>
      </w:pPr>
      <w:r w:rsidRPr="00BD1500">
        <w:rPr>
          <w:b/>
          <w:bCs/>
        </w:rPr>
        <w:t>2.2 NIST Cybersecurity Framework (CSF)</w:t>
      </w:r>
    </w:p>
    <w:p w14:paraId="38C1C67B" w14:textId="77777777" w:rsidR="00BD1500" w:rsidRPr="00BD1500" w:rsidRDefault="00BD1500" w:rsidP="00BD1500">
      <w:r w:rsidRPr="00BD1500">
        <w:t xml:space="preserve">The NIST Cybersecurity Framework (CSF), developed by the U.S. National Institute of Standards and Technology, is </w:t>
      </w:r>
      <w:proofErr w:type="spellStart"/>
      <w:r w:rsidRPr="00BD1500">
        <w:t>recognised</w:t>
      </w:r>
      <w:proofErr w:type="spellEnd"/>
      <w:r w:rsidRPr="00BD1500">
        <w:t xml:space="preserve"> globally for its practicality and flexibility. </w:t>
      </w:r>
      <w:proofErr w:type="gramStart"/>
      <w:r w:rsidRPr="00BD1500">
        <w:t>The CSF</w:t>
      </w:r>
      <w:proofErr w:type="gramEnd"/>
      <w:r w:rsidRPr="00BD1500">
        <w:t xml:space="preserve"> provides a structured methodology for managing cybersecurity risks and can be tailored to </w:t>
      </w:r>
      <w:proofErr w:type="spellStart"/>
      <w:r w:rsidRPr="00BD1500">
        <w:t>organisations</w:t>
      </w:r>
      <w:proofErr w:type="spellEnd"/>
      <w:r w:rsidRPr="00BD1500">
        <w:t xml:space="preserve"> of any size, sector, or maturity level [2][8].</w:t>
      </w:r>
    </w:p>
    <w:p w14:paraId="7CE83A44" w14:textId="77777777" w:rsidR="00BD1500" w:rsidRPr="00BD1500" w:rsidRDefault="00BD1500" w:rsidP="00BD1500">
      <w:r w:rsidRPr="00BD1500">
        <w:t xml:space="preserve">The framework is built around </w:t>
      </w:r>
      <w:r w:rsidRPr="00BD1500">
        <w:rPr>
          <w:b/>
          <w:bCs/>
        </w:rPr>
        <w:t>five core functions</w:t>
      </w:r>
      <w:r w:rsidRPr="00BD1500">
        <w:t>:</w:t>
      </w:r>
    </w:p>
    <w:p w14:paraId="74103DE2" w14:textId="77777777" w:rsidR="00BD1500" w:rsidRPr="00BD1500" w:rsidRDefault="00BD1500" w:rsidP="00BD1500">
      <w:pPr>
        <w:numPr>
          <w:ilvl w:val="0"/>
          <w:numId w:val="5"/>
        </w:numPr>
      </w:pPr>
      <w:r w:rsidRPr="00BD1500">
        <w:rPr>
          <w:b/>
          <w:bCs/>
        </w:rPr>
        <w:t>Identify</w:t>
      </w:r>
      <w:r w:rsidRPr="00BD1500">
        <w:t xml:space="preserve"> – Understanding </w:t>
      </w:r>
      <w:proofErr w:type="spellStart"/>
      <w:r w:rsidRPr="00BD1500">
        <w:t>organisational</w:t>
      </w:r>
      <w:proofErr w:type="spellEnd"/>
      <w:r w:rsidRPr="00BD1500">
        <w:t xml:space="preserve"> context, assets, risks, and governance environment.</w:t>
      </w:r>
    </w:p>
    <w:p w14:paraId="2E22F89F" w14:textId="77777777" w:rsidR="00BD1500" w:rsidRPr="00BD1500" w:rsidRDefault="00BD1500" w:rsidP="00BD1500">
      <w:pPr>
        <w:numPr>
          <w:ilvl w:val="0"/>
          <w:numId w:val="5"/>
        </w:numPr>
      </w:pPr>
      <w:r w:rsidRPr="00BD1500">
        <w:rPr>
          <w:b/>
          <w:bCs/>
        </w:rPr>
        <w:t>Protect</w:t>
      </w:r>
      <w:r w:rsidRPr="00BD1500">
        <w:t xml:space="preserve"> – Implementing safeguards to limit the impact of potential cyber incidents.</w:t>
      </w:r>
    </w:p>
    <w:p w14:paraId="0EA8A66F" w14:textId="77777777" w:rsidR="00BD1500" w:rsidRPr="00BD1500" w:rsidRDefault="00BD1500" w:rsidP="00BD1500">
      <w:pPr>
        <w:numPr>
          <w:ilvl w:val="0"/>
          <w:numId w:val="5"/>
        </w:numPr>
      </w:pPr>
      <w:r w:rsidRPr="00BD1500">
        <w:rPr>
          <w:b/>
          <w:bCs/>
        </w:rPr>
        <w:t>Detect</w:t>
      </w:r>
      <w:r w:rsidRPr="00BD1500">
        <w:t xml:space="preserve"> – Establishing monitoring systems to identify anomalies and threats promptly.</w:t>
      </w:r>
    </w:p>
    <w:p w14:paraId="7705AC6A" w14:textId="77777777" w:rsidR="00BD1500" w:rsidRPr="00BD1500" w:rsidRDefault="00BD1500" w:rsidP="00BD1500">
      <w:pPr>
        <w:numPr>
          <w:ilvl w:val="0"/>
          <w:numId w:val="5"/>
        </w:numPr>
      </w:pPr>
      <w:r w:rsidRPr="00BD1500">
        <w:rPr>
          <w:b/>
          <w:bCs/>
        </w:rPr>
        <w:t>Respond</w:t>
      </w:r>
      <w:r w:rsidRPr="00BD1500">
        <w:t xml:space="preserve"> – Developing processes to address detected incidents effectively.</w:t>
      </w:r>
    </w:p>
    <w:p w14:paraId="2FB45246" w14:textId="77777777" w:rsidR="00BD1500" w:rsidRPr="00BD1500" w:rsidRDefault="00BD1500" w:rsidP="00BD1500">
      <w:pPr>
        <w:numPr>
          <w:ilvl w:val="0"/>
          <w:numId w:val="5"/>
        </w:numPr>
      </w:pPr>
      <w:r w:rsidRPr="00BD1500">
        <w:rPr>
          <w:b/>
          <w:bCs/>
        </w:rPr>
        <w:t>Recover</w:t>
      </w:r>
      <w:r w:rsidRPr="00BD1500">
        <w:t xml:space="preserve"> – Restoring services and operations after a cyber event [2].</w:t>
      </w:r>
    </w:p>
    <w:p w14:paraId="33C51355" w14:textId="77777777" w:rsidR="00BD1500" w:rsidRPr="00BD1500" w:rsidRDefault="00000000" w:rsidP="00BD1500">
      <w:r>
        <w:pict w14:anchorId="63F0EA00">
          <v:rect id="_x0000_i1033" style="width:0;height:1.5pt" o:hralign="center" o:hrstd="t" o:hr="t" fillcolor="#a0a0a0" stroked="f"/>
        </w:pict>
      </w:r>
    </w:p>
    <w:p w14:paraId="3CC79436" w14:textId="77777777" w:rsidR="00D91A40" w:rsidRDefault="00D91A40" w:rsidP="00BD1500">
      <w:pPr>
        <w:rPr>
          <w:b/>
          <w:bCs/>
        </w:rPr>
      </w:pPr>
    </w:p>
    <w:p w14:paraId="08D64DEF" w14:textId="77777777" w:rsidR="00D91A40" w:rsidRDefault="00D91A40" w:rsidP="00BD1500">
      <w:pPr>
        <w:rPr>
          <w:b/>
          <w:bCs/>
        </w:rPr>
      </w:pPr>
    </w:p>
    <w:p w14:paraId="46EAC17C" w14:textId="77777777" w:rsidR="00D91A40" w:rsidRDefault="00D91A40" w:rsidP="00BD1500">
      <w:pPr>
        <w:rPr>
          <w:b/>
          <w:bCs/>
        </w:rPr>
      </w:pPr>
    </w:p>
    <w:p w14:paraId="1D68F8E4" w14:textId="77777777" w:rsidR="00D91A40" w:rsidRDefault="00D91A40" w:rsidP="00BD1500">
      <w:pPr>
        <w:rPr>
          <w:b/>
          <w:bCs/>
        </w:rPr>
      </w:pPr>
    </w:p>
    <w:p w14:paraId="57F3FD20" w14:textId="77777777" w:rsidR="00D91A40" w:rsidRDefault="00D91A40" w:rsidP="00BD1500">
      <w:pPr>
        <w:rPr>
          <w:b/>
          <w:bCs/>
        </w:rPr>
      </w:pPr>
    </w:p>
    <w:p w14:paraId="2A837DCB" w14:textId="2D635D03" w:rsidR="00BD1500" w:rsidRPr="00BD1500" w:rsidRDefault="00BD1500" w:rsidP="00BD1500">
      <w:pPr>
        <w:rPr>
          <w:b/>
          <w:bCs/>
        </w:rPr>
      </w:pPr>
      <w:r w:rsidRPr="00BD1500">
        <w:rPr>
          <w:b/>
          <w:bCs/>
        </w:rPr>
        <w:lastRenderedPageBreak/>
        <w:t>Figure 2: NIST Cybersecurity Framework (CSF)</w:t>
      </w:r>
    </w:p>
    <w:p w14:paraId="117DAD64" w14:textId="0C4E1EF6" w:rsidR="00BD1500" w:rsidRPr="00BD1500" w:rsidRDefault="0097679A" w:rsidP="00BD1500">
      <w:r>
        <w:rPr>
          <w:noProof/>
        </w:rPr>
        <w:drawing>
          <wp:inline distT="0" distB="0" distL="0" distR="0" wp14:anchorId="2C06823C" wp14:editId="26CD24DD">
            <wp:extent cx="5498275" cy="2924189"/>
            <wp:effectExtent l="0" t="0" r="7620" b="0"/>
            <wp:docPr id="709254720" name="Picture 4" descr="A diagram of a government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254720" name="Picture 4" descr="A diagram of a government system&#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499673" cy="2924933"/>
                    </a:xfrm>
                    <a:prstGeom prst="rect">
                      <a:avLst/>
                    </a:prstGeom>
                  </pic:spPr>
                </pic:pic>
              </a:graphicData>
            </a:graphic>
          </wp:inline>
        </w:drawing>
      </w:r>
    </w:p>
    <w:p w14:paraId="1D71843C" w14:textId="77777777" w:rsidR="00BD1500" w:rsidRPr="00BD1500" w:rsidRDefault="00000000" w:rsidP="00BD1500">
      <w:r>
        <w:pict w14:anchorId="2C4DF8D6">
          <v:rect id="_x0000_i1034" style="width:0;height:1.5pt" o:hralign="center" o:hrstd="t" o:hr="t" fillcolor="#a0a0a0" stroked="f"/>
        </w:pict>
      </w:r>
    </w:p>
    <w:p w14:paraId="26EAC066" w14:textId="77777777" w:rsidR="00BD1500" w:rsidRPr="00BD1500" w:rsidRDefault="00BD1500" w:rsidP="00BD1500">
      <w:pPr>
        <w:rPr>
          <w:b/>
          <w:bCs/>
        </w:rPr>
      </w:pPr>
      <w:r w:rsidRPr="00BD1500">
        <w:rPr>
          <w:b/>
          <w:bCs/>
        </w:rPr>
        <w:t xml:space="preserve">Relevance to </w:t>
      </w:r>
      <w:proofErr w:type="spellStart"/>
      <w:r w:rsidRPr="00BD1500">
        <w:rPr>
          <w:b/>
          <w:bCs/>
        </w:rPr>
        <w:t>NatureGreen</w:t>
      </w:r>
      <w:proofErr w:type="spellEnd"/>
    </w:p>
    <w:p w14:paraId="16E3D14A" w14:textId="77777777" w:rsidR="00BD1500" w:rsidRPr="00BD1500" w:rsidRDefault="00BD1500" w:rsidP="00BD1500">
      <w:r w:rsidRPr="00BD1500">
        <w:t xml:space="preserve">For </w:t>
      </w:r>
      <w:proofErr w:type="spellStart"/>
      <w:r w:rsidRPr="00BD1500">
        <w:t>NatureGreen</w:t>
      </w:r>
      <w:proofErr w:type="spellEnd"/>
      <w:r w:rsidRPr="00BD1500">
        <w:t>, the NIST CSF delivers flexible, risk-focused operational guidance:</w:t>
      </w:r>
    </w:p>
    <w:p w14:paraId="3CE0BB41" w14:textId="77777777" w:rsidR="00BD1500" w:rsidRPr="00BD1500" w:rsidRDefault="00BD1500" w:rsidP="00BD1500">
      <w:pPr>
        <w:numPr>
          <w:ilvl w:val="0"/>
          <w:numId w:val="6"/>
        </w:numPr>
      </w:pPr>
      <w:r w:rsidRPr="00BD1500">
        <w:rPr>
          <w:b/>
          <w:bCs/>
        </w:rPr>
        <w:t>Identify:</w:t>
      </w:r>
      <w:r w:rsidRPr="00BD1500">
        <w:t xml:space="preserve"> Maps cloud databases, mobile apps, IoT wellness devices, and high-value assets.</w:t>
      </w:r>
    </w:p>
    <w:p w14:paraId="147C8F5F" w14:textId="77777777" w:rsidR="00BD1500" w:rsidRPr="00BD1500" w:rsidRDefault="00BD1500" w:rsidP="00BD1500">
      <w:pPr>
        <w:numPr>
          <w:ilvl w:val="0"/>
          <w:numId w:val="6"/>
        </w:numPr>
      </w:pPr>
      <w:r w:rsidRPr="00BD1500">
        <w:rPr>
          <w:b/>
          <w:bCs/>
        </w:rPr>
        <w:t>Protect:</w:t>
      </w:r>
      <w:r w:rsidRPr="00BD1500">
        <w:t xml:space="preserve"> Secures cloud configurations, BYOD devices, and mobile environments.</w:t>
      </w:r>
    </w:p>
    <w:p w14:paraId="0994F26D" w14:textId="77777777" w:rsidR="00BD1500" w:rsidRPr="00BD1500" w:rsidRDefault="00BD1500" w:rsidP="00BD1500">
      <w:pPr>
        <w:numPr>
          <w:ilvl w:val="0"/>
          <w:numId w:val="6"/>
        </w:numPr>
      </w:pPr>
      <w:r w:rsidRPr="00BD1500">
        <w:rPr>
          <w:b/>
          <w:bCs/>
        </w:rPr>
        <w:t>Detect:</w:t>
      </w:r>
      <w:r w:rsidRPr="00BD1500">
        <w:t xml:space="preserve"> Enhances monitoring for anomalies, suspicious </w:t>
      </w:r>
      <w:proofErr w:type="spellStart"/>
      <w:r w:rsidRPr="00BD1500">
        <w:t>behaviour</w:t>
      </w:r>
      <w:proofErr w:type="spellEnd"/>
      <w:r w:rsidRPr="00BD1500">
        <w:t>, and potential breaches.</w:t>
      </w:r>
    </w:p>
    <w:p w14:paraId="3224FAF1" w14:textId="77777777" w:rsidR="00BD1500" w:rsidRPr="00BD1500" w:rsidRDefault="00BD1500" w:rsidP="00BD1500">
      <w:pPr>
        <w:numPr>
          <w:ilvl w:val="0"/>
          <w:numId w:val="6"/>
        </w:numPr>
      </w:pPr>
      <w:r w:rsidRPr="00BD1500">
        <w:rPr>
          <w:b/>
          <w:bCs/>
        </w:rPr>
        <w:t>Respond:</w:t>
      </w:r>
      <w:r w:rsidRPr="00BD1500">
        <w:t xml:space="preserve"> Enables timely containment, communication, and mitigation actions.</w:t>
      </w:r>
    </w:p>
    <w:p w14:paraId="4FBBC3FF" w14:textId="77777777" w:rsidR="00BD1500" w:rsidRPr="00BD1500" w:rsidRDefault="00BD1500" w:rsidP="00BD1500">
      <w:pPr>
        <w:numPr>
          <w:ilvl w:val="0"/>
          <w:numId w:val="6"/>
        </w:numPr>
      </w:pPr>
      <w:r w:rsidRPr="00BD1500">
        <w:rPr>
          <w:b/>
          <w:bCs/>
        </w:rPr>
        <w:t>Recover:</w:t>
      </w:r>
      <w:r w:rsidRPr="00BD1500">
        <w:t xml:space="preserve"> Ensures business continuity and rapid restoration of customer-facing systems.</w:t>
      </w:r>
    </w:p>
    <w:p w14:paraId="715ADC4F" w14:textId="77777777" w:rsidR="00BD1500" w:rsidRPr="00BD1500" w:rsidRDefault="00BD1500" w:rsidP="00BD1500">
      <w:r w:rsidRPr="00BD1500">
        <w:t xml:space="preserve">NIST CSF complements ISO 27001 by strengthening </w:t>
      </w:r>
      <w:proofErr w:type="spellStart"/>
      <w:r w:rsidRPr="00BD1500">
        <w:t>NatureGreen’s</w:t>
      </w:r>
      <w:proofErr w:type="spellEnd"/>
      <w:r w:rsidRPr="00BD1500">
        <w:t xml:space="preserve"> risk lifecycle management and incident response readiness.</w:t>
      </w:r>
    </w:p>
    <w:p w14:paraId="0FF1C99A" w14:textId="77777777" w:rsidR="00BD1500" w:rsidRDefault="00BD1500" w:rsidP="00DA3988"/>
    <w:p w14:paraId="063190EF" w14:textId="77777777" w:rsidR="00D91A40" w:rsidRDefault="00D91A40" w:rsidP="00BD1500">
      <w:pPr>
        <w:rPr>
          <w:b/>
          <w:bCs/>
        </w:rPr>
      </w:pPr>
    </w:p>
    <w:p w14:paraId="163680DE" w14:textId="77777777" w:rsidR="00D91A40" w:rsidRDefault="00D91A40" w:rsidP="00BD1500">
      <w:pPr>
        <w:rPr>
          <w:b/>
          <w:bCs/>
        </w:rPr>
      </w:pPr>
    </w:p>
    <w:p w14:paraId="7D4C195C" w14:textId="77777777" w:rsidR="00D91A40" w:rsidRDefault="00D91A40" w:rsidP="00BD1500">
      <w:pPr>
        <w:rPr>
          <w:b/>
          <w:bCs/>
        </w:rPr>
      </w:pPr>
    </w:p>
    <w:p w14:paraId="19818F8F" w14:textId="43FA884F" w:rsidR="00BD1500" w:rsidRPr="00BD1500" w:rsidRDefault="00BD1500" w:rsidP="00BD1500">
      <w:pPr>
        <w:rPr>
          <w:b/>
          <w:bCs/>
        </w:rPr>
      </w:pPr>
      <w:r w:rsidRPr="00BD1500">
        <w:rPr>
          <w:b/>
          <w:bCs/>
        </w:rPr>
        <w:lastRenderedPageBreak/>
        <w:t>2.3 COBIT 5 / COBIT 2019</w:t>
      </w:r>
    </w:p>
    <w:p w14:paraId="1A6D2B0E" w14:textId="77777777" w:rsidR="00BD1500" w:rsidRPr="00BD1500" w:rsidRDefault="00BD1500" w:rsidP="00BD1500">
      <w:r w:rsidRPr="00BD1500">
        <w:t xml:space="preserve">COBIT (Control Objectives for Information and Related Technologies) is an IT governance framework designed to align IT processes and decisions with </w:t>
      </w:r>
      <w:proofErr w:type="spellStart"/>
      <w:r w:rsidRPr="00BD1500">
        <w:t>organisational</w:t>
      </w:r>
      <w:proofErr w:type="spellEnd"/>
      <w:r w:rsidRPr="00BD1500">
        <w:t xml:space="preserve"> priorities. The framework provides comprehensive governance and management objectives, </w:t>
      </w:r>
      <w:proofErr w:type="spellStart"/>
      <w:r w:rsidRPr="00BD1500">
        <w:t>emphasising</w:t>
      </w:r>
      <w:proofErr w:type="spellEnd"/>
      <w:r w:rsidRPr="00BD1500">
        <w:t xml:space="preserve"> accountability, performance measurement, and strategic alignment between IT and business functions. COBIT is particularly focused on ensuring that IT investments generate measurable value, that risks are managed effectively, and that decision-making processes are transparent across departments [3][12].</w:t>
      </w:r>
    </w:p>
    <w:p w14:paraId="69198436" w14:textId="77777777" w:rsidR="00BD1500" w:rsidRPr="00BD1500" w:rsidRDefault="00BD1500" w:rsidP="00BD1500">
      <w:r w:rsidRPr="00BD1500">
        <w:t>COBIT 2019, the latest version, introduces enhanced governance system components, including:</w:t>
      </w:r>
    </w:p>
    <w:p w14:paraId="12F1FA70" w14:textId="77777777" w:rsidR="00BD1500" w:rsidRPr="00BD1500" w:rsidRDefault="00BD1500" w:rsidP="00BD1500">
      <w:pPr>
        <w:numPr>
          <w:ilvl w:val="0"/>
          <w:numId w:val="7"/>
        </w:numPr>
      </w:pPr>
      <w:r w:rsidRPr="00BD1500">
        <w:t>Governance and management objectives</w:t>
      </w:r>
    </w:p>
    <w:p w14:paraId="682166F6" w14:textId="77777777" w:rsidR="00BD1500" w:rsidRPr="00BD1500" w:rsidRDefault="00BD1500" w:rsidP="00BD1500">
      <w:pPr>
        <w:numPr>
          <w:ilvl w:val="0"/>
          <w:numId w:val="7"/>
        </w:numPr>
      </w:pPr>
      <w:r w:rsidRPr="00BD1500">
        <w:t>Principles and policies</w:t>
      </w:r>
    </w:p>
    <w:p w14:paraId="6477E81F" w14:textId="77777777" w:rsidR="00BD1500" w:rsidRPr="00BD1500" w:rsidRDefault="00BD1500" w:rsidP="00BD1500">
      <w:pPr>
        <w:numPr>
          <w:ilvl w:val="0"/>
          <w:numId w:val="7"/>
        </w:numPr>
      </w:pPr>
      <w:r w:rsidRPr="00BD1500">
        <w:t>Processes</w:t>
      </w:r>
    </w:p>
    <w:p w14:paraId="6710D7A8" w14:textId="77777777" w:rsidR="00BD1500" w:rsidRPr="00BD1500" w:rsidRDefault="00BD1500" w:rsidP="00BD1500">
      <w:pPr>
        <w:numPr>
          <w:ilvl w:val="0"/>
          <w:numId w:val="7"/>
        </w:numPr>
      </w:pPr>
      <w:proofErr w:type="spellStart"/>
      <w:r w:rsidRPr="00BD1500">
        <w:t>Organisational</w:t>
      </w:r>
      <w:proofErr w:type="spellEnd"/>
      <w:r w:rsidRPr="00BD1500">
        <w:t xml:space="preserve"> structures</w:t>
      </w:r>
    </w:p>
    <w:p w14:paraId="0C2E458A" w14:textId="77777777" w:rsidR="00BD1500" w:rsidRPr="00BD1500" w:rsidRDefault="00BD1500" w:rsidP="00BD1500">
      <w:pPr>
        <w:numPr>
          <w:ilvl w:val="0"/>
          <w:numId w:val="7"/>
        </w:numPr>
      </w:pPr>
      <w:r w:rsidRPr="00BD1500">
        <w:t>Information flows</w:t>
      </w:r>
    </w:p>
    <w:p w14:paraId="662E7C1F" w14:textId="77777777" w:rsidR="00BD1500" w:rsidRPr="00BD1500" w:rsidRDefault="00BD1500" w:rsidP="00BD1500">
      <w:pPr>
        <w:numPr>
          <w:ilvl w:val="0"/>
          <w:numId w:val="7"/>
        </w:numPr>
      </w:pPr>
      <w:r w:rsidRPr="00BD1500">
        <w:t>Performance metrics</w:t>
      </w:r>
    </w:p>
    <w:p w14:paraId="205CABEC" w14:textId="77777777" w:rsidR="00BD1500" w:rsidRPr="00BD1500" w:rsidRDefault="00BD1500" w:rsidP="00BD1500">
      <w:r w:rsidRPr="00BD1500">
        <w:t xml:space="preserve">It encourages collaboration among leadership, IT teams, and operational departments to establish controls, monitor outcomes, and </w:t>
      </w:r>
      <w:proofErr w:type="spellStart"/>
      <w:r w:rsidRPr="00BD1500">
        <w:t>optimise</w:t>
      </w:r>
      <w:proofErr w:type="spellEnd"/>
      <w:r w:rsidRPr="00BD1500">
        <w:t xml:space="preserve"> resources.</w:t>
      </w:r>
    </w:p>
    <w:p w14:paraId="1E3C3D7A" w14:textId="77777777" w:rsidR="00BD1500" w:rsidRPr="00BD1500" w:rsidRDefault="00000000" w:rsidP="00BD1500">
      <w:r>
        <w:pict w14:anchorId="5D52A154">
          <v:rect id="_x0000_i1035" style="width:0;height:1.5pt" o:hralign="center" o:hrstd="t" o:hr="t" fillcolor="#a0a0a0" stroked="f"/>
        </w:pict>
      </w:r>
    </w:p>
    <w:p w14:paraId="06002436" w14:textId="77777777" w:rsidR="00D91A40" w:rsidRDefault="00BD1500" w:rsidP="00BD1500">
      <w:pPr>
        <w:rPr>
          <w:b/>
          <w:bCs/>
        </w:rPr>
      </w:pPr>
      <w:r w:rsidRPr="00BD1500">
        <w:rPr>
          <w:b/>
          <w:bCs/>
        </w:rPr>
        <w:t>Figure 3: COBIT Governance Model</w:t>
      </w:r>
    </w:p>
    <w:p w14:paraId="45513289" w14:textId="2D71E8E3" w:rsidR="0097679A" w:rsidRPr="00BD1500" w:rsidRDefault="0097679A" w:rsidP="00BD1500">
      <w:pPr>
        <w:rPr>
          <w:b/>
          <w:bCs/>
        </w:rPr>
      </w:pPr>
      <w:r>
        <w:rPr>
          <w:b/>
          <w:bCs/>
          <w:noProof/>
        </w:rPr>
        <w:drawing>
          <wp:inline distT="0" distB="0" distL="0" distR="0" wp14:anchorId="6926659D" wp14:editId="09659CF8">
            <wp:extent cx="2697329" cy="2647950"/>
            <wp:effectExtent l="0" t="0" r="8255" b="0"/>
            <wp:docPr id="1247059039" name="Picture 6" descr="A diagram of benefits of cobit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59039" name="Picture 6" descr="A diagram of benefits of cobit framework"/>
                    <pic:cNvPicPr/>
                  </pic:nvPicPr>
                  <pic:blipFill>
                    <a:blip r:embed="rId8">
                      <a:extLst>
                        <a:ext uri="{28A0092B-C50C-407E-A947-70E740481C1C}">
                          <a14:useLocalDpi xmlns:a14="http://schemas.microsoft.com/office/drawing/2010/main" val="0"/>
                        </a:ext>
                      </a:extLst>
                    </a:blip>
                    <a:stretch>
                      <a:fillRect/>
                    </a:stretch>
                  </pic:blipFill>
                  <pic:spPr>
                    <a:xfrm>
                      <a:off x="0" y="0"/>
                      <a:ext cx="2716538" cy="2666808"/>
                    </a:xfrm>
                    <a:prstGeom prst="rect">
                      <a:avLst/>
                    </a:prstGeom>
                  </pic:spPr>
                </pic:pic>
              </a:graphicData>
            </a:graphic>
          </wp:inline>
        </w:drawing>
      </w:r>
    </w:p>
    <w:p w14:paraId="7F49D08A" w14:textId="46E876E3" w:rsidR="00BD1500" w:rsidRPr="00BD1500" w:rsidRDefault="00000000" w:rsidP="00BD1500">
      <w:r>
        <w:lastRenderedPageBreak/>
        <w:pict w14:anchorId="4604028F">
          <v:rect id="_x0000_i1036" style="width:0;height:1.5pt" o:hralign="center" o:hrstd="t" o:hr="t" fillcolor="#a0a0a0" stroked="f"/>
        </w:pict>
      </w:r>
    </w:p>
    <w:p w14:paraId="4DD24D18" w14:textId="77777777" w:rsidR="00BD1500" w:rsidRPr="00BD1500" w:rsidRDefault="00BD1500" w:rsidP="00BD1500">
      <w:pPr>
        <w:rPr>
          <w:b/>
          <w:bCs/>
        </w:rPr>
      </w:pPr>
      <w:r w:rsidRPr="00BD1500">
        <w:rPr>
          <w:b/>
          <w:bCs/>
        </w:rPr>
        <w:t xml:space="preserve">Relevance to </w:t>
      </w:r>
      <w:proofErr w:type="spellStart"/>
      <w:r w:rsidRPr="00BD1500">
        <w:rPr>
          <w:b/>
          <w:bCs/>
        </w:rPr>
        <w:t>NatureGreen</w:t>
      </w:r>
      <w:proofErr w:type="spellEnd"/>
    </w:p>
    <w:p w14:paraId="17E48171" w14:textId="77777777" w:rsidR="00BD1500" w:rsidRPr="00BD1500" w:rsidRDefault="00BD1500" w:rsidP="00BD1500">
      <w:r w:rsidRPr="00BD1500">
        <w:t xml:space="preserve">COBIT is especially beneficial for </w:t>
      </w:r>
      <w:proofErr w:type="spellStart"/>
      <w:r w:rsidRPr="00BD1500">
        <w:t>NatureGreen</w:t>
      </w:r>
      <w:proofErr w:type="spellEnd"/>
      <w:r w:rsidRPr="00BD1500">
        <w:t xml:space="preserve"> because it bridges the gap between IT operations and business strategy. By adopting COBIT, </w:t>
      </w:r>
      <w:proofErr w:type="spellStart"/>
      <w:r w:rsidRPr="00BD1500">
        <w:t>NatureGreen</w:t>
      </w:r>
      <w:proofErr w:type="spellEnd"/>
      <w:r w:rsidRPr="00BD1500">
        <w:t xml:space="preserve"> can:</w:t>
      </w:r>
    </w:p>
    <w:p w14:paraId="344678DC" w14:textId="77777777" w:rsidR="00BD1500" w:rsidRPr="00BD1500" w:rsidRDefault="00BD1500" w:rsidP="00BD1500">
      <w:pPr>
        <w:numPr>
          <w:ilvl w:val="0"/>
          <w:numId w:val="8"/>
        </w:numPr>
      </w:pPr>
      <w:r w:rsidRPr="00BD1500">
        <w:t>Ensure cloud-based wellness platforms and mobile health apps align with business goals</w:t>
      </w:r>
    </w:p>
    <w:p w14:paraId="0E975B3A" w14:textId="77777777" w:rsidR="00BD1500" w:rsidRPr="00BD1500" w:rsidRDefault="00BD1500" w:rsidP="00BD1500">
      <w:pPr>
        <w:numPr>
          <w:ilvl w:val="0"/>
          <w:numId w:val="8"/>
        </w:numPr>
      </w:pPr>
      <w:r w:rsidRPr="00BD1500">
        <w:t>Improve accountability and tracking of IT performance</w:t>
      </w:r>
    </w:p>
    <w:p w14:paraId="5F938899" w14:textId="77777777" w:rsidR="00BD1500" w:rsidRPr="00BD1500" w:rsidRDefault="00BD1500" w:rsidP="00BD1500">
      <w:pPr>
        <w:numPr>
          <w:ilvl w:val="0"/>
          <w:numId w:val="8"/>
        </w:numPr>
      </w:pPr>
      <w:proofErr w:type="gramStart"/>
      <w:r w:rsidRPr="00BD1500">
        <w:t>Strengthen</w:t>
      </w:r>
      <w:proofErr w:type="gramEnd"/>
      <w:r w:rsidRPr="00BD1500">
        <w:t xml:space="preserve"> risk management in IT initiatives</w:t>
      </w:r>
    </w:p>
    <w:p w14:paraId="39EC4F31" w14:textId="77777777" w:rsidR="00BD1500" w:rsidRPr="00BD1500" w:rsidRDefault="00BD1500" w:rsidP="00BD1500">
      <w:pPr>
        <w:numPr>
          <w:ilvl w:val="0"/>
          <w:numId w:val="8"/>
        </w:numPr>
      </w:pPr>
      <w:r w:rsidRPr="00BD1500">
        <w:t>Support cross-functional collaboration among IT, security, and business units</w:t>
      </w:r>
    </w:p>
    <w:p w14:paraId="39A6DD13" w14:textId="77777777" w:rsidR="00BD1500" w:rsidRPr="00BD1500" w:rsidRDefault="00BD1500" w:rsidP="00BD1500">
      <w:r w:rsidRPr="00BD1500">
        <w:t xml:space="preserve">Overall, COBIT helps </w:t>
      </w:r>
      <w:proofErr w:type="spellStart"/>
      <w:r w:rsidRPr="00BD1500">
        <w:t>NatureGreen</w:t>
      </w:r>
      <w:proofErr w:type="spellEnd"/>
      <w:r w:rsidRPr="00BD1500">
        <w:t xml:space="preserve"> ensure that IT decisions create value while maintaining strong governance and security.</w:t>
      </w:r>
    </w:p>
    <w:p w14:paraId="517BE650" w14:textId="77777777" w:rsidR="00BD1500" w:rsidRPr="00BD1500" w:rsidRDefault="00000000" w:rsidP="00BD1500">
      <w:r>
        <w:pict w14:anchorId="22E30922">
          <v:rect id="_x0000_i1037" style="width:0;height:1.5pt" o:hralign="center" o:hrstd="t" o:hr="t" fillcolor="#a0a0a0" stroked="f"/>
        </w:pict>
      </w:r>
    </w:p>
    <w:p w14:paraId="193F5EAF" w14:textId="77777777" w:rsidR="00BD1500" w:rsidRPr="00BD1500" w:rsidRDefault="00BD1500" w:rsidP="00BD1500">
      <w:pPr>
        <w:rPr>
          <w:b/>
          <w:bCs/>
        </w:rPr>
      </w:pPr>
      <w:r w:rsidRPr="00BD1500">
        <w:rPr>
          <w:b/>
          <w:bCs/>
        </w:rPr>
        <w:t>2.4 ITIL 4</w:t>
      </w:r>
    </w:p>
    <w:p w14:paraId="2F202E53" w14:textId="77777777" w:rsidR="00BD1500" w:rsidRPr="00BD1500" w:rsidRDefault="00BD1500" w:rsidP="00BD1500">
      <w:r w:rsidRPr="00BD1500">
        <w:t xml:space="preserve">ITIL 4 (Information Technology Infrastructure Library) is the leading framework for IT Service Management (ITSM). It focuses on structured service delivery, operational stability, and continual improvement. ITIL 4 is designed to help </w:t>
      </w:r>
      <w:proofErr w:type="spellStart"/>
      <w:r w:rsidRPr="00BD1500">
        <w:t>organisations</w:t>
      </w:r>
      <w:proofErr w:type="spellEnd"/>
      <w:r w:rsidRPr="00BD1500">
        <w:t xml:space="preserve"> handle the complexity of modern IT environments and ensure reliability, efficiency, and value-driven service delivery.</w:t>
      </w:r>
    </w:p>
    <w:p w14:paraId="009DFC53" w14:textId="77777777" w:rsidR="00BD1500" w:rsidRPr="00BD1500" w:rsidRDefault="00BD1500" w:rsidP="00BD1500">
      <w:r w:rsidRPr="00BD1500">
        <w:t>Key ITIL 4 components include:</w:t>
      </w:r>
    </w:p>
    <w:p w14:paraId="47E5AB48" w14:textId="77777777" w:rsidR="00BD1500" w:rsidRPr="00BD1500" w:rsidRDefault="00BD1500" w:rsidP="00BD1500">
      <w:pPr>
        <w:numPr>
          <w:ilvl w:val="0"/>
          <w:numId w:val="9"/>
        </w:numPr>
      </w:pPr>
      <w:r w:rsidRPr="00BD1500">
        <w:rPr>
          <w:b/>
          <w:bCs/>
        </w:rPr>
        <w:t>Change Management</w:t>
      </w:r>
      <w:r w:rsidRPr="00BD1500">
        <w:t xml:space="preserve"> – Ensures planned and safe implementation of system changes</w:t>
      </w:r>
    </w:p>
    <w:p w14:paraId="50E8CCA9" w14:textId="77777777" w:rsidR="00BD1500" w:rsidRPr="00BD1500" w:rsidRDefault="00BD1500" w:rsidP="00BD1500">
      <w:pPr>
        <w:numPr>
          <w:ilvl w:val="0"/>
          <w:numId w:val="9"/>
        </w:numPr>
      </w:pPr>
      <w:r w:rsidRPr="00BD1500">
        <w:rPr>
          <w:b/>
          <w:bCs/>
        </w:rPr>
        <w:t>Incident Management</w:t>
      </w:r>
      <w:r w:rsidRPr="00BD1500">
        <w:t xml:space="preserve"> – Provides structured responses to </w:t>
      </w:r>
      <w:proofErr w:type="spellStart"/>
      <w:r w:rsidRPr="00BD1500">
        <w:t>minimise</w:t>
      </w:r>
      <w:proofErr w:type="spellEnd"/>
      <w:r w:rsidRPr="00BD1500">
        <w:t xml:space="preserve"> disruption</w:t>
      </w:r>
    </w:p>
    <w:p w14:paraId="0E005D18" w14:textId="77777777" w:rsidR="00BD1500" w:rsidRPr="00BD1500" w:rsidRDefault="00BD1500" w:rsidP="00BD1500">
      <w:pPr>
        <w:numPr>
          <w:ilvl w:val="0"/>
          <w:numId w:val="9"/>
        </w:numPr>
      </w:pPr>
      <w:r w:rsidRPr="00BD1500">
        <w:rPr>
          <w:b/>
          <w:bCs/>
        </w:rPr>
        <w:t>Problem Management</w:t>
      </w:r>
      <w:r w:rsidRPr="00BD1500">
        <w:t xml:space="preserve"> – Identifies root causes to prevent recurring issues</w:t>
      </w:r>
    </w:p>
    <w:p w14:paraId="3F001233" w14:textId="77777777" w:rsidR="00BD1500" w:rsidRPr="00BD1500" w:rsidRDefault="00BD1500" w:rsidP="00BD1500">
      <w:pPr>
        <w:numPr>
          <w:ilvl w:val="0"/>
          <w:numId w:val="9"/>
        </w:numPr>
      </w:pPr>
      <w:r w:rsidRPr="00BD1500">
        <w:rPr>
          <w:b/>
          <w:bCs/>
        </w:rPr>
        <w:t>Service Desk Operations</w:t>
      </w:r>
      <w:r w:rsidRPr="00BD1500">
        <w:t xml:space="preserve"> – </w:t>
      </w:r>
      <w:proofErr w:type="spellStart"/>
      <w:r w:rsidRPr="00BD1500">
        <w:t>Centralised</w:t>
      </w:r>
      <w:proofErr w:type="spellEnd"/>
      <w:r w:rsidRPr="00BD1500">
        <w:t xml:space="preserve"> management of service requests</w:t>
      </w:r>
    </w:p>
    <w:p w14:paraId="00C6F603" w14:textId="77777777" w:rsidR="00BD1500" w:rsidRPr="00BD1500" w:rsidRDefault="00BD1500" w:rsidP="00BD1500">
      <w:pPr>
        <w:numPr>
          <w:ilvl w:val="0"/>
          <w:numId w:val="9"/>
        </w:numPr>
      </w:pPr>
      <w:r w:rsidRPr="00BD1500">
        <w:rPr>
          <w:b/>
          <w:bCs/>
        </w:rPr>
        <w:t>Service Value System (SVS)</w:t>
      </w:r>
      <w:r w:rsidRPr="00BD1500">
        <w:t xml:space="preserve"> – Integrates governance, practices, and processes for effective service delivery [4][13][14]</w:t>
      </w:r>
    </w:p>
    <w:p w14:paraId="6BD88F81" w14:textId="77777777" w:rsidR="00BD1500" w:rsidRPr="00BD1500" w:rsidRDefault="00000000" w:rsidP="00BD1500">
      <w:r>
        <w:pict w14:anchorId="7AE22761">
          <v:rect id="_x0000_i1038" style="width:0;height:1.5pt" o:hralign="center" o:hrstd="t" o:hr="t" fillcolor="#a0a0a0" stroked="f"/>
        </w:pict>
      </w:r>
    </w:p>
    <w:p w14:paraId="2A18CDB3" w14:textId="77777777" w:rsidR="00D91A40" w:rsidRDefault="00D91A40" w:rsidP="00BD1500">
      <w:pPr>
        <w:rPr>
          <w:b/>
          <w:bCs/>
        </w:rPr>
      </w:pPr>
    </w:p>
    <w:p w14:paraId="27A1B8FC" w14:textId="77777777" w:rsidR="00D91A40" w:rsidRDefault="00D91A40" w:rsidP="00BD1500">
      <w:pPr>
        <w:rPr>
          <w:b/>
          <w:bCs/>
        </w:rPr>
      </w:pPr>
    </w:p>
    <w:p w14:paraId="6E062D77" w14:textId="14980919" w:rsidR="00BD1500" w:rsidRDefault="00BD1500" w:rsidP="00BD1500">
      <w:pPr>
        <w:rPr>
          <w:b/>
          <w:bCs/>
        </w:rPr>
      </w:pPr>
      <w:r w:rsidRPr="00BD1500">
        <w:rPr>
          <w:b/>
          <w:bCs/>
        </w:rPr>
        <w:lastRenderedPageBreak/>
        <w:t>Figure 4: ITIL 4 Framework</w:t>
      </w:r>
    </w:p>
    <w:p w14:paraId="07BBE4FE" w14:textId="69EB037E" w:rsidR="0097679A" w:rsidRPr="00BD1500" w:rsidRDefault="0097679A" w:rsidP="00BD1500">
      <w:pPr>
        <w:rPr>
          <w:b/>
          <w:bCs/>
        </w:rPr>
      </w:pPr>
      <w:r>
        <w:rPr>
          <w:b/>
          <w:bCs/>
          <w:noProof/>
        </w:rPr>
        <w:drawing>
          <wp:inline distT="0" distB="0" distL="0" distR="0" wp14:anchorId="77F1D90E" wp14:editId="574A2821">
            <wp:extent cx="4708566" cy="3139044"/>
            <wp:effectExtent l="0" t="0" r="0" b="4445"/>
            <wp:docPr id="581159564" name="Picture 7" descr="A diagram of it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159564" name="Picture 7" descr="A diagram of itil&#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25726" cy="3150484"/>
                    </a:xfrm>
                    <a:prstGeom prst="rect">
                      <a:avLst/>
                    </a:prstGeom>
                  </pic:spPr>
                </pic:pic>
              </a:graphicData>
            </a:graphic>
          </wp:inline>
        </w:drawing>
      </w:r>
    </w:p>
    <w:p w14:paraId="0BBC8433" w14:textId="77777777" w:rsidR="00BD1500" w:rsidRPr="00BD1500" w:rsidRDefault="00000000" w:rsidP="00BD1500">
      <w:r>
        <w:pict w14:anchorId="510D9FC2">
          <v:rect id="_x0000_i1039" style="width:0;height:1.5pt" o:hralign="center" o:hrstd="t" o:hr="t" fillcolor="#a0a0a0" stroked="f"/>
        </w:pict>
      </w:r>
    </w:p>
    <w:p w14:paraId="5A28470E" w14:textId="77777777" w:rsidR="00BD1500" w:rsidRPr="00BD1500" w:rsidRDefault="00BD1500" w:rsidP="00BD1500">
      <w:pPr>
        <w:rPr>
          <w:b/>
          <w:bCs/>
        </w:rPr>
      </w:pPr>
      <w:r w:rsidRPr="00BD1500">
        <w:rPr>
          <w:b/>
          <w:bCs/>
        </w:rPr>
        <w:t xml:space="preserve">Relevance to </w:t>
      </w:r>
      <w:proofErr w:type="spellStart"/>
      <w:r w:rsidRPr="00BD1500">
        <w:rPr>
          <w:b/>
          <w:bCs/>
        </w:rPr>
        <w:t>NatureGreen</w:t>
      </w:r>
      <w:proofErr w:type="spellEnd"/>
    </w:p>
    <w:p w14:paraId="563ADC92" w14:textId="77777777" w:rsidR="00BD1500" w:rsidRPr="00BD1500" w:rsidRDefault="00BD1500" w:rsidP="00BD1500">
      <w:r w:rsidRPr="00BD1500">
        <w:t xml:space="preserve">ITIL 4 supports </w:t>
      </w:r>
      <w:proofErr w:type="spellStart"/>
      <w:r w:rsidRPr="00BD1500">
        <w:t>NatureGreen’s</w:t>
      </w:r>
      <w:proofErr w:type="spellEnd"/>
      <w:r w:rsidRPr="00BD1500">
        <w:t xml:space="preserve"> need for operational resilience and reliability. Its advantages include:</w:t>
      </w:r>
    </w:p>
    <w:p w14:paraId="2B2CA9E0" w14:textId="77777777" w:rsidR="00BD1500" w:rsidRPr="00BD1500" w:rsidRDefault="00BD1500" w:rsidP="00BD1500">
      <w:pPr>
        <w:numPr>
          <w:ilvl w:val="0"/>
          <w:numId w:val="10"/>
        </w:numPr>
      </w:pPr>
      <w:proofErr w:type="spellStart"/>
      <w:r w:rsidRPr="00BD1500">
        <w:t>Minimised</w:t>
      </w:r>
      <w:proofErr w:type="spellEnd"/>
      <w:r w:rsidRPr="00BD1500">
        <w:t xml:space="preserve"> downtime during updates through structured change management</w:t>
      </w:r>
    </w:p>
    <w:p w14:paraId="6B7DD23C" w14:textId="77777777" w:rsidR="00BD1500" w:rsidRPr="00BD1500" w:rsidRDefault="00BD1500" w:rsidP="00BD1500">
      <w:pPr>
        <w:numPr>
          <w:ilvl w:val="0"/>
          <w:numId w:val="10"/>
        </w:numPr>
      </w:pPr>
      <w:r w:rsidRPr="00BD1500">
        <w:t>Faster recovery from disruptions via incident and problem management</w:t>
      </w:r>
    </w:p>
    <w:p w14:paraId="54F73C29" w14:textId="77777777" w:rsidR="00BD1500" w:rsidRPr="00BD1500" w:rsidRDefault="00BD1500" w:rsidP="00BD1500">
      <w:pPr>
        <w:numPr>
          <w:ilvl w:val="0"/>
          <w:numId w:val="10"/>
        </w:numPr>
      </w:pPr>
      <w:proofErr w:type="spellStart"/>
      <w:r w:rsidRPr="00BD1500">
        <w:t>Optimised</w:t>
      </w:r>
      <w:proofErr w:type="spellEnd"/>
      <w:r w:rsidRPr="00BD1500">
        <w:t xml:space="preserve"> IT service performance for staff and customers</w:t>
      </w:r>
    </w:p>
    <w:p w14:paraId="2BCBCE2F" w14:textId="77777777" w:rsidR="00BD1500" w:rsidRPr="00BD1500" w:rsidRDefault="00BD1500" w:rsidP="00BD1500">
      <w:pPr>
        <w:numPr>
          <w:ilvl w:val="0"/>
          <w:numId w:val="10"/>
        </w:numPr>
      </w:pPr>
      <w:r w:rsidRPr="00BD1500">
        <w:t>Continuous improvement in IT services</w:t>
      </w:r>
    </w:p>
    <w:p w14:paraId="44B19A05" w14:textId="77777777" w:rsidR="00BD1500" w:rsidRPr="00BD1500" w:rsidRDefault="00BD1500" w:rsidP="00BD1500">
      <w:pPr>
        <w:numPr>
          <w:ilvl w:val="0"/>
          <w:numId w:val="10"/>
        </w:numPr>
      </w:pPr>
      <w:r w:rsidRPr="00BD1500">
        <w:t>Strengthened integration with ISO 27001 and NIST CSF for holistic governance</w:t>
      </w:r>
    </w:p>
    <w:p w14:paraId="6C6E8D74" w14:textId="77777777" w:rsidR="00BD1500" w:rsidRPr="00BD1500" w:rsidRDefault="00BD1500" w:rsidP="00BD1500">
      <w:r w:rsidRPr="00BD1500">
        <w:t xml:space="preserve">By combining ITIL 4 with security frameworks, </w:t>
      </w:r>
      <w:proofErr w:type="spellStart"/>
      <w:r w:rsidRPr="00BD1500">
        <w:t>NatureGreen</w:t>
      </w:r>
      <w:proofErr w:type="spellEnd"/>
      <w:r w:rsidRPr="00BD1500">
        <w:t xml:space="preserve"> can maintain consistent service quality while managing risks effectively.</w:t>
      </w:r>
    </w:p>
    <w:p w14:paraId="68357A99" w14:textId="77777777" w:rsidR="00BD1500" w:rsidRPr="00BD1500" w:rsidRDefault="00000000" w:rsidP="00BD1500">
      <w:r>
        <w:pict w14:anchorId="12B6C87F">
          <v:rect id="_x0000_i1040" style="width:0;height:1.5pt" o:hralign="center" o:hrstd="t" o:hr="t" fillcolor="#a0a0a0" stroked="f"/>
        </w:pict>
      </w:r>
    </w:p>
    <w:p w14:paraId="66AD294E" w14:textId="77777777" w:rsidR="00BD1500" w:rsidRPr="00BD1500" w:rsidRDefault="00BD1500" w:rsidP="00BD1500">
      <w:pPr>
        <w:rPr>
          <w:b/>
          <w:bCs/>
        </w:rPr>
      </w:pPr>
      <w:r w:rsidRPr="00BD1500">
        <w:rPr>
          <w:b/>
          <w:bCs/>
        </w:rPr>
        <w:t>2.5 GDPR and Data Protection Act 2018</w:t>
      </w:r>
    </w:p>
    <w:p w14:paraId="1C167A7E" w14:textId="77777777" w:rsidR="00BD1500" w:rsidRPr="00BD1500" w:rsidRDefault="00BD1500" w:rsidP="00BD1500">
      <w:r w:rsidRPr="00BD1500">
        <w:t xml:space="preserve">The General Data Protection Regulation (GDPR), along with the UK Data Protection Act 2018, establishes strict requirements for </w:t>
      </w:r>
      <w:proofErr w:type="spellStart"/>
      <w:r w:rsidRPr="00BD1500">
        <w:t>organisations</w:t>
      </w:r>
      <w:proofErr w:type="spellEnd"/>
      <w:r w:rsidRPr="00BD1500">
        <w:t xml:space="preserve"> handling personal data. GDPR focuses heavily on </w:t>
      </w:r>
      <w:r w:rsidRPr="00BD1500">
        <w:rPr>
          <w:b/>
          <w:bCs/>
        </w:rPr>
        <w:t>accountability</w:t>
      </w:r>
      <w:r w:rsidRPr="00BD1500">
        <w:t xml:space="preserve">, </w:t>
      </w:r>
      <w:r w:rsidRPr="00BD1500">
        <w:rPr>
          <w:b/>
          <w:bCs/>
        </w:rPr>
        <w:t>transparency</w:t>
      </w:r>
      <w:r w:rsidRPr="00BD1500">
        <w:t xml:space="preserve">, and </w:t>
      </w:r>
      <w:r w:rsidRPr="00BD1500">
        <w:rPr>
          <w:b/>
          <w:bCs/>
        </w:rPr>
        <w:t>ethical processing</w:t>
      </w:r>
      <w:r w:rsidRPr="00BD1500">
        <w:t>.</w:t>
      </w:r>
    </w:p>
    <w:p w14:paraId="2565EF7E" w14:textId="77777777" w:rsidR="00BD1500" w:rsidRPr="00BD1500" w:rsidRDefault="00BD1500" w:rsidP="00BD1500">
      <w:r w:rsidRPr="00BD1500">
        <w:lastRenderedPageBreak/>
        <w:t>Key GDPR principles include:</w:t>
      </w:r>
    </w:p>
    <w:p w14:paraId="52A185B2" w14:textId="77777777" w:rsidR="00BD1500" w:rsidRPr="00BD1500" w:rsidRDefault="00BD1500" w:rsidP="00BD1500">
      <w:pPr>
        <w:numPr>
          <w:ilvl w:val="0"/>
          <w:numId w:val="11"/>
        </w:numPr>
      </w:pPr>
      <w:r w:rsidRPr="00BD1500">
        <w:rPr>
          <w:b/>
          <w:bCs/>
        </w:rPr>
        <w:t>Lawfulness, fairness, and transparency</w:t>
      </w:r>
    </w:p>
    <w:p w14:paraId="1992DE19" w14:textId="77777777" w:rsidR="00BD1500" w:rsidRPr="00BD1500" w:rsidRDefault="00BD1500" w:rsidP="00BD1500">
      <w:pPr>
        <w:numPr>
          <w:ilvl w:val="0"/>
          <w:numId w:val="11"/>
        </w:numPr>
      </w:pPr>
      <w:r w:rsidRPr="00BD1500">
        <w:rPr>
          <w:b/>
          <w:bCs/>
        </w:rPr>
        <w:t>Purpose limitation</w:t>
      </w:r>
    </w:p>
    <w:p w14:paraId="325F3628" w14:textId="77777777" w:rsidR="00BD1500" w:rsidRPr="00BD1500" w:rsidRDefault="00BD1500" w:rsidP="00BD1500">
      <w:pPr>
        <w:numPr>
          <w:ilvl w:val="0"/>
          <w:numId w:val="11"/>
        </w:numPr>
      </w:pPr>
      <w:r w:rsidRPr="00BD1500">
        <w:rPr>
          <w:b/>
          <w:bCs/>
        </w:rPr>
        <w:t xml:space="preserve">Data </w:t>
      </w:r>
      <w:proofErr w:type="spellStart"/>
      <w:r w:rsidRPr="00BD1500">
        <w:rPr>
          <w:b/>
          <w:bCs/>
        </w:rPr>
        <w:t>minimisation</w:t>
      </w:r>
      <w:proofErr w:type="spellEnd"/>
    </w:p>
    <w:p w14:paraId="09AD648A" w14:textId="77777777" w:rsidR="00BD1500" w:rsidRPr="00BD1500" w:rsidRDefault="00BD1500" w:rsidP="00BD1500">
      <w:pPr>
        <w:numPr>
          <w:ilvl w:val="0"/>
          <w:numId w:val="11"/>
        </w:numPr>
      </w:pPr>
      <w:r w:rsidRPr="00BD1500">
        <w:rPr>
          <w:b/>
          <w:bCs/>
        </w:rPr>
        <w:t>Accuracy</w:t>
      </w:r>
    </w:p>
    <w:p w14:paraId="5BF6CAF6" w14:textId="77777777" w:rsidR="00BD1500" w:rsidRPr="00BD1500" w:rsidRDefault="00BD1500" w:rsidP="00BD1500">
      <w:pPr>
        <w:numPr>
          <w:ilvl w:val="0"/>
          <w:numId w:val="11"/>
        </w:numPr>
      </w:pPr>
      <w:r w:rsidRPr="00BD1500">
        <w:rPr>
          <w:b/>
          <w:bCs/>
        </w:rPr>
        <w:t>Storage limitation</w:t>
      </w:r>
    </w:p>
    <w:p w14:paraId="25D52E7D" w14:textId="77777777" w:rsidR="00BD1500" w:rsidRPr="00BD1500" w:rsidRDefault="00BD1500" w:rsidP="00BD1500">
      <w:pPr>
        <w:numPr>
          <w:ilvl w:val="0"/>
          <w:numId w:val="11"/>
        </w:numPr>
      </w:pPr>
      <w:r w:rsidRPr="00BD1500">
        <w:rPr>
          <w:b/>
          <w:bCs/>
        </w:rPr>
        <w:t>Accountability and governance</w:t>
      </w:r>
      <w:r w:rsidRPr="00BD1500">
        <w:t xml:space="preserve"> [5][16]</w:t>
      </w:r>
    </w:p>
    <w:p w14:paraId="7E653332" w14:textId="77777777" w:rsidR="00BD1500" w:rsidRPr="00BD1500" w:rsidRDefault="00000000" w:rsidP="00BD1500">
      <w:r>
        <w:pict w14:anchorId="09365CA6">
          <v:rect id="_x0000_i1041" style="width:0;height:1.5pt" o:hralign="center" o:hrstd="t" o:hr="t" fillcolor="#a0a0a0" stroked="f"/>
        </w:pict>
      </w:r>
    </w:p>
    <w:p w14:paraId="0B69F170" w14:textId="77777777" w:rsidR="00BD1500" w:rsidRPr="00BD1500" w:rsidRDefault="00BD1500" w:rsidP="00BD1500">
      <w:pPr>
        <w:rPr>
          <w:b/>
          <w:bCs/>
        </w:rPr>
      </w:pPr>
      <w:r w:rsidRPr="00BD1500">
        <w:rPr>
          <w:b/>
          <w:bCs/>
        </w:rPr>
        <w:t>Figure 5: GDPR &amp; Data Protection Act 2018</w:t>
      </w:r>
    </w:p>
    <w:p w14:paraId="7072FBC1" w14:textId="24A42797" w:rsidR="0097679A" w:rsidRPr="0097679A" w:rsidRDefault="0097679A" w:rsidP="00BD1500">
      <w:r>
        <w:rPr>
          <w:noProof/>
        </w:rPr>
        <w:drawing>
          <wp:inline distT="0" distB="0" distL="0" distR="0" wp14:anchorId="488FA16C" wp14:editId="65E6835B">
            <wp:extent cx="4073236" cy="4646795"/>
            <wp:effectExtent l="0" t="0" r="3810" b="1905"/>
            <wp:docPr id="1923573531" name="Picture 8" descr="A diagram of a person with blue and green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573531" name="Picture 8" descr="A diagram of a person with blue and green icon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89096" cy="4664888"/>
                    </a:xfrm>
                    <a:prstGeom prst="rect">
                      <a:avLst/>
                    </a:prstGeom>
                  </pic:spPr>
                </pic:pic>
              </a:graphicData>
            </a:graphic>
          </wp:inline>
        </w:drawing>
      </w:r>
    </w:p>
    <w:p w14:paraId="540402A2" w14:textId="2A008174" w:rsidR="00BD1500" w:rsidRPr="00BD1500" w:rsidRDefault="00000000" w:rsidP="00BD1500">
      <w:r>
        <w:pict w14:anchorId="058CFBBD">
          <v:rect id="_x0000_i1042" style="width:0;height:1.5pt" o:hralign="center" o:hrstd="t" o:hr="t" fillcolor="#a0a0a0" stroked="f"/>
        </w:pict>
      </w:r>
    </w:p>
    <w:p w14:paraId="463D1B13" w14:textId="77777777" w:rsidR="00D91A40" w:rsidRDefault="00D91A40" w:rsidP="00BD1500">
      <w:pPr>
        <w:rPr>
          <w:b/>
          <w:bCs/>
        </w:rPr>
      </w:pPr>
    </w:p>
    <w:p w14:paraId="38E5DA64" w14:textId="0242582B" w:rsidR="00BD1500" w:rsidRPr="00BD1500" w:rsidRDefault="00BD1500" w:rsidP="00BD1500">
      <w:pPr>
        <w:rPr>
          <w:b/>
          <w:bCs/>
        </w:rPr>
      </w:pPr>
      <w:r w:rsidRPr="00BD1500">
        <w:rPr>
          <w:b/>
          <w:bCs/>
        </w:rPr>
        <w:lastRenderedPageBreak/>
        <w:t xml:space="preserve">Relevance to </w:t>
      </w:r>
      <w:proofErr w:type="spellStart"/>
      <w:r w:rsidRPr="00BD1500">
        <w:rPr>
          <w:b/>
          <w:bCs/>
        </w:rPr>
        <w:t>NatureGreen</w:t>
      </w:r>
      <w:proofErr w:type="spellEnd"/>
    </w:p>
    <w:p w14:paraId="64F80A7D" w14:textId="77777777" w:rsidR="00BD1500" w:rsidRPr="00BD1500" w:rsidRDefault="00BD1500" w:rsidP="00BD1500">
      <w:r w:rsidRPr="00BD1500">
        <w:t xml:space="preserve">As a global </w:t>
      </w:r>
      <w:proofErr w:type="spellStart"/>
      <w:r w:rsidRPr="00BD1500">
        <w:t>organisation</w:t>
      </w:r>
      <w:proofErr w:type="spellEnd"/>
      <w:r w:rsidRPr="00BD1500">
        <w:t xml:space="preserve"> handling sensitive employee and customer data, </w:t>
      </w:r>
      <w:proofErr w:type="spellStart"/>
      <w:r w:rsidRPr="00BD1500">
        <w:t>NatureGreen</w:t>
      </w:r>
      <w:proofErr w:type="spellEnd"/>
      <w:r w:rsidRPr="00BD1500">
        <w:t xml:space="preserve"> must remain GDPR-compliant to avoid legal and financial penalties. Benefits include:</w:t>
      </w:r>
    </w:p>
    <w:p w14:paraId="1AB74749" w14:textId="77777777" w:rsidR="00BD1500" w:rsidRPr="00BD1500" w:rsidRDefault="00BD1500" w:rsidP="00BD1500">
      <w:pPr>
        <w:numPr>
          <w:ilvl w:val="0"/>
          <w:numId w:val="12"/>
        </w:numPr>
      </w:pPr>
      <w:r w:rsidRPr="00BD1500">
        <w:t xml:space="preserve">Protection against </w:t>
      </w:r>
      <w:proofErr w:type="spellStart"/>
      <w:r w:rsidRPr="00BD1500">
        <w:t>unauthorised</w:t>
      </w:r>
      <w:proofErr w:type="spellEnd"/>
      <w:r w:rsidRPr="00BD1500">
        <w:t xml:space="preserve"> disclosures and data misuse</w:t>
      </w:r>
    </w:p>
    <w:p w14:paraId="04368840" w14:textId="77777777" w:rsidR="00BD1500" w:rsidRPr="00BD1500" w:rsidRDefault="00BD1500" w:rsidP="00BD1500">
      <w:pPr>
        <w:numPr>
          <w:ilvl w:val="0"/>
          <w:numId w:val="12"/>
        </w:numPr>
      </w:pPr>
      <w:r w:rsidRPr="00BD1500">
        <w:t>Reduced risk of costly fines (up to €20 million or 4% of global revenue)</w:t>
      </w:r>
    </w:p>
    <w:p w14:paraId="3B15B2BA" w14:textId="77777777" w:rsidR="00BD1500" w:rsidRPr="00BD1500" w:rsidRDefault="00BD1500" w:rsidP="00BD1500">
      <w:pPr>
        <w:numPr>
          <w:ilvl w:val="0"/>
          <w:numId w:val="12"/>
        </w:numPr>
      </w:pPr>
      <w:r w:rsidRPr="00BD1500">
        <w:t>Strengthened customer trust and brand credibility</w:t>
      </w:r>
    </w:p>
    <w:p w14:paraId="4A765B3E" w14:textId="77777777" w:rsidR="00BD1500" w:rsidRPr="00BD1500" w:rsidRDefault="00BD1500" w:rsidP="00BD1500">
      <w:pPr>
        <w:numPr>
          <w:ilvl w:val="0"/>
          <w:numId w:val="12"/>
        </w:numPr>
      </w:pPr>
      <w:r w:rsidRPr="00BD1500">
        <w:t>Mandatory integration of data privacy measures into operations</w:t>
      </w:r>
    </w:p>
    <w:p w14:paraId="399732EA" w14:textId="77777777" w:rsidR="00BD1500" w:rsidRPr="00BD1500" w:rsidRDefault="00BD1500" w:rsidP="00BD1500">
      <w:r w:rsidRPr="00BD1500">
        <w:t xml:space="preserve">When combined with ISO 27001, NIST CSF, COBIT, and ITIL 4, GDPR ensures </w:t>
      </w:r>
      <w:proofErr w:type="spellStart"/>
      <w:r w:rsidRPr="00BD1500">
        <w:t>NatureGreen</w:t>
      </w:r>
      <w:proofErr w:type="spellEnd"/>
      <w:r w:rsidRPr="00BD1500">
        <w:t xml:space="preserve"> maintains a complete governance and compliance ecosystem.</w:t>
      </w:r>
    </w:p>
    <w:p w14:paraId="7889093B" w14:textId="77777777" w:rsidR="00BD1500" w:rsidRPr="00BD1500" w:rsidRDefault="00000000" w:rsidP="00BD1500">
      <w:r>
        <w:pict w14:anchorId="0CA23451">
          <v:rect id="_x0000_i1043" style="width:0;height:1.5pt" o:hralign="center" o:hrstd="t" o:hr="t" fillcolor="#a0a0a0" stroked="f"/>
        </w:pict>
      </w:r>
    </w:p>
    <w:p w14:paraId="3C340E8D" w14:textId="77777777" w:rsidR="00BD1500" w:rsidRPr="00BD1500" w:rsidRDefault="00BD1500" w:rsidP="00BD1500">
      <w:pPr>
        <w:rPr>
          <w:b/>
          <w:bCs/>
        </w:rPr>
      </w:pPr>
      <w:r w:rsidRPr="00BD1500">
        <w:rPr>
          <w:b/>
          <w:bCs/>
        </w:rPr>
        <w:t>2.6 Comparison of Frameworks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9"/>
        <w:gridCol w:w="1675"/>
        <w:gridCol w:w="2193"/>
        <w:gridCol w:w="1933"/>
        <w:gridCol w:w="2080"/>
      </w:tblGrid>
      <w:tr w:rsidR="00BD1500" w:rsidRPr="00BD1500" w14:paraId="0E066A09" w14:textId="77777777">
        <w:trPr>
          <w:tblHeader/>
          <w:tblCellSpacing w:w="15" w:type="dxa"/>
        </w:trPr>
        <w:tc>
          <w:tcPr>
            <w:tcW w:w="0" w:type="auto"/>
            <w:vAlign w:val="center"/>
            <w:hideMark/>
          </w:tcPr>
          <w:p w14:paraId="341F0347" w14:textId="77777777" w:rsidR="00BD1500" w:rsidRPr="00BD1500" w:rsidRDefault="00BD1500" w:rsidP="00BD1500">
            <w:pPr>
              <w:rPr>
                <w:b/>
                <w:bCs/>
              </w:rPr>
            </w:pPr>
            <w:r w:rsidRPr="00BD1500">
              <w:rPr>
                <w:b/>
                <w:bCs/>
              </w:rPr>
              <w:t>Framework</w:t>
            </w:r>
          </w:p>
        </w:tc>
        <w:tc>
          <w:tcPr>
            <w:tcW w:w="0" w:type="auto"/>
            <w:vAlign w:val="center"/>
            <w:hideMark/>
          </w:tcPr>
          <w:p w14:paraId="24CD7C48" w14:textId="77777777" w:rsidR="00BD1500" w:rsidRPr="00BD1500" w:rsidRDefault="00BD1500" w:rsidP="00BD1500">
            <w:pPr>
              <w:rPr>
                <w:b/>
                <w:bCs/>
              </w:rPr>
            </w:pPr>
            <w:r w:rsidRPr="00BD1500">
              <w:rPr>
                <w:b/>
                <w:bCs/>
              </w:rPr>
              <w:t>Focus</w:t>
            </w:r>
          </w:p>
        </w:tc>
        <w:tc>
          <w:tcPr>
            <w:tcW w:w="0" w:type="auto"/>
            <w:vAlign w:val="center"/>
            <w:hideMark/>
          </w:tcPr>
          <w:p w14:paraId="7A25A68D" w14:textId="77777777" w:rsidR="00BD1500" w:rsidRPr="00BD1500" w:rsidRDefault="00BD1500" w:rsidP="00BD1500">
            <w:pPr>
              <w:rPr>
                <w:b/>
                <w:bCs/>
              </w:rPr>
            </w:pPr>
            <w:r w:rsidRPr="00BD1500">
              <w:rPr>
                <w:b/>
                <w:bCs/>
              </w:rPr>
              <w:t>Strengths</w:t>
            </w:r>
          </w:p>
        </w:tc>
        <w:tc>
          <w:tcPr>
            <w:tcW w:w="0" w:type="auto"/>
            <w:vAlign w:val="center"/>
            <w:hideMark/>
          </w:tcPr>
          <w:p w14:paraId="11736B9B" w14:textId="77777777" w:rsidR="00BD1500" w:rsidRPr="00BD1500" w:rsidRDefault="00BD1500" w:rsidP="00BD1500">
            <w:pPr>
              <w:rPr>
                <w:b/>
                <w:bCs/>
              </w:rPr>
            </w:pPr>
            <w:r w:rsidRPr="00BD1500">
              <w:rPr>
                <w:b/>
                <w:bCs/>
              </w:rPr>
              <w:t>Limitations</w:t>
            </w:r>
          </w:p>
        </w:tc>
        <w:tc>
          <w:tcPr>
            <w:tcW w:w="0" w:type="auto"/>
            <w:vAlign w:val="center"/>
            <w:hideMark/>
          </w:tcPr>
          <w:p w14:paraId="13F3E0DE" w14:textId="77777777" w:rsidR="00BD1500" w:rsidRPr="00BD1500" w:rsidRDefault="00BD1500" w:rsidP="00BD1500">
            <w:pPr>
              <w:rPr>
                <w:b/>
                <w:bCs/>
              </w:rPr>
            </w:pPr>
            <w:r w:rsidRPr="00BD1500">
              <w:rPr>
                <w:b/>
                <w:bCs/>
              </w:rPr>
              <w:t xml:space="preserve">Relevance to </w:t>
            </w:r>
            <w:proofErr w:type="spellStart"/>
            <w:r w:rsidRPr="00BD1500">
              <w:rPr>
                <w:b/>
                <w:bCs/>
              </w:rPr>
              <w:t>NatureGreen</w:t>
            </w:r>
            <w:proofErr w:type="spellEnd"/>
          </w:p>
        </w:tc>
      </w:tr>
      <w:tr w:rsidR="00BD1500" w:rsidRPr="00BD1500" w14:paraId="630B0849" w14:textId="77777777">
        <w:trPr>
          <w:tblCellSpacing w:w="15" w:type="dxa"/>
        </w:trPr>
        <w:tc>
          <w:tcPr>
            <w:tcW w:w="0" w:type="auto"/>
            <w:vAlign w:val="center"/>
            <w:hideMark/>
          </w:tcPr>
          <w:p w14:paraId="271E9664" w14:textId="77777777" w:rsidR="00BD1500" w:rsidRPr="00BD1500" w:rsidRDefault="00BD1500" w:rsidP="00BD1500">
            <w:r w:rsidRPr="00BD1500">
              <w:rPr>
                <w:b/>
                <w:bCs/>
              </w:rPr>
              <w:t>ISO 27001</w:t>
            </w:r>
          </w:p>
        </w:tc>
        <w:tc>
          <w:tcPr>
            <w:tcW w:w="0" w:type="auto"/>
            <w:vAlign w:val="center"/>
            <w:hideMark/>
          </w:tcPr>
          <w:p w14:paraId="5B7C39DE" w14:textId="77777777" w:rsidR="00BD1500" w:rsidRPr="00BD1500" w:rsidRDefault="00BD1500" w:rsidP="00BD1500">
            <w:r w:rsidRPr="00BD1500">
              <w:t>ISMS</w:t>
            </w:r>
          </w:p>
        </w:tc>
        <w:tc>
          <w:tcPr>
            <w:tcW w:w="0" w:type="auto"/>
            <w:vAlign w:val="center"/>
            <w:hideMark/>
          </w:tcPr>
          <w:p w14:paraId="47C4D4B0" w14:textId="77777777" w:rsidR="00BD1500" w:rsidRPr="00BD1500" w:rsidRDefault="00BD1500" w:rsidP="00BD1500">
            <w:r w:rsidRPr="00BD1500">
              <w:t xml:space="preserve">Structured, widely </w:t>
            </w:r>
            <w:proofErr w:type="spellStart"/>
            <w:r w:rsidRPr="00BD1500">
              <w:t>recognised</w:t>
            </w:r>
            <w:proofErr w:type="spellEnd"/>
          </w:p>
        </w:tc>
        <w:tc>
          <w:tcPr>
            <w:tcW w:w="0" w:type="auto"/>
            <w:vAlign w:val="center"/>
            <w:hideMark/>
          </w:tcPr>
          <w:p w14:paraId="65203203" w14:textId="77777777" w:rsidR="00BD1500" w:rsidRPr="00BD1500" w:rsidRDefault="00BD1500" w:rsidP="00BD1500">
            <w:r w:rsidRPr="00BD1500">
              <w:t>Time and cost-intensive</w:t>
            </w:r>
          </w:p>
        </w:tc>
        <w:tc>
          <w:tcPr>
            <w:tcW w:w="0" w:type="auto"/>
            <w:vAlign w:val="center"/>
            <w:hideMark/>
          </w:tcPr>
          <w:p w14:paraId="1F2B8145" w14:textId="77777777" w:rsidR="00BD1500" w:rsidRPr="00BD1500" w:rsidRDefault="00BD1500" w:rsidP="00BD1500">
            <w:r w:rsidRPr="00BD1500">
              <w:t>Core governance model</w:t>
            </w:r>
          </w:p>
        </w:tc>
      </w:tr>
      <w:tr w:rsidR="00BD1500" w:rsidRPr="00BD1500" w14:paraId="5DA79864" w14:textId="77777777">
        <w:trPr>
          <w:tblCellSpacing w:w="15" w:type="dxa"/>
        </w:trPr>
        <w:tc>
          <w:tcPr>
            <w:tcW w:w="0" w:type="auto"/>
            <w:vAlign w:val="center"/>
            <w:hideMark/>
          </w:tcPr>
          <w:p w14:paraId="3949B8A7" w14:textId="77777777" w:rsidR="00BD1500" w:rsidRPr="00BD1500" w:rsidRDefault="00BD1500" w:rsidP="00BD1500">
            <w:r w:rsidRPr="00BD1500">
              <w:rPr>
                <w:b/>
                <w:bCs/>
              </w:rPr>
              <w:t>NIST CSF</w:t>
            </w:r>
          </w:p>
        </w:tc>
        <w:tc>
          <w:tcPr>
            <w:tcW w:w="0" w:type="auto"/>
            <w:vAlign w:val="center"/>
            <w:hideMark/>
          </w:tcPr>
          <w:p w14:paraId="5C3DBA3B" w14:textId="77777777" w:rsidR="00BD1500" w:rsidRPr="00BD1500" w:rsidRDefault="00BD1500" w:rsidP="00BD1500">
            <w:r w:rsidRPr="00BD1500">
              <w:t>Cyber risk</w:t>
            </w:r>
          </w:p>
        </w:tc>
        <w:tc>
          <w:tcPr>
            <w:tcW w:w="0" w:type="auto"/>
            <w:vAlign w:val="center"/>
            <w:hideMark/>
          </w:tcPr>
          <w:p w14:paraId="471E41EC" w14:textId="77777777" w:rsidR="00BD1500" w:rsidRPr="00BD1500" w:rsidRDefault="00BD1500" w:rsidP="00BD1500">
            <w:r w:rsidRPr="00BD1500">
              <w:t>Flexible, detailed guidance</w:t>
            </w:r>
          </w:p>
        </w:tc>
        <w:tc>
          <w:tcPr>
            <w:tcW w:w="0" w:type="auto"/>
            <w:vAlign w:val="center"/>
            <w:hideMark/>
          </w:tcPr>
          <w:p w14:paraId="6ED3E86D" w14:textId="77777777" w:rsidR="00BD1500" w:rsidRPr="00BD1500" w:rsidRDefault="00BD1500" w:rsidP="00BD1500">
            <w:r w:rsidRPr="00BD1500">
              <w:t>US-centric; may need adaptation</w:t>
            </w:r>
          </w:p>
        </w:tc>
        <w:tc>
          <w:tcPr>
            <w:tcW w:w="0" w:type="auto"/>
            <w:vAlign w:val="center"/>
            <w:hideMark/>
          </w:tcPr>
          <w:p w14:paraId="52889ACD" w14:textId="77777777" w:rsidR="00BD1500" w:rsidRPr="00BD1500" w:rsidRDefault="00BD1500" w:rsidP="00BD1500">
            <w:r w:rsidRPr="00BD1500">
              <w:t>Enhances detection &amp; response</w:t>
            </w:r>
          </w:p>
        </w:tc>
      </w:tr>
      <w:tr w:rsidR="00BD1500" w:rsidRPr="00BD1500" w14:paraId="2C0E66BA" w14:textId="77777777">
        <w:trPr>
          <w:tblCellSpacing w:w="15" w:type="dxa"/>
        </w:trPr>
        <w:tc>
          <w:tcPr>
            <w:tcW w:w="0" w:type="auto"/>
            <w:vAlign w:val="center"/>
            <w:hideMark/>
          </w:tcPr>
          <w:p w14:paraId="018E2014" w14:textId="77777777" w:rsidR="00BD1500" w:rsidRPr="00BD1500" w:rsidRDefault="00BD1500" w:rsidP="00BD1500">
            <w:r w:rsidRPr="00BD1500">
              <w:rPr>
                <w:b/>
                <w:bCs/>
              </w:rPr>
              <w:t>COBIT</w:t>
            </w:r>
          </w:p>
        </w:tc>
        <w:tc>
          <w:tcPr>
            <w:tcW w:w="0" w:type="auto"/>
            <w:vAlign w:val="center"/>
            <w:hideMark/>
          </w:tcPr>
          <w:p w14:paraId="44715A62" w14:textId="77777777" w:rsidR="00BD1500" w:rsidRPr="00BD1500" w:rsidRDefault="00BD1500" w:rsidP="00BD1500">
            <w:r w:rsidRPr="00BD1500">
              <w:t>IT governance</w:t>
            </w:r>
          </w:p>
        </w:tc>
        <w:tc>
          <w:tcPr>
            <w:tcW w:w="0" w:type="auto"/>
            <w:vAlign w:val="center"/>
            <w:hideMark/>
          </w:tcPr>
          <w:p w14:paraId="4BA54781" w14:textId="77777777" w:rsidR="00BD1500" w:rsidRPr="00BD1500" w:rsidRDefault="00BD1500" w:rsidP="00BD1500">
            <w:r w:rsidRPr="00BD1500">
              <w:t>Accountability, alignment</w:t>
            </w:r>
          </w:p>
        </w:tc>
        <w:tc>
          <w:tcPr>
            <w:tcW w:w="0" w:type="auto"/>
            <w:vAlign w:val="center"/>
            <w:hideMark/>
          </w:tcPr>
          <w:p w14:paraId="1EB5065E" w14:textId="77777777" w:rsidR="00BD1500" w:rsidRPr="00BD1500" w:rsidRDefault="00BD1500" w:rsidP="00BD1500">
            <w:r w:rsidRPr="00BD1500">
              <w:t>Less technical</w:t>
            </w:r>
          </w:p>
        </w:tc>
        <w:tc>
          <w:tcPr>
            <w:tcW w:w="0" w:type="auto"/>
            <w:vAlign w:val="center"/>
            <w:hideMark/>
          </w:tcPr>
          <w:p w14:paraId="21C20A35" w14:textId="77777777" w:rsidR="00BD1500" w:rsidRPr="00BD1500" w:rsidRDefault="00BD1500" w:rsidP="00BD1500">
            <w:r w:rsidRPr="00BD1500">
              <w:t>Aligns IT with business objectives</w:t>
            </w:r>
          </w:p>
        </w:tc>
      </w:tr>
      <w:tr w:rsidR="00BD1500" w:rsidRPr="00BD1500" w14:paraId="21736276" w14:textId="77777777">
        <w:trPr>
          <w:tblCellSpacing w:w="15" w:type="dxa"/>
        </w:trPr>
        <w:tc>
          <w:tcPr>
            <w:tcW w:w="0" w:type="auto"/>
            <w:vAlign w:val="center"/>
            <w:hideMark/>
          </w:tcPr>
          <w:p w14:paraId="3F87AE62" w14:textId="77777777" w:rsidR="00BD1500" w:rsidRPr="00BD1500" w:rsidRDefault="00BD1500" w:rsidP="00BD1500">
            <w:r w:rsidRPr="00BD1500">
              <w:rPr>
                <w:b/>
                <w:bCs/>
              </w:rPr>
              <w:t>ITIL 4</w:t>
            </w:r>
          </w:p>
        </w:tc>
        <w:tc>
          <w:tcPr>
            <w:tcW w:w="0" w:type="auto"/>
            <w:vAlign w:val="center"/>
            <w:hideMark/>
          </w:tcPr>
          <w:p w14:paraId="5339C403" w14:textId="77777777" w:rsidR="00BD1500" w:rsidRPr="00BD1500" w:rsidRDefault="00BD1500" w:rsidP="00BD1500">
            <w:r w:rsidRPr="00BD1500">
              <w:t>Service management</w:t>
            </w:r>
          </w:p>
        </w:tc>
        <w:tc>
          <w:tcPr>
            <w:tcW w:w="0" w:type="auto"/>
            <w:vAlign w:val="center"/>
            <w:hideMark/>
          </w:tcPr>
          <w:p w14:paraId="6A217BD5" w14:textId="77777777" w:rsidR="00BD1500" w:rsidRPr="00BD1500" w:rsidRDefault="00BD1500" w:rsidP="00BD1500">
            <w:r w:rsidRPr="00BD1500">
              <w:t>Operational continuity</w:t>
            </w:r>
          </w:p>
        </w:tc>
        <w:tc>
          <w:tcPr>
            <w:tcW w:w="0" w:type="auto"/>
            <w:vAlign w:val="center"/>
            <w:hideMark/>
          </w:tcPr>
          <w:p w14:paraId="219884EE" w14:textId="77777777" w:rsidR="00BD1500" w:rsidRPr="00BD1500" w:rsidRDefault="00BD1500" w:rsidP="00BD1500">
            <w:r w:rsidRPr="00BD1500">
              <w:t>Not primarily security-focused</w:t>
            </w:r>
          </w:p>
        </w:tc>
        <w:tc>
          <w:tcPr>
            <w:tcW w:w="0" w:type="auto"/>
            <w:vAlign w:val="center"/>
            <w:hideMark/>
          </w:tcPr>
          <w:p w14:paraId="73305D2C" w14:textId="77777777" w:rsidR="00BD1500" w:rsidRPr="00BD1500" w:rsidRDefault="00BD1500" w:rsidP="00BD1500">
            <w:r w:rsidRPr="00BD1500">
              <w:t>Supports resilience &amp; continuity</w:t>
            </w:r>
          </w:p>
        </w:tc>
      </w:tr>
      <w:tr w:rsidR="00BD1500" w:rsidRPr="00BD1500" w14:paraId="195F4890" w14:textId="77777777">
        <w:trPr>
          <w:tblCellSpacing w:w="15" w:type="dxa"/>
        </w:trPr>
        <w:tc>
          <w:tcPr>
            <w:tcW w:w="0" w:type="auto"/>
            <w:vAlign w:val="center"/>
            <w:hideMark/>
          </w:tcPr>
          <w:p w14:paraId="62951DE9" w14:textId="77777777" w:rsidR="00BD1500" w:rsidRPr="00BD1500" w:rsidRDefault="00BD1500" w:rsidP="00BD1500">
            <w:r w:rsidRPr="00BD1500">
              <w:rPr>
                <w:b/>
                <w:bCs/>
              </w:rPr>
              <w:t>GDPR / DPA 2018</w:t>
            </w:r>
          </w:p>
        </w:tc>
        <w:tc>
          <w:tcPr>
            <w:tcW w:w="0" w:type="auto"/>
            <w:vAlign w:val="center"/>
            <w:hideMark/>
          </w:tcPr>
          <w:p w14:paraId="0DA953B5" w14:textId="77777777" w:rsidR="00BD1500" w:rsidRPr="00BD1500" w:rsidRDefault="00BD1500" w:rsidP="00BD1500">
            <w:r w:rsidRPr="00BD1500">
              <w:t>Legal compliance</w:t>
            </w:r>
          </w:p>
        </w:tc>
        <w:tc>
          <w:tcPr>
            <w:tcW w:w="0" w:type="auto"/>
            <w:vAlign w:val="center"/>
            <w:hideMark/>
          </w:tcPr>
          <w:p w14:paraId="33FCF4FC" w14:textId="77777777" w:rsidR="00BD1500" w:rsidRPr="00BD1500" w:rsidRDefault="00BD1500" w:rsidP="00BD1500">
            <w:r w:rsidRPr="00BD1500">
              <w:t>Mandatory, protects personal data</w:t>
            </w:r>
          </w:p>
        </w:tc>
        <w:tc>
          <w:tcPr>
            <w:tcW w:w="0" w:type="auto"/>
            <w:vAlign w:val="center"/>
            <w:hideMark/>
          </w:tcPr>
          <w:p w14:paraId="0A4F4429" w14:textId="77777777" w:rsidR="00BD1500" w:rsidRPr="00BD1500" w:rsidRDefault="00BD1500" w:rsidP="00BD1500">
            <w:r w:rsidRPr="00BD1500">
              <w:t>Non-technical</w:t>
            </w:r>
          </w:p>
        </w:tc>
        <w:tc>
          <w:tcPr>
            <w:tcW w:w="0" w:type="auto"/>
            <w:vAlign w:val="center"/>
            <w:hideMark/>
          </w:tcPr>
          <w:p w14:paraId="1DF69FDB" w14:textId="77777777" w:rsidR="00BD1500" w:rsidRPr="00BD1500" w:rsidRDefault="00BD1500" w:rsidP="00BD1500">
            <w:r w:rsidRPr="00BD1500">
              <w:t>Regulatory requirement</w:t>
            </w:r>
          </w:p>
        </w:tc>
      </w:tr>
    </w:tbl>
    <w:p w14:paraId="776F7208" w14:textId="77777777" w:rsidR="00BD1500" w:rsidRPr="00BD1500" w:rsidRDefault="00000000" w:rsidP="00BD1500">
      <w:r>
        <w:pict w14:anchorId="45BDB2CF">
          <v:rect id="_x0000_i1044" style="width:0;height:1.5pt" o:hralign="center" o:hrstd="t" o:hr="t" fillcolor="#a0a0a0" stroked="f"/>
        </w:pict>
      </w:r>
    </w:p>
    <w:p w14:paraId="2B85C676" w14:textId="77777777" w:rsidR="00D91A40" w:rsidRDefault="00D91A40" w:rsidP="00BD1500">
      <w:pPr>
        <w:rPr>
          <w:b/>
          <w:bCs/>
        </w:rPr>
      </w:pPr>
    </w:p>
    <w:p w14:paraId="22086495" w14:textId="77777777" w:rsidR="00D91A40" w:rsidRDefault="00D91A40" w:rsidP="00BD1500">
      <w:pPr>
        <w:rPr>
          <w:b/>
          <w:bCs/>
        </w:rPr>
      </w:pPr>
    </w:p>
    <w:p w14:paraId="0976A62E" w14:textId="461B57E9" w:rsidR="00BD1500" w:rsidRPr="00BD1500" w:rsidRDefault="00BD1500" w:rsidP="00BD1500">
      <w:pPr>
        <w:rPr>
          <w:b/>
          <w:bCs/>
        </w:rPr>
      </w:pPr>
      <w:r w:rsidRPr="00BD1500">
        <w:rPr>
          <w:b/>
          <w:bCs/>
        </w:rPr>
        <w:lastRenderedPageBreak/>
        <w:t>Summary</w:t>
      </w:r>
    </w:p>
    <w:p w14:paraId="27D1DD32" w14:textId="77777777" w:rsidR="00BD1500" w:rsidRPr="00BD1500" w:rsidRDefault="00BD1500" w:rsidP="00BD1500">
      <w:r w:rsidRPr="00BD1500">
        <w:t>Each framework covers different governance and security needs:</w:t>
      </w:r>
    </w:p>
    <w:p w14:paraId="391FA0A1" w14:textId="77777777" w:rsidR="00BD1500" w:rsidRPr="00BD1500" w:rsidRDefault="00BD1500" w:rsidP="00BD1500">
      <w:pPr>
        <w:numPr>
          <w:ilvl w:val="0"/>
          <w:numId w:val="13"/>
        </w:numPr>
      </w:pPr>
      <w:r w:rsidRPr="00BD1500">
        <w:rPr>
          <w:b/>
          <w:bCs/>
        </w:rPr>
        <w:t>ISO 27001</w:t>
      </w:r>
      <w:r w:rsidRPr="00BD1500">
        <w:t xml:space="preserve"> → formal governance and ISMS</w:t>
      </w:r>
    </w:p>
    <w:p w14:paraId="0D6215AF" w14:textId="77777777" w:rsidR="00BD1500" w:rsidRPr="00BD1500" w:rsidRDefault="00BD1500" w:rsidP="00BD1500">
      <w:pPr>
        <w:numPr>
          <w:ilvl w:val="0"/>
          <w:numId w:val="13"/>
        </w:numPr>
      </w:pPr>
      <w:r w:rsidRPr="00BD1500">
        <w:rPr>
          <w:b/>
          <w:bCs/>
        </w:rPr>
        <w:t>NIST CSF</w:t>
      </w:r>
      <w:r w:rsidRPr="00BD1500">
        <w:t xml:space="preserve"> → practical operational cybersecurity</w:t>
      </w:r>
    </w:p>
    <w:p w14:paraId="06E6A236" w14:textId="77777777" w:rsidR="00BD1500" w:rsidRPr="00BD1500" w:rsidRDefault="00BD1500" w:rsidP="00BD1500">
      <w:pPr>
        <w:numPr>
          <w:ilvl w:val="0"/>
          <w:numId w:val="13"/>
        </w:numPr>
      </w:pPr>
      <w:r w:rsidRPr="00BD1500">
        <w:rPr>
          <w:b/>
          <w:bCs/>
        </w:rPr>
        <w:t>COBIT</w:t>
      </w:r>
      <w:r w:rsidRPr="00BD1500">
        <w:t xml:space="preserve"> → strategic IT–business alignment</w:t>
      </w:r>
    </w:p>
    <w:p w14:paraId="58E9979B" w14:textId="77777777" w:rsidR="00BD1500" w:rsidRPr="00BD1500" w:rsidRDefault="00BD1500" w:rsidP="00BD1500">
      <w:pPr>
        <w:numPr>
          <w:ilvl w:val="0"/>
          <w:numId w:val="13"/>
        </w:numPr>
      </w:pPr>
      <w:r w:rsidRPr="00BD1500">
        <w:rPr>
          <w:b/>
          <w:bCs/>
        </w:rPr>
        <w:t>ITIL 4</w:t>
      </w:r>
      <w:r w:rsidRPr="00BD1500">
        <w:t xml:space="preserve"> → reliable service continuity</w:t>
      </w:r>
    </w:p>
    <w:p w14:paraId="1469F2AC" w14:textId="77777777" w:rsidR="00BD1500" w:rsidRPr="00BD1500" w:rsidRDefault="00BD1500" w:rsidP="00BD1500">
      <w:pPr>
        <w:numPr>
          <w:ilvl w:val="0"/>
          <w:numId w:val="13"/>
        </w:numPr>
      </w:pPr>
      <w:r w:rsidRPr="00BD1500">
        <w:rPr>
          <w:b/>
          <w:bCs/>
        </w:rPr>
        <w:t>GDPR</w:t>
      </w:r>
      <w:r w:rsidRPr="00BD1500">
        <w:t xml:space="preserve"> → legal and ethical data protection</w:t>
      </w:r>
    </w:p>
    <w:p w14:paraId="3F8F7066" w14:textId="77777777" w:rsidR="00BD1500" w:rsidRPr="00BD1500" w:rsidRDefault="00BD1500" w:rsidP="00BD1500">
      <w:r w:rsidRPr="00BD1500">
        <w:t xml:space="preserve">Together, they form an integrated approach ideal for </w:t>
      </w:r>
      <w:proofErr w:type="spellStart"/>
      <w:r w:rsidRPr="00BD1500">
        <w:t>NatureGreen’s</w:t>
      </w:r>
      <w:proofErr w:type="spellEnd"/>
      <w:r w:rsidRPr="00BD1500">
        <w:t xml:space="preserve"> global, cloud-driven operational structure.</w:t>
      </w:r>
    </w:p>
    <w:p w14:paraId="7F62D4FC" w14:textId="77777777" w:rsidR="00DA3988" w:rsidRDefault="00DA3988" w:rsidP="00DA3988">
      <w:r>
        <w:t> </w:t>
      </w:r>
    </w:p>
    <w:p w14:paraId="7BF5C062" w14:textId="77777777" w:rsidR="004C693F" w:rsidRDefault="004C693F" w:rsidP="004C693F">
      <w:pPr>
        <w:pBdr>
          <w:bottom w:val="single" w:sz="12" w:space="1" w:color="auto"/>
        </w:pBdr>
        <w:rPr>
          <w:b/>
          <w:bCs/>
        </w:rPr>
      </w:pPr>
      <w:r>
        <w:rPr>
          <w:b/>
          <w:bCs/>
        </w:rPr>
        <w:br w:type="page"/>
      </w:r>
    </w:p>
    <w:p w14:paraId="70B7EF78" w14:textId="219C159C" w:rsidR="004C693F" w:rsidRPr="004C693F" w:rsidRDefault="004C693F" w:rsidP="004C693F">
      <w:pPr>
        <w:pBdr>
          <w:bottom w:val="single" w:sz="12" w:space="1" w:color="auto"/>
        </w:pBdr>
        <w:rPr>
          <w:b/>
          <w:bCs/>
        </w:rPr>
      </w:pPr>
      <w:r w:rsidRPr="004C693F">
        <w:rPr>
          <w:b/>
          <w:bCs/>
        </w:rPr>
        <w:lastRenderedPageBreak/>
        <w:t xml:space="preserve">3. Proposed Governance, Security, and Compliance Model for </w:t>
      </w:r>
      <w:proofErr w:type="spellStart"/>
      <w:r w:rsidRPr="004C693F">
        <w:rPr>
          <w:b/>
          <w:bCs/>
        </w:rPr>
        <w:t>NatureGreen</w:t>
      </w:r>
      <w:proofErr w:type="spellEnd"/>
    </w:p>
    <w:p w14:paraId="5B6AC9A0" w14:textId="77777777" w:rsidR="004C693F" w:rsidRPr="004C693F" w:rsidRDefault="004C693F" w:rsidP="004C693F">
      <w:pPr>
        <w:pBdr>
          <w:bottom w:val="single" w:sz="12" w:space="1" w:color="auto"/>
        </w:pBdr>
      </w:pPr>
      <w:r w:rsidRPr="004C693F">
        <w:t xml:space="preserve">Based on the review of existing frameworks, </w:t>
      </w:r>
      <w:proofErr w:type="spellStart"/>
      <w:r w:rsidRPr="004C693F">
        <w:t>NatureGreen</w:t>
      </w:r>
      <w:proofErr w:type="spellEnd"/>
      <w:r w:rsidRPr="004C693F">
        <w:t xml:space="preserve"> should adopt a </w:t>
      </w:r>
      <w:r w:rsidRPr="004C693F">
        <w:rPr>
          <w:b/>
          <w:bCs/>
        </w:rPr>
        <w:t>hybrid, integrated governance model</w:t>
      </w:r>
      <w:r w:rsidRPr="004C693F">
        <w:t xml:space="preserve"> that combines the strengths of ISO 27001, NIST CSF, COBIT, ITIL 4, and GDPR/DPA.</w:t>
      </w:r>
    </w:p>
    <w:p w14:paraId="2AC5E2DB" w14:textId="77777777" w:rsidR="004C693F" w:rsidRPr="004C693F" w:rsidRDefault="004C693F" w:rsidP="004C693F">
      <w:pPr>
        <w:pBdr>
          <w:bottom w:val="single" w:sz="12" w:space="1" w:color="auto"/>
        </w:pBdr>
      </w:pPr>
      <w:r w:rsidRPr="004C693F">
        <w:rPr>
          <w:b/>
          <w:bCs/>
        </w:rPr>
        <w:t>Vanshaj’s Integrated Cyber Governance Model</w:t>
      </w:r>
      <w:r w:rsidRPr="004C693F">
        <w:t xml:space="preserve"> provides a comprehensive structure that unifies:</w:t>
      </w:r>
    </w:p>
    <w:p w14:paraId="049CBC56" w14:textId="77777777" w:rsidR="004C693F" w:rsidRPr="004C693F" w:rsidRDefault="004C693F" w:rsidP="004C693F">
      <w:pPr>
        <w:numPr>
          <w:ilvl w:val="0"/>
          <w:numId w:val="14"/>
        </w:numPr>
        <w:pBdr>
          <w:bottom w:val="single" w:sz="12" w:space="1" w:color="auto"/>
        </w:pBdr>
      </w:pPr>
      <w:r w:rsidRPr="004C693F">
        <w:t>Strategic governance</w:t>
      </w:r>
    </w:p>
    <w:p w14:paraId="0BF1DB61" w14:textId="77777777" w:rsidR="004C693F" w:rsidRPr="004C693F" w:rsidRDefault="004C693F" w:rsidP="004C693F">
      <w:pPr>
        <w:numPr>
          <w:ilvl w:val="0"/>
          <w:numId w:val="14"/>
        </w:numPr>
        <w:pBdr>
          <w:bottom w:val="single" w:sz="12" w:space="1" w:color="auto"/>
        </w:pBdr>
      </w:pPr>
      <w:r w:rsidRPr="004C693F">
        <w:t>Operational cybersecurity</w:t>
      </w:r>
    </w:p>
    <w:p w14:paraId="5879CB30" w14:textId="77777777" w:rsidR="004C693F" w:rsidRPr="004C693F" w:rsidRDefault="004C693F" w:rsidP="004C693F">
      <w:pPr>
        <w:numPr>
          <w:ilvl w:val="0"/>
          <w:numId w:val="14"/>
        </w:numPr>
        <w:pBdr>
          <w:bottom w:val="single" w:sz="12" w:space="1" w:color="auto"/>
        </w:pBdr>
      </w:pPr>
      <w:r w:rsidRPr="004C693F">
        <w:t>IT service management</w:t>
      </w:r>
    </w:p>
    <w:p w14:paraId="5374DE0F" w14:textId="77777777" w:rsidR="004C693F" w:rsidRPr="004C693F" w:rsidRDefault="004C693F" w:rsidP="004C693F">
      <w:pPr>
        <w:numPr>
          <w:ilvl w:val="0"/>
          <w:numId w:val="14"/>
        </w:numPr>
        <w:pBdr>
          <w:bottom w:val="single" w:sz="12" w:space="1" w:color="auto"/>
        </w:pBdr>
      </w:pPr>
      <w:r w:rsidRPr="004C693F">
        <w:t>Regulatory compliance</w:t>
      </w:r>
    </w:p>
    <w:p w14:paraId="4577B553" w14:textId="77777777" w:rsidR="004C693F" w:rsidRPr="004C693F" w:rsidRDefault="004C693F" w:rsidP="004C693F">
      <w:pPr>
        <w:numPr>
          <w:ilvl w:val="0"/>
          <w:numId w:val="14"/>
        </w:numPr>
        <w:pBdr>
          <w:bottom w:val="single" w:sz="12" w:space="1" w:color="auto"/>
        </w:pBdr>
      </w:pPr>
      <w:r w:rsidRPr="004C693F">
        <w:t>Risk and continuity management</w:t>
      </w:r>
    </w:p>
    <w:p w14:paraId="1C73FCC2" w14:textId="77777777" w:rsidR="004C693F" w:rsidRPr="004C693F" w:rsidRDefault="004C693F" w:rsidP="004C693F">
      <w:pPr>
        <w:pBdr>
          <w:bottom w:val="single" w:sz="12" w:space="1" w:color="auto"/>
        </w:pBdr>
      </w:pPr>
      <w:r w:rsidRPr="004C693F">
        <w:t xml:space="preserve">This ensures that security, governance, and compliance are aligned across </w:t>
      </w:r>
      <w:proofErr w:type="spellStart"/>
      <w:r w:rsidRPr="004C693F">
        <w:t>NatureGreen’s</w:t>
      </w:r>
      <w:proofErr w:type="spellEnd"/>
      <w:r w:rsidRPr="004C693F">
        <w:t xml:space="preserve"> entire </w:t>
      </w:r>
      <w:proofErr w:type="spellStart"/>
      <w:r w:rsidRPr="004C693F">
        <w:t>organisation</w:t>
      </w:r>
      <w:proofErr w:type="spellEnd"/>
      <w:r w:rsidRPr="004C693F">
        <w:t>.</w:t>
      </w:r>
    </w:p>
    <w:p w14:paraId="28B45C85" w14:textId="77777777" w:rsidR="004C693F" w:rsidRPr="004C693F" w:rsidRDefault="00000000" w:rsidP="004C693F">
      <w:pPr>
        <w:pBdr>
          <w:bottom w:val="single" w:sz="12" w:space="1" w:color="auto"/>
        </w:pBdr>
      </w:pPr>
      <w:r>
        <w:pict w14:anchorId="0A9DCC9F">
          <v:rect id="_x0000_i1045" style="width:0;height:1.5pt" o:hralign="center" o:hrstd="t" o:hr="t" fillcolor="#a0a0a0" stroked="f"/>
        </w:pict>
      </w:r>
    </w:p>
    <w:p w14:paraId="2A4E1D14" w14:textId="77777777" w:rsidR="004C693F" w:rsidRPr="004C693F" w:rsidRDefault="004C693F" w:rsidP="004C693F">
      <w:pPr>
        <w:pBdr>
          <w:bottom w:val="single" w:sz="12" w:space="1" w:color="auto"/>
        </w:pBdr>
        <w:rPr>
          <w:b/>
          <w:bCs/>
        </w:rPr>
      </w:pPr>
      <w:r w:rsidRPr="004C693F">
        <w:rPr>
          <w:b/>
          <w:bCs/>
        </w:rPr>
        <w:t xml:space="preserve">Figure 6: Proposed Governance, Security, and Compliance Model for </w:t>
      </w:r>
      <w:proofErr w:type="spellStart"/>
      <w:r w:rsidRPr="004C693F">
        <w:rPr>
          <w:b/>
          <w:bCs/>
        </w:rPr>
        <w:t>NatureGreen</w:t>
      </w:r>
      <w:proofErr w:type="spellEnd"/>
    </w:p>
    <w:p w14:paraId="7FAACAB1" w14:textId="3F1683E0" w:rsidR="0097679A" w:rsidRDefault="00944C0B" w:rsidP="00D91A40">
      <w:pPr>
        <w:pBdr>
          <w:bottom w:val="single" w:sz="12" w:space="1" w:color="auto"/>
        </w:pBdr>
        <w:jc w:val="center"/>
      </w:pPr>
      <w:r>
        <w:rPr>
          <w:noProof/>
        </w:rPr>
        <w:drawing>
          <wp:inline distT="0" distB="0" distL="0" distR="0" wp14:anchorId="5DCE05CF" wp14:editId="61C1E120">
            <wp:extent cx="3724275" cy="3724275"/>
            <wp:effectExtent l="0" t="0" r="9525" b="9525"/>
            <wp:docPr id="1170540802" name="Picture 13" descr="A diagram of a company's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40802" name="Picture 13" descr="A diagram of a company's security&#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24275" cy="3724275"/>
                    </a:xfrm>
                    <a:prstGeom prst="rect">
                      <a:avLst/>
                    </a:prstGeom>
                  </pic:spPr>
                </pic:pic>
              </a:graphicData>
            </a:graphic>
          </wp:inline>
        </w:drawing>
      </w:r>
    </w:p>
    <w:p w14:paraId="5D8518B0" w14:textId="77777777" w:rsidR="00944C0B" w:rsidRDefault="00944C0B" w:rsidP="004C693F">
      <w:pPr>
        <w:pBdr>
          <w:bottom w:val="single" w:sz="12" w:space="1" w:color="auto"/>
        </w:pBdr>
      </w:pPr>
    </w:p>
    <w:p w14:paraId="3F4C6C76" w14:textId="49895888" w:rsidR="00944C0B" w:rsidRPr="004C693F" w:rsidRDefault="00944C0B" w:rsidP="00944C0B">
      <w:pPr>
        <w:pBdr>
          <w:bottom w:val="single" w:sz="12" w:space="1" w:color="auto"/>
        </w:pBdr>
        <w:rPr>
          <w:b/>
          <w:bCs/>
        </w:rPr>
      </w:pPr>
      <w:r w:rsidRPr="004C693F">
        <w:rPr>
          <w:b/>
          <w:bCs/>
        </w:rPr>
        <w:t xml:space="preserve">Figure </w:t>
      </w:r>
      <w:r w:rsidR="00AB07A5">
        <w:rPr>
          <w:b/>
          <w:bCs/>
        </w:rPr>
        <w:t>7</w:t>
      </w:r>
      <w:r w:rsidRPr="004C693F">
        <w:rPr>
          <w:b/>
          <w:bCs/>
        </w:rPr>
        <w:t xml:space="preserve">: </w:t>
      </w:r>
      <w:proofErr w:type="spellStart"/>
      <w:r>
        <w:rPr>
          <w:b/>
          <w:bCs/>
        </w:rPr>
        <w:t>FrameWork</w:t>
      </w:r>
      <w:proofErr w:type="spellEnd"/>
      <w:r w:rsidRPr="004C693F">
        <w:rPr>
          <w:b/>
          <w:bCs/>
        </w:rPr>
        <w:t xml:space="preserve"> for </w:t>
      </w:r>
      <w:proofErr w:type="spellStart"/>
      <w:r w:rsidRPr="004C693F">
        <w:rPr>
          <w:b/>
          <w:bCs/>
        </w:rPr>
        <w:t>NatureGreen</w:t>
      </w:r>
      <w:proofErr w:type="spellEnd"/>
    </w:p>
    <w:p w14:paraId="66A767F7" w14:textId="67860D6B" w:rsidR="00944C0B" w:rsidRPr="0097679A" w:rsidRDefault="00944C0B" w:rsidP="004C693F">
      <w:pPr>
        <w:pBdr>
          <w:bottom w:val="single" w:sz="12" w:space="1" w:color="auto"/>
        </w:pBdr>
      </w:pPr>
      <w:r>
        <w:rPr>
          <w:noProof/>
        </w:rPr>
        <w:drawing>
          <wp:inline distT="0" distB="0" distL="0" distR="0" wp14:anchorId="1CBDA05C" wp14:editId="456FA698">
            <wp:extent cx="5943600" cy="3319780"/>
            <wp:effectExtent l="0" t="0" r="0" b="0"/>
            <wp:docPr id="1907539880" name="Picture 14"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39880" name="Picture 14" descr="A diagram of a computer network&#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3319780"/>
                    </a:xfrm>
                    <a:prstGeom prst="rect">
                      <a:avLst/>
                    </a:prstGeom>
                  </pic:spPr>
                </pic:pic>
              </a:graphicData>
            </a:graphic>
          </wp:inline>
        </w:drawing>
      </w:r>
    </w:p>
    <w:p w14:paraId="4EDDA1F5" w14:textId="274791A2" w:rsidR="004C693F" w:rsidRPr="004C693F" w:rsidRDefault="00000000" w:rsidP="004C693F">
      <w:pPr>
        <w:pBdr>
          <w:bottom w:val="single" w:sz="12" w:space="1" w:color="auto"/>
        </w:pBdr>
      </w:pPr>
      <w:r>
        <w:pict w14:anchorId="62BF9FDD">
          <v:rect id="_x0000_i1046" style="width:0;height:1.5pt" o:hralign="center" o:hrstd="t" o:hr="t" fillcolor="#a0a0a0" stroked="f"/>
        </w:pict>
      </w:r>
    </w:p>
    <w:p w14:paraId="279B01EE" w14:textId="77777777" w:rsidR="004C693F" w:rsidRPr="004C693F" w:rsidRDefault="004C693F" w:rsidP="004C693F">
      <w:pPr>
        <w:pBdr>
          <w:bottom w:val="single" w:sz="12" w:space="1" w:color="auto"/>
        </w:pBdr>
        <w:rPr>
          <w:b/>
          <w:bCs/>
        </w:rPr>
      </w:pPr>
      <w:r w:rsidRPr="004C693F">
        <w:rPr>
          <w:b/>
          <w:bCs/>
        </w:rPr>
        <w:t>3.1 Governance Structure</w:t>
      </w:r>
    </w:p>
    <w:p w14:paraId="00A5DDB5" w14:textId="77777777" w:rsidR="004C693F" w:rsidRPr="004C693F" w:rsidRDefault="004C693F" w:rsidP="004C693F">
      <w:pPr>
        <w:pBdr>
          <w:bottom w:val="single" w:sz="12" w:space="1" w:color="auto"/>
        </w:pBdr>
      </w:pPr>
      <w:r w:rsidRPr="004C693F">
        <w:t xml:space="preserve">The governance hierarchy ensures accountability and clear decision-making across all security and compliance functions in </w:t>
      </w:r>
      <w:proofErr w:type="spellStart"/>
      <w:r w:rsidRPr="004C693F">
        <w:t>NatureGreen</w:t>
      </w:r>
      <w:proofErr w:type="spellEnd"/>
      <w:r w:rsidRPr="004C693F">
        <w:t>.</w:t>
      </w:r>
    </w:p>
    <w:p w14:paraId="76371ED9" w14:textId="77777777" w:rsidR="004C693F" w:rsidRPr="004C693F" w:rsidRDefault="004C693F" w:rsidP="004C693F">
      <w:pPr>
        <w:pBdr>
          <w:bottom w:val="single" w:sz="12" w:space="1" w:color="auto"/>
        </w:pBdr>
        <w:rPr>
          <w:b/>
          <w:bCs/>
        </w:rPr>
      </w:pPr>
      <w:r w:rsidRPr="004C693F">
        <w:rPr>
          <w:b/>
          <w:bCs/>
        </w:rPr>
        <w:t>Governance Roles:</w:t>
      </w:r>
    </w:p>
    <w:p w14:paraId="3BA77095" w14:textId="77777777" w:rsidR="004C693F" w:rsidRPr="004C693F" w:rsidRDefault="004C693F" w:rsidP="004C693F">
      <w:pPr>
        <w:pBdr>
          <w:bottom w:val="single" w:sz="12" w:space="1" w:color="auto"/>
        </w:pBdr>
      </w:pPr>
      <w:r w:rsidRPr="004C693F">
        <w:rPr>
          <w:b/>
          <w:bCs/>
        </w:rPr>
        <w:t>• Board of Directors</w:t>
      </w:r>
      <w:r w:rsidRPr="004C693F">
        <w:br/>
        <w:t>– Provides high-level strategic oversight</w:t>
      </w:r>
      <w:r w:rsidRPr="004C693F">
        <w:br/>
        <w:t>– Approves cybersecurity and compliance budgets</w:t>
      </w:r>
      <w:r w:rsidRPr="004C693F">
        <w:br/>
        <w:t xml:space="preserve">– Ensures alignment with long-term </w:t>
      </w:r>
      <w:proofErr w:type="spellStart"/>
      <w:r w:rsidRPr="004C693F">
        <w:t>organisational</w:t>
      </w:r>
      <w:proofErr w:type="spellEnd"/>
      <w:r w:rsidRPr="004C693F">
        <w:t xml:space="preserve"> objectives</w:t>
      </w:r>
    </w:p>
    <w:p w14:paraId="2196CBFD" w14:textId="77777777" w:rsidR="004C693F" w:rsidRPr="004C693F" w:rsidRDefault="004C693F" w:rsidP="004C693F">
      <w:pPr>
        <w:pBdr>
          <w:bottom w:val="single" w:sz="12" w:space="1" w:color="auto"/>
        </w:pBdr>
      </w:pPr>
      <w:r w:rsidRPr="004C693F">
        <w:rPr>
          <w:b/>
          <w:bCs/>
        </w:rPr>
        <w:t>• Chief Information Security Officer (CISO)</w:t>
      </w:r>
      <w:r w:rsidRPr="004C693F">
        <w:br/>
        <w:t>– Leads cybersecurity strategy</w:t>
      </w:r>
      <w:r w:rsidRPr="004C693F">
        <w:br/>
        <w:t>– Monitors threats and vulnerabilities</w:t>
      </w:r>
      <w:r w:rsidRPr="004C693F">
        <w:br/>
        <w:t>– Enforces security policies across departments</w:t>
      </w:r>
    </w:p>
    <w:p w14:paraId="311C63CE" w14:textId="77777777" w:rsidR="004C693F" w:rsidRPr="004C693F" w:rsidRDefault="004C693F" w:rsidP="004C693F">
      <w:pPr>
        <w:pBdr>
          <w:bottom w:val="single" w:sz="12" w:space="1" w:color="auto"/>
        </w:pBdr>
      </w:pPr>
      <w:r w:rsidRPr="004C693F">
        <w:rPr>
          <w:b/>
          <w:bCs/>
        </w:rPr>
        <w:t>• Data Protection Officer (DPO)</w:t>
      </w:r>
      <w:r w:rsidRPr="004C693F">
        <w:br/>
        <w:t>– Oversees GDPR compliance</w:t>
      </w:r>
      <w:r w:rsidRPr="004C693F">
        <w:br/>
      </w:r>
      <w:r w:rsidRPr="004C693F">
        <w:lastRenderedPageBreak/>
        <w:t>– Manages data protection impact assessments</w:t>
      </w:r>
      <w:r w:rsidRPr="004C693F">
        <w:br/>
        <w:t>– Handles regulatory reporting and data subject rights</w:t>
      </w:r>
    </w:p>
    <w:p w14:paraId="292DA6D6" w14:textId="77777777" w:rsidR="004C693F" w:rsidRPr="004C693F" w:rsidRDefault="004C693F" w:rsidP="004C693F">
      <w:pPr>
        <w:pBdr>
          <w:bottom w:val="single" w:sz="12" w:space="1" w:color="auto"/>
        </w:pBdr>
      </w:pPr>
      <w:r w:rsidRPr="004C693F">
        <w:rPr>
          <w:b/>
          <w:bCs/>
        </w:rPr>
        <w:t>• IT Security Team</w:t>
      </w:r>
      <w:r w:rsidRPr="004C693F">
        <w:br/>
        <w:t>– Implements technical controls</w:t>
      </w:r>
      <w:r w:rsidRPr="004C693F">
        <w:br/>
        <w:t>– Conducts system hardening and vulnerability scanning</w:t>
      </w:r>
      <w:r w:rsidRPr="004C693F">
        <w:br/>
        <w:t>– Monitors networks and responds to incidents</w:t>
      </w:r>
    </w:p>
    <w:p w14:paraId="576620C7" w14:textId="77777777" w:rsidR="004C693F" w:rsidRPr="004C693F" w:rsidRDefault="004C693F" w:rsidP="004C693F">
      <w:pPr>
        <w:pBdr>
          <w:bottom w:val="single" w:sz="12" w:space="1" w:color="auto"/>
        </w:pBdr>
      </w:pPr>
      <w:r w:rsidRPr="004C693F">
        <w:rPr>
          <w:b/>
          <w:bCs/>
        </w:rPr>
        <w:t>• Data Stewards</w:t>
      </w:r>
      <w:r w:rsidRPr="004C693F">
        <w:br/>
        <w:t>– Manage data accuracy and quality</w:t>
      </w:r>
      <w:r w:rsidRPr="004C693F">
        <w:br/>
        <w:t>– Enforce access controls and data classification standards</w:t>
      </w:r>
      <w:r w:rsidRPr="004C693F">
        <w:br/>
        <w:t>– Support GDPR compliance documentation</w:t>
      </w:r>
    </w:p>
    <w:p w14:paraId="0404659D" w14:textId="77777777" w:rsidR="004C693F" w:rsidRPr="004C693F" w:rsidRDefault="004C693F" w:rsidP="004C693F">
      <w:pPr>
        <w:pBdr>
          <w:bottom w:val="single" w:sz="12" w:space="1" w:color="auto"/>
        </w:pBdr>
      </w:pPr>
      <w:r w:rsidRPr="004C693F">
        <w:t>This governance hierarchy enables proactive risk management, cross-functional accountability, and transparent oversight.</w:t>
      </w:r>
    </w:p>
    <w:p w14:paraId="37BADA0E" w14:textId="77777777" w:rsidR="004C693F" w:rsidRPr="004C693F" w:rsidRDefault="00000000" w:rsidP="004C693F">
      <w:pPr>
        <w:pBdr>
          <w:bottom w:val="single" w:sz="12" w:space="1" w:color="auto"/>
        </w:pBdr>
      </w:pPr>
      <w:r>
        <w:pict w14:anchorId="6C64D2A6">
          <v:rect id="_x0000_i1047" style="width:0;height:1.5pt" o:hralign="center" o:hrstd="t" o:hr="t" fillcolor="#a0a0a0" stroked="f"/>
        </w:pict>
      </w:r>
    </w:p>
    <w:p w14:paraId="164C1066" w14:textId="0F70E95B" w:rsidR="004C693F" w:rsidRPr="004C693F" w:rsidRDefault="004C693F" w:rsidP="004C693F">
      <w:pPr>
        <w:pBdr>
          <w:bottom w:val="single" w:sz="12" w:space="1" w:color="auto"/>
        </w:pBdr>
        <w:rPr>
          <w:b/>
          <w:bCs/>
        </w:rPr>
      </w:pPr>
      <w:r w:rsidRPr="004C693F">
        <w:rPr>
          <w:b/>
          <w:bCs/>
        </w:rPr>
        <w:t xml:space="preserve">Figure </w:t>
      </w:r>
      <w:r w:rsidR="00944C0B">
        <w:rPr>
          <w:b/>
          <w:bCs/>
        </w:rPr>
        <w:t>8</w:t>
      </w:r>
      <w:r w:rsidRPr="004C693F">
        <w:rPr>
          <w:b/>
          <w:bCs/>
        </w:rPr>
        <w:t xml:space="preserve">: Governance Structure for </w:t>
      </w:r>
      <w:proofErr w:type="spellStart"/>
      <w:r w:rsidRPr="004C693F">
        <w:rPr>
          <w:b/>
          <w:bCs/>
        </w:rPr>
        <w:t>NatureGreen</w:t>
      </w:r>
      <w:proofErr w:type="spellEnd"/>
    </w:p>
    <w:p w14:paraId="6541F6AC" w14:textId="7180255D" w:rsidR="00F10EA1" w:rsidRDefault="00F10EA1" w:rsidP="004C693F">
      <w:pPr>
        <w:pBdr>
          <w:bottom w:val="single" w:sz="12" w:space="1" w:color="auto"/>
        </w:pBdr>
        <w:rPr>
          <w:i/>
          <w:iCs/>
        </w:rPr>
      </w:pPr>
      <w:r>
        <w:rPr>
          <w:i/>
          <w:iCs/>
          <w:noProof/>
        </w:rPr>
        <w:drawing>
          <wp:inline distT="0" distB="0" distL="0" distR="0" wp14:anchorId="5C265EF7" wp14:editId="4A7ABD6D">
            <wp:extent cx="3236026" cy="3236026"/>
            <wp:effectExtent l="0" t="0" r="2540" b="2540"/>
            <wp:docPr id="1171568676" name="Picture 9" descr="A diagram of a company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568676" name="Picture 9" descr="A diagram of a company structur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49578" cy="3249578"/>
                    </a:xfrm>
                    <a:prstGeom prst="rect">
                      <a:avLst/>
                    </a:prstGeom>
                  </pic:spPr>
                </pic:pic>
              </a:graphicData>
            </a:graphic>
          </wp:inline>
        </w:drawing>
      </w:r>
    </w:p>
    <w:p w14:paraId="35562DEA" w14:textId="59E5F056" w:rsidR="004C693F" w:rsidRPr="004C693F" w:rsidRDefault="00000000" w:rsidP="004C693F">
      <w:pPr>
        <w:pBdr>
          <w:bottom w:val="single" w:sz="12" w:space="1" w:color="auto"/>
        </w:pBdr>
      </w:pPr>
      <w:r>
        <w:pict w14:anchorId="72F223B0">
          <v:rect id="_x0000_i1048" style="width:0;height:1.5pt" o:hralign="center" o:hrstd="t" o:hr="t" fillcolor="#a0a0a0" stroked="f"/>
        </w:pict>
      </w:r>
    </w:p>
    <w:p w14:paraId="6DDC9D46" w14:textId="77777777" w:rsidR="00D91A40" w:rsidRDefault="00D91A40" w:rsidP="004C693F">
      <w:pPr>
        <w:pBdr>
          <w:bottom w:val="single" w:sz="12" w:space="1" w:color="auto"/>
        </w:pBdr>
        <w:rPr>
          <w:b/>
          <w:bCs/>
        </w:rPr>
      </w:pPr>
    </w:p>
    <w:p w14:paraId="3181A773" w14:textId="77777777" w:rsidR="00D91A40" w:rsidRDefault="00D91A40" w:rsidP="004C693F">
      <w:pPr>
        <w:pBdr>
          <w:bottom w:val="single" w:sz="12" w:space="1" w:color="auto"/>
        </w:pBdr>
        <w:rPr>
          <w:b/>
          <w:bCs/>
        </w:rPr>
      </w:pPr>
    </w:p>
    <w:p w14:paraId="5C747A03" w14:textId="77777777" w:rsidR="00D91A40" w:rsidRDefault="00D91A40" w:rsidP="004C693F">
      <w:pPr>
        <w:pBdr>
          <w:bottom w:val="single" w:sz="12" w:space="1" w:color="auto"/>
        </w:pBdr>
        <w:rPr>
          <w:b/>
          <w:bCs/>
        </w:rPr>
      </w:pPr>
    </w:p>
    <w:p w14:paraId="462C44BF" w14:textId="4A488DCB" w:rsidR="004C693F" w:rsidRPr="004C693F" w:rsidRDefault="004C693F" w:rsidP="004C693F">
      <w:pPr>
        <w:pBdr>
          <w:bottom w:val="single" w:sz="12" w:space="1" w:color="auto"/>
        </w:pBdr>
        <w:rPr>
          <w:b/>
          <w:bCs/>
        </w:rPr>
      </w:pPr>
      <w:r w:rsidRPr="004C693F">
        <w:rPr>
          <w:b/>
          <w:bCs/>
        </w:rPr>
        <w:lastRenderedPageBreak/>
        <w:t>3.2 Security Policy Framework</w:t>
      </w:r>
    </w:p>
    <w:p w14:paraId="2B562BF4" w14:textId="77777777" w:rsidR="004C693F" w:rsidRPr="004C693F" w:rsidRDefault="004C693F" w:rsidP="004C693F">
      <w:pPr>
        <w:pBdr>
          <w:bottom w:val="single" w:sz="12" w:space="1" w:color="auto"/>
        </w:pBdr>
      </w:pPr>
      <w:proofErr w:type="spellStart"/>
      <w:r w:rsidRPr="004C693F">
        <w:t>NatureGreen</w:t>
      </w:r>
      <w:proofErr w:type="spellEnd"/>
      <w:r w:rsidRPr="004C693F">
        <w:t xml:space="preserve"> should establish a robust set of security policies defining acceptable </w:t>
      </w:r>
      <w:proofErr w:type="spellStart"/>
      <w:r w:rsidRPr="004C693F">
        <w:t>behaviours</w:t>
      </w:r>
      <w:proofErr w:type="spellEnd"/>
      <w:r w:rsidRPr="004C693F">
        <w:t>, responsibilities, and technical safeguards.</w:t>
      </w:r>
    </w:p>
    <w:p w14:paraId="23E0FDF1" w14:textId="77777777" w:rsidR="004C693F" w:rsidRPr="004C693F" w:rsidRDefault="004C693F" w:rsidP="004C693F">
      <w:pPr>
        <w:pBdr>
          <w:bottom w:val="single" w:sz="12" w:space="1" w:color="auto"/>
        </w:pBdr>
        <w:rPr>
          <w:b/>
          <w:bCs/>
        </w:rPr>
      </w:pPr>
      <w:r w:rsidRPr="004C693F">
        <w:rPr>
          <w:b/>
          <w:bCs/>
        </w:rPr>
        <w:t>Key Policies Include:</w:t>
      </w:r>
    </w:p>
    <w:p w14:paraId="097AD946" w14:textId="77777777" w:rsidR="004C693F" w:rsidRPr="004C693F" w:rsidRDefault="004C693F" w:rsidP="004C693F">
      <w:pPr>
        <w:pBdr>
          <w:bottom w:val="single" w:sz="12" w:space="1" w:color="auto"/>
        </w:pBdr>
      </w:pPr>
      <w:r w:rsidRPr="004C693F">
        <w:rPr>
          <w:b/>
          <w:bCs/>
        </w:rPr>
        <w:t>• Access Control Policy</w:t>
      </w:r>
      <w:r w:rsidRPr="004C693F">
        <w:br/>
        <w:t>– Role-Based Access Control (RBAC)</w:t>
      </w:r>
      <w:r w:rsidRPr="004C693F">
        <w:br/>
        <w:t>– Least privilege enforcement</w:t>
      </w:r>
      <w:r w:rsidRPr="004C693F">
        <w:br/>
        <w:t>– Regular access reviews</w:t>
      </w:r>
    </w:p>
    <w:p w14:paraId="48EE1A49" w14:textId="77777777" w:rsidR="004C693F" w:rsidRPr="004C693F" w:rsidRDefault="004C693F" w:rsidP="004C693F">
      <w:pPr>
        <w:pBdr>
          <w:bottom w:val="single" w:sz="12" w:space="1" w:color="auto"/>
        </w:pBdr>
      </w:pPr>
      <w:r w:rsidRPr="004C693F">
        <w:rPr>
          <w:b/>
          <w:bCs/>
        </w:rPr>
        <w:t>• Authentication Policy</w:t>
      </w:r>
      <w:r w:rsidRPr="004C693F">
        <w:br/>
        <w:t>– Mandatory Multi-Factor Authentication (MFA)</w:t>
      </w:r>
      <w:r w:rsidRPr="004C693F">
        <w:br/>
        <w:t>– Strong password requirements</w:t>
      </w:r>
      <w:r w:rsidRPr="004C693F">
        <w:br/>
        <w:t>– Secure cloud access</w:t>
      </w:r>
    </w:p>
    <w:p w14:paraId="717343C6" w14:textId="77777777" w:rsidR="004C693F" w:rsidRPr="004C693F" w:rsidRDefault="004C693F" w:rsidP="004C693F">
      <w:pPr>
        <w:pBdr>
          <w:bottom w:val="single" w:sz="12" w:space="1" w:color="auto"/>
        </w:pBdr>
      </w:pPr>
      <w:r w:rsidRPr="004C693F">
        <w:rPr>
          <w:b/>
          <w:bCs/>
        </w:rPr>
        <w:t>• BYOD Policy</w:t>
      </w:r>
      <w:r w:rsidRPr="004C693F">
        <w:br/>
        <w:t>– Device registration</w:t>
      </w:r>
      <w:r w:rsidRPr="004C693F">
        <w:br/>
        <w:t>– Mobile Device Management (MDM)</w:t>
      </w:r>
      <w:r w:rsidRPr="004C693F">
        <w:br/>
        <w:t>– Mandatory encryption</w:t>
      </w:r>
    </w:p>
    <w:p w14:paraId="6DFBFA4A" w14:textId="77777777" w:rsidR="004C693F" w:rsidRPr="004C693F" w:rsidRDefault="004C693F" w:rsidP="004C693F">
      <w:pPr>
        <w:pBdr>
          <w:bottom w:val="single" w:sz="12" w:space="1" w:color="auto"/>
        </w:pBdr>
      </w:pPr>
      <w:r w:rsidRPr="004C693F">
        <w:rPr>
          <w:b/>
          <w:bCs/>
        </w:rPr>
        <w:t>• Data Classification Policy</w:t>
      </w:r>
      <w:r w:rsidRPr="004C693F">
        <w:br/>
      </w:r>
      <w:proofErr w:type="spellStart"/>
      <w:r w:rsidRPr="004C693F">
        <w:t>Categorise</w:t>
      </w:r>
      <w:proofErr w:type="spellEnd"/>
      <w:r w:rsidRPr="004C693F">
        <w:t xml:space="preserve"> data into:</w:t>
      </w:r>
      <w:r w:rsidRPr="004C693F">
        <w:br/>
        <w:t>– Public</w:t>
      </w:r>
      <w:r w:rsidRPr="004C693F">
        <w:br/>
        <w:t>– Internal</w:t>
      </w:r>
      <w:r w:rsidRPr="004C693F">
        <w:br/>
        <w:t>– Confidential</w:t>
      </w:r>
      <w:r w:rsidRPr="004C693F">
        <w:br/>
        <w:t>– Restricted</w:t>
      </w:r>
    </w:p>
    <w:p w14:paraId="76BDD05B" w14:textId="77777777" w:rsidR="004C693F" w:rsidRPr="004C693F" w:rsidRDefault="004C693F" w:rsidP="004C693F">
      <w:pPr>
        <w:pBdr>
          <w:bottom w:val="single" w:sz="12" w:space="1" w:color="auto"/>
        </w:pBdr>
      </w:pPr>
      <w:r w:rsidRPr="004C693F">
        <w:rPr>
          <w:b/>
          <w:bCs/>
        </w:rPr>
        <w:t>• Incident Response Policy</w:t>
      </w:r>
      <w:r w:rsidRPr="004C693F">
        <w:br/>
        <w:t>– Defined roles and responsibilities</w:t>
      </w:r>
      <w:r w:rsidRPr="004C693F">
        <w:br/>
        <w:t>– Incident escalation procedures</w:t>
      </w:r>
      <w:r w:rsidRPr="004C693F">
        <w:br/>
        <w:t>– Response timelines (SLA-based)</w:t>
      </w:r>
    </w:p>
    <w:p w14:paraId="6AEF2D6A" w14:textId="77777777" w:rsidR="004C693F" w:rsidRPr="004C693F" w:rsidRDefault="004C693F" w:rsidP="004C693F">
      <w:pPr>
        <w:pBdr>
          <w:bottom w:val="single" w:sz="12" w:space="1" w:color="auto"/>
        </w:pBdr>
      </w:pPr>
      <w:r w:rsidRPr="004C693F">
        <w:rPr>
          <w:b/>
          <w:bCs/>
        </w:rPr>
        <w:t>• Vendor Management Policy</w:t>
      </w:r>
      <w:r w:rsidRPr="004C693F">
        <w:br/>
        <w:t>– Third-party security assessments</w:t>
      </w:r>
      <w:r w:rsidRPr="004C693F">
        <w:br/>
        <w:t>– Require ISO 27001-aligned controls</w:t>
      </w:r>
      <w:r w:rsidRPr="004C693F">
        <w:br/>
        <w:t>– Contractual data protection obligations</w:t>
      </w:r>
    </w:p>
    <w:p w14:paraId="1BCE0954" w14:textId="77777777" w:rsidR="00D91A40" w:rsidRDefault="004C693F" w:rsidP="004C693F">
      <w:pPr>
        <w:pBdr>
          <w:bottom w:val="single" w:sz="12" w:space="1" w:color="auto"/>
        </w:pBdr>
      </w:pPr>
      <w:r w:rsidRPr="004C693F">
        <w:rPr>
          <w:b/>
          <w:bCs/>
        </w:rPr>
        <w:t>• Training &amp; Awareness Policy</w:t>
      </w:r>
      <w:r w:rsidRPr="004C693F">
        <w:br/>
        <w:t>– Mandatory annual cybersecurity training</w:t>
      </w:r>
      <w:r w:rsidRPr="004C693F">
        <w:br/>
        <w:t>– Phishing simulations</w:t>
      </w:r>
      <w:r w:rsidRPr="004C693F">
        <w:br/>
        <w:t>– Regulatory compliance updates</w:t>
      </w:r>
    </w:p>
    <w:p w14:paraId="5907DFF4" w14:textId="6EC5229E" w:rsidR="004C693F" w:rsidRPr="004C693F" w:rsidRDefault="004C693F" w:rsidP="004C693F">
      <w:pPr>
        <w:pBdr>
          <w:bottom w:val="single" w:sz="12" w:space="1" w:color="auto"/>
        </w:pBdr>
      </w:pPr>
      <w:r w:rsidRPr="004C693F">
        <w:lastRenderedPageBreak/>
        <w:t xml:space="preserve">These policies create a strong </w:t>
      </w:r>
      <w:proofErr w:type="spellStart"/>
      <w:r w:rsidRPr="004C693F">
        <w:t>organisational</w:t>
      </w:r>
      <w:proofErr w:type="spellEnd"/>
      <w:r w:rsidRPr="004C693F">
        <w:t xml:space="preserve"> foundation to </w:t>
      </w:r>
      <w:proofErr w:type="spellStart"/>
      <w:r w:rsidRPr="004C693F">
        <w:t>minimise</w:t>
      </w:r>
      <w:proofErr w:type="spellEnd"/>
      <w:r w:rsidRPr="004C693F">
        <w:t xml:space="preserve"> security gaps.</w:t>
      </w:r>
    </w:p>
    <w:p w14:paraId="1E276DEE" w14:textId="77777777" w:rsidR="004C693F" w:rsidRPr="004C693F" w:rsidRDefault="00000000" w:rsidP="004C693F">
      <w:pPr>
        <w:pBdr>
          <w:bottom w:val="single" w:sz="12" w:space="1" w:color="auto"/>
        </w:pBdr>
      </w:pPr>
      <w:r>
        <w:pict w14:anchorId="4E4FFAAB">
          <v:rect id="_x0000_i1049" style="width:0;height:1.5pt" o:hralign="center" o:hrstd="t" o:hr="t" fillcolor="#a0a0a0" stroked="f"/>
        </w:pict>
      </w:r>
    </w:p>
    <w:p w14:paraId="69B11894" w14:textId="2DB578DE" w:rsidR="004C693F" w:rsidRPr="004C693F" w:rsidRDefault="004C693F" w:rsidP="004C693F">
      <w:pPr>
        <w:pBdr>
          <w:bottom w:val="single" w:sz="12" w:space="1" w:color="auto"/>
        </w:pBdr>
        <w:rPr>
          <w:b/>
          <w:bCs/>
        </w:rPr>
      </w:pPr>
      <w:r w:rsidRPr="004C693F">
        <w:rPr>
          <w:b/>
          <w:bCs/>
        </w:rPr>
        <w:t xml:space="preserve">Figure </w:t>
      </w:r>
      <w:r w:rsidR="00944C0B">
        <w:rPr>
          <w:b/>
          <w:bCs/>
        </w:rPr>
        <w:t>9</w:t>
      </w:r>
      <w:r w:rsidRPr="004C693F">
        <w:rPr>
          <w:b/>
          <w:bCs/>
        </w:rPr>
        <w:t xml:space="preserve">: Security Policy Framework for </w:t>
      </w:r>
      <w:proofErr w:type="spellStart"/>
      <w:r w:rsidRPr="004C693F">
        <w:rPr>
          <w:b/>
          <w:bCs/>
        </w:rPr>
        <w:t>NatureGreen</w:t>
      </w:r>
      <w:proofErr w:type="spellEnd"/>
    </w:p>
    <w:p w14:paraId="4EA55838" w14:textId="2E9282FE" w:rsidR="004C693F" w:rsidRPr="004C693F" w:rsidRDefault="00F10EA1" w:rsidP="004C693F">
      <w:pPr>
        <w:pBdr>
          <w:bottom w:val="single" w:sz="12" w:space="1" w:color="auto"/>
        </w:pBdr>
      </w:pPr>
      <w:r>
        <w:rPr>
          <w:noProof/>
        </w:rPr>
        <w:drawing>
          <wp:inline distT="0" distB="0" distL="0" distR="0" wp14:anchorId="45B81799" wp14:editId="52560E98">
            <wp:extent cx="3550722" cy="3550722"/>
            <wp:effectExtent l="0" t="0" r="0" b="0"/>
            <wp:docPr id="1028262621" name="Picture 10" descr="A diagram of security policy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62621" name="Picture 10" descr="A diagram of security policy framework&#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54408" cy="3554408"/>
                    </a:xfrm>
                    <a:prstGeom prst="rect">
                      <a:avLst/>
                    </a:prstGeom>
                  </pic:spPr>
                </pic:pic>
              </a:graphicData>
            </a:graphic>
          </wp:inline>
        </w:drawing>
      </w:r>
      <w:r w:rsidR="00000000">
        <w:pict w14:anchorId="6D5042F7">
          <v:rect id="_x0000_i1050" style="width:0;height:1.5pt" o:hralign="center" o:hrstd="t" o:hr="t" fillcolor="#a0a0a0" stroked="f"/>
        </w:pict>
      </w:r>
    </w:p>
    <w:p w14:paraId="38363955" w14:textId="77777777" w:rsidR="004C693F" w:rsidRPr="004C693F" w:rsidRDefault="004C693F" w:rsidP="004C693F">
      <w:pPr>
        <w:pBdr>
          <w:bottom w:val="single" w:sz="12" w:space="1" w:color="auto"/>
        </w:pBdr>
        <w:rPr>
          <w:b/>
          <w:bCs/>
        </w:rPr>
      </w:pPr>
      <w:r w:rsidRPr="004C693F">
        <w:rPr>
          <w:b/>
          <w:bCs/>
        </w:rPr>
        <w:t>3.3 Compliance Integration</w:t>
      </w:r>
    </w:p>
    <w:p w14:paraId="13423551" w14:textId="77777777" w:rsidR="004C693F" w:rsidRPr="004C693F" w:rsidRDefault="004C693F" w:rsidP="004C693F">
      <w:pPr>
        <w:pBdr>
          <w:bottom w:val="single" w:sz="12" w:space="1" w:color="auto"/>
        </w:pBdr>
      </w:pPr>
      <w:r w:rsidRPr="004C693F">
        <w:t xml:space="preserve">To maintain ongoing compliance with global and UK regulations, </w:t>
      </w:r>
      <w:proofErr w:type="spellStart"/>
      <w:r w:rsidRPr="004C693F">
        <w:t>NatureGreen</w:t>
      </w:r>
      <w:proofErr w:type="spellEnd"/>
      <w:r w:rsidRPr="004C693F">
        <w:t xml:space="preserve"> should </w:t>
      </w:r>
      <w:proofErr w:type="gramStart"/>
      <w:r w:rsidRPr="004C693F">
        <w:t>integrate</w:t>
      </w:r>
      <w:proofErr w:type="gramEnd"/>
      <w:r w:rsidRPr="004C693F">
        <w:t xml:space="preserve"> the following measures:</w:t>
      </w:r>
    </w:p>
    <w:p w14:paraId="6E042A2E" w14:textId="77777777" w:rsidR="004C693F" w:rsidRPr="004C693F" w:rsidRDefault="004C693F" w:rsidP="004C693F">
      <w:pPr>
        <w:numPr>
          <w:ilvl w:val="0"/>
          <w:numId w:val="15"/>
        </w:numPr>
        <w:pBdr>
          <w:bottom w:val="single" w:sz="12" w:space="1" w:color="auto"/>
        </w:pBdr>
      </w:pPr>
      <w:r w:rsidRPr="004C693F">
        <w:rPr>
          <w:b/>
          <w:bCs/>
        </w:rPr>
        <w:t>Annual ISO 27001 internal audits</w:t>
      </w:r>
      <w:r w:rsidRPr="004C693F">
        <w:t xml:space="preserve"> [6]</w:t>
      </w:r>
    </w:p>
    <w:p w14:paraId="30D32B09" w14:textId="77777777" w:rsidR="004C693F" w:rsidRPr="004C693F" w:rsidRDefault="004C693F" w:rsidP="004C693F">
      <w:pPr>
        <w:numPr>
          <w:ilvl w:val="0"/>
          <w:numId w:val="15"/>
        </w:numPr>
        <w:pBdr>
          <w:bottom w:val="single" w:sz="12" w:space="1" w:color="auto"/>
        </w:pBdr>
      </w:pPr>
      <w:r w:rsidRPr="004C693F">
        <w:rPr>
          <w:b/>
          <w:bCs/>
        </w:rPr>
        <w:t>Maintenance of GDPR processing records</w:t>
      </w:r>
      <w:r w:rsidRPr="004C693F">
        <w:t xml:space="preserve"> [16]</w:t>
      </w:r>
    </w:p>
    <w:p w14:paraId="3026C9B8" w14:textId="77777777" w:rsidR="004C693F" w:rsidRPr="004C693F" w:rsidRDefault="004C693F" w:rsidP="004C693F">
      <w:pPr>
        <w:numPr>
          <w:ilvl w:val="0"/>
          <w:numId w:val="15"/>
        </w:numPr>
        <w:pBdr>
          <w:bottom w:val="single" w:sz="12" w:space="1" w:color="auto"/>
        </w:pBdr>
      </w:pPr>
      <w:r w:rsidRPr="004C693F">
        <w:rPr>
          <w:b/>
          <w:bCs/>
        </w:rPr>
        <w:t>Data Protection Impact Assessments (DPIAs)</w:t>
      </w:r>
      <w:r w:rsidRPr="004C693F">
        <w:t xml:space="preserve"> for high-risk operations [17]</w:t>
      </w:r>
    </w:p>
    <w:p w14:paraId="5B155C54" w14:textId="77777777" w:rsidR="004C693F" w:rsidRPr="004C693F" w:rsidRDefault="004C693F" w:rsidP="004C693F">
      <w:pPr>
        <w:numPr>
          <w:ilvl w:val="0"/>
          <w:numId w:val="15"/>
        </w:numPr>
        <w:pBdr>
          <w:bottom w:val="single" w:sz="12" w:space="1" w:color="auto"/>
        </w:pBdr>
      </w:pPr>
      <w:r w:rsidRPr="004C693F">
        <w:rPr>
          <w:b/>
          <w:bCs/>
        </w:rPr>
        <w:t>Third-party provider compliance reviews</w:t>
      </w:r>
      <w:r w:rsidRPr="004C693F">
        <w:br/>
        <w:t>– Ensuring vendors comply with GDPR and DPA 2018</w:t>
      </w:r>
      <w:r w:rsidRPr="004C693F">
        <w:br/>
        <w:t>– Reviewing data processing agreements</w:t>
      </w:r>
    </w:p>
    <w:p w14:paraId="5D83DD1A" w14:textId="77777777" w:rsidR="004C693F" w:rsidRPr="004C693F" w:rsidRDefault="004C693F" w:rsidP="004C693F">
      <w:pPr>
        <w:pBdr>
          <w:bottom w:val="single" w:sz="12" w:space="1" w:color="auto"/>
        </w:pBdr>
      </w:pPr>
      <w:r w:rsidRPr="004C693F">
        <w:t>This ensures that compliance is an ongoing operational process rather than a one-time activity.</w:t>
      </w:r>
    </w:p>
    <w:p w14:paraId="26C61F70" w14:textId="77777777" w:rsidR="004C693F" w:rsidRPr="004C693F" w:rsidRDefault="00000000" w:rsidP="004C693F">
      <w:pPr>
        <w:pBdr>
          <w:bottom w:val="single" w:sz="12" w:space="1" w:color="auto"/>
        </w:pBdr>
      </w:pPr>
      <w:r>
        <w:pict w14:anchorId="3B25FD8F">
          <v:rect id="_x0000_i1051" style="width:0;height:1.5pt" o:hralign="center" o:hrstd="t" o:hr="t" fillcolor="#a0a0a0" stroked="f"/>
        </w:pict>
      </w:r>
    </w:p>
    <w:p w14:paraId="19B0E23B" w14:textId="00655A94" w:rsidR="004C693F" w:rsidRPr="004C693F" w:rsidRDefault="004C693F" w:rsidP="004C693F">
      <w:pPr>
        <w:pBdr>
          <w:bottom w:val="single" w:sz="12" w:space="1" w:color="auto"/>
        </w:pBdr>
        <w:rPr>
          <w:b/>
          <w:bCs/>
        </w:rPr>
      </w:pPr>
      <w:r w:rsidRPr="004C693F">
        <w:rPr>
          <w:b/>
          <w:bCs/>
        </w:rPr>
        <w:lastRenderedPageBreak/>
        <w:t xml:space="preserve">Figure </w:t>
      </w:r>
      <w:r w:rsidR="00944C0B">
        <w:rPr>
          <w:b/>
          <w:bCs/>
        </w:rPr>
        <w:t>10</w:t>
      </w:r>
      <w:r w:rsidRPr="004C693F">
        <w:rPr>
          <w:b/>
          <w:bCs/>
        </w:rPr>
        <w:t>: Compliance Integration Framework</w:t>
      </w:r>
    </w:p>
    <w:p w14:paraId="31E3C368" w14:textId="2854024E" w:rsidR="004C693F" w:rsidRPr="004C693F" w:rsidRDefault="00F10EA1" w:rsidP="004C693F">
      <w:pPr>
        <w:pBdr>
          <w:bottom w:val="single" w:sz="12" w:space="1" w:color="auto"/>
        </w:pBdr>
      </w:pPr>
      <w:r>
        <w:rPr>
          <w:noProof/>
        </w:rPr>
        <w:drawing>
          <wp:inline distT="0" distB="0" distL="0" distR="0" wp14:anchorId="39E926BB" wp14:editId="3203AECF">
            <wp:extent cx="4090629" cy="4090629"/>
            <wp:effectExtent l="0" t="0" r="5715" b="5715"/>
            <wp:docPr id="977553557" name="Picture 11" descr="A diagram of a company's compli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53557" name="Picture 11" descr="A diagram of a company's complianc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96009" cy="4096009"/>
                    </a:xfrm>
                    <a:prstGeom prst="rect">
                      <a:avLst/>
                    </a:prstGeom>
                  </pic:spPr>
                </pic:pic>
              </a:graphicData>
            </a:graphic>
          </wp:inline>
        </w:drawing>
      </w:r>
    </w:p>
    <w:p w14:paraId="09CC3BAF" w14:textId="77777777" w:rsidR="004C693F" w:rsidRPr="004C693F" w:rsidRDefault="00000000" w:rsidP="004C693F">
      <w:pPr>
        <w:pBdr>
          <w:bottom w:val="single" w:sz="12" w:space="1" w:color="auto"/>
        </w:pBdr>
      </w:pPr>
      <w:r>
        <w:pict w14:anchorId="3B7D2C4B">
          <v:rect id="_x0000_i1052" style="width:0;height:1.5pt" o:hralign="center" o:hrstd="t" o:hr="t" fillcolor="#a0a0a0" stroked="f"/>
        </w:pict>
      </w:r>
    </w:p>
    <w:p w14:paraId="7B1A6650" w14:textId="77777777" w:rsidR="004C693F" w:rsidRPr="004C693F" w:rsidRDefault="004C693F" w:rsidP="004C693F">
      <w:pPr>
        <w:pBdr>
          <w:bottom w:val="single" w:sz="12" w:space="1" w:color="auto"/>
        </w:pBdr>
        <w:rPr>
          <w:b/>
          <w:bCs/>
        </w:rPr>
      </w:pPr>
      <w:r w:rsidRPr="004C693F">
        <w:rPr>
          <w:b/>
          <w:bCs/>
        </w:rPr>
        <w:t>3.4 Risk Management Framework</w:t>
      </w:r>
    </w:p>
    <w:p w14:paraId="3ED3FEAD" w14:textId="77777777" w:rsidR="004C693F" w:rsidRPr="004C693F" w:rsidRDefault="004C693F" w:rsidP="004C693F">
      <w:pPr>
        <w:pBdr>
          <w:bottom w:val="single" w:sz="12" w:space="1" w:color="auto"/>
        </w:pBdr>
      </w:pPr>
      <w:r w:rsidRPr="004C693F">
        <w:t xml:space="preserve">Peer-reviewed research shows that </w:t>
      </w:r>
      <w:r w:rsidRPr="004C693F">
        <w:rPr>
          <w:b/>
          <w:bCs/>
        </w:rPr>
        <w:t>insider threats remain one of the most impactful risks</w:t>
      </w:r>
      <w:r w:rsidRPr="004C693F">
        <w:t xml:space="preserve">, even in </w:t>
      </w:r>
      <w:proofErr w:type="spellStart"/>
      <w:r w:rsidRPr="004C693F">
        <w:t>organisations</w:t>
      </w:r>
      <w:proofErr w:type="spellEnd"/>
      <w:r w:rsidRPr="004C693F">
        <w:t xml:space="preserve"> with advanced technical controls [A4].</w:t>
      </w:r>
    </w:p>
    <w:p w14:paraId="65DE172D" w14:textId="77777777" w:rsidR="004C693F" w:rsidRPr="004C693F" w:rsidRDefault="004C693F" w:rsidP="004C693F">
      <w:pPr>
        <w:pBdr>
          <w:bottom w:val="single" w:sz="12" w:space="1" w:color="auto"/>
        </w:pBdr>
      </w:pPr>
      <w:proofErr w:type="spellStart"/>
      <w:r w:rsidRPr="004C693F">
        <w:t>NatureGreen</w:t>
      </w:r>
      <w:proofErr w:type="spellEnd"/>
      <w:r w:rsidRPr="004C693F">
        <w:t xml:space="preserve"> should assess risks based on </w:t>
      </w:r>
      <w:r w:rsidRPr="004C693F">
        <w:rPr>
          <w:b/>
          <w:bCs/>
        </w:rPr>
        <w:t>likelihood</w:t>
      </w:r>
      <w:r w:rsidRPr="004C693F">
        <w:t xml:space="preserve"> and </w:t>
      </w:r>
      <w:r w:rsidRPr="004C693F">
        <w:rPr>
          <w:b/>
          <w:bCs/>
        </w:rPr>
        <w:t>impact</w:t>
      </w:r>
      <w:r w:rsidRPr="004C693F">
        <w:t xml:space="preserve">, </w:t>
      </w:r>
      <w:proofErr w:type="spellStart"/>
      <w:r w:rsidRPr="004C693F">
        <w:t>prioritising</w:t>
      </w:r>
      <w:proofErr w:type="spellEnd"/>
      <w:r w:rsidRPr="004C693F">
        <w:t xml:space="preserve"> mitigation accordingly.</w:t>
      </w:r>
    </w:p>
    <w:p w14:paraId="142BFB82" w14:textId="77777777" w:rsidR="004C693F" w:rsidRPr="004C693F" w:rsidRDefault="00000000" w:rsidP="004C693F">
      <w:pPr>
        <w:pBdr>
          <w:bottom w:val="single" w:sz="12" w:space="1" w:color="auto"/>
        </w:pBdr>
      </w:pPr>
      <w:r>
        <w:pict w14:anchorId="4C190ED0">
          <v:rect id="_x0000_i1053" style="width:0;height:1.5pt" o:hralign="center" o:hrstd="t" o:hr="t" fillcolor="#a0a0a0" stroked="f"/>
        </w:pict>
      </w:r>
    </w:p>
    <w:p w14:paraId="765C5BC0" w14:textId="77777777" w:rsidR="004C693F" w:rsidRPr="004C693F" w:rsidRDefault="004C693F" w:rsidP="004C693F">
      <w:pPr>
        <w:pBdr>
          <w:bottom w:val="single" w:sz="12" w:space="1" w:color="auto"/>
        </w:pBdr>
        <w:rPr>
          <w:b/>
          <w:bCs/>
        </w:rPr>
      </w:pPr>
      <w:r w:rsidRPr="004C693F">
        <w:rPr>
          <w:b/>
          <w:bCs/>
        </w:rPr>
        <w:t>Risk Assessment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19"/>
        <w:gridCol w:w="1194"/>
        <w:gridCol w:w="833"/>
        <w:gridCol w:w="907"/>
        <w:gridCol w:w="3357"/>
      </w:tblGrid>
      <w:tr w:rsidR="004C693F" w:rsidRPr="004C693F" w14:paraId="6562EACE" w14:textId="77777777">
        <w:trPr>
          <w:tblHeader/>
          <w:tblCellSpacing w:w="15" w:type="dxa"/>
        </w:trPr>
        <w:tc>
          <w:tcPr>
            <w:tcW w:w="0" w:type="auto"/>
            <w:vAlign w:val="center"/>
            <w:hideMark/>
          </w:tcPr>
          <w:p w14:paraId="5038D76D" w14:textId="77777777" w:rsidR="004C693F" w:rsidRPr="004C693F" w:rsidRDefault="004C693F" w:rsidP="004C693F">
            <w:pPr>
              <w:pBdr>
                <w:bottom w:val="single" w:sz="12" w:space="1" w:color="auto"/>
              </w:pBdr>
              <w:rPr>
                <w:b/>
                <w:bCs/>
              </w:rPr>
            </w:pPr>
            <w:r w:rsidRPr="004C693F">
              <w:rPr>
                <w:b/>
                <w:bCs/>
              </w:rPr>
              <w:t>Risk</w:t>
            </w:r>
          </w:p>
        </w:tc>
        <w:tc>
          <w:tcPr>
            <w:tcW w:w="0" w:type="auto"/>
            <w:vAlign w:val="center"/>
            <w:hideMark/>
          </w:tcPr>
          <w:p w14:paraId="2FAD420C" w14:textId="77777777" w:rsidR="004C693F" w:rsidRPr="004C693F" w:rsidRDefault="004C693F" w:rsidP="004C693F">
            <w:pPr>
              <w:pBdr>
                <w:bottom w:val="single" w:sz="12" w:space="1" w:color="auto"/>
              </w:pBdr>
              <w:rPr>
                <w:b/>
                <w:bCs/>
              </w:rPr>
            </w:pPr>
            <w:r w:rsidRPr="004C693F">
              <w:rPr>
                <w:b/>
                <w:bCs/>
              </w:rPr>
              <w:t>Likelihood</w:t>
            </w:r>
          </w:p>
        </w:tc>
        <w:tc>
          <w:tcPr>
            <w:tcW w:w="0" w:type="auto"/>
            <w:vAlign w:val="center"/>
            <w:hideMark/>
          </w:tcPr>
          <w:p w14:paraId="24CB8AD9" w14:textId="77777777" w:rsidR="004C693F" w:rsidRPr="004C693F" w:rsidRDefault="004C693F" w:rsidP="004C693F">
            <w:pPr>
              <w:pBdr>
                <w:bottom w:val="single" w:sz="12" w:space="1" w:color="auto"/>
              </w:pBdr>
              <w:rPr>
                <w:b/>
                <w:bCs/>
              </w:rPr>
            </w:pPr>
            <w:r w:rsidRPr="004C693F">
              <w:rPr>
                <w:b/>
                <w:bCs/>
              </w:rPr>
              <w:t>Impact</w:t>
            </w:r>
          </w:p>
        </w:tc>
        <w:tc>
          <w:tcPr>
            <w:tcW w:w="0" w:type="auto"/>
            <w:vAlign w:val="center"/>
            <w:hideMark/>
          </w:tcPr>
          <w:p w14:paraId="2F9A5B0F" w14:textId="77777777" w:rsidR="004C693F" w:rsidRPr="004C693F" w:rsidRDefault="004C693F" w:rsidP="004C693F">
            <w:pPr>
              <w:pBdr>
                <w:bottom w:val="single" w:sz="12" w:space="1" w:color="auto"/>
              </w:pBdr>
              <w:rPr>
                <w:b/>
                <w:bCs/>
              </w:rPr>
            </w:pPr>
            <w:r w:rsidRPr="004C693F">
              <w:rPr>
                <w:b/>
                <w:bCs/>
              </w:rPr>
              <w:t>Level</w:t>
            </w:r>
          </w:p>
        </w:tc>
        <w:tc>
          <w:tcPr>
            <w:tcW w:w="0" w:type="auto"/>
            <w:vAlign w:val="center"/>
            <w:hideMark/>
          </w:tcPr>
          <w:p w14:paraId="4FA41914" w14:textId="77777777" w:rsidR="004C693F" w:rsidRPr="004C693F" w:rsidRDefault="004C693F" w:rsidP="004C693F">
            <w:pPr>
              <w:pBdr>
                <w:bottom w:val="single" w:sz="12" w:space="1" w:color="auto"/>
              </w:pBdr>
              <w:rPr>
                <w:b/>
                <w:bCs/>
              </w:rPr>
            </w:pPr>
            <w:r w:rsidRPr="004C693F">
              <w:rPr>
                <w:b/>
                <w:bCs/>
              </w:rPr>
              <w:t>Mitigation</w:t>
            </w:r>
          </w:p>
        </w:tc>
      </w:tr>
      <w:tr w:rsidR="004C693F" w:rsidRPr="004C693F" w14:paraId="04683217" w14:textId="77777777">
        <w:trPr>
          <w:tblCellSpacing w:w="15" w:type="dxa"/>
        </w:trPr>
        <w:tc>
          <w:tcPr>
            <w:tcW w:w="0" w:type="auto"/>
            <w:vAlign w:val="center"/>
            <w:hideMark/>
          </w:tcPr>
          <w:p w14:paraId="1ED6D92C" w14:textId="77777777" w:rsidR="004C693F" w:rsidRPr="004C693F" w:rsidRDefault="004C693F" w:rsidP="004C693F">
            <w:pPr>
              <w:pBdr>
                <w:bottom w:val="single" w:sz="12" w:space="1" w:color="auto"/>
              </w:pBdr>
            </w:pPr>
            <w:proofErr w:type="spellStart"/>
            <w:r w:rsidRPr="004C693F">
              <w:t>Unauthorised</w:t>
            </w:r>
            <w:proofErr w:type="spellEnd"/>
            <w:r w:rsidRPr="004C693F">
              <w:t xml:space="preserve"> BYOD access</w:t>
            </w:r>
          </w:p>
        </w:tc>
        <w:tc>
          <w:tcPr>
            <w:tcW w:w="0" w:type="auto"/>
            <w:vAlign w:val="center"/>
            <w:hideMark/>
          </w:tcPr>
          <w:p w14:paraId="33563BE3" w14:textId="77777777" w:rsidR="004C693F" w:rsidRPr="004C693F" w:rsidRDefault="004C693F" w:rsidP="004C693F">
            <w:pPr>
              <w:pBdr>
                <w:bottom w:val="single" w:sz="12" w:space="1" w:color="auto"/>
              </w:pBdr>
            </w:pPr>
            <w:r w:rsidRPr="004C693F">
              <w:t>High</w:t>
            </w:r>
          </w:p>
        </w:tc>
        <w:tc>
          <w:tcPr>
            <w:tcW w:w="0" w:type="auto"/>
            <w:vAlign w:val="center"/>
            <w:hideMark/>
          </w:tcPr>
          <w:p w14:paraId="0E443136" w14:textId="77777777" w:rsidR="004C693F" w:rsidRPr="004C693F" w:rsidRDefault="004C693F" w:rsidP="004C693F">
            <w:pPr>
              <w:pBdr>
                <w:bottom w:val="single" w:sz="12" w:space="1" w:color="auto"/>
              </w:pBdr>
            </w:pPr>
            <w:r w:rsidRPr="004C693F">
              <w:t>High</w:t>
            </w:r>
          </w:p>
        </w:tc>
        <w:tc>
          <w:tcPr>
            <w:tcW w:w="0" w:type="auto"/>
            <w:vAlign w:val="center"/>
            <w:hideMark/>
          </w:tcPr>
          <w:p w14:paraId="69208B81" w14:textId="77777777" w:rsidR="004C693F" w:rsidRPr="004C693F" w:rsidRDefault="004C693F" w:rsidP="004C693F">
            <w:pPr>
              <w:pBdr>
                <w:bottom w:val="single" w:sz="12" w:space="1" w:color="auto"/>
              </w:pBdr>
            </w:pPr>
            <w:r w:rsidRPr="004C693F">
              <w:t>Critical</w:t>
            </w:r>
          </w:p>
        </w:tc>
        <w:tc>
          <w:tcPr>
            <w:tcW w:w="0" w:type="auto"/>
            <w:vAlign w:val="center"/>
            <w:hideMark/>
          </w:tcPr>
          <w:p w14:paraId="2094B81F" w14:textId="77777777" w:rsidR="004C693F" w:rsidRPr="004C693F" w:rsidRDefault="004C693F" w:rsidP="004C693F">
            <w:pPr>
              <w:pBdr>
                <w:bottom w:val="single" w:sz="12" w:space="1" w:color="auto"/>
              </w:pBdr>
            </w:pPr>
            <w:r w:rsidRPr="004C693F">
              <w:t>MDM + MFA</w:t>
            </w:r>
          </w:p>
        </w:tc>
      </w:tr>
      <w:tr w:rsidR="004C693F" w:rsidRPr="004C693F" w14:paraId="573FDD7B" w14:textId="77777777">
        <w:trPr>
          <w:tblCellSpacing w:w="15" w:type="dxa"/>
        </w:trPr>
        <w:tc>
          <w:tcPr>
            <w:tcW w:w="0" w:type="auto"/>
            <w:vAlign w:val="center"/>
            <w:hideMark/>
          </w:tcPr>
          <w:p w14:paraId="2C565201" w14:textId="77777777" w:rsidR="004C693F" w:rsidRPr="004C693F" w:rsidRDefault="004C693F" w:rsidP="004C693F">
            <w:pPr>
              <w:pBdr>
                <w:bottom w:val="single" w:sz="12" w:space="1" w:color="auto"/>
              </w:pBdr>
            </w:pPr>
            <w:r w:rsidRPr="004C693F">
              <w:t>Cloud breach</w:t>
            </w:r>
          </w:p>
        </w:tc>
        <w:tc>
          <w:tcPr>
            <w:tcW w:w="0" w:type="auto"/>
            <w:vAlign w:val="center"/>
            <w:hideMark/>
          </w:tcPr>
          <w:p w14:paraId="0694CC4E" w14:textId="77777777" w:rsidR="004C693F" w:rsidRPr="004C693F" w:rsidRDefault="004C693F" w:rsidP="004C693F">
            <w:pPr>
              <w:pBdr>
                <w:bottom w:val="single" w:sz="12" w:space="1" w:color="auto"/>
              </w:pBdr>
            </w:pPr>
            <w:r w:rsidRPr="004C693F">
              <w:t>Medium</w:t>
            </w:r>
          </w:p>
        </w:tc>
        <w:tc>
          <w:tcPr>
            <w:tcW w:w="0" w:type="auto"/>
            <w:vAlign w:val="center"/>
            <w:hideMark/>
          </w:tcPr>
          <w:p w14:paraId="156E7AF2" w14:textId="77777777" w:rsidR="004C693F" w:rsidRPr="004C693F" w:rsidRDefault="004C693F" w:rsidP="004C693F">
            <w:pPr>
              <w:pBdr>
                <w:bottom w:val="single" w:sz="12" w:space="1" w:color="auto"/>
              </w:pBdr>
            </w:pPr>
            <w:r w:rsidRPr="004C693F">
              <w:t>High</w:t>
            </w:r>
          </w:p>
        </w:tc>
        <w:tc>
          <w:tcPr>
            <w:tcW w:w="0" w:type="auto"/>
            <w:vAlign w:val="center"/>
            <w:hideMark/>
          </w:tcPr>
          <w:p w14:paraId="4A6F48A4" w14:textId="77777777" w:rsidR="004C693F" w:rsidRPr="004C693F" w:rsidRDefault="004C693F" w:rsidP="004C693F">
            <w:pPr>
              <w:pBdr>
                <w:bottom w:val="single" w:sz="12" w:space="1" w:color="auto"/>
              </w:pBdr>
            </w:pPr>
            <w:r w:rsidRPr="004C693F">
              <w:t>High</w:t>
            </w:r>
          </w:p>
        </w:tc>
        <w:tc>
          <w:tcPr>
            <w:tcW w:w="0" w:type="auto"/>
            <w:vAlign w:val="center"/>
            <w:hideMark/>
          </w:tcPr>
          <w:p w14:paraId="2A42944B" w14:textId="77777777" w:rsidR="004C693F" w:rsidRPr="004C693F" w:rsidRDefault="004C693F" w:rsidP="004C693F">
            <w:pPr>
              <w:pBdr>
                <w:bottom w:val="single" w:sz="12" w:space="1" w:color="auto"/>
              </w:pBdr>
            </w:pPr>
            <w:r w:rsidRPr="004C693F">
              <w:t>Encryption, audits</w:t>
            </w:r>
          </w:p>
        </w:tc>
      </w:tr>
      <w:tr w:rsidR="004C693F" w:rsidRPr="004C693F" w14:paraId="501A3235" w14:textId="77777777">
        <w:trPr>
          <w:tblCellSpacing w:w="15" w:type="dxa"/>
        </w:trPr>
        <w:tc>
          <w:tcPr>
            <w:tcW w:w="0" w:type="auto"/>
            <w:vAlign w:val="center"/>
            <w:hideMark/>
          </w:tcPr>
          <w:p w14:paraId="4820A887" w14:textId="77777777" w:rsidR="004C693F" w:rsidRPr="004C693F" w:rsidRDefault="004C693F" w:rsidP="004C693F">
            <w:pPr>
              <w:pBdr>
                <w:bottom w:val="single" w:sz="12" w:space="1" w:color="auto"/>
              </w:pBdr>
            </w:pPr>
            <w:r w:rsidRPr="004C693F">
              <w:lastRenderedPageBreak/>
              <w:t>Insider threat</w:t>
            </w:r>
          </w:p>
        </w:tc>
        <w:tc>
          <w:tcPr>
            <w:tcW w:w="0" w:type="auto"/>
            <w:vAlign w:val="center"/>
            <w:hideMark/>
          </w:tcPr>
          <w:p w14:paraId="27EE0BA6" w14:textId="77777777" w:rsidR="004C693F" w:rsidRPr="004C693F" w:rsidRDefault="004C693F" w:rsidP="004C693F">
            <w:pPr>
              <w:pBdr>
                <w:bottom w:val="single" w:sz="12" w:space="1" w:color="auto"/>
              </w:pBdr>
            </w:pPr>
            <w:r w:rsidRPr="004C693F">
              <w:t>Medium</w:t>
            </w:r>
          </w:p>
        </w:tc>
        <w:tc>
          <w:tcPr>
            <w:tcW w:w="0" w:type="auto"/>
            <w:vAlign w:val="center"/>
            <w:hideMark/>
          </w:tcPr>
          <w:p w14:paraId="7241B984" w14:textId="77777777" w:rsidR="004C693F" w:rsidRPr="004C693F" w:rsidRDefault="004C693F" w:rsidP="004C693F">
            <w:pPr>
              <w:pBdr>
                <w:bottom w:val="single" w:sz="12" w:space="1" w:color="auto"/>
              </w:pBdr>
            </w:pPr>
            <w:r w:rsidRPr="004C693F">
              <w:t>High</w:t>
            </w:r>
          </w:p>
        </w:tc>
        <w:tc>
          <w:tcPr>
            <w:tcW w:w="0" w:type="auto"/>
            <w:vAlign w:val="center"/>
            <w:hideMark/>
          </w:tcPr>
          <w:p w14:paraId="5E76F177" w14:textId="77777777" w:rsidR="004C693F" w:rsidRPr="004C693F" w:rsidRDefault="004C693F" w:rsidP="004C693F">
            <w:pPr>
              <w:pBdr>
                <w:bottom w:val="single" w:sz="12" w:space="1" w:color="auto"/>
              </w:pBdr>
            </w:pPr>
            <w:r w:rsidRPr="004C693F">
              <w:t>High</w:t>
            </w:r>
          </w:p>
        </w:tc>
        <w:tc>
          <w:tcPr>
            <w:tcW w:w="0" w:type="auto"/>
            <w:vAlign w:val="center"/>
            <w:hideMark/>
          </w:tcPr>
          <w:p w14:paraId="141A4D75" w14:textId="77777777" w:rsidR="004C693F" w:rsidRPr="004C693F" w:rsidRDefault="004C693F" w:rsidP="004C693F">
            <w:pPr>
              <w:pBdr>
                <w:bottom w:val="single" w:sz="12" w:space="1" w:color="auto"/>
              </w:pBdr>
            </w:pPr>
            <w:r w:rsidRPr="004C693F">
              <w:t>Least privilege, monitoring</w:t>
            </w:r>
          </w:p>
        </w:tc>
      </w:tr>
      <w:tr w:rsidR="004C693F" w:rsidRPr="004C693F" w14:paraId="09D55F0C" w14:textId="77777777">
        <w:trPr>
          <w:tblCellSpacing w:w="15" w:type="dxa"/>
        </w:trPr>
        <w:tc>
          <w:tcPr>
            <w:tcW w:w="0" w:type="auto"/>
            <w:vAlign w:val="center"/>
            <w:hideMark/>
          </w:tcPr>
          <w:p w14:paraId="1804F7A5" w14:textId="77777777" w:rsidR="004C693F" w:rsidRPr="004C693F" w:rsidRDefault="004C693F" w:rsidP="004C693F">
            <w:pPr>
              <w:pBdr>
                <w:bottom w:val="single" w:sz="12" w:space="1" w:color="auto"/>
              </w:pBdr>
            </w:pPr>
            <w:r w:rsidRPr="004C693F">
              <w:t>System failure</w:t>
            </w:r>
          </w:p>
        </w:tc>
        <w:tc>
          <w:tcPr>
            <w:tcW w:w="0" w:type="auto"/>
            <w:vAlign w:val="center"/>
            <w:hideMark/>
          </w:tcPr>
          <w:p w14:paraId="119D26FF" w14:textId="77777777" w:rsidR="004C693F" w:rsidRPr="004C693F" w:rsidRDefault="004C693F" w:rsidP="004C693F">
            <w:pPr>
              <w:pBdr>
                <w:bottom w:val="single" w:sz="12" w:space="1" w:color="auto"/>
              </w:pBdr>
            </w:pPr>
            <w:r w:rsidRPr="004C693F">
              <w:t>Low</w:t>
            </w:r>
          </w:p>
        </w:tc>
        <w:tc>
          <w:tcPr>
            <w:tcW w:w="0" w:type="auto"/>
            <w:vAlign w:val="center"/>
            <w:hideMark/>
          </w:tcPr>
          <w:p w14:paraId="54EDC500" w14:textId="77777777" w:rsidR="004C693F" w:rsidRPr="004C693F" w:rsidRDefault="004C693F" w:rsidP="004C693F">
            <w:pPr>
              <w:pBdr>
                <w:bottom w:val="single" w:sz="12" w:space="1" w:color="auto"/>
              </w:pBdr>
            </w:pPr>
            <w:r w:rsidRPr="004C693F">
              <w:t>High</w:t>
            </w:r>
          </w:p>
        </w:tc>
        <w:tc>
          <w:tcPr>
            <w:tcW w:w="0" w:type="auto"/>
            <w:vAlign w:val="center"/>
            <w:hideMark/>
          </w:tcPr>
          <w:p w14:paraId="40AB6BF7" w14:textId="77777777" w:rsidR="004C693F" w:rsidRPr="004C693F" w:rsidRDefault="004C693F" w:rsidP="004C693F">
            <w:pPr>
              <w:pBdr>
                <w:bottom w:val="single" w:sz="12" w:space="1" w:color="auto"/>
              </w:pBdr>
            </w:pPr>
            <w:r w:rsidRPr="004C693F">
              <w:t>Medium</w:t>
            </w:r>
          </w:p>
        </w:tc>
        <w:tc>
          <w:tcPr>
            <w:tcW w:w="0" w:type="auto"/>
            <w:vAlign w:val="center"/>
            <w:hideMark/>
          </w:tcPr>
          <w:p w14:paraId="0B59A9D7" w14:textId="77777777" w:rsidR="004C693F" w:rsidRPr="004C693F" w:rsidRDefault="004C693F" w:rsidP="004C693F">
            <w:pPr>
              <w:pBdr>
                <w:bottom w:val="single" w:sz="12" w:space="1" w:color="auto"/>
              </w:pBdr>
            </w:pPr>
            <w:r w:rsidRPr="004C693F">
              <w:t>Backups, disaster recovery plan</w:t>
            </w:r>
          </w:p>
        </w:tc>
      </w:tr>
      <w:tr w:rsidR="004C693F" w:rsidRPr="004C693F" w14:paraId="572ED49B" w14:textId="77777777">
        <w:trPr>
          <w:tblCellSpacing w:w="15" w:type="dxa"/>
        </w:trPr>
        <w:tc>
          <w:tcPr>
            <w:tcW w:w="0" w:type="auto"/>
            <w:vAlign w:val="center"/>
            <w:hideMark/>
          </w:tcPr>
          <w:p w14:paraId="59ABFCD7" w14:textId="77777777" w:rsidR="004C693F" w:rsidRPr="004C693F" w:rsidRDefault="004C693F" w:rsidP="004C693F">
            <w:pPr>
              <w:pBdr>
                <w:bottom w:val="single" w:sz="12" w:space="1" w:color="auto"/>
              </w:pBdr>
            </w:pPr>
            <w:r w:rsidRPr="004C693F">
              <w:t>GDPR non-compliance</w:t>
            </w:r>
          </w:p>
        </w:tc>
        <w:tc>
          <w:tcPr>
            <w:tcW w:w="0" w:type="auto"/>
            <w:vAlign w:val="center"/>
            <w:hideMark/>
          </w:tcPr>
          <w:p w14:paraId="360FA7C3" w14:textId="77777777" w:rsidR="004C693F" w:rsidRPr="004C693F" w:rsidRDefault="004C693F" w:rsidP="004C693F">
            <w:pPr>
              <w:pBdr>
                <w:bottom w:val="single" w:sz="12" w:space="1" w:color="auto"/>
              </w:pBdr>
            </w:pPr>
            <w:r w:rsidRPr="004C693F">
              <w:t>Medium</w:t>
            </w:r>
          </w:p>
        </w:tc>
        <w:tc>
          <w:tcPr>
            <w:tcW w:w="0" w:type="auto"/>
            <w:vAlign w:val="center"/>
            <w:hideMark/>
          </w:tcPr>
          <w:p w14:paraId="11A3ADA6" w14:textId="77777777" w:rsidR="004C693F" w:rsidRPr="004C693F" w:rsidRDefault="004C693F" w:rsidP="004C693F">
            <w:pPr>
              <w:pBdr>
                <w:bottom w:val="single" w:sz="12" w:space="1" w:color="auto"/>
              </w:pBdr>
            </w:pPr>
            <w:r w:rsidRPr="004C693F">
              <w:t>High</w:t>
            </w:r>
          </w:p>
        </w:tc>
        <w:tc>
          <w:tcPr>
            <w:tcW w:w="0" w:type="auto"/>
            <w:vAlign w:val="center"/>
            <w:hideMark/>
          </w:tcPr>
          <w:p w14:paraId="4F49698F" w14:textId="77777777" w:rsidR="004C693F" w:rsidRPr="004C693F" w:rsidRDefault="004C693F" w:rsidP="004C693F">
            <w:pPr>
              <w:pBdr>
                <w:bottom w:val="single" w:sz="12" w:space="1" w:color="auto"/>
              </w:pBdr>
            </w:pPr>
            <w:r w:rsidRPr="004C693F">
              <w:t>High</w:t>
            </w:r>
          </w:p>
        </w:tc>
        <w:tc>
          <w:tcPr>
            <w:tcW w:w="0" w:type="auto"/>
            <w:vAlign w:val="center"/>
            <w:hideMark/>
          </w:tcPr>
          <w:p w14:paraId="4E636BE3" w14:textId="77777777" w:rsidR="004C693F" w:rsidRPr="004C693F" w:rsidRDefault="004C693F" w:rsidP="004C693F">
            <w:pPr>
              <w:pBdr>
                <w:bottom w:val="single" w:sz="12" w:space="1" w:color="auto"/>
              </w:pBdr>
            </w:pPr>
            <w:r w:rsidRPr="004C693F">
              <w:t>DPO oversight</w:t>
            </w:r>
          </w:p>
        </w:tc>
      </w:tr>
    </w:tbl>
    <w:p w14:paraId="3A9F22CA" w14:textId="77777777" w:rsidR="004C693F" w:rsidRPr="004C693F" w:rsidRDefault="004C693F" w:rsidP="004C693F">
      <w:pPr>
        <w:pBdr>
          <w:bottom w:val="single" w:sz="12" w:space="1" w:color="auto"/>
        </w:pBdr>
      </w:pPr>
      <w:r w:rsidRPr="004C693F">
        <w:t>Additional References:</w:t>
      </w:r>
    </w:p>
    <w:p w14:paraId="0606691E" w14:textId="77777777" w:rsidR="004C693F" w:rsidRPr="004C693F" w:rsidRDefault="004C693F" w:rsidP="004C693F">
      <w:pPr>
        <w:numPr>
          <w:ilvl w:val="0"/>
          <w:numId w:val="16"/>
        </w:numPr>
        <w:pBdr>
          <w:bottom w:val="single" w:sz="12" w:space="1" w:color="auto"/>
        </w:pBdr>
      </w:pPr>
      <w:r w:rsidRPr="004C693F">
        <w:t>Insider threat mitigation → SANS IR lifecycle [19]</w:t>
      </w:r>
    </w:p>
    <w:p w14:paraId="3EFB4D2F" w14:textId="77777777" w:rsidR="004C693F" w:rsidRPr="004C693F" w:rsidRDefault="004C693F" w:rsidP="004C693F">
      <w:pPr>
        <w:numPr>
          <w:ilvl w:val="0"/>
          <w:numId w:val="16"/>
        </w:numPr>
        <w:pBdr>
          <w:bottom w:val="single" w:sz="12" w:space="1" w:color="auto"/>
        </w:pBdr>
      </w:pPr>
      <w:r w:rsidRPr="004C693F">
        <w:t>Cloud breach risk → ENISA Threat Landscape [10]</w:t>
      </w:r>
    </w:p>
    <w:p w14:paraId="49CCE123" w14:textId="77777777" w:rsidR="004C693F" w:rsidRPr="004C693F" w:rsidRDefault="004C693F" w:rsidP="004C693F">
      <w:pPr>
        <w:pBdr>
          <w:bottom w:val="single" w:sz="12" w:space="1" w:color="auto"/>
        </w:pBdr>
      </w:pPr>
      <w:r w:rsidRPr="004C693F">
        <w:t xml:space="preserve">This structured framework ensures </w:t>
      </w:r>
      <w:proofErr w:type="spellStart"/>
      <w:r w:rsidRPr="004C693F">
        <w:t>NatureGreen</w:t>
      </w:r>
      <w:proofErr w:type="spellEnd"/>
      <w:r w:rsidRPr="004C693F">
        <w:t xml:space="preserve"> </w:t>
      </w:r>
      <w:proofErr w:type="spellStart"/>
      <w:r w:rsidRPr="004C693F">
        <w:t>prioritises</w:t>
      </w:r>
      <w:proofErr w:type="spellEnd"/>
      <w:r w:rsidRPr="004C693F">
        <w:t xml:space="preserve"> controls where they have the highest impact.</w:t>
      </w:r>
    </w:p>
    <w:p w14:paraId="53E5C61E" w14:textId="77777777" w:rsidR="004C693F" w:rsidRPr="004C693F" w:rsidRDefault="00000000" w:rsidP="004C693F">
      <w:pPr>
        <w:pBdr>
          <w:bottom w:val="single" w:sz="12" w:space="1" w:color="auto"/>
        </w:pBdr>
      </w:pPr>
      <w:r>
        <w:pict w14:anchorId="785A2C08">
          <v:rect id="_x0000_i1054" style="width:0;height:1.5pt" o:hralign="center" o:hrstd="t" o:hr="t" fillcolor="#a0a0a0" stroked="f"/>
        </w:pict>
      </w:r>
    </w:p>
    <w:p w14:paraId="30EE54E6" w14:textId="6C616C60" w:rsidR="004C693F" w:rsidRPr="004C693F" w:rsidRDefault="004C693F" w:rsidP="004C693F">
      <w:pPr>
        <w:pBdr>
          <w:bottom w:val="single" w:sz="12" w:space="1" w:color="auto"/>
        </w:pBdr>
        <w:rPr>
          <w:b/>
          <w:bCs/>
        </w:rPr>
      </w:pPr>
      <w:r w:rsidRPr="004C693F">
        <w:rPr>
          <w:b/>
          <w:bCs/>
        </w:rPr>
        <w:t>Figure 1</w:t>
      </w:r>
      <w:r w:rsidR="00944C0B">
        <w:rPr>
          <w:b/>
          <w:bCs/>
        </w:rPr>
        <w:t>1</w:t>
      </w:r>
      <w:r w:rsidRPr="004C693F">
        <w:rPr>
          <w:b/>
          <w:bCs/>
        </w:rPr>
        <w:t>: Risk Management Framework</w:t>
      </w:r>
    </w:p>
    <w:p w14:paraId="423BD9E4" w14:textId="4C29A0E8" w:rsidR="004C693F" w:rsidRPr="004C693F" w:rsidRDefault="00F10EA1" w:rsidP="004C693F">
      <w:pPr>
        <w:pBdr>
          <w:bottom w:val="single" w:sz="12" w:space="1" w:color="auto"/>
        </w:pBdr>
      </w:pPr>
      <w:r>
        <w:rPr>
          <w:noProof/>
        </w:rPr>
        <w:drawing>
          <wp:inline distT="0" distB="0" distL="0" distR="0" wp14:anchorId="740ED3FF" wp14:editId="4ED08ED0">
            <wp:extent cx="3615748" cy="3615748"/>
            <wp:effectExtent l="0" t="0" r="3810" b="3810"/>
            <wp:docPr id="2116607317" name="Picture 12" descr="A diagram of a risk management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07317" name="Picture 12" descr="A diagram of a risk management framework&#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21315" cy="3621315"/>
                    </a:xfrm>
                    <a:prstGeom prst="rect">
                      <a:avLst/>
                    </a:prstGeom>
                  </pic:spPr>
                </pic:pic>
              </a:graphicData>
            </a:graphic>
          </wp:inline>
        </w:drawing>
      </w:r>
    </w:p>
    <w:p w14:paraId="0D22CD9B" w14:textId="77777777" w:rsidR="004C693F" w:rsidRPr="004C693F" w:rsidRDefault="00000000" w:rsidP="004C693F">
      <w:pPr>
        <w:pBdr>
          <w:bottom w:val="single" w:sz="12" w:space="1" w:color="auto"/>
        </w:pBdr>
      </w:pPr>
      <w:r>
        <w:pict w14:anchorId="36583361">
          <v:rect id="_x0000_i1055" style="width:0;height:1.5pt" o:hralign="center" o:hrstd="t" o:hr="t" fillcolor="#a0a0a0" stroked="f"/>
        </w:pict>
      </w:r>
    </w:p>
    <w:p w14:paraId="07E37352" w14:textId="77777777" w:rsidR="00D91A40" w:rsidRDefault="00D91A40" w:rsidP="004C693F">
      <w:pPr>
        <w:pBdr>
          <w:bottom w:val="single" w:sz="12" w:space="1" w:color="auto"/>
        </w:pBdr>
        <w:rPr>
          <w:b/>
          <w:bCs/>
        </w:rPr>
      </w:pPr>
    </w:p>
    <w:p w14:paraId="0B367B9E" w14:textId="7B79BA0D" w:rsidR="004C693F" w:rsidRPr="004C693F" w:rsidRDefault="004C693F" w:rsidP="004C693F">
      <w:pPr>
        <w:pBdr>
          <w:bottom w:val="single" w:sz="12" w:space="1" w:color="auto"/>
        </w:pBdr>
        <w:rPr>
          <w:b/>
          <w:bCs/>
        </w:rPr>
      </w:pPr>
      <w:r w:rsidRPr="004C693F">
        <w:rPr>
          <w:b/>
          <w:bCs/>
        </w:rPr>
        <w:lastRenderedPageBreak/>
        <w:t>3.5 Contingency &amp; Business Continuity</w:t>
      </w:r>
    </w:p>
    <w:p w14:paraId="44311ABD" w14:textId="77777777" w:rsidR="004C693F" w:rsidRPr="004C693F" w:rsidRDefault="004C693F" w:rsidP="004C693F">
      <w:pPr>
        <w:pBdr>
          <w:bottom w:val="single" w:sz="12" w:space="1" w:color="auto"/>
        </w:pBdr>
      </w:pPr>
      <w:r w:rsidRPr="004C693F">
        <w:t xml:space="preserve">To ensure uninterrupted operations and protect against disaster scenarios, </w:t>
      </w:r>
      <w:proofErr w:type="spellStart"/>
      <w:r w:rsidRPr="004C693F">
        <w:t>NatureGreen</w:t>
      </w:r>
      <w:proofErr w:type="spellEnd"/>
      <w:r w:rsidRPr="004C693F">
        <w:t xml:space="preserve"> should implement strong contingency controls:</w:t>
      </w:r>
    </w:p>
    <w:p w14:paraId="2ADBA34C" w14:textId="77777777" w:rsidR="004C693F" w:rsidRPr="004C693F" w:rsidRDefault="004C693F" w:rsidP="004C693F">
      <w:pPr>
        <w:numPr>
          <w:ilvl w:val="0"/>
          <w:numId w:val="17"/>
        </w:numPr>
        <w:pBdr>
          <w:bottom w:val="single" w:sz="12" w:space="1" w:color="auto"/>
        </w:pBdr>
      </w:pPr>
      <w:r w:rsidRPr="004C693F">
        <w:rPr>
          <w:b/>
          <w:bCs/>
        </w:rPr>
        <w:t>Daily encrypted cloud backups</w:t>
      </w:r>
      <w:r w:rsidRPr="004C693F">
        <w:t xml:space="preserve"> [6]</w:t>
      </w:r>
    </w:p>
    <w:p w14:paraId="47145DE5" w14:textId="77777777" w:rsidR="004C693F" w:rsidRPr="004C693F" w:rsidRDefault="004C693F" w:rsidP="004C693F">
      <w:pPr>
        <w:numPr>
          <w:ilvl w:val="0"/>
          <w:numId w:val="17"/>
        </w:numPr>
        <w:pBdr>
          <w:bottom w:val="single" w:sz="12" w:space="1" w:color="auto"/>
        </w:pBdr>
      </w:pPr>
      <w:r w:rsidRPr="004C693F">
        <w:rPr>
          <w:b/>
          <w:bCs/>
        </w:rPr>
        <w:t>Disaster Recovery Plan (DRP)</w:t>
      </w:r>
      <w:r w:rsidRPr="004C693F">
        <w:br/>
      </w:r>
      <w:r w:rsidRPr="004C693F">
        <w:t> </w:t>
      </w:r>
      <w:r w:rsidRPr="004C693F">
        <w:t>– Recovery Time Objective (RTO): 4 hours [9]</w:t>
      </w:r>
      <w:r w:rsidRPr="004C693F">
        <w:br/>
        <w:t>– Recovery Point Objective (RPO): daily snapshots</w:t>
      </w:r>
    </w:p>
    <w:p w14:paraId="7362F860" w14:textId="77777777" w:rsidR="004C693F" w:rsidRPr="004C693F" w:rsidRDefault="004C693F" w:rsidP="004C693F">
      <w:pPr>
        <w:numPr>
          <w:ilvl w:val="0"/>
          <w:numId w:val="17"/>
        </w:numPr>
        <w:pBdr>
          <w:bottom w:val="single" w:sz="12" w:space="1" w:color="auto"/>
        </w:pBdr>
      </w:pPr>
      <w:r w:rsidRPr="004C693F">
        <w:rPr>
          <w:b/>
          <w:bCs/>
        </w:rPr>
        <w:t>Redundant infrastructure</w:t>
      </w:r>
      <w:r w:rsidRPr="004C693F">
        <w:br/>
      </w:r>
      <w:r w:rsidRPr="004C693F">
        <w:t> </w:t>
      </w:r>
      <w:r w:rsidRPr="004C693F">
        <w:t>– Avoid single points of failure</w:t>
      </w:r>
      <w:r w:rsidRPr="004C693F">
        <w:br/>
        <w:t>– Distributed cloud architecture</w:t>
      </w:r>
    </w:p>
    <w:p w14:paraId="36DF6114" w14:textId="77777777" w:rsidR="004C693F" w:rsidRPr="004C693F" w:rsidRDefault="004C693F" w:rsidP="004C693F">
      <w:pPr>
        <w:numPr>
          <w:ilvl w:val="0"/>
          <w:numId w:val="17"/>
        </w:numPr>
        <w:pBdr>
          <w:bottom w:val="single" w:sz="12" w:space="1" w:color="auto"/>
        </w:pBdr>
      </w:pPr>
      <w:r w:rsidRPr="004C693F">
        <w:rPr>
          <w:b/>
          <w:bCs/>
        </w:rPr>
        <w:t>Secure remote working capabilities</w:t>
      </w:r>
      <w:r w:rsidRPr="004C693F">
        <w:br/>
      </w:r>
      <w:r w:rsidRPr="004C693F">
        <w:t> </w:t>
      </w:r>
      <w:r w:rsidRPr="004C693F">
        <w:t>– VPN + MFA</w:t>
      </w:r>
      <w:r w:rsidRPr="004C693F">
        <w:br/>
      </w:r>
      <w:r w:rsidRPr="004C693F">
        <w:t> </w:t>
      </w:r>
      <w:r w:rsidRPr="004C693F">
        <w:t>– Remote access monitoring</w:t>
      </w:r>
    </w:p>
    <w:p w14:paraId="329C0CD1" w14:textId="77777777" w:rsidR="004C693F" w:rsidRPr="004C693F" w:rsidRDefault="004C693F" w:rsidP="004C693F">
      <w:pPr>
        <w:pBdr>
          <w:bottom w:val="single" w:sz="12" w:space="1" w:color="auto"/>
        </w:pBdr>
      </w:pPr>
      <w:r w:rsidRPr="004C693F">
        <w:t xml:space="preserve">These strategies ensure </w:t>
      </w:r>
      <w:proofErr w:type="spellStart"/>
      <w:r w:rsidRPr="004C693F">
        <w:t>NatureGreen</w:t>
      </w:r>
      <w:proofErr w:type="spellEnd"/>
      <w:r w:rsidRPr="004C693F">
        <w:t xml:space="preserve"> can remain resilient during system failures, cyberattacks, or natural disruptions.</w:t>
      </w:r>
    </w:p>
    <w:p w14:paraId="6EA02882" w14:textId="77777777" w:rsidR="004C693F" w:rsidRPr="004C693F" w:rsidRDefault="004C693F" w:rsidP="004C693F">
      <w:pPr>
        <w:rPr>
          <w:b/>
          <w:bCs/>
        </w:rPr>
      </w:pPr>
      <w:r w:rsidRPr="004C693F">
        <w:rPr>
          <w:b/>
          <w:bCs/>
        </w:rPr>
        <w:t>3.6 Monitoring and Reporting</w:t>
      </w:r>
    </w:p>
    <w:p w14:paraId="113EF69F" w14:textId="77777777" w:rsidR="004C693F" w:rsidRPr="004C693F" w:rsidRDefault="004C693F" w:rsidP="004C693F">
      <w:r w:rsidRPr="004C693F">
        <w:t xml:space="preserve">Continuous monitoring ensures that </w:t>
      </w:r>
      <w:proofErr w:type="spellStart"/>
      <w:r w:rsidRPr="004C693F">
        <w:t>NatureGreen</w:t>
      </w:r>
      <w:proofErr w:type="spellEnd"/>
      <w:r w:rsidRPr="004C693F">
        <w:t xml:space="preserve"> can detect threats early, </w:t>
      </w:r>
      <w:proofErr w:type="spellStart"/>
      <w:r w:rsidRPr="004C693F">
        <w:t>minimise</w:t>
      </w:r>
      <w:proofErr w:type="spellEnd"/>
      <w:r w:rsidRPr="004C693F">
        <w:t xml:space="preserve"> damage, and maintain compliance.</w:t>
      </w:r>
    </w:p>
    <w:p w14:paraId="3787DAC0" w14:textId="77777777" w:rsidR="004C693F" w:rsidRPr="004C693F" w:rsidRDefault="004C693F" w:rsidP="004C693F">
      <w:pPr>
        <w:rPr>
          <w:b/>
          <w:bCs/>
        </w:rPr>
      </w:pPr>
      <w:r w:rsidRPr="004C693F">
        <w:rPr>
          <w:b/>
          <w:bCs/>
        </w:rPr>
        <w:t>Monitoring Components</w:t>
      </w:r>
    </w:p>
    <w:p w14:paraId="71DFB8EF" w14:textId="77777777" w:rsidR="004C693F" w:rsidRPr="004C693F" w:rsidRDefault="004C693F" w:rsidP="004C693F">
      <w:pPr>
        <w:numPr>
          <w:ilvl w:val="0"/>
          <w:numId w:val="18"/>
        </w:numPr>
      </w:pPr>
      <w:r w:rsidRPr="004C693F">
        <w:rPr>
          <w:b/>
          <w:bCs/>
        </w:rPr>
        <w:t>24/7 Security Monitoring</w:t>
      </w:r>
      <w:r w:rsidRPr="004C693F">
        <w:br/>
      </w:r>
      <w:r w:rsidRPr="004C693F">
        <w:t> </w:t>
      </w:r>
      <w:r w:rsidRPr="004C693F">
        <w:t>– Using SIEM systems (e.g., Splunk, Azure Sentinel)</w:t>
      </w:r>
      <w:r w:rsidRPr="004C693F">
        <w:br/>
      </w:r>
      <w:r w:rsidRPr="004C693F">
        <w:t> </w:t>
      </w:r>
      <w:r w:rsidRPr="004C693F">
        <w:t>– Real-time detection of anomalies</w:t>
      </w:r>
    </w:p>
    <w:p w14:paraId="2EC6AA14" w14:textId="77777777" w:rsidR="004C693F" w:rsidRPr="004C693F" w:rsidRDefault="004C693F" w:rsidP="004C693F">
      <w:pPr>
        <w:numPr>
          <w:ilvl w:val="0"/>
          <w:numId w:val="18"/>
        </w:numPr>
      </w:pPr>
      <w:r w:rsidRPr="004C693F">
        <w:rPr>
          <w:b/>
          <w:bCs/>
        </w:rPr>
        <w:t>Monthly Vulnerability Assessments</w:t>
      </w:r>
      <w:r w:rsidRPr="004C693F">
        <w:br/>
      </w:r>
      <w:r w:rsidRPr="004C693F">
        <w:t> </w:t>
      </w:r>
      <w:r w:rsidRPr="004C693F">
        <w:t>– Identification of system weaknesses</w:t>
      </w:r>
      <w:r w:rsidRPr="004C693F">
        <w:br/>
      </w:r>
      <w:r w:rsidRPr="004C693F">
        <w:t> </w:t>
      </w:r>
      <w:r w:rsidRPr="004C693F">
        <w:t xml:space="preserve">– </w:t>
      </w:r>
      <w:proofErr w:type="spellStart"/>
      <w:r w:rsidRPr="004C693F">
        <w:t>Prioritised</w:t>
      </w:r>
      <w:proofErr w:type="spellEnd"/>
      <w:r w:rsidRPr="004C693F">
        <w:t xml:space="preserve"> patching</w:t>
      </w:r>
    </w:p>
    <w:p w14:paraId="1677817B" w14:textId="77777777" w:rsidR="004C693F" w:rsidRPr="004C693F" w:rsidRDefault="004C693F" w:rsidP="004C693F">
      <w:pPr>
        <w:numPr>
          <w:ilvl w:val="0"/>
          <w:numId w:val="18"/>
        </w:numPr>
      </w:pPr>
      <w:r w:rsidRPr="004C693F">
        <w:rPr>
          <w:b/>
          <w:bCs/>
        </w:rPr>
        <w:t>Quarterly IT Governance Reports</w:t>
      </w:r>
      <w:r w:rsidRPr="004C693F">
        <w:br/>
      </w:r>
      <w:r w:rsidRPr="004C693F">
        <w:t> </w:t>
      </w:r>
      <w:r w:rsidRPr="004C693F">
        <w:t>– Review of policy compliance</w:t>
      </w:r>
      <w:r w:rsidRPr="004C693F">
        <w:br/>
        <w:t>– Tracking of security KPIs</w:t>
      </w:r>
    </w:p>
    <w:p w14:paraId="01AF18B7" w14:textId="77777777" w:rsidR="004C693F" w:rsidRPr="004C693F" w:rsidRDefault="004C693F" w:rsidP="004C693F">
      <w:pPr>
        <w:numPr>
          <w:ilvl w:val="0"/>
          <w:numId w:val="18"/>
        </w:numPr>
      </w:pPr>
      <w:r w:rsidRPr="004C693F">
        <w:rPr>
          <w:b/>
          <w:bCs/>
        </w:rPr>
        <w:t>Annual Security Audits</w:t>
      </w:r>
      <w:r w:rsidRPr="004C693F">
        <w:br/>
      </w:r>
      <w:r w:rsidRPr="004C693F">
        <w:t> </w:t>
      </w:r>
      <w:r w:rsidRPr="004C693F">
        <w:t>– Full review of the ISMS</w:t>
      </w:r>
      <w:r w:rsidRPr="004C693F">
        <w:br/>
      </w:r>
      <w:r w:rsidRPr="004C693F">
        <w:t> </w:t>
      </w:r>
      <w:r w:rsidRPr="004C693F">
        <w:t>– Verification of GDPR and ISO 27001 alignment</w:t>
      </w:r>
    </w:p>
    <w:p w14:paraId="3553CD78" w14:textId="77777777" w:rsidR="004C693F" w:rsidRPr="004C693F" w:rsidRDefault="004C693F" w:rsidP="004C693F">
      <w:r w:rsidRPr="004C693F">
        <w:lastRenderedPageBreak/>
        <w:t>These monitoring mechanisms ensure continuous improvement and readiness against evolving threats.</w:t>
      </w:r>
    </w:p>
    <w:p w14:paraId="7546657D" w14:textId="41E3B017" w:rsidR="004C693F" w:rsidRPr="004C693F" w:rsidRDefault="00000000" w:rsidP="004C693F">
      <w:r>
        <w:pict w14:anchorId="356DB784">
          <v:rect id="_x0000_i1056" style="width:0;height:1.5pt" o:hralign="center" o:hrstd="t" o:hr="t" fillcolor="#a0a0a0" stroked="f"/>
        </w:pict>
      </w:r>
    </w:p>
    <w:p w14:paraId="28B0662C" w14:textId="77777777" w:rsidR="004C693F" w:rsidRPr="004C693F" w:rsidRDefault="004C693F" w:rsidP="004C693F">
      <w:pPr>
        <w:rPr>
          <w:b/>
          <w:bCs/>
        </w:rPr>
      </w:pPr>
      <w:r w:rsidRPr="004C693F">
        <w:rPr>
          <w:b/>
          <w:bCs/>
        </w:rPr>
        <w:t xml:space="preserve">4. Benefits to </w:t>
      </w:r>
      <w:proofErr w:type="spellStart"/>
      <w:r w:rsidRPr="004C693F">
        <w:rPr>
          <w:b/>
          <w:bCs/>
        </w:rPr>
        <w:t>NatureGreen</w:t>
      </w:r>
      <w:proofErr w:type="spellEnd"/>
    </w:p>
    <w:p w14:paraId="124C5FE8" w14:textId="77777777" w:rsidR="004C693F" w:rsidRPr="004C693F" w:rsidRDefault="004C693F" w:rsidP="004C693F">
      <w:r w:rsidRPr="004C693F">
        <w:t xml:space="preserve">Implementing the proposed governance, security, and compliance model gives </w:t>
      </w:r>
      <w:proofErr w:type="spellStart"/>
      <w:r w:rsidRPr="004C693F">
        <w:t>NatureGreen</w:t>
      </w:r>
      <w:proofErr w:type="spellEnd"/>
      <w:r w:rsidRPr="004C693F">
        <w:t xml:space="preserve"> several strategic advantages:</w:t>
      </w:r>
    </w:p>
    <w:p w14:paraId="17080A6B" w14:textId="77777777" w:rsidR="004C693F" w:rsidRPr="004C693F" w:rsidRDefault="00000000" w:rsidP="004C693F">
      <w:r>
        <w:pict w14:anchorId="4D261453">
          <v:rect id="_x0000_i1057" style="width:0;height:1.5pt" o:hralign="center" o:hrstd="t" o:hr="t" fillcolor="#a0a0a0" stroked="f"/>
        </w:pict>
      </w:r>
    </w:p>
    <w:p w14:paraId="2A847B1F" w14:textId="77777777" w:rsidR="004C693F" w:rsidRPr="004C693F" w:rsidRDefault="004C693F" w:rsidP="004C693F">
      <w:pPr>
        <w:rPr>
          <w:b/>
          <w:bCs/>
        </w:rPr>
      </w:pPr>
      <w:r w:rsidRPr="004C693F">
        <w:rPr>
          <w:b/>
          <w:bCs/>
        </w:rPr>
        <w:t>4.1 Strengthened Security Posture</w:t>
      </w:r>
    </w:p>
    <w:p w14:paraId="37741C58" w14:textId="77777777" w:rsidR="004C693F" w:rsidRPr="004C693F" w:rsidRDefault="004C693F" w:rsidP="004C693F">
      <w:pPr>
        <w:numPr>
          <w:ilvl w:val="0"/>
          <w:numId w:val="19"/>
        </w:numPr>
      </w:pPr>
      <w:r w:rsidRPr="004C693F">
        <w:t>Reduced risk of cyberattacks</w:t>
      </w:r>
    </w:p>
    <w:p w14:paraId="7C702BC4" w14:textId="77777777" w:rsidR="004C693F" w:rsidRPr="004C693F" w:rsidRDefault="004C693F" w:rsidP="004C693F">
      <w:pPr>
        <w:numPr>
          <w:ilvl w:val="0"/>
          <w:numId w:val="19"/>
        </w:numPr>
      </w:pPr>
      <w:r w:rsidRPr="004C693F">
        <w:t>Stronger cloud security controls</w:t>
      </w:r>
    </w:p>
    <w:p w14:paraId="764BE933" w14:textId="77777777" w:rsidR="004C693F" w:rsidRPr="004C693F" w:rsidRDefault="004C693F" w:rsidP="004C693F">
      <w:pPr>
        <w:numPr>
          <w:ilvl w:val="0"/>
          <w:numId w:val="19"/>
        </w:numPr>
      </w:pPr>
      <w:r w:rsidRPr="004C693F">
        <w:t>Protection against insider threats</w:t>
      </w:r>
    </w:p>
    <w:p w14:paraId="593E320D" w14:textId="77777777" w:rsidR="004C693F" w:rsidRPr="004C693F" w:rsidRDefault="004C693F" w:rsidP="004C693F">
      <w:pPr>
        <w:numPr>
          <w:ilvl w:val="0"/>
          <w:numId w:val="19"/>
        </w:numPr>
      </w:pPr>
      <w:r w:rsidRPr="004C693F">
        <w:t>Better alignment of IT and business goals</w:t>
      </w:r>
    </w:p>
    <w:p w14:paraId="4213058C" w14:textId="77777777" w:rsidR="004C693F" w:rsidRPr="004C693F" w:rsidRDefault="004C693F" w:rsidP="004C693F">
      <w:pPr>
        <w:numPr>
          <w:ilvl w:val="0"/>
          <w:numId w:val="19"/>
        </w:numPr>
      </w:pPr>
      <w:r w:rsidRPr="004C693F">
        <w:t>Improved incident response capabilities</w:t>
      </w:r>
    </w:p>
    <w:p w14:paraId="6EC8AA1E" w14:textId="77777777" w:rsidR="004C693F" w:rsidRPr="004C693F" w:rsidRDefault="00000000" w:rsidP="004C693F">
      <w:r>
        <w:pict w14:anchorId="48E69808">
          <v:rect id="_x0000_i1058" style="width:0;height:1.5pt" o:hralign="center" o:hrstd="t" o:hr="t" fillcolor="#a0a0a0" stroked="f"/>
        </w:pict>
      </w:r>
    </w:p>
    <w:p w14:paraId="23332E12" w14:textId="77777777" w:rsidR="004C693F" w:rsidRPr="004C693F" w:rsidRDefault="004C693F" w:rsidP="004C693F">
      <w:pPr>
        <w:rPr>
          <w:b/>
          <w:bCs/>
        </w:rPr>
      </w:pPr>
      <w:r w:rsidRPr="004C693F">
        <w:rPr>
          <w:b/>
          <w:bCs/>
        </w:rPr>
        <w:t>4.2 Measurable Compliance</w:t>
      </w:r>
    </w:p>
    <w:p w14:paraId="7D7B350A" w14:textId="77777777" w:rsidR="004C693F" w:rsidRPr="004C693F" w:rsidRDefault="004C693F" w:rsidP="004C693F">
      <w:pPr>
        <w:numPr>
          <w:ilvl w:val="0"/>
          <w:numId w:val="20"/>
        </w:numPr>
      </w:pPr>
      <w:r w:rsidRPr="004C693F">
        <w:t>GDPR-compliant processing</w:t>
      </w:r>
    </w:p>
    <w:p w14:paraId="7AAEABED" w14:textId="77777777" w:rsidR="004C693F" w:rsidRPr="004C693F" w:rsidRDefault="004C693F" w:rsidP="004C693F">
      <w:pPr>
        <w:numPr>
          <w:ilvl w:val="0"/>
          <w:numId w:val="20"/>
        </w:numPr>
      </w:pPr>
      <w:r w:rsidRPr="004C693F">
        <w:t>ISO 27001-aligned security controls</w:t>
      </w:r>
    </w:p>
    <w:p w14:paraId="1A06A780" w14:textId="77777777" w:rsidR="004C693F" w:rsidRPr="004C693F" w:rsidRDefault="004C693F" w:rsidP="004C693F">
      <w:pPr>
        <w:numPr>
          <w:ilvl w:val="0"/>
          <w:numId w:val="20"/>
        </w:numPr>
      </w:pPr>
      <w:r w:rsidRPr="004C693F">
        <w:t>Documented accountability across departments</w:t>
      </w:r>
    </w:p>
    <w:p w14:paraId="0C548B7B" w14:textId="77777777" w:rsidR="004C693F" w:rsidRPr="004C693F" w:rsidRDefault="004C693F" w:rsidP="004C693F">
      <w:pPr>
        <w:numPr>
          <w:ilvl w:val="0"/>
          <w:numId w:val="20"/>
        </w:numPr>
      </w:pPr>
      <w:r w:rsidRPr="004C693F">
        <w:t>Reduced likelihood of regulatory penalties</w:t>
      </w:r>
    </w:p>
    <w:p w14:paraId="2277A715" w14:textId="77777777" w:rsidR="004C693F" w:rsidRPr="004C693F" w:rsidRDefault="00000000" w:rsidP="004C693F">
      <w:r>
        <w:pict w14:anchorId="5163499D">
          <v:rect id="_x0000_i1059" style="width:0;height:1.5pt" o:hralign="center" o:hrstd="t" o:hr="t" fillcolor="#a0a0a0" stroked="f"/>
        </w:pict>
      </w:r>
    </w:p>
    <w:p w14:paraId="63518959" w14:textId="77777777" w:rsidR="004C693F" w:rsidRPr="004C693F" w:rsidRDefault="004C693F" w:rsidP="004C693F">
      <w:pPr>
        <w:rPr>
          <w:b/>
          <w:bCs/>
        </w:rPr>
      </w:pPr>
      <w:r w:rsidRPr="004C693F">
        <w:rPr>
          <w:b/>
          <w:bCs/>
        </w:rPr>
        <w:t>4.3 Increased Operational Efficiency</w:t>
      </w:r>
    </w:p>
    <w:p w14:paraId="4A0F086D" w14:textId="77777777" w:rsidR="004C693F" w:rsidRPr="004C693F" w:rsidRDefault="004C693F" w:rsidP="004C693F">
      <w:pPr>
        <w:numPr>
          <w:ilvl w:val="0"/>
          <w:numId w:val="21"/>
        </w:numPr>
      </w:pPr>
      <w:r w:rsidRPr="004C693F">
        <w:t>Faster resolution of incidents due to ITIL 4 alignment</w:t>
      </w:r>
    </w:p>
    <w:p w14:paraId="3DC3296C" w14:textId="77777777" w:rsidR="004C693F" w:rsidRPr="004C693F" w:rsidRDefault="004C693F" w:rsidP="004C693F">
      <w:pPr>
        <w:numPr>
          <w:ilvl w:val="0"/>
          <w:numId w:val="21"/>
        </w:numPr>
      </w:pPr>
      <w:r w:rsidRPr="004C693F">
        <w:t>Streamlined communication between teams</w:t>
      </w:r>
    </w:p>
    <w:p w14:paraId="0318D653" w14:textId="77777777" w:rsidR="004C693F" w:rsidRPr="004C693F" w:rsidRDefault="004C693F" w:rsidP="004C693F">
      <w:pPr>
        <w:numPr>
          <w:ilvl w:val="0"/>
          <w:numId w:val="21"/>
        </w:numPr>
      </w:pPr>
      <w:r w:rsidRPr="004C693F">
        <w:t>Clear policy structure reduces confusion</w:t>
      </w:r>
    </w:p>
    <w:p w14:paraId="6AE2E991" w14:textId="77777777" w:rsidR="004C693F" w:rsidRPr="004C693F" w:rsidRDefault="004C693F" w:rsidP="004C693F">
      <w:pPr>
        <w:numPr>
          <w:ilvl w:val="0"/>
          <w:numId w:val="21"/>
        </w:numPr>
      </w:pPr>
      <w:proofErr w:type="spellStart"/>
      <w:r w:rsidRPr="004C693F">
        <w:t>Optimised</w:t>
      </w:r>
      <w:proofErr w:type="spellEnd"/>
      <w:r w:rsidRPr="004C693F">
        <w:t xml:space="preserve"> cloud and SaaS operations</w:t>
      </w:r>
    </w:p>
    <w:p w14:paraId="1E276175" w14:textId="77777777" w:rsidR="004C693F" w:rsidRPr="004C693F" w:rsidRDefault="00000000" w:rsidP="004C693F">
      <w:r>
        <w:pict w14:anchorId="690BFCA6">
          <v:rect id="_x0000_i1060" style="width:0;height:1.5pt" o:hralign="center" o:hrstd="t" o:hr="t" fillcolor="#a0a0a0" stroked="f"/>
        </w:pict>
      </w:r>
    </w:p>
    <w:p w14:paraId="13CAAFA7" w14:textId="77777777" w:rsidR="00D91A40" w:rsidRDefault="00D91A40" w:rsidP="004C693F">
      <w:pPr>
        <w:rPr>
          <w:b/>
          <w:bCs/>
        </w:rPr>
      </w:pPr>
    </w:p>
    <w:p w14:paraId="67D280C5" w14:textId="3BCBC829" w:rsidR="004C693F" w:rsidRPr="004C693F" w:rsidRDefault="004C693F" w:rsidP="004C693F">
      <w:pPr>
        <w:rPr>
          <w:b/>
          <w:bCs/>
        </w:rPr>
      </w:pPr>
      <w:r w:rsidRPr="004C693F">
        <w:rPr>
          <w:b/>
          <w:bCs/>
        </w:rPr>
        <w:lastRenderedPageBreak/>
        <w:t>4.4 Improved Stakeholder Confidence</w:t>
      </w:r>
    </w:p>
    <w:p w14:paraId="11A2F969" w14:textId="77777777" w:rsidR="004C693F" w:rsidRPr="004C693F" w:rsidRDefault="004C693F" w:rsidP="004C693F">
      <w:pPr>
        <w:numPr>
          <w:ilvl w:val="0"/>
          <w:numId w:val="22"/>
        </w:numPr>
      </w:pPr>
      <w:r w:rsidRPr="004C693F">
        <w:t>Transparent governance model</w:t>
      </w:r>
    </w:p>
    <w:p w14:paraId="3446DD94" w14:textId="77777777" w:rsidR="004C693F" w:rsidRPr="004C693F" w:rsidRDefault="004C693F" w:rsidP="004C693F">
      <w:pPr>
        <w:numPr>
          <w:ilvl w:val="0"/>
          <w:numId w:val="22"/>
        </w:numPr>
      </w:pPr>
      <w:r w:rsidRPr="004C693F">
        <w:t>Reliable service availability</w:t>
      </w:r>
    </w:p>
    <w:p w14:paraId="1DAF4598" w14:textId="77777777" w:rsidR="004C693F" w:rsidRPr="004C693F" w:rsidRDefault="004C693F" w:rsidP="004C693F">
      <w:pPr>
        <w:numPr>
          <w:ilvl w:val="0"/>
          <w:numId w:val="22"/>
        </w:numPr>
      </w:pPr>
      <w:proofErr w:type="gramStart"/>
      <w:r w:rsidRPr="004C693F">
        <w:t>Strengthened</w:t>
      </w:r>
      <w:proofErr w:type="gramEnd"/>
      <w:r w:rsidRPr="004C693F">
        <w:t xml:space="preserve"> brand trust with customers and partners</w:t>
      </w:r>
    </w:p>
    <w:p w14:paraId="680D8EFD" w14:textId="77777777" w:rsidR="004C693F" w:rsidRPr="004C693F" w:rsidRDefault="00000000" w:rsidP="004C693F">
      <w:r>
        <w:pict w14:anchorId="0BE86CBC">
          <v:rect id="_x0000_i1061" style="width:0;height:1.5pt" o:hralign="center" o:hrstd="t" o:hr="t" fillcolor="#a0a0a0" stroked="f"/>
        </w:pict>
      </w:r>
    </w:p>
    <w:p w14:paraId="6B3377A5" w14:textId="77777777" w:rsidR="004C693F" w:rsidRPr="004C693F" w:rsidRDefault="004C693F" w:rsidP="004C693F">
      <w:pPr>
        <w:rPr>
          <w:b/>
          <w:bCs/>
        </w:rPr>
      </w:pPr>
      <w:r w:rsidRPr="004C693F">
        <w:rPr>
          <w:b/>
          <w:bCs/>
        </w:rPr>
        <w:t>5. Conclusion</w:t>
      </w:r>
    </w:p>
    <w:p w14:paraId="3081D8D2" w14:textId="77777777" w:rsidR="004C693F" w:rsidRPr="004C693F" w:rsidRDefault="004C693F" w:rsidP="004C693F">
      <w:proofErr w:type="spellStart"/>
      <w:r w:rsidRPr="004C693F">
        <w:t>NatureGreen</w:t>
      </w:r>
      <w:proofErr w:type="spellEnd"/>
      <w:r w:rsidRPr="004C693F">
        <w:t xml:space="preserve"> faces increasing challenges in cybersecurity, data protection, and IT governance. By combining the strengths of ISO 27001, NIST CSF, COBIT, ITIL 4, and GDPR/DPA 2018, the proposed model provides a unified, effective, and resilient structure that supports:</w:t>
      </w:r>
    </w:p>
    <w:p w14:paraId="0067CF14" w14:textId="77777777" w:rsidR="004C693F" w:rsidRPr="004C693F" w:rsidRDefault="004C693F" w:rsidP="004C693F">
      <w:pPr>
        <w:numPr>
          <w:ilvl w:val="0"/>
          <w:numId w:val="23"/>
        </w:numPr>
      </w:pPr>
      <w:r w:rsidRPr="004C693F">
        <w:t>Strategic governance</w:t>
      </w:r>
    </w:p>
    <w:p w14:paraId="297FDD20" w14:textId="77777777" w:rsidR="004C693F" w:rsidRPr="004C693F" w:rsidRDefault="004C693F" w:rsidP="004C693F">
      <w:pPr>
        <w:numPr>
          <w:ilvl w:val="0"/>
          <w:numId w:val="23"/>
        </w:numPr>
      </w:pPr>
      <w:r w:rsidRPr="004C693F">
        <w:t>Legal compliance</w:t>
      </w:r>
    </w:p>
    <w:p w14:paraId="2952EA92" w14:textId="77777777" w:rsidR="004C693F" w:rsidRPr="004C693F" w:rsidRDefault="004C693F" w:rsidP="004C693F">
      <w:pPr>
        <w:numPr>
          <w:ilvl w:val="0"/>
          <w:numId w:val="23"/>
        </w:numPr>
      </w:pPr>
      <w:r w:rsidRPr="004C693F">
        <w:t>Operational efficiency</w:t>
      </w:r>
    </w:p>
    <w:p w14:paraId="6CFDB203" w14:textId="77777777" w:rsidR="004C693F" w:rsidRPr="004C693F" w:rsidRDefault="004C693F" w:rsidP="004C693F">
      <w:pPr>
        <w:numPr>
          <w:ilvl w:val="0"/>
          <w:numId w:val="23"/>
        </w:numPr>
      </w:pPr>
      <w:r w:rsidRPr="004C693F">
        <w:t>Proactive risk reduction</w:t>
      </w:r>
    </w:p>
    <w:p w14:paraId="5BA30829" w14:textId="77777777" w:rsidR="004C693F" w:rsidRPr="004C693F" w:rsidRDefault="004C693F" w:rsidP="004C693F">
      <w:pPr>
        <w:numPr>
          <w:ilvl w:val="0"/>
          <w:numId w:val="23"/>
        </w:numPr>
      </w:pPr>
      <w:r w:rsidRPr="004C693F">
        <w:t xml:space="preserve">Long-term </w:t>
      </w:r>
      <w:proofErr w:type="spellStart"/>
      <w:r w:rsidRPr="004C693F">
        <w:t>organisational</w:t>
      </w:r>
      <w:proofErr w:type="spellEnd"/>
      <w:r w:rsidRPr="004C693F">
        <w:t xml:space="preserve"> security</w:t>
      </w:r>
    </w:p>
    <w:p w14:paraId="187CFC77" w14:textId="77777777" w:rsidR="004C693F" w:rsidRPr="004C693F" w:rsidRDefault="004C693F" w:rsidP="004C693F">
      <w:r w:rsidRPr="004C693F">
        <w:t xml:space="preserve">This integrated approach ensures </w:t>
      </w:r>
      <w:proofErr w:type="spellStart"/>
      <w:r w:rsidRPr="004C693F">
        <w:t>NatureGreen</w:t>
      </w:r>
      <w:proofErr w:type="spellEnd"/>
      <w:r w:rsidRPr="004C693F">
        <w:t xml:space="preserve"> is fully equipped to operate securely and efficiently while meeting global regulatory requirements.</w:t>
      </w:r>
    </w:p>
    <w:p w14:paraId="3F79245D" w14:textId="77777777" w:rsidR="00DA3988" w:rsidRDefault="00DA3988" w:rsidP="00DA3988">
      <w:r>
        <w:t> </w:t>
      </w:r>
    </w:p>
    <w:p w14:paraId="2574EBB6" w14:textId="77777777" w:rsidR="00DA3988" w:rsidRPr="00D91A40" w:rsidRDefault="00DA3988" w:rsidP="00DA3988">
      <w:pPr>
        <w:rPr>
          <w:b/>
          <w:bCs/>
        </w:rPr>
      </w:pPr>
      <w:r w:rsidRPr="00D91A40">
        <w:rPr>
          <w:b/>
          <w:bCs/>
        </w:rPr>
        <w:t>6. IEEE References</w:t>
      </w:r>
    </w:p>
    <w:p w14:paraId="11837C7D" w14:textId="77777777" w:rsidR="00DA3988" w:rsidRDefault="00DA3988" w:rsidP="00DA3988">
      <w:r>
        <w:t>[1] ISO/IEC</w:t>
      </w:r>
      <w:r>
        <w:rPr>
          <w:rFonts w:ascii="Arial" w:hAnsi="Arial" w:cs="Arial"/>
        </w:rPr>
        <w:t> </w:t>
      </w:r>
      <w:r>
        <w:t xml:space="preserve">27000 series overview and ISMS definitions </w:t>
      </w:r>
      <w:r>
        <w:rPr>
          <w:rFonts w:ascii="Aptos" w:hAnsi="Aptos" w:cs="Aptos"/>
        </w:rPr>
        <w:t>—</w:t>
      </w:r>
      <w:r>
        <w:t xml:space="preserve"> ISO.org </w:t>
      </w:r>
    </w:p>
    <w:p w14:paraId="7C4B72F1" w14:textId="77777777" w:rsidR="00DA3988" w:rsidRDefault="00DA3988" w:rsidP="00DA3988"/>
    <w:p w14:paraId="758575D8" w14:textId="77777777" w:rsidR="00DA3988" w:rsidRDefault="00DA3988" w:rsidP="00DA3988">
      <w:r>
        <w:t>[2] Official NIST page on the five core functions (Identify, Protect, Detect, Respond, Recover). NIST</w:t>
      </w:r>
    </w:p>
    <w:p w14:paraId="1C06C7B2" w14:textId="77777777" w:rsidR="00DA3988" w:rsidRDefault="00DA3988" w:rsidP="00DA3988"/>
    <w:p w14:paraId="4B27C49D" w14:textId="77777777" w:rsidR="00DA3988" w:rsidRDefault="00DA3988" w:rsidP="00DA3988">
      <w:r>
        <w:t xml:space="preserve">[3] ISACA Fact Sheet on COBIT 2019: explains its purpose, components, and governance management objectives. </w:t>
      </w:r>
    </w:p>
    <w:p w14:paraId="4FAEA9C7" w14:textId="77777777" w:rsidR="00DA3988" w:rsidRDefault="00DA3988" w:rsidP="00DA3988">
      <w:r>
        <w:t>[4] Akima Whitepaper: Intro to the SVS and the six key Service Value Chain activities in ITIL</w:t>
      </w:r>
      <w:r>
        <w:rPr>
          <w:rFonts w:ascii="Arial" w:hAnsi="Arial" w:cs="Arial"/>
        </w:rPr>
        <w:t> </w:t>
      </w:r>
      <w:r>
        <w:t>4.</w:t>
      </w:r>
    </w:p>
    <w:p w14:paraId="7AB422F6" w14:textId="77777777" w:rsidR="00DA3988" w:rsidRDefault="00DA3988" w:rsidP="00DA3988"/>
    <w:p w14:paraId="6BAE383E" w14:textId="77777777" w:rsidR="00DA3988" w:rsidRDefault="00DA3988" w:rsidP="00DA3988">
      <w:r>
        <w:t>[5] GDPR Article</w:t>
      </w:r>
      <w:r>
        <w:rPr>
          <w:rFonts w:ascii="Arial" w:hAnsi="Arial" w:cs="Arial"/>
        </w:rPr>
        <w:t> </w:t>
      </w:r>
      <w:r>
        <w:t>5 (outlining the principles)</w:t>
      </w:r>
    </w:p>
    <w:p w14:paraId="15B08C8D" w14:textId="77777777" w:rsidR="00DA3988" w:rsidRDefault="00DA3988" w:rsidP="00DA3988">
      <w:r>
        <w:t>[6] ISO/IEC 27001:2022 – Information Security, Cybersecurity &amp; Privacy Protection — ISO/IEC 2022 Update.</w:t>
      </w:r>
    </w:p>
    <w:p w14:paraId="310CB199" w14:textId="77777777" w:rsidR="00DA3988" w:rsidRDefault="00DA3988" w:rsidP="00DA3988">
      <w:r>
        <w:t>[7] ISO/IEC 27002:2022 — Code of Practice for Information Security Controls, ISO/IEC, 2022.</w:t>
      </w:r>
    </w:p>
    <w:p w14:paraId="4F061326" w14:textId="77777777" w:rsidR="00DA3988" w:rsidRDefault="00DA3988" w:rsidP="00DA3988">
      <w:r>
        <w:t>[8] National Institute of Standards and Technology (NIST), "NIST Cybersecurity Framework 2.0: Core Guidance," NIST, 2024.</w:t>
      </w:r>
    </w:p>
    <w:p w14:paraId="3719671B" w14:textId="77777777" w:rsidR="00DA3988" w:rsidRDefault="00DA3988" w:rsidP="00DA3988">
      <w:r>
        <w:t>[9] National Institute of Standards and Technology, "Special Publication 800-53 Revision 5: Security and Privacy Controls for Federal Information Systems," NIST, 2020.</w:t>
      </w:r>
    </w:p>
    <w:p w14:paraId="64954987" w14:textId="77777777" w:rsidR="00DA3988" w:rsidRDefault="00DA3988" w:rsidP="00DA3988">
      <w:r>
        <w:t>[10] ENISA (European Union Agency for Cybersecurity), “ENISA Threat Landscape Report 2023,” ENISA, 2023.</w:t>
      </w:r>
    </w:p>
    <w:p w14:paraId="4E32AE43" w14:textId="77777777" w:rsidR="00DA3988" w:rsidRDefault="00DA3988" w:rsidP="00DA3988">
      <w:r>
        <w:t>[12] ISACA, “COBIT Framework: Governance and Management Objectives,” ISACA, 2019.</w:t>
      </w:r>
    </w:p>
    <w:p w14:paraId="0954219A" w14:textId="77777777" w:rsidR="00DA3988" w:rsidRDefault="00DA3988" w:rsidP="00DA3988">
      <w:r>
        <w:t>[13] Axelos, “ITIL 4: High-Velocity IT,” Axelos Global Best Practice, 2020.</w:t>
      </w:r>
    </w:p>
    <w:p w14:paraId="7B99BB94" w14:textId="77777777" w:rsidR="00DA3988" w:rsidRDefault="00DA3988" w:rsidP="00DA3988">
      <w:r>
        <w:t>[14] Axelos, “ITIL Foundation: ITIL 4 Edition,” TSO (The Stationery Office), 2019.</w:t>
      </w:r>
    </w:p>
    <w:p w14:paraId="53BE042A" w14:textId="77777777" w:rsidR="00DA3988" w:rsidRDefault="00DA3988" w:rsidP="00DA3988">
      <w:r>
        <w:t>[16] European Commission, “General Data Protection Regulation: Official Legal Text,” EUR-Lex, 2018.</w:t>
      </w:r>
    </w:p>
    <w:p w14:paraId="3BB2B293" w14:textId="77777777" w:rsidR="00DA3988" w:rsidRDefault="00DA3988" w:rsidP="00DA3988">
      <w:r>
        <w:t>[17] CNIL, “Data Protection Impact Assessment (DPIA) Guidelines,” CNIL France, 2022.</w:t>
      </w:r>
    </w:p>
    <w:p w14:paraId="517979C8" w14:textId="77777777" w:rsidR="00DA3988" w:rsidRDefault="00DA3988" w:rsidP="00DA3988">
      <w:r>
        <w:t>[18] Gartner, “Top Cybersecurity Risks for 2024,” Gartner Research, 2024.</w:t>
      </w:r>
    </w:p>
    <w:p w14:paraId="3C41D954" w14:textId="77777777" w:rsidR="00DA3988" w:rsidRDefault="00DA3988" w:rsidP="00DA3988">
      <w:r>
        <w:t>[19] SANS Institute, “Incident Response Best Practices &amp; IR Lifecycle,” SANS Whitepaper, 2023.</w:t>
      </w:r>
    </w:p>
    <w:p w14:paraId="453B4607" w14:textId="77777777" w:rsidR="00DA3988" w:rsidRDefault="00DA3988" w:rsidP="00DA3988">
      <w:r>
        <w:t xml:space="preserve">[20] McKinsey &amp; Company, “The Cybersecurity Blueprint for </w:t>
      </w:r>
      <w:proofErr w:type="spellStart"/>
      <w:r>
        <w:t>Organisations</w:t>
      </w:r>
      <w:proofErr w:type="spellEnd"/>
      <w:r>
        <w:t xml:space="preserve"> in 2024,” McKinsey Insights, 2024.</w:t>
      </w:r>
    </w:p>
    <w:p w14:paraId="0DFA6492" w14:textId="77777777" w:rsidR="00DA3988" w:rsidRDefault="00DA3988" w:rsidP="00DA3988"/>
    <w:p w14:paraId="59F0E956" w14:textId="77777777" w:rsidR="00DA3988" w:rsidRDefault="00DA3988" w:rsidP="00DA3988"/>
    <w:p w14:paraId="3C202F18" w14:textId="77777777" w:rsidR="00D91A40" w:rsidRDefault="00D91A40" w:rsidP="00DA3988">
      <w:pPr>
        <w:rPr>
          <w:b/>
          <w:bCs/>
        </w:rPr>
      </w:pPr>
    </w:p>
    <w:p w14:paraId="686762FC" w14:textId="77777777" w:rsidR="00D91A40" w:rsidRDefault="00D91A40" w:rsidP="00DA3988">
      <w:pPr>
        <w:rPr>
          <w:b/>
          <w:bCs/>
        </w:rPr>
      </w:pPr>
    </w:p>
    <w:p w14:paraId="6BB71299" w14:textId="77777777" w:rsidR="00D91A40" w:rsidRDefault="00D91A40" w:rsidP="00DA3988">
      <w:pPr>
        <w:rPr>
          <w:b/>
          <w:bCs/>
        </w:rPr>
      </w:pPr>
    </w:p>
    <w:p w14:paraId="0A348035" w14:textId="614D40AD" w:rsidR="00DA3988" w:rsidRPr="00D91A40" w:rsidRDefault="00DA3988" w:rsidP="00DA3988">
      <w:pPr>
        <w:rPr>
          <w:b/>
          <w:bCs/>
        </w:rPr>
      </w:pPr>
      <w:r w:rsidRPr="00D91A40">
        <w:rPr>
          <w:b/>
          <w:bCs/>
        </w:rPr>
        <w:lastRenderedPageBreak/>
        <w:t>Academic References:</w:t>
      </w:r>
    </w:p>
    <w:p w14:paraId="1B271D50" w14:textId="61C15C94" w:rsidR="00DA3988" w:rsidRDefault="00DA3988" w:rsidP="00DA3988">
      <w:r>
        <w:t xml:space="preserve">[A1] S. T. Ali et al., “Cybersecurity Trends in Cloud-Centric </w:t>
      </w:r>
      <w:proofErr w:type="spellStart"/>
      <w:r>
        <w:t>Organisations</w:t>
      </w:r>
      <w:proofErr w:type="spellEnd"/>
      <w:r>
        <w:t>,” Computers &amp; Security, vol. 127, 2023.</w:t>
      </w:r>
    </w:p>
    <w:p w14:paraId="469C5869" w14:textId="77777777" w:rsidR="00DA3988" w:rsidRDefault="00DA3988" w:rsidP="00DA3988">
      <w:r>
        <w:t>[A2] A. Alshammari and V. Singh, “Evaluating the Effectiveness of ISO 27001 in Enterprise Security Governance,” IEEE Access, vol. 10, 2022.</w:t>
      </w:r>
    </w:p>
    <w:p w14:paraId="76F87F85" w14:textId="77777777" w:rsidR="00DA3988" w:rsidRDefault="00DA3988" w:rsidP="00DA3988">
      <w:r>
        <w:t>[A3] R. Ross and K. Ferraiolo, “Risk Alignment through Combined ISO 27001 and NIST CSF Adoption,” Journal of Cybersecurity, vol. 9, 2023.</w:t>
      </w:r>
    </w:p>
    <w:p w14:paraId="00771B4E" w14:textId="3641072E" w:rsidR="00DA3988" w:rsidRDefault="00DA3988" w:rsidP="00DA3988">
      <w:r>
        <w:t>[A4] M. Bishop and D. Salmon, “Insider Threat Models and Mitigation Strategies,” ACM Computing Surveys, vol. 55, no. 7, 2022.</w:t>
      </w:r>
    </w:p>
    <w:sectPr w:rsidR="00DA398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069DE"/>
    <w:multiLevelType w:val="multilevel"/>
    <w:tmpl w:val="727ED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87FBA"/>
    <w:multiLevelType w:val="multilevel"/>
    <w:tmpl w:val="95BE0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A46FE"/>
    <w:multiLevelType w:val="multilevel"/>
    <w:tmpl w:val="9EC09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AF26D8"/>
    <w:multiLevelType w:val="multilevel"/>
    <w:tmpl w:val="AE4AC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E92FBF"/>
    <w:multiLevelType w:val="multilevel"/>
    <w:tmpl w:val="CFE08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DA7C20"/>
    <w:multiLevelType w:val="multilevel"/>
    <w:tmpl w:val="7284C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183240"/>
    <w:multiLevelType w:val="multilevel"/>
    <w:tmpl w:val="D924C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C9648D"/>
    <w:multiLevelType w:val="multilevel"/>
    <w:tmpl w:val="765AF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DF2B2C"/>
    <w:multiLevelType w:val="multilevel"/>
    <w:tmpl w:val="D1FAD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C526F0"/>
    <w:multiLevelType w:val="multilevel"/>
    <w:tmpl w:val="0868C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AB1CFD"/>
    <w:multiLevelType w:val="multilevel"/>
    <w:tmpl w:val="966C3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D51536"/>
    <w:multiLevelType w:val="multilevel"/>
    <w:tmpl w:val="FEE07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CC60B4"/>
    <w:multiLevelType w:val="multilevel"/>
    <w:tmpl w:val="667AF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525C56"/>
    <w:multiLevelType w:val="multilevel"/>
    <w:tmpl w:val="0F9AC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DB1BC1"/>
    <w:multiLevelType w:val="multilevel"/>
    <w:tmpl w:val="C7463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77124F"/>
    <w:multiLevelType w:val="multilevel"/>
    <w:tmpl w:val="26584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507EF9"/>
    <w:multiLevelType w:val="multilevel"/>
    <w:tmpl w:val="B420A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3F0B92"/>
    <w:multiLevelType w:val="multilevel"/>
    <w:tmpl w:val="20F24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F06D43"/>
    <w:multiLevelType w:val="multilevel"/>
    <w:tmpl w:val="07F49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6B478E"/>
    <w:multiLevelType w:val="multilevel"/>
    <w:tmpl w:val="C5EC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3C4BE2"/>
    <w:multiLevelType w:val="multilevel"/>
    <w:tmpl w:val="D2E89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7B1D13"/>
    <w:multiLevelType w:val="multilevel"/>
    <w:tmpl w:val="0F269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F0369D"/>
    <w:multiLevelType w:val="multilevel"/>
    <w:tmpl w:val="E16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1976402">
    <w:abstractNumId w:val="20"/>
  </w:num>
  <w:num w:numId="2" w16cid:durableId="1819036886">
    <w:abstractNumId w:val="10"/>
  </w:num>
  <w:num w:numId="3" w16cid:durableId="257645215">
    <w:abstractNumId w:val="15"/>
  </w:num>
  <w:num w:numId="4" w16cid:durableId="42609224">
    <w:abstractNumId w:val="12"/>
  </w:num>
  <w:num w:numId="5" w16cid:durableId="1297879507">
    <w:abstractNumId w:val="8"/>
  </w:num>
  <w:num w:numId="6" w16cid:durableId="397093275">
    <w:abstractNumId w:val="1"/>
  </w:num>
  <w:num w:numId="7" w16cid:durableId="1696154798">
    <w:abstractNumId w:val="21"/>
  </w:num>
  <w:num w:numId="8" w16cid:durableId="592782072">
    <w:abstractNumId w:val="3"/>
  </w:num>
  <w:num w:numId="9" w16cid:durableId="418451545">
    <w:abstractNumId w:val="7"/>
  </w:num>
  <w:num w:numId="10" w16cid:durableId="2137525233">
    <w:abstractNumId w:val="17"/>
  </w:num>
  <w:num w:numId="11" w16cid:durableId="842428869">
    <w:abstractNumId w:val="13"/>
  </w:num>
  <w:num w:numId="12" w16cid:durableId="453255457">
    <w:abstractNumId w:val="14"/>
  </w:num>
  <w:num w:numId="13" w16cid:durableId="1537157196">
    <w:abstractNumId w:val="6"/>
  </w:num>
  <w:num w:numId="14" w16cid:durableId="1465930749">
    <w:abstractNumId w:val="16"/>
  </w:num>
  <w:num w:numId="15" w16cid:durableId="1413233043">
    <w:abstractNumId w:val="11"/>
  </w:num>
  <w:num w:numId="16" w16cid:durableId="100801589">
    <w:abstractNumId w:val="22"/>
  </w:num>
  <w:num w:numId="17" w16cid:durableId="1023097210">
    <w:abstractNumId w:val="9"/>
  </w:num>
  <w:num w:numId="18" w16cid:durableId="216210816">
    <w:abstractNumId w:val="0"/>
  </w:num>
  <w:num w:numId="19" w16cid:durableId="547037152">
    <w:abstractNumId w:val="18"/>
  </w:num>
  <w:num w:numId="20" w16cid:durableId="558903396">
    <w:abstractNumId w:val="2"/>
  </w:num>
  <w:num w:numId="21" w16cid:durableId="605231408">
    <w:abstractNumId w:val="5"/>
  </w:num>
  <w:num w:numId="22" w16cid:durableId="2004234617">
    <w:abstractNumId w:val="19"/>
  </w:num>
  <w:num w:numId="23" w16cid:durableId="16498225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988"/>
    <w:rsid w:val="001A6DCE"/>
    <w:rsid w:val="00231F79"/>
    <w:rsid w:val="002778ED"/>
    <w:rsid w:val="004C693F"/>
    <w:rsid w:val="00944C0B"/>
    <w:rsid w:val="0097679A"/>
    <w:rsid w:val="00AB07A5"/>
    <w:rsid w:val="00BB7316"/>
    <w:rsid w:val="00BD1500"/>
    <w:rsid w:val="00CA5410"/>
    <w:rsid w:val="00D3424E"/>
    <w:rsid w:val="00D91A40"/>
    <w:rsid w:val="00DA3988"/>
    <w:rsid w:val="00E8369A"/>
    <w:rsid w:val="00F10E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8C219"/>
  <w15:chartTrackingRefBased/>
  <w15:docId w15:val="{42C2EDE9-80DB-4C3D-9EBF-8DC743C83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9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9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9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9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9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9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9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9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9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9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9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9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9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9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9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9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9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988"/>
    <w:rPr>
      <w:rFonts w:eastAsiaTheme="majorEastAsia" w:cstheme="majorBidi"/>
      <w:color w:val="272727" w:themeColor="text1" w:themeTint="D8"/>
    </w:rPr>
  </w:style>
  <w:style w:type="paragraph" w:styleId="Title">
    <w:name w:val="Title"/>
    <w:basedOn w:val="Normal"/>
    <w:next w:val="Normal"/>
    <w:link w:val="TitleChar"/>
    <w:uiPriority w:val="10"/>
    <w:qFormat/>
    <w:rsid w:val="00DA39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9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9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9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988"/>
    <w:pPr>
      <w:spacing w:before="160"/>
      <w:jc w:val="center"/>
    </w:pPr>
    <w:rPr>
      <w:i/>
      <w:iCs/>
      <w:color w:val="404040" w:themeColor="text1" w:themeTint="BF"/>
    </w:rPr>
  </w:style>
  <w:style w:type="character" w:customStyle="1" w:styleId="QuoteChar">
    <w:name w:val="Quote Char"/>
    <w:basedOn w:val="DefaultParagraphFont"/>
    <w:link w:val="Quote"/>
    <w:uiPriority w:val="29"/>
    <w:rsid w:val="00DA3988"/>
    <w:rPr>
      <w:i/>
      <w:iCs/>
      <w:color w:val="404040" w:themeColor="text1" w:themeTint="BF"/>
    </w:rPr>
  </w:style>
  <w:style w:type="paragraph" w:styleId="ListParagraph">
    <w:name w:val="List Paragraph"/>
    <w:basedOn w:val="Normal"/>
    <w:uiPriority w:val="34"/>
    <w:qFormat/>
    <w:rsid w:val="00DA3988"/>
    <w:pPr>
      <w:ind w:left="720"/>
      <w:contextualSpacing/>
    </w:pPr>
  </w:style>
  <w:style w:type="character" w:styleId="IntenseEmphasis">
    <w:name w:val="Intense Emphasis"/>
    <w:basedOn w:val="DefaultParagraphFont"/>
    <w:uiPriority w:val="21"/>
    <w:qFormat/>
    <w:rsid w:val="00DA3988"/>
    <w:rPr>
      <w:i/>
      <w:iCs/>
      <w:color w:val="0F4761" w:themeColor="accent1" w:themeShade="BF"/>
    </w:rPr>
  </w:style>
  <w:style w:type="paragraph" w:styleId="IntenseQuote">
    <w:name w:val="Intense Quote"/>
    <w:basedOn w:val="Normal"/>
    <w:next w:val="Normal"/>
    <w:link w:val="IntenseQuoteChar"/>
    <w:uiPriority w:val="30"/>
    <w:qFormat/>
    <w:rsid w:val="00DA39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988"/>
    <w:rPr>
      <w:i/>
      <w:iCs/>
      <w:color w:val="0F4761" w:themeColor="accent1" w:themeShade="BF"/>
    </w:rPr>
  </w:style>
  <w:style w:type="character" w:styleId="IntenseReference">
    <w:name w:val="Intense Reference"/>
    <w:basedOn w:val="DefaultParagraphFont"/>
    <w:uiPriority w:val="32"/>
    <w:qFormat/>
    <w:rsid w:val="00DA3988"/>
    <w:rPr>
      <w:b/>
      <w:bCs/>
      <w:smallCaps/>
      <w:color w:val="0F4761" w:themeColor="accent1" w:themeShade="BF"/>
      <w:spacing w:val="5"/>
    </w:rPr>
  </w:style>
  <w:style w:type="character" w:styleId="Hyperlink">
    <w:name w:val="Hyperlink"/>
    <w:basedOn w:val="DefaultParagraphFont"/>
    <w:uiPriority w:val="99"/>
    <w:unhideWhenUsed/>
    <w:rsid w:val="004C693F"/>
    <w:rPr>
      <w:color w:val="467886" w:themeColor="hyperlink"/>
      <w:u w:val="single"/>
    </w:rPr>
  </w:style>
  <w:style w:type="character" w:styleId="UnresolvedMention">
    <w:name w:val="Unresolved Mention"/>
    <w:basedOn w:val="DefaultParagraphFont"/>
    <w:uiPriority w:val="99"/>
    <w:semiHidden/>
    <w:unhideWhenUsed/>
    <w:rsid w:val="004C6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eg"/><Relationship Id="rId15" Type="http://schemas.openxmlformats.org/officeDocument/2006/relationships/image" Target="media/image1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3277</Words>
  <Characters>21989</Characters>
  <Application>Microsoft Office Word</Application>
  <DocSecurity>0</DocSecurity>
  <Lines>666</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VikashDilipbhai Padheriya</dc:creator>
  <cp:keywords/>
  <dc:description/>
  <cp:lastModifiedBy>VikashDilipbhai Padheriya</cp:lastModifiedBy>
  <cp:revision>2</cp:revision>
  <dcterms:created xsi:type="dcterms:W3CDTF">2025-12-16T23:17:00Z</dcterms:created>
  <dcterms:modified xsi:type="dcterms:W3CDTF">2025-12-16T23:17:00Z</dcterms:modified>
</cp:coreProperties>
</file>