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6C6BF" w14:textId="6AE8FA2F" w:rsidR="00A35FEF" w:rsidRDefault="003D1EAA">
      <w:pPr>
        <w:spacing w:after="200"/>
      </w:pPr>
      <w:r>
        <w:rPr>
          <w:noProof/>
        </w:rPr>
        <w:drawing>
          <wp:inline distT="0" distB="0" distL="0" distR="0" wp14:anchorId="06D2CAA0" wp14:editId="77C75FD2">
            <wp:extent cx="2056426" cy="914400"/>
            <wp:effectExtent l="0" t="0" r="1270" b="0"/>
            <wp:docPr id="45280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04888" name="Picture 45280488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80637" cy="925166"/>
                    </a:xfrm>
                    <a:prstGeom prst="rect">
                      <a:avLst/>
                    </a:prstGeom>
                  </pic:spPr>
                </pic:pic>
              </a:graphicData>
            </a:graphic>
          </wp:inline>
        </w:drawing>
      </w:r>
    </w:p>
    <w:p w14:paraId="3AB375EA" w14:textId="6CD2AA82" w:rsidR="00A35FEF" w:rsidRDefault="003D1EAA">
      <w:pPr>
        <w:spacing w:after="260"/>
        <w:jc w:val="center"/>
      </w:pPr>
      <w:r>
        <w:rPr>
          <w:i/>
          <w:iCs/>
          <w:color w:val="999999"/>
          <w:sz w:val="18"/>
          <w:szCs w:val="18"/>
        </w:rPr>
        <w:t xml:space="preserve"> </w:t>
      </w:r>
    </w:p>
    <w:p w14:paraId="30F326EC" w14:textId="77777777" w:rsidR="003D1EAA" w:rsidRDefault="003D1EAA">
      <w:pPr>
        <w:spacing w:after="300"/>
        <w:jc w:val="center"/>
        <w:rPr>
          <w:b/>
          <w:bCs/>
          <w:color w:val="000000"/>
          <w:sz w:val="28"/>
          <w:szCs w:val="28"/>
        </w:rPr>
      </w:pPr>
    </w:p>
    <w:p w14:paraId="7023A5EF" w14:textId="77777777" w:rsidR="003D1EAA" w:rsidRDefault="003D1EAA">
      <w:pPr>
        <w:spacing w:after="300"/>
        <w:jc w:val="center"/>
        <w:rPr>
          <w:b/>
          <w:bCs/>
          <w:color w:val="000000"/>
          <w:sz w:val="28"/>
          <w:szCs w:val="28"/>
        </w:rPr>
      </w:pPr>
    </w:p>
    <w:p w14:paraId="300DF5C7" w14:textId="77777777" w:rsidR="003D1EAA" w:rsidRDefault="003D1EAA">
      <w:pPr>
        <w:spacing w:after="300"/>
        <w:jc w:val="center"/>
        <w:rPr>
          <w:b/>
          <w:bCs/>
          <w:color w:val="000000"/>
          <w:sz w:val="28"/>
          <w:szCs w:val="28"/>
        </w:rPr>
      </w:pPr>
    </w:p>
    <w:p w14:paraId="20FF7966" w14:textId="77777777" w:rsidR="003D1EAA" w:rsidRDefault="003D1EAA">
      <w:pPr>
        <w:spacing w:after="300"/>
        <w:jc w:val="center"/>
        <w:rPr>
          <w:b/>
          <w:bCs/>
          <w:color w:val="000000"/>
          <w:sz w:val="28"/>
          <w:szCs w:val="28"/>
        </w:rPr>
      </w:pPr>
    </w:p>
    <w:p w14:paraId="11BF5479" w14:textId="229AA02C" w:rsidR="00A35FEF" w:rsidRDefault="003D1EAA">
      <w:pPr>
        <w:spacing w:after="300"/>
        <w:jc w:val="center"/>
      </w:pPr>
      <w:r>
        <w:rPr>
          <w:b/>
          <w:bCs/>
          <w:color w:val="000000"/>
          <w:sz w:val="28"/>
          <w:szCs w:val="28"/>
        </w:rPr>
        <w:t xml:space="preserve"> </w:t>
      </w:r>
    </w:p>
    <w:p w14:paraId="74185DDA" w14:textId="77777777" w:rsidR="00A35FEF" w:rsidRDefault="00E27F35">
      <w:pPr>
        <w:spacing w:after="100"/>
        <w:jc w:val="center"/>
      </w:pPr>
      <w:r>
        <w:rPr>
          <w:b/>
          <w:bCs/>
          <w:color w:val="000000"/>
          <w:sz w:val="26"/>
          <w:szCs w:val="26"/>
        </w:rPr>
        <w:t>Master of Business Administration</w:t>
      </w:r>
    </w:p>
    <w:p w14:paraId="65D5615D" w14:textId="62DB1906" w:rsidR="00A35FEF" w:rsidRPr="0020635C" w:rsidRDefault="0020635C">
      <w:pPr>
        <w:spacing w:after="360"/>
        <w:jc w:val="center"/>
        <w:rPr>
          <w:b/>
          <w:bCs/>
        </w:rPr>
      </w:pPr>
      <w:r>
        <w:rPr>
          <w:b/>
          <w:bCs/>
          <w:color w:val="000000"/>
        </w:rPr>
        <w:t xml:space="preserve"> </w:t>
      </w:r>
    </w:p>
    <w:p w14:paraId="46051FA6" w14:textId="77777777" w:rsidR="00A35FEF" w:rsidRDefault="00E27F35" w:rsidP="0020635C">
      <w:pPr>
        <w:pStyle w:val="IntenseQuote"/>
      </w:pPr>
      <w:r>
        <w:t>Assessment Component 1: Individual Report</w:t>
      </w:r>
    </w:p>
    <w:p w14:paraId="4D9C0E9A" w14:textId="77777777" w:rsidR="00A35FEF" w:rsidRDefault="00E27F35" w:rsidP="0020635C">
      <w:pPr>
        <w:pStyle w:val="IntenseQuote"/>
      </w:pPr>
      <w:r>
        <w:t>Designing a Human Capital Architecture for Strategic Renewal at Helios Urban Mobility</w:t>
      </w:r>
    </w:p>
    <w:p w14:paraId="3EF1B6EC" w14:textId="77777777" w:rsidR="003D1EAA" w:rsidRDefault="003D1EAA">
      <w:pPr>
        <w:spacing w:after="100"/>
        <w:jc w:val="center"/>
        <w:rPr>
          <w:color w:val="000000"/>
          <w:sz w:val="22"/>
          <w:szCs w:val="22"/>
        </w:rPr>
      </w:pPr>
    </w:p>
    <w:p w14:paraId="4DA33250" w14:textId="77777777" w:rsidR="003D1EAA" w:rsidRDefault="003D1EAA">
      <w:pPr>
        <w:spacing w:after="100"/>
        <w:jc w:val="center"/>
        <w:rPr>
          <w:color w:val="000000"/>
          <w:sz w:val="22"/>
          <w:szCs w:val="22"/>
        </w:rPr>
      </w:pPr>
    </w:p>
    <w:p w14:paraId="65248BA3" w14:textId="77777777" w:rsidR="003D1EAA" w:rsidRDefault="003D1EAA">
      <w:pPr>
        <w:spacing w:after="100"/>
        <w:jc w:val="center"/>
        <w:rPr>
          <w:color w:val="000000"/>
          <w:sz w:val="22"/>
          <w:szCs w:val="22"/>
        </w:rPr>
      </w:pPr>
    </w:p>
    <w:p w14:paraId="1A2BD07C" w14:textId="77777777" w:rsidR="003D1EAA" w:rsidRDefault="003D1EAA">
      <w:pPr>
        <w:spacing w:after="100"/>
        <w:jc w:val="center"/>
        <w:rPr>
          <w:color w:val="000000"/>
          <w:sz w:val="22"/>
          <w:szCs w:val="22"/>
        </w:rPr>
      </w:pPr>
    </w:p>
    <w:p w14:paraId="2FCB16DA" w14:textId="77777777" w:rsidR="003D1EAA" w:rsidRDefault="003D1EAA">
      <w:pPr>
        <w:spacing w:after="100"/>
        <w:jc w:val="center"/>
        <w:rPr>
          <w:color w:val="000000"/>
          <w:sz w:val="22"/>
          <w:szCs w:val="22"/>
        </w:rPr>
      </w:pPr>
    </w:p>
    <w:p w14:paraId="1AA351FB" w14:textId="77777777" w:rsidR="003D1EAA" w:rsidRDefault="003D1EAA">
      <w:pPr>
        <w:spacing w:after="100"/>
        <w:jc w:val="center"/>
        <w:rPr>
          <w:color w:val="000000"/>
          <w:sz w:val="22"/>
          <w:szCs w:val="22"/>
        </w:rPr>
      </w:pPr>
    </w:p>
    <w:p w14:paraId="621AF9A2" w14:textId="77777777" w:rsidR="003D1EAA" w:rsidRDefault="003D1EAA">
      <w:pPr>
        <w:spacing w:after="100"/>
        <w:jc w:val="center"/>
        <w:rPr>
          <w:color w:val="000000"/>
          <w:sz w:val="22"/>
          <w:szCs w:val="22"/>
        </w:rPr>
      </w:pPr>
    </w:p>
    <w:p w14:paraId="69EA0395" w14:textId="77777777" w:rsidR="0020635C" w:rsidRDefault="0020635C" w:rsidP="0020635C">
      <w:pPr>
        <w:spacing w:after="100"/>
      </w:pPr>
    </w:p>
    <w:p w14:paraId="64E40072" w14:textId="7B514EF0" w:rsidR="00A35FEF" w:rsidRPr="0020635C" w:rsidRDefault="00E27F35" w:rsidP="0020635C">
      <w:pPr>
        <w:spacing w:after="100"/>
        <w:rPr>
          <w:b/>
          <w:bCs/>
        </w:rPr>
      </w:pPr>
      <w:r w:rsidRPr="0020635C">
        <w:rPr>
          <w:b/>
          <w:bCs/>
          <w:color w:val="000000"/>
          <w:sz w:val="22"/>
          <w:szCs w:val="22"/>
        </w:rPr>
        <w:t>Student name:</w:t>
      </w:r>
      <w:r w:rsidR="0020635C">
        <w:rPr>
          <w:b/>
          <w:bCs/>
          <w:color w:val="000000"/>
          <w:sz w:val="22"/>
          <w:szCs w:val="22"/>
        </w:rPr>
        <w:t xml:space="preserve"> </w:t>
      </w:r>
      <w:r w:rsidR="00D560A6">
        <w:rPr>
          <w:b/>
          <w:bCs/>
          <w:color w:val="000000"/>
          <w:sz w:val="22"/>
          <w:szCs w:val="22"/>
        </w:rPr>
        <w:t xml:space="preserve">Het </w:t>
      </w:r>
      <w:r w:rsidR="00EF3AA1">
        <w:rPr>
          <w:b/>
          <w:bCs/>
          <w:color w:val="000000"/>
          <w:sz w:val="22"/>
          <w:szCs w:val="22"/>
        </w:rPr>
        <w:t>P</w:t>
      </w:r>
      <w:r w:rsidR="00D560A6">
        <w:rPr>
          <w:b/>
          <w:bCs/>
          <w:color w:val="000000"/>
          <w:sz w:val="22"/>
          <w:szCs w:val="22"/>
        </w:rPr>
        <w:t>atel</w:t>
      </w:r>
    </w:p>
    <w:p w14:paraId="19F214B8" w14:textId="4C3B26CF" w:rsidR="00A35FEF" w:rsidRPr="0020635C" w:rsidRDefault="00E27F35" w:rsidP="0020635C">
      <w:pPr>
        <w:spacing w:after="100"/>
        <w:rPr>
          <w:b/>
          <w:bCs/>
          <w:color w:val="000000"/>
          <w:sz w:val="22"/>
          <w:szCs w:val="22"/>
        </w:rPr>
      </w:pPr>
      <w:r w:rsidRPr="0020635C">
        <w:rPr>
          <w:b/>
          <w:bCs/>
          <w:color w:val="000000"/>
          <w:sz w:val="22"/>
          <w:szCs w:val="22"/>
        </w:rPr>
        <w:t>Student ID:</w:t>
      </w:r>
      <w:r w:rsidR="0020635C">
        <w:rPr>
          <w:b/>
          <w:bCs/>
          <w:color w:val="000000"/>
          <w:sz w:val="22"/>
          <w:szCs w:val="22"/>
        </w:rPr>
        <w:t xml:space="preserve"> </w:t>
      </w:r>
      <w:r w:rsidR="00D560A6">
        <w:rPr>
          <w:b/>
          <w:bCs/>
          <w:color w:val="000000"/>
          <w:sz w:val="22"/>
          <w:szCs w:val="22"/>
        </w:rPr>
        <w:t>2520734</w:t>
      </w:r>
      <w:r w:rsidRPr="0020635C">
        <w:rPr>
          <w:b/>
          <w:bCs/>
          <w:color w:val="000000"/>
          <w:sz w:val="22"/>
          <w:szCs w:val="22"/>
        </w:rPr>
        <w:t xml:space="preserve"> </w:t>
      </w:r>
    </w:p>
    <w:p w14:paraId="1991F72B" w14:textId="67BC46B6" w:rsidR="0020635C" w:rsidRPr="0020635C" w:rsidRDefault="0020635C" w:rsidP="0020635C">
      <w:pPr>
        <w:spacing w:after="100"/>
        <w:rPr>
          <w:b/>
          <w:bCs/>
          <w:color w:val="000000"/>
          <w:sz w:val="22"/>
          <w:szCs w:val="22"/>
        </w:rPr>
      </w:pPr>
      <w:r w:rsidRPr="0020635C">
        <w:rPr>
          <w:b/>
          <w:bCs/>
          <w:color w:val="000000"/>
          <w:sz w:val="22"/>
          <w:szCs w:val="22"/>
        </w:rPr>
        <w:t>Module Name:</w:t>
      </w:r>
      <w:r>
        <w:rPr>
          <w:b/>
          <w:bCs/>
          <w:color w:val="000000"/>
          <w:sz w:val="22"/>
          <w:szCs w:val="22"/>
        </w:rPr>
        <w:t xml:space="preserve"> </w:t>
      </w:r>
      <w:r w:rsidR="00EF3AA1">
        <w:rPr>
          <w:b/>
          <w:bCs/>
          <w:color w:val="000000"/>
          <w:sz w:val="22"/>
          <w:szCs w:val="22"/>
        </w:rPr>
        <w:t xml:space="preserve">Human </w:t>
      </w:r>
      <w:r w:rsidR="00F51C8B">
        <w:rPr>
          <w:b/>
          <w:bCs/>
          <w:color w:val="000000"/>
          <w:sz w:val="22"/>
          <w:szCs w:val="22"/>
        </w:rPr>
        <w:t>Capital Management</w:t>
      </w:r>
    </w:p>
    <w:p w14:paraId="5BF374BC" w14:textId="45C63973" w:rsidR="0020635C" w:rsidRPr="0020635C" w:rsidRDefault="0020635C" w:rsidP="0020635C">
      <w:pPr>
        <w:spacing w:after="100"/>
        <w:rPr>
          <w:b/>
          <w:bCs/>
          <w:color w:val="000000"/>
          <w:sz w:val="22"/>
          <w:szCs w:val="22"/>
        </w:rPr>
      </w:pPr>
      <w:r w:rsidRPr="0020635C">
        <w:rPr>
          <w:b/>
          <w:bCs/>
          <w:color w:val="000000"/>
          <w:sz w:val="22"/>
          <w:szCs w:val="22"/>
        </w:rPr>
        <w:t>Module code:</w:t>
      </w:r>
      <w:r>
        <w:rPr>
          <w:b/>
          <w:bCs/>
          <w:color w:val="000000"/>
          <w:sz w:val="22"/>
          <w:szCs w:val="22"/>
        </w:rPr>
        <w:t xml:space="preserve"> </w:t>
      </w:r>
      <w:r w:rsidR="00825E4F">
        <w:rPr>
          <w:b/>
          <w:bCs/>
          <w:color w:val="000000"/>
          <w:sz w:val="22"/>
          <w:szCs w:val="22"/>
        </w:rPr>
        <w:t>LCMB7023</w:t>
      </w:r>
    </w:p>
    <w:p w14:paraId="7125B1C7" w14:textId="1B7D4A92" w:rsidR="0020635C" w:rsidRPr="0020635C" w:rsidRDefault="0020635C" w:rsidP="0020635C">
      <w:pPr>
        <w:spacing w:after="100"/>
        <w:rPr>
          <w:b/>
          <w:bCs/>
          <w:color w:val="000000"/>
          <w:sz w:val="22"/>
          <w:szCs w:val="22"/>
        </w:rPr>
      </w:pPr>
      <w:r w:rsidRPr="0020635C">
        <w:rPr>
          <w:b/>
          <w:bCs/>
          <w:color w:val="000000"/>
          <w:sz w:val="22"/>
          <w:szCs w:val="22"/>
        </w:rPr>
        <w:t>Lecturer Name:</w:t>
      </w:r>
      <w:r>
        <w:rPr>
          <w:b/>
          <w:bCs/>
          <w:color w:val="000000"/>
          <w:sz w:val="22"/>
          <w:szCs w:val="22"/>
        </w:rPr>
        <w:t xml:space="preserve"> </w:t>
      </w:r>
      <w:r w:rsidR="00CA1F90">
        <w:rPr>
          <w:b/>
          <w:bCs/>
          <w:color w:val="000000"/>
          <w:sz w:val="22"/>
          <w:szCs w:val="22"/>
        </w:rPr>
        <w:t>Gladius Kulo</w:t>
      </w:r>
      <w:r w:rsidR="00E9718D">
        <w:rPr>
          <w:b/>
          <w:bCs/>
          <w:color w:val="000000"/>
          <w:sz w:val="22"/>
          <w:szCs w:val="22"/>
        </w:rPr>
        <w:t>thungan Eno Maycock</w:t>
      </w:r>
    </w:p>
    <w:p w14:paraId="1C4C4F18" w14:textId="77777777" w:rsidR="0020635C" w:rsidRDefault="0020635C">
      <w:pPr>
        <w:spacing w:after="100"/>
        <w:jc w:val="center"/>
      </w:pPr>
    </w:p>
    <w:p w14:paraId="0A715555" w14:textId="155DAA93" w:rsidR="00A35FEF" w:rsidRDefault="003D1EAA">
      <w:pPr>
        <w:rPr>
          <w:color w:val="000000"/>
          <w:sz w:val="22"/>
          <w:szCs w:val="22"/>
        </w:rPr>
      </w:pPr>
      <w:r>
        <w:rPr>
          <w:color w:val="000000"/>
          <w:sz w:val="22"/>
          <w:szCs w:val="22"/>
        </w:rPr>
        <w:t xml:space="preserve"> </w:t>
      </w:r>
    </w:p>
    <w:p w14:paraId="38E34E35" w14:textId="77777777" w:rsidR="00A35FEF" w:rsidRDefault="00E27F35">
      <w:pPr>
        <w:spacing w:after="160"/>
      </w:pPr>
      <w:r>
        <w:rPr>
          <w:b/>
          <w:bCs/>
          <w:sz w:val="30"/>
          <w:szCs w:val="30"/>
        </w:rPr>
        <w:t>Table of Contents</w:t>
      </w:r>
    </w:p>
    <w:sdt>
      <w:sdtPr>
        <w:alias w:val="Table of Contents"/>
        <w:id w:val="-568653301"/>
      </w:sdtPr>
      <w:sdtContent>
        <w:p w14:paraId="033C272B" w14:textId="77777777" w:rsidR="00F76B09" w:rsidRDefault="00E27F35">
          <w:pPr>
            <w:pStyle w:val="TOC1"/>
            <w:tabs>
              <w:tab w:val="right" w:leader="dot" w:pos="9350"/>
            </w:tabs>
            <w:rPr>
              <w:noProof/>
            </w:rPr>
          </w:pPr>
          <w:r>
            <w:fldChar w:fldCharType="begin"/>
          </w:r>
          <w:r>
            <w:instrText>TOC \h \o "1-2"</w:instrText>
          </w:r>
          <w:r>
            <w:fldChar w:fldCharType="separate"/>
          </w:r>
          <w:hyperlink w:anchor="_Toc234431389" w:history="1">
            <w:r w:rsidR="00F76B09" w:rsidRPr="00006BF5">
              <w:rPr>
                <w:rStyle w:val="Hyperlink"/>
                <w:b/>
                <w:bCs/>
                <w:noProof/>
              </w:rPr>
              <w:t>1. Introduction</w:t>
            </w:r>
            <w:r w:rsidR="00F76B09">
              <w:rPr>
                <w:noProof/>
              </w:rPr>
              <w:tab/>
            </w:r>
            <w:r w:rsidR="00F76B09">
              <w:rPr>
                <w:noProof/>
              </w:rPr>
              <w:fldChar w:fldCharType="begin"/>
            </w:r>
            <w:r w:rsidR="00F76B09">
              <w:rPr>
                <w:noProof/>
              </w:rPr>
              <w:instrText xml:space="preserve"> PAGEREF _Toc234431389 \h </w:instrText>
            </w:r>
            <w:r w:rsidR="00F76B09">
              <w:rPr>
                <w:noProof/>
              </w:rPr>
            </w:r>
            <w:r w:rsidR="00F76B09">
              <w:rPr>
                <w:noProof/>
              </w:rPr>
              <w:fldChar w:fldCharType="separate"/>
            </w:r>
            <w:r w:rsidR="00F76B09">
              <w:rPr>
                <w:noProof/>
              </w:rPr>
              <w:t>1</w:t>
            </w:r>
            <w:r w:rsidR="00F76B09">
              <w:rPr>
                <w:noProof/>
              </w:rPr>
              <w:fldChar w:fldCharType="end"/>
            </w:r>
          </w:hyperlink>
        </w:p>
        <w:p w14:paraId="35B73CEB" w14:textId="77777777" w:rsidR="00F76B09" w:rsidRDefault="00F76B09">
          <w:pPr>
            <w:pStyle w:val="TOC1"/>
            <w:tabs>
              <w:tab w:val="right" w:leader="dot" w:pos="9350"/>
            </w:tabs>
            <w:rPr>
              <w:noProof/>
            </w:rPr>
          </w:pPr>
          <w:hyperlink w:anchor="_Toc234431390" w:history="1">
            <w:r w:rsidRPr="00006BF5">
              <w:rPr>
                <w:rStyle w:val="Hyperlink"/>
                <w:b/>
                <w:bCs/>
                <w:noProof/>
              </w:rPr>
              <w:t>2. Task A: Socialisation, Identity and Business Activism</w:t>
            </w:r>
            <w:r>
              <w:rPr>
                <w:noProof/>
              </w:rPr>
              <w:tab/>
            </w:r>
            <w:r>
              <w:rPr>
                <w:noProof/>
              </w:rPr>
              <w:fldChar w:fldCharType="begin"/>
            </w:r>
            <w:r>
              <w:rPr>
                <w:noProof/>
              </w:rPr>
              <w:instrText xml:space="preserve"> PAGEREF _Toc234431390 \h </w:instrText>
            </w:r>
            <w:r>
              <w:rPr>
                <w:noProof/>
              </w:rPr>
            </w:r>
            <w:r>
              <w:rPr>
                <w:noProof/>
              </w:rPr>
              <w:fldChar w:fldCharType="separate"/>
            </w:r>
            <w:r>
              <w:rPr>
                <w:noProof/>
              </w:rPr>
              <w:t>1</w:t>
            </w:r>
            <w:r>
              <w:rPr>
                <w:noProof/>
              </w:rPr>
              <w:fldChar w:fldCharType="end"/>
            </w:r>
          </w:hyperlink>
        </w:p>
        <w:p w14:paraId="51A8C1DD" w14:textId="77777777" w:rsidR="00F76B09" w:rsidRDefault="00F76B09">
          <w:pPr>
            <w:pStyle w:val="TOC2"/>
            <w:tabs>
              <w:tab w:val="right" w:leader="dot" w:pos="9350"/>
            </w:tabs>
            <w:rPr>
              <w:noProof/>
            </w:rPr>
          </w:pPr>
          <w:hyperlink w:anchor="_Toc234431391" w:history="1">
            <w:r w:rsidRPr="00006BF5">
              <w:rPr>
                <w:rStyle w:val="Hyperlink"/>
                <w:b/>
                <w:bCs/>
                <w:noProof/>
              </w:rPr>
              <w:t>2.1 From traditional onboarding to strategic socialisation</w:t>
            </w:r>
            <w:r>
              <w:rPr>
                <w:noProof/>
              </w:rPr>
              <w:tab/>
            </w:r>
            <w:r>
              <w:rPr>
                <w:noProof/>
              </w:rPr>
              <w:fldChar w:fldCharType="begin"/>
            </w:r>
            <w:r>
              <w:rPr>
                <w:noProof/>
              </w:rPr>
              <w:instrText xml:space="preserve"> PAGEREF _Toc234431391 \h </w:instrText>
            </w:r>
            <w:r>
              <w:rPr>
                <w:noProof/>
              </w:rPr>
            </w:r>
            <w:r>
              <w:rPr>
                <w:noProof/>
              </w:rPr>
              <w:fldChar w:fldCharType="separate"/>
            </w:r>
            <w:r>
              <w:rPr>
                <w:noProof/>
              </w:rPr>
              <w:t>1</w:t>
            </w:r>
            <w:r>
              <w:rPr>
                <w:noProof/>
              </w:rPr>
              <w:fldChar w:fldCharType="end"/>
            </w:r>
          </w:hyperlink>
        </w:p>
        <w:p w14:paraId="5222187F" w14:textId="77777777" w:rsidR="00F76B09" w:rsidRDefault="00F76B09">
          <w:pPr>
            <w:pStyle w:val="TOC2"/>
            <w:tabs>
              <w:tab w:val="right" w:leader="dot" w:pos="9350"/>
            </w:tabs>
            <w:rPr>
              <w:noProof/>
            </w:rPr>
          </w:pPr>
          <w:hyperlink w:anchor="_Toc234431392" w:history="1">
            <w:r w:rsidRPr="00006BF5">
              <w:rPr>
                <w:rStyle w:val="Hyperlink"/>
                <w:b/>
                <w:bCs/>
                <w:noProof/>
              </w:rPr>
              <w:t>2.2 A structured socialisation framework for Helios</w:t>
            </w:r>
            <w:r>
              <w:rPr>
                <w:noProof/>
              </w:rPr>
              <w:tab/>
            </w:r>
            <w:r>
              <w:rPr>
                <w:noProof/>
              </w:rPr>
              <w:fldChar w:fldCharType="begin"/>
            </w:r>
            <w:r>
              <w:rPr>
                <w:noProof/>
              </w:rPr>
              <w:instrText xml:space="preserve"> PAGEREF _Toc234431392 \h </w:instrText>
            </w:r>
            <w:r>
              <w:rPr>
                <w:noProof/>
              </w:rPr>
            </w:r>
            <w:r>
              <w:rPr>
                <w:noProof/>
              </w:rPr>
              <w:fldChar w:fldCharType="separate"/>
            </w:r>
            <w:r>
              <w:rPr>
                <w:noProof/>
              </w:rPr>
              <w:t>1</w:t>
            </w:r>
            <w:r>
              <w:rPr>
                <w:noProof/>
              </w:rPr>
              <w:fldChar w:fldCharType="end"/>
            </w:r>
          </w:hyperlink>
        </w:p>
        <w:p w14:paraId="0112987B" w14:textId="77777777" w:rsidR="00F76B09" w:rsidRDefault="00F76B09">
          <w:pPr>
            <w:pStyle w:val="TOC2"/>
            <w:tabs>
              <w:tab w:val="right" w:leader="dot" w:pos="9350"/>
            </w:tabs>
            <w:rPr>
              <w:noProof/>
            </w:rPr>
          </w:pPr>
          <w:hyperlink w:anchor="_Toc234431393" w:history="1">
            <w:r w:rsidRPr="00006BF5">
              <w:rPr>
                <w:rStyle w:val="Hyperlink"/>
                <w:b/>
                <w:bCs/>
                <w:noProof/>
              </w:rPr>
              <w:t>2.3 Building identification, ethics and a business activist mindset</w:t>
            </w:r>
            <w:r>
              <w:rPr>
                <w:noProof/>
              </w:rPr>
              <w:tab/>
            </w:r>
            <w:r>
              <w:rPr>
                <w:noProof/>
              </w:rPr>
              <w:fldChar w:fldCharType="begin"/>
            </w:r>
            <w:r>
              <w:rPr>
                <w:noProof/>
              </w:rPr>
              <w:instrText xml:space="preserve"> PAGEREF _Toc234431393 \h </w:instrText>
            </w:r>
            <w:r>
              <w:rPr>
                <w:noProof/>
              </w:rPr>
            </w:r>
            <w:r>
              <w:rPr>
                <w:noProof/>
              </w:rPr>
              <w:fldChar w:fldCharType="separate"/>
            </w:r>
            <w:r>
              <w:rPr>
                <w:noProof/>
              </w:rPr>
              <w:t>1</w:t>
            </w:r>
            <w:r>
              <w:rPr>
                <w:noProof/>
              </w:rPr>
              <w:fldChar w:fldCharType="end"/>
            </w:r>
          </w:hyperlink>
        </w:p>
        <w:p w14:paraId="41706014" w14:textId="77777777" w:rsidR="00F76B09" w:rsidRDefault="00F76B09">
          <w:pPr>
            <w:pStyle w:val="TOC1"/>
            <w:tabs>
              <w:tab w:val="right" w:leader="dot" w:pos="9350"/>
            </w:tabs>
            <w:rPr>
              <w:noProof/>
            </w:rPr>
          </w:pPr>
          <w:hyperlink w:anchor="_Toc234431394" w:history="1">
            <w:r w:rsidRPr="00006BF5">
              <w:rPr>
                <w:rStyle w:val="Hyperlink"/>
                <w:b/>
                <w:bCs/>
                <w:noProof/>
              </w:rPr>
              <w:t>3. Task B: Job Design</w:t>
            </w:r>
            <w:r>
              <w:rPr>
                <w:noProof/>
              </w:rPr>
              <w:tab/>
            </w:r>
            <w:r>
              <w:rPr>
                <w:noProof/>
              </w:rPr>
              <w:fldChar w:fldCharType="begin"/>
            </w:r>
            <w:r>
              <w:rPr>
                <w:noProof/>
              </w:rPr>
              <w:instrText xml:space="preserve"> PAGEREF _Toc234431394 \h </w:instrText>
            </w:r>
            <w:r>
              <w:rPr>
                <w:noProof/>
              </w:rPr>
            </w:r>
            <w:r>
              <w:rPr>
                <w:noProof/>
              </w:rPr>
              <w:fldChar w:fldCharType="separate"/>
            </w:r>
            <w:r>
              <w:rPr>
                <w:noProof/>
              </w:rPr>
              <w:t>1</w:t>
            </w:r>
            <w:r>
              <w:rPr>
                <w:noProof/>
              </w:rPr>
              <w:fldChar w:fldCharType="end"/>
            </w:r>
          </w:hyperlink>
        </w:p>
        <w:p w14:paraId="0F22BE5B" w14:textId="77777777" w:rsidR="00F76B09" w:rsidRDefault="00F76B09">
          <w:pPr>
            <w:pStyle w:val="TOC2"/>
            <w:tabs>
              <w:tab w:val="right" w:leader="dot" w:pos="9350"/>
            </w:tabs>
            <w:rPr>
              <w:noProof/>
            </w:rPr>
          </w:pPr>
          <w:hyperlink w:anchor="_Toc234431395" w:history="1">
            <w:r w:rsidRPr="00006BF5">
              <w:rPr>
                <w:rStyle w:val="Hyperlink"/>
                <w:b/>
                <w:bCs/>
                <w:noProof/>
              </w:rPr>
              <w:t>3.1 An innovative job design strategy</w:t>
            </w:r>
            <w:r>
              <w:rPr>
                <w:noProof/>
              </w:rPr>
              <w:tab/>
            </w:r>
            <w:r>
              <w:rPr>
                <w:noProof/>
              </w:rPr>
              <w:fldChar w:fldCharType="begin"/>
            </w:r>
            <w:r>
              <w:rPr>
                <w:noProof/>
              </w:rPr>
              <w:instrText xml:space="preserve"> PAGEREF _Toc234431395 \h </w:instrText>
            </w:r>
            <w:r>
              <w:rPr>
                <w:noProof/>
              </w:rPr>
            </w:r>
            <w:r>
              <w:rPr>
                <w:noProof/>
              </w:rPr>
              <w:fldChar w:fldCharType="separate"/>
            </w:r>
            <w:r>
              <w:rPr>
                <w:noProof/>
              </w:rPr>
              <w:t>1</w:t>
            </w:r>
            <w:r>
              <w:rPr>
                <w:noProof/>
              </w:rPr>
              <w:fldChar w:fldCharType="end"/>
            </w:r>
          </w:hyperlink>
        </w:p>
        <w:p w14:paraId="42ED54E4" w14:textId="77777777" w:rsidR="00F76B09" w:rsidRDefault="00F76B09">
          <w:pPr>
            <w:pStyle w:val="TOC2"/>
            <w:tabs>
              <w:tab w:val="right" w:leader="dot" w:pos="9350"/>
            </w:tabs>
            <w:rPr>
              <w:noProof/>
            </w:rPr>
          </w:pPr>
          <w:hyperlink w:anchor="_Toc234431396" w:history="1">
            <w:r w:rsidRPr="00006BF5">
              <w:rPr>
                <w:rStyle w:val="Hyperlink"/>
                <w:b/>
                <w:bCs/>
                <w:noProof/>
              </w:rPr>
              <w:t>3.2 How the design stimulates intrinsic motivation and innovation</w:t>
            </w:r>
            <w:r>
              <w:rPr>
                <w:noProof/>
              </w:rPr>
              <w:tab/>
            </w:r>
            <w:r>
              <w:rPr>
                <w:noProof/>
              </w:rPr>
              <w:fldChar w:fldCharType="begin"/>
            </w:r>
            <w:r>
              <w:rPr>
                <w:noProof/>
              </w:rPr>
              <w:instrText xml:space="preserve"> PAGEREF _Toc234431396 \h </w:instrText>
            </w:r>
            <w:r>
              <w:rPr>
                <w:noProof/>
              </w:rPr>
            </w:r>
            <w:r>
              <w:rPr>
                <w:noProof/>
              </w:rPr>
              <w:fldChar w:fldCharType="separate"/>
            </w:r>
            <w:r>
              <w:rPr>
                <w:noProof/>
              </w:rPr>
              <w:t>1</w:t>
            </w:r>
            <w:r>
              <w:rPr>
                <w:noProof/>
              </w:rPr>
              <w:fldChar w:fldCharType="end"/>
            </w:r>
          </w:hyperlink>
        </w:p>
        <w:p w14:paraId="25DE92A2" w14:textId="77777777" w:rsidR="00F76B09" w:rsidRDefault="00F76B09">
          <w:pPr>
            <w:pStyle w:val="TOC1"/>
            <w:tabs>
              <w:tab w:val="right" w:leader="dot" w:pos="9350"/>
            </w:tabs>
            <w:rPr>
              <w:noProof/>
            </w:rPr>
          </w:pPr>
          <w:hyperlink w:anchor="_Toc234431397" w:history="1">
            <w:r w:rsidRPr="00006BF5">
              <w:rPr>
                <w:rStyle w:val="Hyperlink"/>
                <w:b/>
                <w:bCs/>
                <w:noProof/>
              </w:rPr>
              <w:t>4. Task C: Reflective Report</w:t>
            </w:r>
            <w:r>
              <w:rPr>
                <w:noProof/>
              </w:rPr>
              <w:tab/>
            </w:r>
            <w:r>
              <w:rPr>
                <w:noProof/>
              </w:rPr>
              <w:fldChar w:fldCharType="begin"/>
            </w:r>
            <w:r>
              <w:rPr>
                <w:noProof/>
              </w:rPr>
              <w:instrText xml:space="preserve"> PAGEREF _Toc234431397 \h </w:instrText>
            </w:r>
            <w:r>
              <w:rPr>
                <w:noProof/>
              </w:rPr>
            </w:r>
            <w:r>
              <w:rPr>
                <w:noProof/>
              </w:rPr>
              <w:fldChar w:fldCharType="separate"/>
            </w:r>
            <w:r>
              <w:rPr>
                <w:noProof/>
              </w:rPr>
              <w:t>1</w:t>
            </w:r>
            <w:r>
              <w:rPr>
                <w:noProof/>
              </w:rPr>
              <w:fldChar w:fldCharType="end"/>
            </w:r>
          </w:hyperlink>
        </w:p>
        <w:p w14:paraId="66AC2897" w14:textId="77777777" w:rsidR="00F76B09" w:rsidRDefault="00F76B09">
          <w:pPr>
            <w:pStyle w:val="TOC2"/>
            <w:tabs>
              <w:tab w:val="right" w:leader="dot" w:pos="9350"/>
            </w:tabs>
            <w:rPr>
              <w:noProof/>
            </w:rPr>
          </w:pPr>
          <w:hyperlink w:anchor="_Toc234431398" w:history="1">
            <w:r w:rsidRPr="00006BF5">
              <w:rPr>
                <w:rStyle w:val="Hyperlink"/>
                <w:b/>
                <w:bCs/>
                <w:noProof/>
              </w:rPr>
              <w:t>4.1 Using AI as a decision-support tool without eroding human judgement</w:t>
            </w:r>
            <w:r>
              <w:rPr>
                <w:noProof/>
              </w:rPr>
              <w:tab/>
            </w:r>
            <w:r>
              <w:rPr>
                <w:noProof/>
              </w:rPr>
              <w:fldChar w:fldCharType="begin"/>
            </w:r>
            <w:r>
              <w:rPr>
                <w:noProof/>
              </w:rPr>
              <w:instrText xml:space="preserve"> PAGEREF _Toc234431398 \h </w:instrText>
            </w:r>
            <w:r>
              <w:rPr>
                <w:noProof/>
              </w:rPr>
            </w:r>
            <w:r>
              <w:rPr>
                <w:noProof/>
              </w:rPr>
              <w:fldChar w:fldCharType="separate"/>
            </w:r>
            <w:r>
              <w:rPr>
                <w:noProof/>
              </w:rPr>
              <w:t>1</w:t>
            </w:r>
            <w:r>
              <w:rPr>
                <w:noProof/>
              </w:rPr>
              <w:fldChar w:fldCharType="end"/>
            </w:r>
          </w:hyperlink>
        </w:p>
        <w:p w14:paraId="759E1D97" w14:textId="77777777" w:rsidR="00F76B09" w:rsidRDefault="00F76B09">
          <w:pPr>
            <w:pStyle w:val="TOC2"/>
            <w:tabs>
              <w:tab w:val="right" w:leader="dot" w:pos="9350"/>
            </w:tabs>
            <w:rPr>
              <w:noProof/>
            </w:rPr>
          </w:pPr>
          <w:hyperlink w:anchor="_Toc234431399" w:history="1">
            <w:r w:rsidRPr="00006BF5">
              <w:rPr>
                <w:rStyle w:val="Hyperlink"/>
                <w:b/>
                <w:bCs/>
                <w:noProof/>
              </w:rPr>
              <w:t>4.2 Personal capability development plan</w:t>
            </w:r>
            <w:r>
              <w:rPr>
                <w:noProof/>
              </w:rPr>
              <w:tab/>
            </w:r>
            <w:r>
              <w:rPr>
                <w:noProof/>
              </w:rPr>
              <w:fldChar w:fldCharType="begin"/>
            </w:r>
            <w:r>
              <w:rPr>
                <w:noProof/>
              </w:rPr>
              <w:instrText xml:space="preserve"> PAGEREF _Toc234431399 \h </w:instrText>
            </w:r>
            <w:r>
              <w:rPr>
                <w:noProof/>
              </w:rPr>
            </w:r>
            <w:r>
              <w:rPr>
                <w:noProof/>
              </w:rPr>
              <w:fldChar w:fldCharType="separate"/>
            </w:r>
            <w:r>
              <w:rPr>
                <w:noProof/>
              </w:rPr>
              <w:t>1</w:t>
            </w:r>
            <w:r>
              <w:rPr>
                <w:noProof/>
              </w:rPr>
              <w:fldChar w:fldCharType="end"/>
            </w:r>
          </w:hyperlink>
        </w:p>
        <w:p w14:paraId="4DE229E8" w14:textId="77777777" w:rsidR="00F76B09" w:rsidRDefault="00F76B09">
          <w:pPr>
            <w:pStyle w:val="TOC1"/>
            <w:tabs>
              <w:tab w:val="right" w:leader="dot" w:pos="9350"/>
            </w:tabs>
            <w:rPr>
              <w:noProof/>
            </w:rPr>
          </w:pPr>
          <w:hyperlink w:anchor="_Toc234431400" w:history="1">
            <w:r w:rsidRPr="00006BF5">
              <w:rPr>
                <w:rStyle w:val="Hyperlink"/>
                <w:b/>
                <w:bCs/>
                <w:noProof/>
              </w:rPr>
              <w:t>5. Conclusion</w:t>
            </w:r>
            <w:r>
              <w:rPr>
                <w:noProof/>
              </w:rPr>
              <w:tab/>
            </w:r>
            <w:r>
              <w:rPr>
                <w:noProof/>
              </w:rPr>
              <w:fldChar w:fldCharType="begin"/>
            </w:r>
            <w:r>
              <w:rPr>
                <w:noProof/>
              </w:rPr>
              <w:instrText xml:space="preserve"> PAGEREF _Toc234431400 \h </w:instrText>
            </w:r>
            <w:r>
              <w:rPr>
                <w:noProof/>
              </w:rPr>
            </w:r>
            <w:r>
              <w:rPr>
                <w:noProof/>
              </w:rPr>
              <w:fldChar w:fldCharType="separate"/>
            </w:r>
            <w:r>
              <w:rPr>
                <w:noProof/>
              </w:rPr>
              <w:t>1</w:t>
            </w:r>
            <w:r>
              <w:rPr>
                <w:noProof/>
              </w:rPr>
              <w:fldChar w:fldCharType="end"/>
            </w:r>
          </w:hyperlink>
        </w:p>
        <w:p w14:paraId="786E9374" w14:textId="77777777" w:rsidR="00F76B09" w:rsidRDefault="00F76B09">
          <w:pPr>
            <w:pStyle w:val="TOC1"/>
            <w:tabs>
              <w:tab w:val="right" w:leader="dot" w:pos="9350"/>
            </w:tabs>
            <w:rPr>
              <w:noProof/>
            </w:rPr>
          </w:pPr>
          <w:hyperlink w:anchor="_Toc234431401" w:history="1">
            <w:r w:rsidRPr="00006BF5">
              <w:rPr>
                <w:rStyle w:val="Hyperlink"/>
                <w:b/>
                <w:bCs/>
                <w:noProof/>
              </w:rPr>
              <w:t>6. References</w:t>
            </w:r>
            <w:r>
              <w:rPr>
                <w:noProof/>
              </w:rPr>
              <w:tab/>
            </w:r>
            <w:r>
              <w:rPr>
                <w:noProof/>
              </w:rPr>
              <w:fldChar w:fldCharType="begin"/>
            </w:r>
            <w:r>
              <w:rPr>
                <w:noProof/>
              </w:rPr>
              <w:instrText xml:space="preserve"> PAGEREF _Toc234431401 \h </w:instrText>
            </w:r>
            <w:r>
              <w:rPr>
                <w:noProof/>
              </w:rPr>
            </w:r>
            <w:r>
              <w:rPr>
                <w:noProof/>
              </w:rPr>
              <w:fldChar w:fldCharType="separate"/>
            </w:r>
            <w:r>
              <w:rPr>
                <w:noProof/>
              </w:rPr>
              <w:t>1</w:t>
            </w:r>
            <w:r>
              <w:rPr>
                <w:noProof/>
              </w:rPr>
              <w:fldChar w:fldCharType="end"/>
            </w:r>
          </w:hyperlink>
        </w:p>
        <w:p w14:paraId="451BB1BE" w14:textId="77777777" w:rsidR="00A35FEF" w:rsidRDefault="00E27F35">
          <w:r>
            <w:fldChar w:fldCharType="end"/>
          </w:r>
        </w:p>
      </w:sdtContent>
    </w:sdt>
    <w:p w14:paraId="527E8F61" w14:textId="77777777" w:rsidR="00A35FEF" w:rsidRDefault="00E27F35">
      <w:r>
        <w:br w:type="page"/>
      </w:r>
    </w:p>
    <w:p w14:paraId="5C4F4F68" w14:textId="77777777" w:rsidR="00A35FEF" w:rsidRDefault="00E27F35">
      <w:pPr>
        <w:pStyle w:val="Heading1"/>
        <w:spacing w:before="240" w:after="140"/>
      </w:pPr>
      <w:bookmarkStart w:id="0" w:name="_Toc234431389"/>
      <w:r>
        <w:rPr>
          <w:b/>
          <w:bCs/>
          <w:sz w:val="30"/>
          <w:szCs w:val="30"/>
        </w:rPr>
        <w:lastRenderedPageBreak/>
        <w:t>1. Introduction</w:t>
      </w:r>
      <w:bookmarkEnd w:id="0"/>
    </w:p>
    <w:p w14:paraId="69A63A72" w14:textId="40F12BC9" w:rsidR="00A35FEF" w:rsidRDefault="00E27F35">
      <w:pPr>
        <w:spacing w:after="160" w:line="360" w:lineRule="auto"/>
        <w:jc w:val="both"/>
      </w:pPr>
      <w:r>
        <w:t>Helios Urban Mobility (HUM) has grown quickly, but that growth has exposed real cracks in how it manages its people. New hires take around eight months to become fully productive, the latest engagement score sits at 54%, and the company keeps losing its most promising graduates. These are not three separate issues but symptoms of one underlying cause: a people system built for a small start-up that has not kept pace with a 450-person business across London, Berlin and Singapore. Writing as an external Strategic Human Capital Advisor, this report sets out how Helios can rebuild that system. Task A designs a socialisation and identity framework that turns new joiners into committed members of the organisation. Task B proposes a job design strategy that keeps people motivated and encourages innovation. Task C reflects on the responsible use of AI and my own development as a practitioner. The wider context matters too: Gallup (2025) reports that global engagement fell to 21% in 2024, so Helios’s challenge is shared across the economy</w:t>
      </w:r>
      <w:r w:rsidR="00F76B09">
        <w:t xml:space="preserve"> </w:t>
      </w:r>
      <w:r>
        <w:t>but it is fixable. It should be noted that Helios’s 54% survey score and Gallup’s global 21% figure come from different surveys and measurement methods, so the comparison is indicative only.</w:t>
      </w:r>
    </w:p>
    <w:p w14:paraId="291D164F" w14:textId="77777777" w:rsidR="00A35FEF" w:rsidRDefault="00E27F35">
      <w:pPr>
        <w:pStyle w:val="Heading1"/>
        <w:spacing w:before="240" w:after="140"/>
      </w:pPr>
      <w:bookmarkStart w:id="1" w:name="_Toc234431390"/>
      <w:r>
        <w:rPr>
          <w:b/>
          <w:bCs/>
          <w:sz w:val="30"/>
          <w:szCs w:val="30"/>
        </w:rPr>
        <w:t>2. Task A: Socialisation, Identity and Business Activism</w:t>
      </w:r>
      <w:bookmarkEnd w:id="1"/>
    </w:p>
    <w:p w14:paraId="5BEDA7F1" w14:textId="77777777" w:rsidR="00A35FEF" w:rsidRDefault="00E27F35">
      <w:pPr>
        <w:pStyle w:val="Heading2"/>
        <w:spacing w:before="180" w:after="120"/>
      </w:pPr>
      <w:bookmarkStart w:id="2" w:name="_Toc234431391"/>
      <w:r>
        <w:rPr>
          <w:b/>
          <w:bCs/>
        </w:rPr>
        <w:t>2.1 From traditional onboarding to strategic socialisation</w:t>
      </w:r>
      <w:bookmarkEnd w:id="2"/>
    </w:p>
    <w:p w14:paraId="4750C12F" w14:textId="5017ED23" w:rsidR="00A35FEF" w:rsidRDefault="00E27F35">
      <w:pPr>
        <w:spacing w:after="160" w:line="360" w:lineRule="auto"/>
        <w:jc w:val="both"/>
      </w:pPr>
      <w:r>
        <w:t>Onboarding and socialisation are often treated as the same thing, but they are not. Traditional onboarding tends to be an administrative event: paperwork, IT set-up, a welcome talk and an office tour. Bauer (2010) describes this as the lowest of her four levels</w:t>
      </w:r>
      <w:r w:rsidR="00F76B09">
        <w:t xml:space="preserve"> </w:t>
      </w:r>
      <w:r>
        <w:t>compliance</w:t>
      </w:r>
      <w:r w:rsidR="00F76B09">
        <w:t xml:space="preserve"> </w:t>
      </w:r>
      <w:r>
        <w:t>followed by clarification, culture and connection. Most companies handle compliance well but stop there, which leaves the deeper work of belonging to chance. Organisational socialisation is broader. Van Maanen and Schein (1979) define it as the process through which a person learns the values, expected behaviours and social knowledge needed to take part in an organisation, and they argue that the way people are socialised shapes the kind of members they become.</w:t>
      </w:r>
    </w:p>
    <w:p w14:paraId="001012DA" w14:textId="77777777" w:rsidR="00A35FEF" w:rsidRDefault="00E27F35">
      <w:pPr>
        <w:spacing w:after="160" w:line="360" w:lineRule="auto"/>
        <w:jc w:val="both"/>
      </w:pPr>
      <w:r>
        <w:t xml:space="preserve">Their framework sets out six tactics, which Jones (1986) later grouped into two types. Institutionalised tactics (collective, formal, sequential, fixed, serial and investiture) give newcomers a structured, shared and guided experience. Individualised tactics, at the </w:t>
      </w:r>
      <w:r>
        <w:lastRenderedPageBreak/>
        <w:t>opposite ends, leave people to work things out alone. For Helios, the evidence favours structure. Saks, Uggerslev and Fassina’s (2007) meta-analysis of more than 30 studies found that institutionalised tactics are linked to higher role clarity, stronger commitment and lower turnover, and that recent graduates benefit most from them. Given that Helios is losing graduates and takes eight months to ramp people up, a mostly “sink or swim” approach is almost certainly part of the problem.</w:t>
      </w:r>
    </w:p>
    <w:p w14:paraId="03AFE275" w14:textId="77777777" w:rsidR="00A35FEF" w:rsidRDefault="00E27F35">
      <w:pPr>
        <w:spacing w:after="160" w:line="360" w:lineRule="auto"/>
        <w:jc w:val="both"/>
      </w:pPr>
      <w:r>
        <w:t>Psychological contract theory explains why this hurts so much. Rousseau (1995) describes the psychological contract as the set of unwritten beliefs an employee holds about what they owe the organisation and what it owes them, and early experiences set those expectations. When a graduate is promised growth and purpose at interview but then feels abandoned in their first months, that gap is read as a breach. Zhao et al. (2007) show that breaches are strongly linked to lower commitment and higher intention to quit. Strong socialisation, then, is not a nicety; it protects the very promises that made people join in the first place.</w:t>
      </w:r>
    </w:p>
    <w:p w14:paraId="0D8F4AE5" w14:textId="77777777" w:rsidR="00A35FEF" w:rsidRDefault="00E27F35">
      <w:pPr>
        <w:spacing w:after="160" w:line="360" w:lineRule="auto"/>
        <w:jc w:val="both"/>
      </w:pPr>
      <w:r>
        <w:t>Structure should not mean forcing everyone into the same mould, however. In a field experiment, Cable, Gino and Staats (2013) found that onboarding which lets newcomers express their authentic selves improved retention more than pure enculturation did. Helios’s framework accommodates this mainly through its pre-boarding and investiture stages, which welcome people as they are rather than trying to remake them.</w:t>
      </w:r>
    </w:p>
    <w:p w14:paraId="4D38F0A7" w14:textId="77777777" w:rsidR="00A35FEF" w:rsidRDefault="00E27F35">
      <w:pPr>
        <w:pStyle w:val="Heading2"/>
        <w:spacing w:before="180" w:after="120"/>
      </w:pPr>
      <w:bookmarkStart w:id="3" w:name="_Toc234431392"/>
      <w:r>
        <w:rPr>
          <w:b/>
          <w:bCs/>
        </w:rPr>
        <w:t>2.2 A structured socialisation framework for Helios</w:t>
      </w:r>
      <w:bookmarkEnd w:id="3"/>
    </w:p>
    <w:p w14:paraId="1C750690" w14:textId="77777777" w:rsidR="00A35FEF" w:rsidRDefault="00E27F35">
      <w:pPr>
        <w:spacing w:after="160" w:line="360" w:lineRule="auto"/>
        <w:jc w:val="both"/>
      </w:pPr>
      <w:r>
        <w:t>I propose a three-stage framework that runs from before the start date to the end of year one. It deliberately uses mostly institutionalised tactics in the early stages, then softens into individual freedom so that Helios does not lose the questioning, creative mindset a technology company needs. Table 1 summarises the design.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2600"/>
        <w:gridCol w:w="3560"/>
        <w:gridCol w:w="1700"/>
      </w:tblGrid>
      <w:tr w:rsidR="00A35FEF" w14:paraId="5B884DAF" w14:textId="77777777">
        <w:trPr>
          <w:tblHeader/>
        </w:trPr>
        <w:tc>
          <w:tcPr>
            <w:tcW w:w="1500" w:type="dxa"/>
            <w:shd w:val="clear" w:color="auto" w:fill="D9E2F3"/>
            <w:tcMar>
              <w:top w:w="60" w:type="dxa"/>
              <w:left w:w="80" w:type="dxa"/>
              <w:bottom w:w="60" w:type="dxa"/>
              <w:right w:w="80" w:type="dxa"/>
            </w:tcMar>
          </w:tcPr>
          <w:p w14:paraId="5089860C" w14:textId="77777777" w:rsidR="00A35FEF" w:rsidRDefault="00E27F35">
            <w:pPr>
              <w:spacing w:after="40"/>
            </w:pPr>
            <w:r>
              <w:rPr>
                <w:b/>
                <w:bCs/>
                <w:sz w:val="20"/>
                <w:szCs w:val="20"/>
              </w:rPr>
              <w:t>Stage</w:t>
            </w:r>
          </w:p>
        </w:tc>
        <w:tc>
          <w:tcPr>
            <w:tcW w:w="2600" w:type="dxa"/>
            <w:shd w:val="clear" w:color="auto" w:fill="D9E2F3"/>
            <w:tcMar>
              <w:top w:w="60" w:type="dxa"/>
              <w:left w:w="80" w:type="dxa"/>
              <w:bottom w:w="60" w:type="dxa"/>
              <w:right w:w="80" w:type="dxa"/>
            </w:tcMar>
          </w:tcPr>
          <w:p w14:paraId="46E85BFE" w14:textId="77777777" w:rsidR="00A35FEF" w:rsidRDefault="00E27F35">
            <w:pPr>
              <w:spacing w:after="40"/>
            </w:pPr>
            <w:r>
              <w:rPr>
                <w:b/>
                <w:bCs/>
                <w:sz w:val="20"/>
                <w:szCs w:val="20"/>
              </w:rPr>
              <w:t>Main focus</w:t>
            </w:r>
          </w:p>
        </w:tc>
        <w:tc>
          <w:tcPr>
            <w:tcW w:w="3560" w:type="dxa"/>
            <w:shd w:val="clear" w:color="auto" w:fill="D9E2F3"/>
            <w:tcMar>
              <w:top w:w="60" w:type="dxa"/>
              <w:left w:w="80" w:type="dxa"/>
              <w:bottom w:w="60" w:type="dxa"/>
              <w:right w:w="80" w:type="dxa"/>
            </w:tcMar>
          </w:tcPr>
          <w:p w14:paraId="5B1DECBF" w14:textId="77777777" w:rsidR="00A35FEF" w:rsidRDefault="00E27F35">
            <w:pPr>
              <w:spacing w:after="40"/>
            </w:pPr>
            <w:r>
              <w:rPr>
                <w:b/>
                <w:bCs/>
                <w:sz w:val="20"/>
                <w:szCs w:val="20"/>
              </w:rPr>
              <w:t>Key activities</w:t>
            </w:r>
          </w:p>
        </w:tc>
        <w:tc>
          <w:tcPr>
            <w:tcW w:w="1700" w:type="dxa"/>
            <w:shd w:val="clear" w:color="auto" w:fill="D9E2F3"/>
            <w:tcMar>
              <w:top w:w="60" w:type="dxa"/>
              <w:left w:w="80" w:type="dxa"/>
              <w:bottom w:w="60" w:type="dxa"/>
              <w:right w:w="80" w:type="dxa"/>
            </w:tcMar>
          </w:tcPr>
          <w:p w14:paraId="2610548C" w14:textId="77777777" w:rsidR="00A35FEF" w:rsidRDefault="00E27F35">
            <w:pPr>
              <w:spacing w:after="40"/>
            </w:pPr>
            <w:r>
              <w:rPr>
                <w:b/>
                <w:bCs/>
                <w:sz w:val="20"/>
                <w:szCs w:val="20"/>
              </w:rPr>
              <w:t>Theory link</w:t>
            </w:r>
          </w:p>
        </w:tc>
      </w:tr>
      <w:tr w:rsidR="00A35FEF" w14:paraId="65AB1B79" w14:textId="77777777">
        <w:tc>
          <w:tcPr>
            <w:tcW w:w="1500" w:type="dxa"/>
            <w:tcMar>
              <w:top w:w="60" w:type="dxa"/>
              <w:left w:w="80" w:type="dxa"/>
              <w:bottom w:w="60" w:type="dxa"/>
              <w:right w:w="80" w:type="dxa"/>
            </w:tcMar>
          </w:tcPr>
          <w:p w14:paraId="17190FB7" w14:textId="77777777" w:rsidR="00A35FEF" w:rsidRDefault="00E27F35">
            <w:pPr>
              <w:spacing w:after="40"/>
            </w:pPr>
            <w:r>
              <w:rPr>
                <w:sz w:val="20"/>
                <w:szCs w:val="20"/>
              </w:rPr>
              <w:t>Pre-boarding (offer → day one)</w:t>
            </w:r>
          </w:p>
        </w:tc>
        <w:tc>
          <w:tcPr>
            <w:tcW w:w="2600" w:type="dxa"/>
            <w:tcMar>
              <w:top w:w="60" w:type="dxa"/>
              <w:left w:w="80" w:type="dxa"/>
              <w:bottom w:w="60" w:type="dxa"/>
              <w:right w:w="80" w:type="dxa"/>
            </w:tcMar>
          </w:tcPr>
          <w:p w14:paraId="377C8A7D" w14:textId="77777777" w:rsidR="00A35FEF" w:rsidRDefault="00E27F35">
            <w:pPr>
              <w:spacing w:after="40"/>
            </w:pPr>
            <w:r>
              <w:rPr>
                <w:sz w:val="20"/>
                <w:szCs w:val="20"/>
              </w:rPr>
              <w:t>Reduce early uncertainty and start the relationship early</w:t>
            </w:r>
          </w:p>
        </w:tc>
        <w:tc>
          <w:tcPr>
            <w:tcW w:w="3560" w:type="dxa"/>
            <w:tcMar>
              <w:top w:w="60" w:type="dxa"/>
              <w:left w:w="80" w:type="dxa"/>
              <w:bottom w:w="60" w:type="dxa"/>
              <w:right w:w="80" w:type="dxa"/>
            </w:tcMar>
          </w:tcPr>
          <w:p w14:paraId="3FD9C14A" w14:textId="77777777" w:rsidR="00A35FEF" w:rsidRDefault="00E27F35">
            <w:pPr>
              <w:spacing w:after="40"/>
            </w:pPr>
            <w:r>
              <w:rPr>
                <w:sz w:val="20"/>
                <w:szCs w:val="20"/>
              </w:rPr>
              <w:t>Welcome pack; add to team chat; personal note from manager; clear picture of the first weeks</w:t>
            </w:r>
          </w:p>
        </w:tc>
        <w:tc>
          <w:tcPr>
            <w:tcW w:w="1700" w:type="dxa"/>
            <w:tcMar>
              <w:top w:w="60" w:type="dxa"/>
              <w:left w:w="80" w:type="dxa"/>
              <w:bottom w:w="60" w:type="dxa"/>
              <w:right w:w="80" w:type="dxa"/>
            </w:tcMar>
          </w:tcPr>
          <w:p w14:paraId="1FD91298" w14:textId="77777777" w:rsidR="00A35FEF" w:rsidRDefault="00E27F35">
            <w:pPr>
              <w:spacing w:after="40"/>
            </w:pPr>
            <w:r>
              <w:rPr>
                <w:sz w:val="20"/>
                <w:szCs w:val="20"/>
              </w:rPr>
              <w:t>Investiture tactic (Van Maanen &amp; Schein, 1979); early Connection (Bauer, 2010)</w:t>
            </w:r>
          </w:p>
        </w:tc>
      </w:tr>
      <w:tr w:rsidR="00A35FEF" w14:paraId="5ED3E33E" w14:textId="77777777">
        <w:tc>
          <w:tcPr>
            <w:tcW w:w="1500" w:type="dxa"/>
            <w:tcMar>
              <w:top w:w="60" w:type="dxa"/>
              <w:left w:w="80" w:type="dxa"/>
              <w:bottom w:w="60" w:type="dxa"/>
              <w:right w:w="80" w:type="dxa"/>
            </w:tcMar>
          </w:tcPr>
          <w:p w14:paraId="7049CB05" w14:textId="77777777" w:rsidR="00A35FEF" w:rsidRDefault="00E27F35">
            <w:pPr>
              <w:spacing w:after="40"/>
            </w:pPr>
            <w:r>
              <w:rPr>
                <w:sz w:val="20"/>
                <w:szCs w:val="20"/>
              </w:rPr>
              <w:lastRenderedPageBreak/>
              <w:t>First 90 days</w:t>
            </w:r>
          </w:p>
        </w:tc>
        <w:tc>
          <w:tcPr>
            <w:tcW w:w="2600" w:type="dxa"/>
            <w:tcMar>
              <w:top w:w="60" w:type="dxa"/>
              <w:left w:w="80" w:type="dxa"/>
              <w:bottom w:w="60" w:type="dxa"/>
              <w:right w:w="80" w:type="dxa"/>
            </w:tcMar>
          </w:tcPr>
          <w:p w14:paraId="59FE6564" w14:textId="77777777" w:rsidR="00A35FEF" w:rsidRDefault="00E27F35">
            <w:pPr>
              <w:spacing w:after="40"/>
            </w:pPr>
            <w:r>
              <w:rPr>
                <w:sz w:val="20"/>
                <w:szCs w:val="20"/>
              </w:rPr>
              <w:t>Structured, shared learning and fast role clarity</w:t>
            </w:r>
          </w:p>
        </w:tc>
        <w:tc>
          <w:tcPr>
            <w:tcW w:w="3560" w:type="dxa"/>
            <w:tcMar>
              <w:top w:w="60" w:type="dxa"/>
              <w:left w:w="80" w:type="dxa"/>
              <w:bottom w:w="60" w:type="dxa"/>
              <w:right w:w="80" w:type="dxa"/>
            </w:tcMar>
          </w:tcPr>
          <w:p w14:paraId="0F84A0CC" w14:textId="77777777" w:rsidR="00A35FEF" w:rsidRDefault="00E27F35">
            <w:pPr>
              <w:spacing w:after="40"/>
            </w:pPr>
            <w:r>
              <w:rPr>
                <w:sz w:val="20"/>
                <w:szCs w:val="20"/>
              </w:rPr>
              <w:t>Cohort start; set learning sequence; buddy and mentor; 30/60/90-day goals; mix of online and in-person meet-ups across the three cities</w:t>
            </w:r>
          </w:p>
        </w:tc>
        <w:tc>
          <w:tcPr>
            <w:tcW w:w="1700" w:type="dxa"/>
            <w:tcMar>
              <w:top w:w="60" w:type="dxa"/>
              <w:left w:w="80" w:type="dxa"/>
              <w:bottom w:w="60" w:type="dxa"/>
              <w:right w:w="80" w:type="dxa"/>
            </w:tcMar>
          </w:tcPr>
          <w:p w14:paraId="6E196210" w14:textId="77777777" w:rsidR="00A35FEF" w:rsidRDefault="00E27F35">
            <w:pPr>
              <w:spacing w:after="40"/>
            </w:pPr>
            <w:r>
              <w:rPr>
                <w:sz w:val="20"/>
                <w:szCs w:val="20"/>
              </w:rPr>
              <w:t>Institutionalised tactics (Jones, 1986); role clarity and faster adjustment (Saks et al., 2007)</w:t>
            </w:r>
          </w:p>
        </w:tc>
      </w:tr>
      <w:tr w:rsidR="00A35FEF" w14:paraId="4F09DC60" w14:textId="77777777">
        <w:tc>
          <w:tcPr>
            <w:tcW w:w="1500" w:type="dxa"/>
            <w:tcMar>
              <w:top w:w="60" w:type="dxa"/>
              <w:left w:w="80" w:type="dxa"/>
              <w:bottom w:w="60" w:type="dxa"/>
              <w:right w:w="80" w:type="dxa"/>
            </w:tcMar>
          </w:tcPr>
          <w:p w14:paraId="01C19CDD" w14:textId="77777777" w:rsidR="00A35FEF" w:rsidRDefault="00E27F35">
            <w:pPr>
              <w:spacing w:after="40"/>
            </w:pPr>
            <w:r>
              <w:rPr>
                <w:sz w:val="20"/>
                <w:szCs w:val="20"/>
              </w:rPr>
              <w:t>Year one</w:t>
            </w:r>
          </w:p>
        </w:tc>
        <w:tc>
          <w:tcPr>
            <w:tcW w:w="2600" w:type="dxa"/>
            <w:tcMar>
              <w:top w:w="60" w:type="dxa"/>
              <w:left w:w="80" w:type="dxa"/>
              <w:bottom w:w="60" w:type="dxa"/>
              <w:right w:w="80" w:type="dxa"/>
            </w:tcMar>
          </w:tcPr>
          <w:p w14:paraId="7BAB8DDE" w14:textId="77777777" w:rsidR="00A35FEF" w:rsidRDefault="00E27F35">
            <w:pPr>
              <w:spacing w:after="40"/>
            </w:pPr>
            <w:r>
              <w:rPr>
                <w:sz w:val="20"/>
                <w:szCs w:val="20"/>
              </w:rPr>
              <w:t>Loosen structure and build ownership</w:t>
            </w:r>
          </w:p>
        </w:tc>
        <w:tc>
          <w:tcPr>
            <w:tcW w:w="3560" w:type="dxa"/>
            <w:tcMar>
              <w:top w:w="60" w:type="dxa"/>
              <w:left w:w="80" w:type="dxa"/>
              <w:bottom w:w="60" w:type="dxa"/>
              <w:right w:w="80" w:type="dxa"/>
            </w:tcMar>
          </w:tcPr>
          <w:p w14:paraId="7F6E77B5" w14:textId="77777777" w:rsidR="00A35FEF" w:rsidRDefault="00E27F35">
            <w:pPr>
              <w:spacing w:after="40"/>
            </w:pPr>
            <w:r>
              <w:rPr>
                <w:sz w:val="20"/>
                <w:szCs w:val="20"/>
              </w:rPr>
              <w:t>Stretch projects; cross-city exposure; regular check-ins that revisit the promises made at hiring</w:t>
            </w:r>
          </w:p>
        </w:tc>
        <w:tc>
          <w:tcPr>
            <w:tcW w:w="1700" w:type="dxa"/>
            <w:tcMar>
              <w:top w:w="60" w:type="dxa"/>
              <w:left w:w="80" w:type="dxa"/>
              <w:bottom w:w="60" w:type="dxa"/>
              <w:right w:w="80" w:type="dxa"/>
            </w:tcMar>
          </w:tcPr>
          <w:p w14:paraId="4BF34779" w14:textId="77777777" w:rsidR="00A35FEF" w:rsidRDefault="00E27F35">
            <w:pPr>
              <w:spacing w:after="40"/>
            </w:pPr>
            <w:r>
              <w:rPr>
                <w:sz w:val="20"/>
                <w:szCs w:val="20"/>
              </w:rPr>
              <w:t>Guards against passive role-copying (Jones, 1986); protects the psychological contract (Rousseau, 1995)</w:t>
            </w:r>
          </w:p>
        </w:tc>
      </w:tr>
    </w:tbl>
    <w:p w14:paraId="48582C89" w14:textId="77777777" w:rsidR="00A35FEF" w:rsidRDefault="00E27F35">
      <w:pPr>
        <w:spacing w:before="60" w:after="200"/>
      </w:pPr>
      <w:r>
        <w:rPr>
          <w:i/>
          <w:iCs/>
          <w:sz w:val="20"/>
          <w:szCs w:val="20"/>
        </w:rPr>
        <w:t>Table 1: Structured socialisation framework for Helios Urban Mobility (author’s own, drawing on Van Maanen and Schein, 1979; Bauer, 2010; and Saks et al., 2007).</w:t>
      </w:r>
    </w:p>
    <w:p w14:paraId="79B15F8E" w14:textId="7F299036" w:rsidR="00A35FEF" w:rsidRDefault="00E27F35">
      <w:pPr>
        <w:spacing w:after="160" w:line="360" w:lineRule="auto"/>
        <w:jc w:val="both"/>
      </w:pPr>
      <w:r>
        <w:rPr>
          <w:b/>
          <w:bCs/>
        </w:rPr>
        <w:t>Pre-boarding</w:t>
      </w:r>
      <w:r>
        <w:t xml:space="preserve"> reduces early uncertainty and begins the relationship before day one; in Van Maanen and Schein’s (1979) terms this is an investiture tactic, and it builds connection, the fourth of Bauer’s (2010) Cs, early. The </w:t>
      </w:r>
      <w:r>
        <w:rPr>
          <w:b/>
          <w:bCs/>
        </w:rPr>
        <w:t>first 90 days</w:t>
      </w:r>
      <w:r>
        <w:t xml:space="preserve"> form the core institutionalised phase, delivered partly online and partly through in-person meet-ups so the cross-city cohort actually bonds; clear 30-, 60- and 90-day goals give the role clarity that Saks et al. (2007) link to faster adjustment. The specific aim here is to cut average ramp-up time from eight months to around five within twelve months. In </w:t>
      </w:r>
      <w:r>
        <w:rPr>
          <w:b/>
          <w:bCs/>
        </w:rPr>
        <w:t>year one</w:t>
      </w:r>
      <w:r>
        <w:t xml:space="preserve"> the structure loosens so people can shape their own path through stretch projects and cross-city exposure, with check-ins that keep the psychological contract honest. This shift from structure to autonomy avoids the main risk of heavy institutionalised socialisation</w:t>
      </w:r>
      <w:r w:rsidR="00F76B09">
        <w:t xml:space="preserve"> </w:t>
      </w:r>
      <w:r>
        <w:t>that it produces passive people who copy the status quo (Jones, 1986), which would be fatal in an innovation-driven firm.</w:t>
      </w:r>
    </w:p>
    <w:p w14:paraId="24ABB7FC" w14:textId="77777777" w:rsidR="00A35FEF" w:rsidRDefault="00E27F35">
      <w:pPr>
        <w:spacing w:after="160" w:line="360" w:lineRule="auto"/>
        <w:jc w:val="both"/>
      </w:pPr>
      <w:r>
        <w:t>The framework should also flex across Helios’s three offices. Because Singapore has a higher power-distance and more collectivist culture than the UK or Germany (Hofstede, Hofstede and Minkov, 2010), group-based, mentor-led delivery is likely to work best there, while the flatter, more individualist settings in Berlin and London suit more direct feedback and individual formats.</w:t>
      </w:r>
    </w:p>
    <w:p w14:paraId="6ABDF983" w14:textId="77777777" w:rsidR="00A35FEF" w:rsidRDefault="00E27F35">
      <w:pPr>
        <w:pStyle w:val="Heading2"/>
        <w:spacing w:before="180" w:after="120"/>
      </w:pPr>
      <w:bookmarkStart w:id="4" w:name="_Toc234431393"/>
      <w:r>
        <w:rPr>
          <w:b/>
          <w:bCs/>
        </w:rPr>
        <w:t>2.3 Building identification, ethics and a business activist mindset</w:t>
      </w:r>
      <w:bookmarkEnd w:id="4"/>
    </w:p>
    <w:p w14:paraId="151A14EC" w14:textId="77777777" w:rsidR="00A35FEF" w:rsidRDefault="00E27F35">
      <w:pPr>
        <w:spacing w:after="160" w:line="360" w:lineRule="auto"/>
        <w:jc w:val="both"/>
      </w:pPr>
      <w:r>
        <w:lastRenderedPageBreak/>
        <w:t xml:space="preserve">Structure alone does not create committed citizens; three further mechanisms are needed. The first is </w:t>
      </w:r>
      <w:r>
        <w:rPr>
          <w:b/>
          <w:bCs/>
        </w:rPr>
        <w:t>organisational identification</w:t>
      </w:r>
      <w:r>
        <w:t>. Ashforth and Mael (1989) argue that people identify with an organisation when belonging to it becomes part of how they see themselves, and that this is stronger when the organisation feels distinctive and prestigious. Helios has a natural advantage here, because its mission of cleaner, smarter city transport is genuinely distinctive. Making that mission visible during socialisation turns a job into a source of identity, and that emotional commitment is what keeps graduates from leaving.</w:t>
      </w:r>
    </w:p>
    <w:p w14:paraId="24A15EA7" w14:textId="77777777" w:rsidR="00A35FEF" w:rsidRDefault="00E27F35">
      <w:pPr>
        <w:spacing w:after="160" w:line="360" w:lineRule="auto"/>
        <w:jc w:val="both"/>
      </w:pPr>
      <w:r>
        <w:t xml:space="preserve">The second is </w:t>
      </w:r>
      <w:r>
        <w:rPr>
          <w:b/>
          <w:bCs/>
        </w:rPr>
        <w:t>ethical professionalism</w:t>
      </w:r>
      <w:r>
        <w:t>. Because Helios builds AI systems for city governments, ethics is not optional. New joiners should be socialised into clear standards on data use, fairness and safety from day one, through case discussions rather than a signed policy that nobody reads. These discussions only work if people feel safe to speak up, so they should rest on the kind of psychological safety that Edmondson (1999) links to open, learning-focused teams. Linking ethics to identity means that acting responsibly becomes simply “how we do things here”.</w:t>
      </w:r>
    </w:p>
    <w:p w14:paraId="5DB8F9FE" w14:textId="788E71C8" w:rsidR="00A35FEF" w:rsidRDefault="00E27F35">
      <w:pPr>
        <w:spacing w:after="160" w:line="360" w:lineRule="auto"/>
        <w:jc w:val="both"/>
      </w:pPr>
      <w:r>
        <w:t xml:space="preserve">The third is the </w:t>
      </w:r>
      <w:r>
        <w:rPr>
          <w:b/>
          <w:bCs/>
        </w:rPr>
        <w:t>business activist mindset</w:t>
      </w:r>
      <w:r>
        <w:t>. Ulrich (1997) reshaped HR into a strategic partner, and later work named the “credible activist”</w:t>
      </w:r>
      <w:r w:rsidR="00F76B09">
        <w:t xml:space="preserve"> </w:t>
      </w:r>
      <w:r>
        <w:t>someone trusted enough to challenge and push for what is right (Ulrich et al., 2012). Helios can extend this idea to all employees, encouraging them to speak up, question decisions and think about wider impact. This fits stakeholder capitalism, where a company creates long-term value for employees, customers and society, not only shareholders (Schwab and Vanham, 2021). For a firm selling to public bodies, employees who think like responsible stakeholders are a genuine commercial asset.</w:t>
      </w:r>
    </w:p>
    <w:p w14:paraId="1C5B7080" w14:textId="77777777" w:rsidR="00A35FEF" w:rsidRDefault="00E27F35">
      <w:pPr>
        <w:pStyle w:val="Heading1"/>
        <w:spacing w:before="240" w:after="140"/>
      </w:pPr>
      <w:bookmarkStart w:id="5" w:name="_Toc234431394"/>
      <w:r>
        <w:rPr>
          <w:b/>
          <w:bCs/>
          <w:sz w:val="30"/>
          <w:szCs w:val="30"/>
        </w:rPr>
        <w:t>3. Task B: Job Design</w:t>
      </w:r>
      <w:bookmarkEnd w:id="5"/>
    </w:p>
    <w:p w14:paraId="7AF78F33" w14:textId="77777777" w:rsidR="00A35FEF" w:rsidRDefault="00E27F35">
      <w:pPr>
        <w:pStyle w:val="Heading2"/>
        <w:spacing w:before="180" w:after="120"/>
      </w:pPr>
      <w:bookmarkStart w:id="6" w:name="_Toc234431395"/>
      <w:r>
        <w:rPr>
          <w:b/>
          <w:bCs/>
        </w:rPr>
        <w:t>3.1 An innovative job design strategy</w:t>
      </w:r>
      <w:bookmarkEnd w:id="6"/>
    </w:p>
    <w:p w14:paraId="063D9A48" w14:textId="77777777" w:rsidR="00A35FEF" w:rsidRDefault="00E27F35">
      <w:pPr>
        <w:spacing w:after="160" w:line="360" w:lineRule="auto"/>
        <w:jc w:val="both"/>
      </w:pPr>
      <w:r>
        <w:t>The engagement score of 54% and the loss of graduates suggest that the problem is not only how people join Helios, but what they do once they are inside. Well-designed work is one of the strongest levers for engagement, so Helios’s job design should combine three ideas: the Job Characteristics Model, job crafting, and a skills-based architecture with an internal talent marketplace.</w:t>
      </w:r>
    </w:p>
    <w:p w14:paraId="04546E4A" w14:textId="4B72DD42" w:rsidR="00A35FEF" w:rsidRDefault="00E27F35">
      <w:pPr>
        <w:spacing w:after="160" w:line="360" w:lineRule="auto"/>
        <w:jc w:val="both"/>
      </w:pPr>
      <w:r>
        <w:lastRenderedPageBreak/>
        <w:t xml:space="preserve">The starting point is the </w:t>
      </w:r>
      <w:r>
        <w:rPr>
          <w:b/>
          <w:bCs/>
        </w:rPr>
        <w:t>Job Characteristics Model</w:t>
      </w:r>
      <w:r>
        <w:t>. Hackman and Oldham (1976) argue that five features of a job</w:t>
      </w:r>
      <w:r w:rsidR="00F76B09">
        <w:t xml:space="preserve"> </w:t>
      </w:r>
      <w:r>
        <w:t>skill variety, task identity, task significance, autonomy and feedback</w:t>
      </w:r>
      <w:r w:rsidR="00F76B09">
        <w:t xml:space="preserve"> </w:t>
      </w:r>
      <w:r>
        <w:t>drive three psychological states (experienced meaningfulness, responsibility for outcomes, and knowledge of results), which in turn produce motivation and satisfaction. Applied to Helios, this points to some clear moves:</w:t>
      </w:r>
    </w:p>
    <w:p w14:paraId="3617ADDA" w14:textId="77777777" w:rsidR="00A35FEF" w:rsidRDefault="00E27F35">
      <w:pPr>
        <w:pStyle w:val="ListParagraph"/>
        <w:numPr>
          <w:ilvl w:val="0"/>
          <w:numId w:val="2"/>
        </w:numPr>
        <w:spacing w:after="100" w:line="360" w:lineRule="auto"/>
        <w:jc w:val="both"/>
      </w:pPr>
      <w:r>
        <w:rPr>
          <w:b/>
          <w:bCs/>
        </w:rPr>
        <w:t>Skill variety and task identity</w:t>
      </w:r>
      <w:r>
        <w:t>: instead of narrow, repetitive roles, engineers and analysts should own a meaningful slice of a project from start to finish, so they can see the whole picture.</w:t>
      </w:r>
    </w:p>
    <w:p w14:paraId="45755B0A" w14:textId="77777777" w:rsidR="00A35FEF" w:rsidRDefault="00E27F35">
      <w:pPr>
        <w:pStyle w:val="ListParagraph"/>
        <w:numPr>
          <w:ilvl w:val="0"/>
          <w:numId w:val="2"/>
        </w:numPr>
        <w:spacing w:after="100" w:line="360" w:lineRule="auto"/>
        <w:jc w:val="both"/>
      </w:pPr>
      <w:r>
        <w:rPr>
          <w:b/>
          <w:bCs/>
        </w:rPr>
        <w:t>Task significance</w:t>
      </w:r>
      <w:r>
        <w:t>: connecting daily work to its effect on real cities makes its importance obvious and motivating.</w:t>
      </w:r>
    </w:p>
    <w:p w14:paraId="4232561D" w14:textId="43254B72" w:rsidR="00A35FEF" w:rsidRDefault="00E27F35">
      <w:pPr>
        <w:pStyle w:val="ListParagraph"/>
        <w:numPr>
          <w:ilvl w:val="0"/>
          <w:numId w:val="2"/>
        </w:numPr>
        <w:spacing w:after="100" w:line="360" w:lineRule="auto"/>
        <w:jc w:val="both"/>
      </w:pPr>
      <w:r>
        <w:rPr>
          <w:b/>
          <w:bCs/>
        </w:rPr>
        <w:t>Autonomy and feedback</w:t>
      </w:r>
      <w:r>
        <w:t>: Hackman and Oldham (1976) weight these two most heavily, so giving teams real decision rights and fast, visible feedback</w:t>
      </w:r>
      <w:r w:rsidR="00F76B09">
        <w:t xml:space="preserve"> </w:t>
      </w:r>
      <w:r>
        <w:t>from live data and from users</w:t>
      </w:r>
      <w:r w:rsidR="00F76B09">
        <w:t xml:space="preserve"> </w:t>
      </w:r>
      <w:r>
        <w:t>matters most of all.</w:t>
      </w:r>
    </w:p>
    <w:p w14:paraId="201E7B51" w14:textId="2A7BD9E5" w:rsidR="00A35FEF" w:rsidRDefault="00E27F35">
      <w:pPr>
        <w:spacing w:after="160" w:line="360" w:lineRule="auto"/>
        <w:jc w:val="both"/>
      </w:pPr>
      <w:r>
        <w:t xml:space="preserve">Top-down design is only half the picture, though. </w:t>
      </w:r>
      <w:r>
        <w:rPr>
          <w:b/>
          <w:bCs/>
        </w:rPr>
        <w:t>Job crafting</w:t>
      </w:r>
      <w:r>
        <w:t xml:space="preserve"> adds the bottom-up half. Wrzesniewski and Dutton (2001) show that employees actively reshape their own roles by changing tasks (what they do), relationships (who they work with) and how they think about their work (its meaning). Tims and Bakker (2010) later reframed this around balancing job demands and resources. Helios should make crafting official</w:t>
      </w:r>
      <w:r w:rsidR="00F76B09">
        <w:t xml:space="preserve"> </w:t>
      </w:r>
      <w:r>
        <w:t>for example, by letting people spend a set portion of their time on self-chosen problems</w:t>
      </w:r>
      <w:r w:rsidR="00F76B09">
        <w:t xml:space="preserve"> </w:t>
      </w:r>
      <w:r>
        <w:t>so that motivation is not only designed for people but partly built by them. This suits an ambitious graduate workforce that wants ownership.</w:t>
      </w:r>
    </w:p>
    <w:p w14:paraId="4C6D91AA" w14:textId="77777777" w:rsidR="00A35FEF" w:rsidRDefault="00E27F35">
      <w:pPr>
        <w:spacing w:after="160" w:line="360" w:lineRule="auto"/>
        <w:jc w:val="both"/>
      </w:pPr>
      <w:r>
        <w:t xml:space="preserve">The third layer is a </w:t>
      </w:r>
      <w:r>
        <w:rPr>
          <w:b/>
          <w:bCs/>
        </w:rPr>
        <w:t>skills-based architecture with an internal talent marketplace</w:t>
      </w:r>
      <w:r>
        <w:t xml:space="preserve">. Rather than locking people into fixed job titles, a skills-based organisation deploys people to work based on their skills and interests (Cantrell et al., 2022). An internal talent marketplace uses a digital platform to match employees to short projects, gigs and stretch assignments across the business (Gantcheva et al., 2020). Unilever, for instance, used its FLEX Experiences marketplace to redeploy thousands of employees when business needs changed (Gantcheva et al., 2020). For Helios, spread across three cities, a marketplace would let a Berlin analyst contribute to a London project, surface skills that </w:t>
      </w:r>
      <w:r>
        <w:lastRenderedPageBreak/>
        <w:t>would otherwise stay hidden, and give graduates the variety and growth they currently have to leave the company to find.</w:t>
      </w:r>
    </w:p>
    <w:p w14:paraId="227A0C4A" w14:textId="77777777" w:rsidR="00A35FEF" w:rsidRDefault="00E27F35">
      <w:pPr>
        <w:pStyle w:val="Heading2"/>
        <w:spacing w:before="180" w:after="120"/>
      </w:pPr>
      <w:bookmarkStart w:id="7" w:name="_Toc234431396"/>
      <w:r>
        <w:rPr>
          <w:b/>
          <w:bCs/>
        </w:rPr>
        <w:t>3.2 How the design stimulates intrinsic motivation and innovation</w:t>
      </w:r>
      <w:bookmarkEnd w:id="7"/>
    </w:p>
    <w:p w14:paraId="3F362B14" w14:textId="6C62F038" w:rsidR="00A35FEF" w:rsidRDefault="00E27F35">
      <w:pPr>
        <w:spacing w:after="160" w:line="360" w:lineRule="auto"/>
        <w:jc w:val="both"/>
      </w:pPr>
      <w:r>
        <w:t xml:space="preserve">The reason for combining these three approaches is that they reinforce one another. The Job Characteristics Model builds meaningful, autonomous roles; job crafting lets people tune those roles to their own strengths; and the talent marketplace keeps supplying fresh, varied challenges. Together they create the psychological states that Hackman and Oldham (1976) describe as the source of </w:t>
      </w:r>
      <w:r>
        <w:rPr>
          <w:b/>
          <w:bCs/>
        </w:rPr>
        <w:t>intrinsic motivation</w:t>
      </w:r>
      <w:r w:rsidR="00F76B09">
        <w:t xml:space="preserve"> </w:t>
      </w:r>
      <w:r>
        <w:t>people work hard because the work itself is rewarding, not just for the pay. This speaks directly to the 54% engagement figure, because engagement rises when people find their work meaningful, feel in control, and can see the results of their effort. On this basis, a reasonable goal would be to lift the engagement score from 54% towards a target of 70% within eighteen months.</w:t>
      </w:r>
    </w:p>
    <w:p w14:paraId="1C1F80F3" w14:textId="40F35794" w:rsidR="00A35FEF" w:rsidRDefault="00E27F35">
      <w:pPr>
        <w:spacing w:after="160" w:line="360" w:lineRule="auto"/>
        <w:jc w:val="both"/>
      </w:pPr>
      <w:r>
        <w:t xml:space="preserve">The design also supports </w:t>
      </w:r>
      <w:r>
        <w:rPr>
          <w:b/>
          <w:bCs/>
        </w:rPr>
        <w:t>innovation</w:t>
      </w:r>
      <w:r>
        <w:t>, which needs autonomy, variety and the safety to experiment. Self-directed crafting gives people the freedom to try things and to reframe problems in new ways (Wrzesniewski and Dutton, 2001). The talent marketplace mixes people and ideas across cities and specialisms, and this kind of cross-pollination is usually where new thinking comes from. A skills-based approach also keeps the company agile, moving talent quickly onto new problems as the market shifts (Cantrell et al., 2022)</w:t>
      </w:r>
      <w:r w:rsidR="00F76B09">
        <w:t xml:space="preserve"> </w:t>
      </w:r>
      <w:r>
        <w:t xml:space="preserve"> which is vital in a fast-moving smart-mobility sector.</w:t>
      </w:r>
    </w:p>
    <w:p w14:paraId="7FA2A637" w14:textId="77777777" w:rsidR="00A35FEF" w:rsidRDefault="00E27F35">
      <w:pPr>
        <w:spacing w:after="160" w:line="360" w:lineRule="auto"/>
        <w:jc w:val="both"/>
      </w:pPr>
      <w:r>
        <w:t xml:space="preserve">Crucially, the strategy tackles </w:t>
      </w:r>
      <w:r>
        <w:rPr>
          <w:b/>
          <w:bCs/>
        </w:rPr>
        <w:t>graduate attrition</w:t>
      </w:r>
      <w:r>
        <w:t xml:space="preserve"> head-on. Talented graduates usually leave when they feel stuck or under-used. Crafting and the marketplace give them a visible way to grow without leaving the company, which is exactly what a skills-based model is designed to provide (Cantrell et al., 2022). Deloitte’s research suggests that organisations giving people more agency and choice over how they apply their skills retain their best people far more effectively. A realistic target would be to reach around 85% retention of high-potential graduates across their first two years.</w:t>
      </w:r>
    </w:p>
    <w:p w14:paraId="1DCF982C" w14:textId="77777777" w:rsidR="00A35FEF" w:rsidRDefault="00E27F35">
      <w:pPr>
        <w:spacing w:after="160" w:line="360" w:lineRule="auto"/>
        <w:jc w:val="both"/>
      </w:pPr>
      <w:r>
        <w:t xml:space="preserve">This design is not risk-free. Too much crafting can pull effort away from what the business needs, and a talent marketplace only works if managers release people rather than hoarding their best staff. Autonomy must also come with clear goals, or it turns into </w:t>
      </w:r>
      <w:r>
        <w:lastRenderedPageBreak/>
        <w:t>confusion. Helios should therefore introduce the changes gradually, with light guard-rails, and track their effect on engagement and retention. Used carefully, this combined design turns the work itself into a reason to stay and to innovate.</w:t>
      </w:r>
    </w:p>
    <w:p w14:paraId="400DA421" w14:textId="77777777" w:rsidR="00A35FEF" w:rsidRDefault="00E27F35">
      <w:pPr>
        <w:pStyle w:val="Heading1"/>
        <w:spacing w:before="240" w:after="140"/>
      </w:pPr>
      <w:bookmarkStart w:id="8" w:name="_Toc234431397"/>
      <w:r>
        <w:rPr>
          <w:b/>
          <w:bCs/>
          <w:sz w:val="30"/>
          <w:szCs w:val="30"/>
        </w:rPr>
        <w:t>4. Task C: Reflective Report</w:t>
      </w:r>
      <w:bookmarkEnd w:id="8"/>
    </w:p>
    <w:p w14:paraId="665E5F27" w14:textId="77777777" w:rsidR="00A35FEF" w:rsidRDefault="00E27F35">
      <w:pPr>
        <w:pStyle w:val="Heading2"/>
        <w:spacing w:before="180" w:after="120"/>
      </w:pPr>
      <w:bookmarkStart w:id="9" w:name="_Toc234431398"/>
      <w:r>
        <w:rPr>
          <w:b/>
          <w:bCs/>
        </w:rPr>
        <w:t>4.1 Using AI as a decision-support tool without eroding human judgement</w:t>
      </w:r>
      <w:bookmarkEnd w:id="9"/>
    </w:p>
    <w:p w14:paraId="4D753ADA" w14:textId="5084344D" w:rsidR="00A35FEF" w:rsidRDefault="00E27F35">
      <w:pPr>
        <w:spacing w:after="160" w:line="360" w:lineRule="auto"/>
        <w:jc w:val="both"/>
      </w:pPr>
      <w:r>
        <w:t>AI is quickly becoming part of HR decisions, from screening applicants to workforce planning. My own view is that AI should augment human judgement, not replace it. Research on human</w:t>
      </w:r>
      <w:r w:rsidR="00F76B09">
        <w:t xml:space="preserve"> </w:t>
      </w:r>
      <w:r>
        <w:t>AI decision-making suggests the best results come when the person makes the final call and AI supports the thinking behind it, rather than the machine deciding alone (SHRM, 2026). I would treat AI as a well-informed assistant: useful for spotting patterns, summarising data and suggesting options, but always checked by a human.</w:t>
      </w:r>
    </w:p>
    <w:p w14:paraId="255F9550" w14:textId="2A35DFAD" w:rsidR="00A35FEF" w:rsidRDefault="00E27F35">
      <w:pPr>
        <w:spacing w:after="160" w:line="360" w:lineRule="auto"/>
        <w:jc w:val="both"/>
      </w:pPr>
      <w:r>
        <w:t>To protect judgement, I would keep a “human in the loop” for any decision that affects someone’s job or pay, because these need empathy and context that a model does not have. I would also stay alert to automation bias</w:t>
      </w:r>
      <w:r w:rsidR="00F76B09">
        <w:t xml:space="preserve"> </w:t>
      </w:r>
      <w:r>
        <w:t>the habit of trusting a confident system too easily and to bias built into the data itself, which can quietly repeat past unfairness. In practice, that means asking why the AI reached a conclusion, testing it against my own reasoning, and being ready to overrule it. Used this way, AI frees up time for the human parts of HR listening, coaching and ethical judgement instead of hollowing them out.</w:t>
      </w:r>
    </w:p>
    <w:p w14:paraId="5EEFE8EA" w14:textId="77777777" w:rsidR="00A35FEF" w:rsidRDefault="00E27F35">
      <w:pPr>
        <w:pStyle w:val="Heading2"/>
        <w:spacing w:before="180" w:after="120"/>
      </w:pPr>
      <w:bookmarkStart w:id="10" w:name="_Toc234431399"/>
      <w:r>
        <w:rPr>
          <w:b/>
          <w:bCs/>
        </w:rPr>
        <w:t>4.2 Personal capability development plan</w:t>
      </w:r>
      <w:bookmarkEnd w:id="10"/>
    </w:p>
    <w:p w14:paraId="34C74475" w14:textId="77777777" w:rsidR="00A35FEF" w:rsidRDefault="00E27F35">
      <w:pPr>
        <w:spacing w:after="160" w:line="360" w:lineRule="auto"/>
        <w:jc w:val="both"/>
      </w:pPr>
      <w:r>
        <w:t>To stay employable and keep adding value, I need to grow in four areas.</w:t>
      </w:r>
    </w:p>
    <w:p w14:paraId="5B9A021C" w14:textId="7938871F" w:rsidR="00A35FEF" w:rsidRDefault="00E27F35">
      <w:pPr>
        <w:pStyle w:val="ListParagraph"/>
        <w:numPr>
          <w:ilvl w:val="0"/>
          <w:numId w:val="2"/>
        </w:numPr>
        <w:spacing w:after="100" w:line="360" w:lineRule="auto"/>
        <w:jc w:val="both"/>
      </w:pPr>
      <w:r>
        <w:rPr>
          <w:b/>
          <w:bCs/>
        </w:rPr>
        <w:t>Data literacy.</w:t>
      </w:r>
      <w:r>
        <w:t xml:space="preserve"> I want to move from reading basic HR reports to confidently working with people analytics</w:t>
      </w:r>
      <w:r w:rsidR="00F76B09">
        <w:t xml:space="preserve"> </w:t>
      </w:r>
      <w:r>
        <w:t>understanding metrics, spotting flawed data, and telling a clear story with evidence. I plan to take a short analytics course and practise on real workforce data.</w:t>
      </w:r>
    </w:p>
    <w:p w14:paraId="3E4FE28F" w14:textId="77777777" w:rsidR="00A35FEF" w:rsidRDefault="00E27F35">
      <w:pPr>
        <w:pStyle w:val="ListParagraph"/>
        <w:numPr>
          <w:ilvl w:val="0"/>
          <w:numId w:val="2"/>
        </w:numPr>
        <w:spacing w:after="100" w:line="360" w:lineRule="auto"/>
        <w:jc w:val="both"/>
      </w:pPr>
      <w:r>
        <w:rPr>
          <w:b/>
          <w:bCs/>
        </w:rPr>
        <w:t>AI augmentation in HR.</w:t>
      </w:r>
      <w:r>
        <w:t xml:space="preserve"> I will learn how HR AI tools actually work, along with their limits and their ethics, so that I can use them well and question them properly. Following sources such as SHRM and Deloitte’s human capital research will help me keep up.</w:t>
      </w:r>
    </w:p>
    <w:p w14:paraId="19B3617E" w14:textId="77777777" w:rsidR="00A35FEF" w:rsidRDefault="00E27F35">
      <w:pPr>
        <w:pStyle w:val="ListParagraph"/>
        <w:numPr>
          <w:ilvl w:val="0"/>
          <w:numId w:val="2"/>
        </w:numPr>
        <w:spacing w:after="100" w:line="360" w:lineRule="auto"/>
        <w:jc w:val="both"/>
      </w:pPr>
      <w:r>
        <w:rPr>
          <w:b/>
          <w:bCs/>
        </w:rPr>
        <w:lastRenderedPageBreak/>
        <w:t>Strategic influencing skills.</w:t>
      </w:r>
      <w:r>
        <w:t xml:space="preserve"> Following Ulrich’s “credible activist” idea (Ulrich et al., 2012), I want to become someone who is trusted and can challenge senior people with evidence. I will build this by seeking feedback, practising presenting to leaders, and learning to frame HR issues in business terms.</w:t>
      </w:r>
    </w:p>
    <w:p w14:paraId="11AFD493" w14:textId="77777777" w:rsidR="00A35FEF" w:rsidRDefault="00E27F35">
      <w:pPr>
        <w:pStyle w:val="ListParagraph"/>
        <w:numPr>
          <w:ilvl w:val="0"/>
          <w:numId w:val="2"/>
        </w:numPr>
        <w:spacing w:after="100" w:line="360" w:lineRule="auto"/>
        <w:jc w:val="both"/>
      </w:pPr>
      <w:r>
        <w:rPr>
          <w:b/>
          <w:bCs/>
        </w:rPr>
        <w:t>Global mobility awareness.</w:t>
      </w:r>
      <w:r>
        <w:t xml:space="preserve"> Because modern firms like Helios operate across countries, I need to understand different labour markets, cultures and employment rules. I will develop this through cross-cultural learning and, where possible, international project experience.</w:t>
      </w:r>
    </w:p>
    <w:p w14:paraId="217ACEEA" w14:textId="77777777" w:rsidR="00A35FEF" w:rsidRDefault="00E27F35">
      <w:pPr>
        <w:spacing w:after="160" w:line="360" w:lineRule="auto"/>
        <w:jc w:val="both"/>
      </w:pPr>
      <w:r>
        <w:t>I will review this plan every six months, set specific goals for each area, and treat development as continuous rather than a one-off. Overall, I want to become an HR professional who blends human judgement with data and technology and can influence strategy responsibly.</w:t>
      </w:r>
    </w:p>
    <w:p w14:paraId="7F60B3BB" w14:textId="77777777" w:rsidR="00A35FEF" w:rsidRDefault="00E27F35">
      <w:pPr>
        <w:pStyle w:val="Heading1"/>
        <w:spacing w:before="240" w:after="140"/>
      </w:pPr>
      <w:bookmarkStart w:id="11" w:name="_Toc234431400"/>
      <w:r>
        <w:rPr>
          <w:b/>
          <w:bCs/>
          <w:sz w:val="30"/>
          <w:szCs w:val="30"/>
        </w:rPr>
        <w:t>5. Conclusion</w:t>
      </w:r>
      <w:bookmarkEnd w:id="11"/>
    </w:p>
    <w:p w14:paraId="3BDC0D23" w14:textId="301E420C" w:rsidR="00A35FEF" w:rsidRDefault="00E27F35">
      <w:pPr>
        <w:spacing w:after="160" w:line="360" w:lineRule="auto"/>
        <w:jc w:val="both"/>
      </w:pPr>
      <w:r>
        <w:t>Helios’s three problems</w:t>
      </w:r>
      <w:r w:rsidR="00F76B09">
        <w:t xml:space="preserve"> </w:t>
      </w:r>
      <w:r>
        <w:t>slow ramp-up, weak engagement and graduate attrition</w:t>
      </w:r>
      <w:r w:rsidR="00F76B09">
        <w:t xml:space="preserve"> </w:t>
      </w:r>
      <w:r>
        <w:t>share a single root: a people system that has not grown up with the company. This report has argued that the fix is an integrated human capital architecture. Strong, structured socialisation turns new joiners into committed, ethical members who identify with Helios’s mission. Job design that combines the Job Characteristics Model, job crafting and a skills-based talent marketplace makes the work itself motivating and keeps talented people growing inside the company rather than leaving it. A responsible approach to AI, backed by continuous personal development, keeps human judgement at the centre of HR. None of these parts works alone, but together they give Helios a realistic path from rapid growth to genuine strategic renewal.</w:t>
      </w:r>
    </w:p>
    <w:p w14:paraId="6513085C" w14:textId="77777777" w:rsidR="0020635C" w:rsidRDefault="0020635C">
      <w:pPr>
        <w:spacing w:after="160" w:line="360" w:lineRule="auto"/>
        <w:jc w:val="both"/>
      </w:pPr>
    </w:p>
    <w:p w14:paraId="4D390830" w14:textId="77777777" w:rsidR="0020635C" w:rsidRDefault="0020635C">
      <w:pPr>
        <w:spacing w:after="160" w:line="360" w:lineRule="auto"/>
        <w:jc w:val="both"/>
      </w:pPr>
    </w:p>
    <w:p w14:paraId="01D515B5" w14:textId="77777777" w:rsidR="0020635C" w:rsidRDefault="0020635C">
      <w:pPr>
        <w:spacing w:after="160" w:line="360" w:lineRule="auto"/>
        <w:jc w:val="both"/>
      </w:pPr>
    </w:p>
    <w:p w14:paraId="1D55192B" w14:textId="77777777" w:rsidR="0020635C" w:rsidRDefault="0020635C">
      <w:pPr>
        <w:spacing w:after="160" w:line="360" w:lineRule="auto"/>
        <w:jc w:val="both"/>
      </w:pPr>
    </w:p>
    <w:p w14:paraId="5B66DF22" w14:textId="77777777" w:rsidR="0020635C" w:rsidRDefault="0020635C">
      <w:pPr>
        <w:spacing w:after="160" w:line="360" w:lineRule="auto"/>
        <w:jc w:val="both"/>
      </w:pPr>
    </w:p>
    <w:p w14:paraId="03F0C977" w14:textId="77777777" w:rsidR="00A35FEF" w:rsidRDefault="00E27F35">
      <w:pPr>
        <w:pStyle w:val="Heading1"/>
        <w:spacing w:before="240" w:after="140"/>
      </w:pPr>
      <w:bookmarkStart w:id="12" w:name="_Toc234431401"/>
      <w:r>
        <w:rPr>
          <w:b/>
          <w:bCs/>
          <w:sz w:val="30"/>
          <w:szCs w:val="30"/>
        </w:rPr>
        <w:lastRenderedPageBreak/>
        <w:t>6. References</w:t>
      </w:r>
      <w:bookmarkEnd w:id="12"/>
    </w:p>
    <w:p w14:paraId="476D943A" w14:textId="77777777" w:rsidR="00A35FEF" w:rsidRDefault="00E27F35">
      <w:pPr>
        <w:spacing w:after="140" w:line="360" w:lineRule="auto"/>
        <w:ind w:left="720" w:hanging="720"/>
      </w:pPr>
      <w:r>
        <w:t>Ashforth, B.E. and Mael, F. (1989) ‘Social identity theory and the organization’, Academy of Management Review, 14(1), pp. 20–39.</w:t>
      </w:r>
    </w:p>
    <w:p w14:paraId="51DC3F2C" w14:textId="77777777" w:rsidR="00A35FEF" w:rsidRDefault="00E27F35">
      <w:pPr>
        <w:spacing w:after="140" w:line="360" w:lineRule="auto"/>
        <w:ind w:left="720" w:hanging="720"/>
      </w:pPr>
      <w:r>
        <w:t>Bauer, T.N. (2010) Onboarding new employees: maximizing success. Alexandria, VA: SHRM Foundation.</w:t>
      </w:r>
    </w:p>
    <w:p w14:paraId="09706D7A" w14:textId="77777777" w:rsidR="00A35FEF" w:rsidRDefault="00E27F35">
      <w:pPr>
        <w:spacing w:after="140" w:line="360" w:lineRule="auto"/>
        <w:ind w:left="720" w:hanging="720"/>
      </w:pPr>
      <w:r>
        <w:t>Cable, D.M., Gino, F. and Staats, B.R. (2013) ‘Breaking them in or eliciting their best? Reframing socialization around newcomers’ authentic self-expression’, Administrative Science Quarterly, 58(1), pp. 1–36.</w:t>
      </w:r>
    </w:p>
    <w:p w14:paraId="3924A9C7" w14:textId="77777777" w:rsidR="00A35FEF" w:rsidRDefault="00E27F35">
      <w:pPr>
        <w:spacing w:after="140" w:line="360" w:lineRule="auto"/>
        <w:ind w:left="720" w:hanging="720"/>
      </w:pPr>
      <w:r>
        <w:t>Cantrell, S., Griffiths, M., Jones, R. and Hiipakka, J. (2022) The skills-based organization: a new operating model for work and the workforce. Deloitte Insights. Available at: https://www.deloitte.com/us/en/insights/topics/talent/organizational-skill-based-hiring.html (Accessed: 8 July 2026).</w:t>
      </w:r>
    </w:p>
    <w:p w14:paraId="4E920392" w14:textId="77777777" w:rsidR="00A35FEF" w:rsidRDefault="00E27F35">
      <w:pPr>
        <w:spacing w:after="140" w:line="360" w:lineRule="auto"/>
        <w:ind w:left="720" w:hanging="720"/>
      </w:pPr>
      <w:r>
        <w:t>Edmondson, A.C. (1999) ‘Psychological safety and learning behavior in work teams’, Administrative Science Quarterly, 44(2), pp. 350–383.</w:t>
      </w:r>
    </w:p>
    <w:p w14:paraId="529FCE6E" w14:textId="77777777" w:rsidR="00A35FEF" w:rsidRDefault="00E27F35">
      <w:pPr>
        <w:spacing w:after="140" w:line="360" w:lineRule="auto"/>
        <w:ind w:left="720" w:hanging="720"/>
      </w:pPr>
      <w:r>
        <w:t>Gallup (2025) State of the global workplace: 2025 report. Washington, DC: Gallup.</w:t>
      </w:r>
    </w:p>
    <w:p w14:paraId="57BF3C5C" w14:textId="77777777" w:rsidR="00A35FEF" w:rsidRDefault="00E27F35">
      <w:pPr>
        <w:spacing w:after="140" w:line="360" w:lineRule="auto"/>
        <w:ind w:left="720" w:hanging="720"/>
      </w:pPr>
      <w:r>
        <w:t>Gantcheva, I., Jones, R., Kesar, D., Warmuth, K. and Vitali, J. (2020) Activating the internal talent marketplace. Deloitte Insights. Available at: https://www.deloitte.com/us/en/insights/topics/talent/internal-talent-marketplace.html (Accessed: 8 July 2026).</w:t>
      </w:r>
    </w:p>
    <w:p w14:paraId="5E7B6C90" w14:textId="77777777" w:rsidR="00A35FEF" w:rsidRDefault="00E27F35">
      <w:pPr>
        <w:spacing w:after="140" w:line="360" w:lineRule="auto"/>
        <w:ind w:left="720" w:hanging="720"/>
      </w:pPr>
      <w:r>
        <w:t>Hackman, J.R. and Oldham, G.R. (1976) ‘Motivation through the design of work: test of a theory’, Organizational Behavior and Human Performance, 16(2), pp. 250–279.</w:t>
      </w:r>
    </w:p>
    <w:p w14:paraId="4000B3AB" w14:textId="77777777" w:rsidR="00A35FEF" w:rsidRDefault="00E27F35">
      <w:pPr>
        <w:spacing w:after="140" w:line="360" w:lineRule="auto"/>
        <w:ind w:left="720" w:hanging="720"/>
      </w:pPr>
      <w:r>
        <w:t>Hofstede, G., Hofstede, G.J. and Minkov, M. (2010) Cultures and organizations: software of the mind. 3rd edn. New York: McGraw-Hill.</w:t>
      </w:r>
    </w:p>
    <w:p w14:paraId="75F97B6A" w14:textId="77777777" w:rsidR="00A35FEF" w:rsidRDefault="00E27F35">
      <w:pPr>
        <w:spacing w:after="140" w:line="360" w:lineRule="auto"/>
        <w:ind w:left="720" w:hanging="720"/>
      </w:pPr>
      <w:r>
        <w:t>Jones, G.R. (1986) ‘Socialization tactics, self-efficacy, and newcomers’ adjustments to organizations’, Academy of Management Journal, 29(2), pp. 262–279.</w:t>
      </w:r>
    </w:p>
    <w:p w14:paraId="7F00789B" w14:textId="77777777" w:rsidR="00A35FEF" w:rsidRDefault="00E27F35">
      <w:pPr>
        <w:spacing w:after="140" w:line="360" w:lineRule="auto"/>
        <w:ind w:left="720" w:hanging="720"/>
      </w:pPr>
      <w:r>
        <w:t>Rousseau, D.M. (1995) Psychological contracts in organizations: understanding written and unwritten agreements. Thousand Oaks, CA: Sage.</w:t>
      </w:r>
    </w:p>
    <w:p w14:paraId="501FD01D" w14:textId="77777777" w:rsidR="00A35FEF" w:rsidRDefault="00E27F35">
      <w:pPr>
        <w:spacing w:after="140" w:line="360" w:lineRule="auto"/>
        <w:ind w:left="720" w:hanging="720"/>
      </w:pPr>
      <w:r>
        <w:lastRenderedPageBreak/>
        <w:t>Saks, A.M., Uggerslev, K.L. and Fassina, N.E. (2007) ‘Socialization tactics and newcomer adjustment: a meta-analytic review and test of a model’, Journal of Vocational Behavior, 70(3), pp. 413–446.</w:t>
      </w:r>
    </w:p>
    <w:p w14:paraId="6F7FC179" w14:textId="77777777" w:rsidR="00A35FEF" w:rsidRDefault="00E27F35">
      <w:pPr>
        <w:spacing w:after="140" w:line="360" w:lineRule="auto"/>
        <w:ind w:left="720" w:hanging="720"/>
      </w:pPr>
      <w:r>
        <w:t>Schwab, K. and Vanham, P. (2021) Stakeholder capitalism: a global economy that works for progress, people and planet. Hoboken, NJ: Wiley.</w:t>
      </w:r>
    </w:p>
    <w:p w14:paraId="132E301A" w14:textId="77777777" w:rsidR="00A35FEF" w:rsidRDefault="00E27F35">
      <w:pPr>
        <w:spacing w:after="140" w:line="360" w:lineRule="auto"/>
        <w:ind w:left="720" w:hanging="720"/>
      </w:pPr>
      <w:r>
        <w:t>SHRM (2026) The state of AI in HR 2026. Alexandria, VA: Society for Human Resource Management. Available at: https://www.shrm.org/topics-tools/research/state-of-ai-hr-2026 (Accessed: 8 July 2026).</w:t>
      </w:r>
    </w:p>
    <w:p w14:paraId="6DF813B5" w14:textId="77777777" w:rsidR="00A35FEF" w:rsidRDefault="00E27F35">
      <w:pPr>
        <w:spacing w:after="140" w:line="360" w:lineRule="auto"/>
        <w:ind w:left="720" w:hanging="720"/>
      </w:pPr>
      <w:r>
        <w:t>Tims, M. and Bakker, A.B. (2010) ‘Job crafting: towards a new model of individual job redesign’, SA Journal of Industrial Psychology, 36(2), pp. 1–9.</w:t>
      </w:r>
    </w:p>
    <w:p w14:paraId="611904C8" w14:textId="77777777" w:rsidR="00A35FEF" w:rsidRDefault="00E27F35">
      <w:pPr>
        <w:spacing w:after="140" w:line="360" w:lineRule="auto"/>
        <w:ind w:left="720" w:hanging="720"/>
      </w:pPr>
      <w:r>
        <w:t>Ulrich, D. (1997) Human resource champions: the next agenda for adding value and delivering results. Boston, MA: Harvard Business School Press.</w:t>
      </w:r>
    </w:p>
    <w:p w14:paraId="17D95A94" w14:textId="77777777" w:rsidR="00A35FEF" w:rsidRDefault="00E27F35">
      <w:pPr>
        <w:spacing w:after="140" w:line="360" w:lineRule="auto"/>
        <w:ind w:left="720" w:hanging="720"/>
      </w:pPr>
      <w:r>
        <w:t>Ulrich, D., Younger, J., Brockbank, W. and Ulrich, M. (2012) HR from the outside in: six competencies for the future of human resources. New York: McGraw-Hill.</w:t>
      </w:r>
    </w:p>
    <w:p w14:paraId="0874A527" w14:textId="77777777" w:rsidR="00A35FEF" w:rsidRDefault="00E27F35">
      <w:pPr>
        <w:spacing w:after="140" w:line="360" w:lineRule="auto"/>
        <w:ind w:left="720" w:hanging="720"/>
      </w:pPr>
      <w:r>
        <w:t>Van Maanen, J. and Schein, E.H. (1979) ‘Toward a theory of organizational socialization’, Research in Organizational Behavior, 1, pp. 209–264.</w:t>
      </w:r>
    </w:p>
    <w:p w14:paraId="7DF08448" w14:textId="77777777" w:rsidR="00A35FEF" w:rsidRDefault="00E27F35">
      <w:pPr>
        <w:spacing w:after="140" w:line="360" w:lineRule="auto"/>
        <w:ind w:left="720" w:hanging="720"/>
      </w:pPr>
      <w:r>
        <w:t>Wrzesniewski, A. and Dutton, J.E. (2001) ‘Crafting a job: revisioning employees as active crafters of their work’, Academy of Management Review, 26(2), pp. 179–201.</w:t>
      </w:r>
    </w:p>
    <w:p w14:paraId="0F0FCA6D" w14:textId="77777777" w:rsidR="00A35FEF" w:rsidRDefault="00E27F35">
      <w:pPr>
        <w:spacing w:after="140" w:line="360" w:lineRule="auto"/>
        <w:ind w:left="720" w:hanging="720"/>
      </w:pPr>
      <w:r>
        <w:t>Zhao, H., Wayne, S.J., Glibkowski, B.C. and Bravo, J. (2007) ‘The impact of psychological contract breach on work-related outcomes: a meta-analysis’, Personnel Psychology, 60(3), pp. 647–680.</w:t>
      </w:r>
    </w:p>
    <w:sectPr w:rsidR="00A35FEF">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CFDC5" w14:textId="77777777" w:rsidR="002F702F" w:rsidRDefault="002F702F">
      <w:r>
        <w:separator/>
      </w:r>
    </w:p>
  </w:endnote>
  <w:endnote w:type="continuationSeparator" w:id="0">
    <w:p w14:paraId="7D4CF714" w14:textId="77777777" w:rsidR="002F702F" w:rsidRDefault="002F7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4D27A" w14:textId="77777777" w:rsidR="00A35FEF" w:rsidRDefault="00E27F35">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F76B09">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F76B09">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A147D" w14:textId="77777777" w:rsidR="002F702F" w:rsidRDefault="002F702F">
      <w:r>
        <w:separator/>
      </w:r>
    </w:p>
  </w:footnote>
  <w:footnote w:type="continuationSeparator" w:id="0">
    <w:p w14:paraId="04B78494" w14:textId="77777777" w:rsidR="002F702F" w:rsidRDefault="002F70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D7798A"/>
    <w:multiLevelType w:val="hybridMultilevel"/>
    <w:tmpl w:val="13526F00"/>
    <w:lvl w:ilvl="0" w:tplc="D3E22C28">
      <w:start w:val="1"/>
      <w:numFmt w:val="bullet"/>
      <w:lvlText w:val="●"/>
      <w:lvlJc w:val="left"/>
      <w:pPr>
        <w:ind w:left="720" w:hanging="360"/>
      </w:pPr>
    </w:lvl>
    <w:lvl w:ilvl="1" w:tplc="849CE3A4">
      <w:start w:val="1"/>
      <w:numFmt w:val="bullet"/>
      <w:lvlText w:val="○"/>
      <w:lvlJc w:val="left"/>
      <w:pPr>
        <w:ind w:left="1440" w:hanging="360"/>
      </w:pPr>
    </w:lvl>
    <w:lvl w:ilvl="2" w:tplc="84F42E38">
      <w:start w:val="1"/>
      <w:numFmt w:val="bullet"/>
      <w:lvlText w:val="■"/>
      <w:lvlJc w:val="left"/>
      <w:pPr>
        <w:ind w:left="2160" w:hanging="360"/>
      </w:pPr>
    </w:lvl>
    <w:lvl w:ilvl="3" w:tplc="66E0F5CE">
      <w:start w:val="1"/>
      <w:numFmt w:val="bullet"/>
      <w:lvlText w:val="●"/>
      <w:lvlJc w:val="left"/>
      <w:pPr>
        <w:ind w:left="2880" w:hanging="360"/>
      </w:pPr>
    </w:lvl>
    <w:lvl w:ilvl="4" w:tplc="837CAD50">
      <w:start w:val="1"/>
      <w:numFmt w:val="bullet"/>
      <w:lvlText w:val="○"/>
      <w:lvlJc w:val="left"/>
      <w:pPr>
        <w:ind w:left="3600" w:hanging="360"/>
      </w:pPr>
    </w:lvl>
    <w:lvl w:ilvl="5" w:tplc="8A102F6E">
      <w:start w:val="1"/>
      <w:numFmt w:val="bullet"/>
      <w:lvlText w:val="■"/>
      <w:lvlJc w:val="left"/>
      <w:pPr>
        <w:ind w:left="4320" w:hanging="360"/>
      </w:pPr>
    </w:lvl>
    <w:lvl w:ilvl="6" w:tplc="001CA760">
      <w:start w:val="1"/>
      <w:numFmt w:val="bullet"/>
      <w:lvlText w:val="●"/>
      <w:lvlJc w:val="left"/>
      <w:pPr>
        <w:ind w:left="5040" w:hanging="360"/>
      </w:pPr>
    </w:lvl>
    <w:lvl w:ilvl="7" w:tplc="905C9E90">
      <w:start w:val="1"/>
      <w:numFmt w:val="bullet"/>
      <w:lvlText w:val="●"/>
      <w:lvlJc w:val="left"/>
      <w:pPr>
        <w:ind w:left="5760" w:hanging="360"/>
      </w:pPr>
    </w:lvl>
    <w:lvl w:ilvl="8" w:tplc="A02C4A76">
      <w:start w:val="1"/>
      <w:numFmt w:val="bullet"/>
      <w:lvlText w:val="●"/>
      <w:lvlJc w:val="left"/>
      <w:pPr>
        <w:ind w:left="6480" w:hanging="360"/>
      </w:pPr>
    </w:lvl>
  </w:abstractNum>
  <w:abstractNum w:abstractNumId="1" w15:restartNumberingAfterBreak="0">
    <w:nsid w:val="5543416E"/>
    <w:multiLevelType w:val="hybridMultilevel"/>
    <w:tmpl w:val="938A89CE"/>
    <w:lvl w:ilvl="0" w:tplc="4636D32A">
      <w:start w:val="1"/>
      <w:numFmt w:val="bullet"/>
      <w:lvlText w:val="•"/>
      <w:lvlJc w:val="left"/>
      <w:pPr>
        <w:ind w:left="460" w:hanging="260"/>
      </w:pPr>
    </w:lvl>
    <w:lvl w:ilvl="1" w:tplc="89807D44">
      <w:numFmt w:val="decimal"/>
      <w:lvlText w:val=""/>
      <w:lvlJc w:val="left"/>
    </w:lvl>
    <w:lvl w:ilvl="2" w:tplc="2C3EC762">
      <w:numFmt w:val="decimal"/>
      <w:lvlText w:val=""/>
      <w:lvlJc w:val="left"/>
    </w:lvl>
    <w:lvl w:ilvl="3" w:tplc="8D1ABCE2">
      <w:numFmt w:val="decimal"/>
      <w:lvlText w:val=""/>
      <w:lvlJc w:val="left"/>
    </w:lvl>
    <w:lvl w:ilvl="4" w:tplc="A6B615BA">
      <w:numFmt w:val="decimal"/>
      <w:lvlText w:val=""/>
      <w:lvlJc w:val="left"/>
    </w:lvl>
    <w:lvl w:ilvl="5" w:tplc="E15C1EEE">
      <w:numFmt w:val="decimal"/>
      <w:lvlText w:val=""/>
      <w:lvlJc w:val="left"/>
    </w:lvl>
    <w:lvl w:ilvl="6" w:tplc="17F09D10">
      <w:numFmt w:val="decimal"/>
      <w:lvlText w:val=""/>
      <w:lvlJc w:val="left"/>
    </w:lvl>
    <w:lvl w:ilvl="7" w:tplc="FF4CC57E">
      <w:numFmt w:val="decimal"/>
      <w:lvlText w:val=""/>
      <w:lvlJc w:val="left"/>
    </w:lvl>
    <w:lvl w:ilvl="8" w:tplc="0878223E">
      <w:numFmt w:val="decimal"/>
      <w:lvlText w:val=""/>
      <w:lvlJc w:val="left"/>
    </w:lvl>
  </w:abstractNum>
  <w:num w:numId="1" w16cid:durableId="1095976687">
    <w:abstractNumId w:val="0"/>
    <w:lvlOverride w:ilvl="0">
      <w:startOverride w:val="1"/>
    </w:lvlOverride>
  </w:num>
  <w:num w:numId="2" w16cid:durableId="53315367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5FEF"/>
    <w:rsid w:val="0001696D"/>
    <w:rsid w:val="0020635C"/>
    <w:rsid w:val="002F702F"/>
    <w:rsid w:val="0034438C"/>
    <w:rsid w:val="003D1EAA"/>
    <w:rsid w:val="007A71ED"/>
    <w:rsid w:val="00825E4F"/>
    <w:rsid w:val="00A0180E"/>
    <w:rsid w:val="00A35FEF"/>
    <w:rsid w:val="00CA1F90"/>
    <w:rsid w:val="00D560A6"/>
    <w:rsid w:val="00E27F35"/>
    <w:rsid w:val="00E9718D"/>
    <w:rsid w:val="00EF3AA1"/>
    <w:rsid w:val="00F51C8B"/>
    <w:rsid w:val="00F76B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3E606"/>
  <w15:docId w15:val="{78561E38-CB03-4C78-AFED-614441BA0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F76B09"/>
    <w:pPr>
      <w:spacing w:after="100"/>
    </w:pPr>
  </w:style>
  <w:style w:type="paragraph" w:styleId="TOC2">
    <w:name w:val="toc 2"/>
    <w:basedOn w:val="Normal"/>
    <w:next w:val="Normal"/>
    <w:autoRedefine/>
    <w:uiPriority w:val="39"/>
    <w:unhideWhenUsed/>
    <w:rsid w:val="00F76B09"/>
    <w:pPr>
      <w:spacing w:after="100"/>
      <w:ind w:left="240"/>
    </w:pPr>
  </w:style>
  <w:style w:type="paragraph" w:styleId="IntenseQuote">
    <w:name w:val="Intense Quote"/>
    <w:basedOn w:val="Normal"/>
    <w:next w:val="Normal"/>
    <w:link w:val="IntenseQuoteChar"/>
    <w:uiPriority w:val="30"/>
    <w:qFormat/>
    <w:rsid w:val="0020635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0635C"/>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3362</Words>
  <Characters>19169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Human Capital Management – Individual Report</vt:lpstr>
    </vt:vector>
  </TitlesOfParts>
  <Company/>
  <LinksUpToDate>false</LinksUpToDate>
  <CharactersWithSpaces>22487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Capital Management – Individual Report</dc:title>
  <dc:creator>MBA Student</dc:creator>
  <cp:lastModifiedBy>Darsh Patel</cp:lastModifiedBy>
  <cp:revision>8</cp:revision>
  <dcterms:created xsi:type="dcterms:W3CDTF">2026-07-09T14:48:00Z</dcterms:created>
  <dcterms:modified xsi:type="dcterms:W3CDTF">2026-07-09T23:51:00Z</dcterms:modified>
</cp:coreProperties>
</file>