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C564B" w14:textId="41056206" w:rsidR="003068FC" w:rsidRPr="00972233" w:rsidRDefault="003068FC" w:rsidP="00C950A4">
      <w:pPr>
        <w:spacing w:line="360" w:lineRule="auto"/>
        <w:jc w:val="center"/>
        <w:rPr>
          <w:sz w:val="24"/>
          <w:szCs w:val="24"/>
          <w:u w:val="single"/>
          <w:lang w:val="en-US"/>
        </w:rPr>
      </w:pPr>
      <w:r w:rsidRPr="00972233">
        <w:rPr>
          <w:sz w:val="24"/>
          <w:szCs w:val="24"/>
          <w:u w:val="single"/>
          <w:lang w:val="en-US"/>
        </w:rPr>
        <w:t>Critically assess the extent that repatriation claims are motivated by political agendas of self-determination and sovereignty</w:t>
      </w:r>
      <w:r w:rsidR="00C950A4">
        <w:rPr>
          <w:sz w:val="24"/>
          <w:szCs w:val="24"/>
          <w:u w:val="single"/>
          <w:lang w:val="en-US"/>
        </w:rPr>
        <w:t xml:space="preserve">. </w:t>
      </w:r>
    </w:p>
    <w:p w14:paraId="054A297B" w14:textId="0925FA20" w:rsidR="003068FC" w:rsidRDefault="003068FC" w:rsidP="00522450">
      <w:pPr>
        <w:spacing w:line="360" w:lineRule="auto"/>
        <w:rPr>
          <w:lang w:val="en-US"/>
        </w:rPr>
      </w:pPr>
    </w:p>
    <w:p w14:paraId="5BE2439F" w14:textId="5F835B73" w:rsidR="00FF7A0C" w:rsidRPr="004C75E2" w:rsidRDefault="004C75E2" w:rsidP="00522450">
      <w:pPr>
        <w:spacing w:line="360" w:lineRule="auto"/>
        <w:rPr>
          <w:lang w:val="en-US"/>
        </w:rPr>
      </w:pPr>
      <w:r>
        <w:rPr>
          <w:lang w:val="en-US"/>
        </w:rPr>
        <w:t>Since entering the 20</w:t>
      </w:r>
      <w:r w:rsidRPr="004C75E2">
        <w:rPr>
          <w:vertAlign w:val="superscript"/>
          <w:lang w:val="en-US"/>
        </w:rPr>
        <w:t>th</w:t>
      </w:r>
      <w:r>
        <w:rPr>
          <w:lang w:val="en-US"/>
        </w:rPr>
        <w:t xml:space="preserve"> century, there have been increasing calls for the ‘repatriation’ of </w:t>
      </w:r>
      <w:r w:rsidR="00B36D3C">
        <w:rPr>
          <w:lang w:val="en-US"/>
        </w:rPr>
        <w:t xml:space="preserve">objects, artefacts, and monuments from the care of museum institutions into the hands of their original cultures. This essay will attempt to critically assess the extent to which these repatriation claims are motivated by the modern political agendas of self determination and sovereignty. </w:t>
      </w:r>
      <w:r w:rsidR="00FF7A0C">
        <w:rPr>
          <w:lang w:val="en-US"/>
        </w:rPr>
        <w:t>Repatriation</w:t>
      </w:r>
      <w:r w:rsidR="00732A43">
        <w:rPr>
          <w:lang w:val="en-US"/>
        </w:rPr>
        <w:t xml:space="preserve"> or restitution is where artefacts, monuments, artworks, or other objects of significance </w:t>
      </w:r>
      <w:r w:rsidR="00DB0660">
        <w:rPr>
          <w:lang w:val="en-US"/>
        </w:rPr>
        <w:t xml:space="preserve">are returned to their country of origin from where they were taken to. </w:t>
      </w:r>
      <w:r w:rsidR="009524A0">
        <w:rPr>
          <w:lang w:val="en-US"/>
        </w:rPr>
        <w:t xml:space="preserve">These issues are often steeped in colonialism or imperialism and thus most repatriation claims are associated with ideas of self determination and sovereignty. </w:t>
      </w:r>
      <w:r w:rsidR="00B509DB">
        <w:rPr>
          <w:lang w:val="en-US"/>
        </w:rPr>
        <w:t>They are often a struggle between the aspiration for international bonding and appreciation of other cultures, and the sense of nationalistic patriotism that most institutions and nations feel when it comes to their museum collections.</w:t>
      </w:r>
      <w:r w:rsidR="00B509DB">
        <w:rPr>
          <w:rStyle w:val="FootnoteReference"/>
          <w:lang w:val="en-US"/>
        </w:rPr>
        <w:footnoteReference w:id="1"/>
      </w:r>
      <w:r w:rsidR="00264B61">
        <w:rPr>
          <w:lang w:val="en-US"/>
        </w:rPr>
        <w:t xml:space="preserve"> </w:t>
      </w:r>
      <w:r w:rsidR="00FF7A0C">
        <w:rPr>
          <w:lang w:val="en-US"/>
        </w:rPr>
        <w:t>Self Determination</w:t>
      </w:r>
      <w:r w:rsidR="001443D5">
        <w:rPr>
          <w:lang w:val="en-US"/>
        </w:rPr>
        <w:t xml:space="preserve"> and Sovereignty are often ideas that go hand in hand. They mostly represent the ability for a country to have its own identity and govern itself. </w:t>
      </w:r>
    </w:p>
    <w:p w14:paraId="0E3D623F" w14:textId="77777777" w:rsidR="00C950A4" w:rsidRDefault="00C950A4" w:rsidP="00522450">
      <w:pPr>
        <w:spacing w:line="360" w:lineRule="auto"/>
        <w:rPr>
          <w:b/>
          <w:bCs/>
          <w:lang w:val="en-US"/>
        </w:rPr>
      </w:pPr>
    </w:p>
    <w:p w14:paraId="416DAC56" w14:textId="37ECB08A" w:rsidR="003068FC" w:rsidRDefault="00FF7A0C" w:rsidP="00522450">
      <w:pPr>
        <w:spacing w:line="360" w:lineRule="auto"/>
        <w:rPr>
          <w:lang w:val="en-US"/>
        </w:rPr>
      </w:pPr>
      <w:r>
        <w:rPr>
          <w:lang w:val="en-US"/>
        </w:rPr>
        <w:t>The first example of a major repatriation claim that could be seen as being motivated by the political agendas of self-determination and sovereignty is the case of the Benin Bronzes. Described as a collection of metallic sculptures and plaques, these objects originated from the royal palace of Benin and were created by the Edo people from the 13</w:t>
      </w:r>
      <w:r w:rsidRPr="00FF7A0C">
        <w:rPr>
          <w:vertAlign w:val="superscript"/>
          <w:lang w:val="en-US"/>
        </w:rPr>
        <w:t>th</w:t>
      </w:r>
      <w:r>
        <w:rPr>
          <w:lang w:val="en-US"/>
        </w:rPr>
        <w:t xml:space="preserve"> century onwards.</w:t>
      </w:r>
      <w:r>
        <w:rPr>
          <w:rStyle w:val="FootnoteReference"/>
          <w:lang w:val="en-US"/>
        </w:rPr>
        <w:footnoteReference w:id="2"/>
      </w:r>
      <w:r>
        <w:rPr>
          <w:lang w:val="en-US"/>
        </w:rPr>
        <w:t xml:space="preserve"> These cultural artefacts were looted from their place of origin by a British army expedition in 1897. </w:t>
      </w:r>
      <w:r w:rsidR="00B80312">
        <w:rPr>
          <w:lang w:val="en-US"/>
        </w:rPr>
        <w:t>They have since been distributed across both Europe and North America into museums, art galleries, and private collections. It is believed that 90% of all sub-Saharan Africa’s cultural heritage is held within Europe.</w:t>
      </w:r>
      <w:r w:rsidR="00B80312">
        <w:rPr>
          <w:rStyle w:val="FootnoteReference"/>
          <w:lang w:val="en-US"/>
        </w:rPr>
        <w:footnoteReference w:id="3"/>
      </w:r>
      <w:r w:rsidR="00B80312">
        <w:rPr>
          <w:lang w:val="en-US"/>
        </w:rPr>
        <w:t xml:space="preserve"> Some specific institutions have been singled out for these collections of heritage, such as the British Museum, the Cambridge Museum of Archaeology and Anthropology, and the Pitt Rivers Museum in Oxford.</w:t>
      </w:r>
      <w:r w:rsidR="00B80312">
        <w:rPr>
          <w:rStyle w:val="FootnoteReference"/>
          <w:lang w:val="en-US"/>
        </w:rPr>
        <w:footnoteReference w:id="4"/>
      </w:r>
      <w:r w:rsidR="00B80312">
        <w:rPr>
          <w:lang w:val="en-US"/>
        </w:rPr>
        <w:t xml:space="preserve"> However, since their gaining of independence in the 1960s, Nigeria has been calling for these artefacts to be returned to their home country. This restitution has yet to occur. </w:t>
      </w:r>
    </w:p>
    <w:p w14:paraId="524612DD" w14:textId="77777777" w:rsidR="00B80312" w:rsidRDefault="00B80312" w:rsidP="00522450">
      <w:pPr>
        <w:spacing w:line="360" w:lineRule="auto"/>
        <w:rPr>
          <w:lang w:val="en-US"/>
        </w:rPr>
      </w:pPr>
    </w:p>
    <w:p w14:paraId="6C4C1D49" w14:textId="60524700" w:rsidR="00A75F53" w:rsidRDefault="006B29A7" w:rsidP="00522450">
      <w:pPr>
        <w:spacing w:line="360" w:lineRule="auto"/>
        <w:rPr>
          <w:lang w:val="en-US"/>
        </w:rPr>
      </w:pPr>
      <w:r>
        <w:rPr>
          <w:lang w:val="en-US"/>
        </w:rPr>
        <w:lastRenderedPageBreak/>
        <w:t>In more recent times, museums across the West have been conforming to the idea of repatriating their held artefacts back to Nigeria. The Benin Dialogue Group, for example, is an organization that wants to establish a museum within Benin, where the Bronzes can be displayed permanently.</w:t>
      </w:r>
      <w:r>
        <w:rPr>
          <w:rStyle w:val="FootnoteReference"/>
          <w:lang w:val="en-US"/>
        </w:rPr>
        <w:footnoteReference w:id="5"/>
      </w:r>
      <w:r>
        <w:rPr>
          <w:lang w:val="en-US"/>
        </w:rPr>
        <w:t xml:space="preserve"> </w:t>
      </w:r>
      <w:r w:rsidR="00A75F53">
        <w:rPr>
          <w:lang w:val="en-US"/>
        </w:rPr>
        <w:t xml:space="preserve">Recently, Berlin’s </w:t>
      </w:r>
      <w:r w:rsidR="00B80312">
        <w:rPr>
          <w:lang w:val="en-US"/>
        </w:rPr>
        <w:t>Humboldt</w:t>
      </w:r>
      <w:r w:rsidR="00A75F53">
        <w:rPr>
          <w:lang w:val="en-US"/>
        </w:rPr>
        <w:t xml:space="preserve"> Forum, a collection of institutions, has announced that it won’t be displaying the 530 Bronzes that it holds in its collection, instead offering to display either replicas or empty spaces.</w:t>
      </w:r>
      <w:r w:rsidR="00A75F53">
        <w:rPr>
          <w:rStyle w:val="FootnoteReference"/>
          <w:lang w:val="en-US"/>
        </w:rPr>
        <w:footnoteReference w:id="6"/>
      </w:r>
      <w:r w:rsidR="00A75F53">
        <w:rPr>
          <w:lang w:val="en-US"/>
        </w:rPr>
        <w:t xml:space="preserve"> Germany’s Foreign Minister, Heiko Maas, has also spoken on the ideas of possible repatriation, saying that it is part of an honest approach to colonial history. Other institutions, on the other hand, have been called out for not making their approaches and thoughts of repatriation clear. The British Museum, for example, holds anywhere between 200 and 900 items from Benin</w:t>
      </w:r>
      <w:r w:rsidR="00A75F53">
        <w:rPr>
          <w:rStyle w:val="FootnoteReference"/>
          <w:lang w:val="en-US"/>
        </w:rPr>
        <w:footnoteReference w:id="7"/>
      </w:r>
      <w:r w:rsidR="00A75F53">
        <w:rPr>
          <w:lang w:val="en-US"/>
        </w:rPr>
        <w:t xml:space="preserve"> in its collection and yet has not made its approach to returning items clear. </w:t>
      </w:r>
    </w:p>
    <w:p w14:paraId="4F7ABAA4" w14:textId="77777777" w:rsidR="00B80312" w:rsidRPr="00B80312" w:rsidRDefault="00B80312" w:rsidP="00522450">
      <w:pPr>
        <w:spacing w:line="360" w:lineRule="auto"/>
        <w:rPr>
          <w:lang w:val="en-US"/>
        </w:rPr>
      </w:pPr>
    </w:p>
    <w:p w14:paraId="676A2A22" w14:textId="799BE278" w:rsidR="00FF7A0C" w:rsidRDefault="00FF7A0C" w:rsidP="00522450">
      <w:pPr>
        <w:spacing w:line="360" w:lineRule="auto"/>
        <w:rPr>
          <w:lang w:val="en-US"/>
        </w:rPr>
      </w:pPr>
      <w:r>
        <w:rPr>
          <w:lang w:val="en-US"/>
        </w:rPr>
        <w:t xml:space="preserve">This example of Nigeria’s cultural heritage has seen many arguments both for and against its return to Benin. While the idea may seem simple at first, the idea of returning the Benin bronzes to their homeland of modern-day Nigeria appears more complicated and emotive the more it is investigated. Those who want to see the Benin Bronzes returned argue that </w:t>
      </w:r>
      <w:r w:rsidR="00733D8E">
        <w:rPr>
          <w:lang w:val="en-US"/>
        </w:rPr>
        <w:t>the Benin Bronzes are stolen goods, linked to both colonial imperialism and slavery. While not all of the Bronzes in Benin were taken in 1897, it is believed that the majority of this section of Nigeria’s cultural heritage is held across Western museums and private collections. The British museum, in particular, has been highlighted for holding anywhere between 200 and 900 items from Benin.</w:t>
      </w:r>
      <w:r w:rsidR="00733D8E">
        <w:rPr>
          <w:rStyle w:val="FootnoteReference"/>
          <w:lang w:val="en-US"/>
        </w:rPr>
        <w:footnoteReference w:id="8"/>
      </w:r>
      <w:r w:rsidR="00733D8E">
        <w:rPr>
          <w:lang w:val="en-US"/>
        </w:rPr>
        <w:t xml:space="preserve"> Furthermore, unlike many cases of the same magnitude, such as the Parthenon Marbles which are also held across Western Museums, there are no moral grey areas of legal contracts or selling agreements.</w:t>
      </w:r>
      <w:r w:rsidR="00733D8E">
        <w:rPr>
          <w:rStyle w:val="FootnoteReference"/>
          <w:lang w:val="en-US"/>
        </w:rPr>
        <w:footnoteReference w:id="9"/>
      </w:r>
      <w:r w:rsidR="00733D8E">
        <w:rPr>
          <w:lang w:val="en-US"/>
        </w:rPr>
        <w:t xml:space="preserve"> The Bronzes were taken as war spoils and then sold to museums and collections later down the line. </w:t>
      </w:r>
      <w:r w:rsidR="001D104A">
        <w:rPr>
          <w:lang w:val="en-US"/>
        </w:rPr>
        <w:t xml:space="preserve">These artefacts had original meanings that were embedded in the cultural and religious practices of Benin, to remove them from this context and place them elsewhere downplays their significance immensely. Counter arguments about the safety of these artefacts have also been downplayed, as by questioning the ability of Nigerian museums to protect their own culture is to </w:t>
      </w:r>
      <w:r w:rsidR="009E2B53">
        <w:rPr>
          <w:lang w:val="en-US"/>
        </w:rPr>
        <w:t xml:space="preserve">lean into the ideas of institutional racism and international inequality that is incredibly present in museum institutional culture. </w:t>
      </w:r>
    </w:p>
    <w:p w14:paraId="1C7A0587" w14:textId="1032D613" w:rsidR="001D104A" w:rsidRDefault="001D104A" w:rsidP="00522450">
      <w:pPr>
        <w:spacing w:line="360" w:lineRule="auto"/>
        <w:rPr>
          <w:lang w:val="en-US"/>
        </w:rPr>
      </w:pPr>
    </w:p>
    <w:p w14:paraId="094B5C11" w14:textId="56AC8AE2" w:rsidR="001D104A" w:rsidRPr="00FF7A0C" w:rsidRDefault="001D104A" w:rsidP="00522450">
      <w:pPr>
        <w:spacing w:line="360" w:lineRule="auto"/>
        <w:rPr>
          <w:lang w:val="en-US"/>
        </w:rPr>
      </w:pPr>
      <w:r>
        <w:rPr>
          <w:lang w:val="en-US"/>
        </w:rPr>
        <w:lastRenderedPageBreak/>
        <w:t xml:space="preserve">There have, however, been counter arguments to the idea of repatriating the Benin Bronzes to their homeland. </w:t>
      </w:r>
      <w:r w:rsidR="00520C71">
        <w:rPr>
          <w:lang w:val="en-US"/>
        </w:rPr>
        <w:t xml:space="preserve">Some argue that the ‘Universal’ Museum that many European institutions aim to create represents the Enlightenment style ideas of preservation and display of multiple cultures in one accessible space, which would require the display of artefacts such as those taken from Benin. They believe that </w:t>
      </w:r>
      <w:proofErr w:type="gramStart"/>
      <w:r w:rsidR="00520C71">
        <w:rPr>
          <w:lang w:val="en-US"/>
        </w:rPr>
        <w:t>in order for</w:t>
      </w:r>
      <w:proofErr w:type="gramEnd"/>
      <w:r w:rsidR="00520C71">
        <w:rPr>
          <w:lang w:val="en-US"/>
        </w:rPr>
        <w:t xml:space="preserve"> history to be understood, preserved, and protected, artefacts from multiple places must be stored in one secure facility that the people can access. However, this presents multiple problems. First, the Benin Bronzes are widely known to have been stolen from Nigeria, and thus it is difficult to see them as part of this idea of cultural equality, when by still having these artefacts, western museums are indirectly and inexplicitly refusing to acknowledge their place of origin as equal and as deserving of their culture as these western countries. Second, even if these objects are secured and protect for the future, the enlightenment style claim that backs this idea of protection and preservation is undercoated by both imperialistic and colonial ideas and power relations which compromise the good intentions behind these actions. Third, the subtle backdrop of identity politics, whereby those who are from the culture and are for the return can speak with much more authority on this matter, tends to override other arguments and counterarguments. These arguments end up becoming implicit </w:t>
      </w:r>
      <w:r w:rsidR="006B29A7">
        <w:rPr>
          <w:lang w:val="en-US"/>
        </w:rPr>
        <w:t xml:space="preserve">excuses for other intentions that undercoat the </w:t>
      </w:r>
      <w:r w:rsidR="001443D5">
        <w:rPr>
          <w:lang w:val="en-US"/>
        </w:rPr>
        <w:t>speakers’</w:t>
      </w:r>
      <w:r w:rsidR="006B29A7">
        <w:rPr>
          <w:lang w:val="en-US"/>
        </w:rPr>
        <w:t xml:space="preserve"> words, more often </w:t>
      </w:r>
      <w:proofErr w:type="gramStart"/>
      <w:r w:rsidR="006B29A7">
        <w:rPr>
          <w:lang w:val="en-US"/>
        </w:rPr>
        <w:t>then</w:t>
      </w:r>
      <w:proofErr w:type="gramEnd"/>
      <w:r w:rsidR="006B29A7">
        <w:rPr>
          <w:lang w:val="en-US"/>
        </w:rPr>
        <w:t xml:space="preserve"> not also colonialist and imperialist.</w:t>
      </w:r>
      <w:r w:rsidR="006B29A7">
        <w:rPr>
          <w:rStyle w:val="FootnoteReference"/>
          <w:lang w:val="en-US"/>
        </w:rPr>
        <w:footnoteReference w:id="10"/>
      </w:r>
    </w:p>
    <w:p w14:paraId="53DDBE24" w14:textId="77777777" w:rsidR="00FB48F9" w:rsidRDefault="00FB48F9" w:rsidP="00522450">
      <w:pPr>
        <w:spacing w:line="360" w:lineRule="auto"/>
        <w:rPr>
          <w:b/>
          <w:bCs/>
          <w:lang w:val="en-US"/>
        </w:rPr>
      </w:pPr>
    </w:p>
    <w:p w14:paraId="313CED77" w14:textId="3F9BB78F" w:rsidR="00FF7A0C" w:rsidRPr="00FF7A0C" w:rsidRDefault="00FF7A0C" w:rsidP="00522450">
      <w:pPr>
        <w:spacing w:line="360" w:lineRule="auto"/>
        <w:rPr>
          <w:lang w:val="en-US"/>
        </w:rPr>
      </w:pPr>
      <w:r>
        <w:rPr>
          <w:lang w:val="en-US"/>
        </w:rPr>
        <w:t>T</w:t>
      </w:r>
      <w:r w:rsidR="006B29A7">
        <w:rPr>
          <w:lang w:val="en-US"/>
        </w:rPr>
        <w:t xml:space="preserve">hese arguments, both for and against the return of the Benin Bronzes, can be argued to be influenced by the ideas of Self Determination and Sovereignty. </w:t>
      </w:r>
      <w:r w:rsidR="00B80312">
        <w:rPr>
          <w:lang w:val="en-US"/>
        </w:rPr>
        <w:t xml:space="preserve">For those who want the artefacts to be returned, the Benin Bronzes represent </w:t>
      </w:r>
      <w:r w:rsidR="001443D5">
        <w:rPr>
          <w:lang w:val="en-US"/>
        </w:rPr>
        <w:t xml:space="preserve">an essential part of their heritage and culture. By having part of their culture removed, Nigeria finds itself losing its identity and thus its ability to be distinct from those cultures that surround it. Therefore, the Benin Bronzes being returned would contribute to an increase in self determination through individuality. On the other hand, for those who do not want the artefacts returned, the Benin Bronzes represent both “exotic” and culturally unique art, and </w:t>
      </w:r>
      <w:r w:rsidR="00FB48F9">
        <w:rPr>
          <w:lang w:val="en-US"/>
        </w:rPr>
        <w:t xml:space="preserve">colonial conquest. It could be argued that by not wanting the Bronzes returned, institutions are feeding into colonial and imperialistic mindsets that serve as a sort of foundation for old institutions. These are typically against self determination and sovereignty of other countries. </w:t>
      </w:r>
      <w:proofErr w:type="gramStart"/>
      <w:r w:rsidR="00FB48F9">
        <w:rPr>
          <w:lang w:val="en-US"/>
        </w:rPr>
        <w:t>Thus</w:t>
      </w:r>
      <w:proofErr w:type="gramEnd"/>
      <w:r w:rsidR="00FB48F9">
        <w:rPr>
          <w:lang w:val="en-US"/>
        </w:rPr>
        <w:t xml:space="preserve"> it could be said that these arguments are intrinsically linked to the ideas of self determination and sovereignty. </w:t>
      </w:r>
    </w:p>
    <w:p w14:paraId="283019A6" w14:textId="77777777" w:rsidR="00264B61" w:rsidRDefault="00264B61" w:rsidP="00522450">
      <w:pPr>
        <w:spacing w:line="360" w:lineRule="auto"/>
        <w:rPr>
          <w:b/>
          <w:bCs/>
          <w:lang w:val="en-US"/>
        </w:rPr>
      </w:pPr>
    </w:p>
    <w:p w14:paraId="45413952" w14:textId="507EB69A" w:rsidR="00733D8E" w:rsidRDefault="00D03914" w:rsidP="00522450">
      <w:pPr>
        <w:spacing w:line="360" w:lineRule="auto"/>
        <w:rPr>
          <w:lang w:val="en-US"/>
        </w:rPr>
      </w:pPr>
      <w:r>
        <w:rPr>
          <w:lang w:val="en-US"/>
        </w:rPr>
        <w:lastRenderedPageBreak/>
        <w:t xml:space="preserve">Another example of a repatriation claim </w:t>
      </w:r>
      <w:r w:rsidR="00407B27">
        <w:rPr>
          <w:lang w:val="en-US"/>
        </w:rPr>
        <w:t xml:space="preserve">that is deeply linked to the ideas of self determination and sovereignty is The Louvre. Established in </w:t>
      </w:r>
      <w:r w:rsidR="009B5E4E">
        <w:rPr>
          <w:lang w:val="en-US"/>
        </w:rPr>
        <w:t xml:space="preserve">1793, The Louvre was originally a place where the confiscated artworks of royalty, aristocracy, and </w:t>
      </w:r>
      <w:r w:rsidR="00D57398">
        <w:rPr>
          <w:lang w:val="en-US"/>
        </w:rPr>
        <w:t>the church could be stored safely during the French Revolution.</w:t>
      </w:r>
      <w:r w:rsidR="00627D6F">
        <w:rPr>
          <w:rStyle w:val="FootnoteReference"/>
          <w:lang w:val="en-US"/>
        </w:rPr>
        <w:footnoteReference w:id="11"/>
      </w:r>
      <w:r w:rsidR="00D57398">
        <w:rPr>
          <w:lang w:val="en-US"/>
        </w:rPr>
        <w:t xml:space="preserve"> This has the thus influenced the direction of the Louvre </w:t>
      </w:r>
      <w:r w:rsidR="00477030">
        <w:rPr>
          <w:lang w:val="en-US"/>
        </w:rPr>
        <w:t xml:space="preserve">has taken in its collection and keeping of objects and artefacts. </w:t>
      </w:r>
    </w:p>
    <w:p w14:paraId="4C4F7700" w14:textId="45FE61CD" w:rsidR="006E09AE" w:rsidRDefault="006E09AE" w:rsidP="00522450">
      <w:pPr>
        <w:spacing w:line="360" w:lineRule="auto"/>
        <w:rPr>
          <w:lang w:val="en-US"/>
        </w:rPr>
      </w:pPr>
    </w:p>
    <w:p w14:paraId="29ED1561" w14:textId="5039CE99" w:rsidR="00A65A36" w:rsidRDefault="006E09AE" w:rsidP="00522450">
      <w:pPr>
        <w:spacing w:line="360" w:lineRule="auto"/>
        <w:rPr>
          <w:lang w:val="en-US"/>
        </w:rPr>
      </w:pPr>
      <w:r>
        <w:rPr>
          <w:lang w:val="en-US"/>
        </w:rPr>
        <w:t xml:space="preserve">Initially, the Louvre was used as a place for storing </w:t>
      </w:r>
      <w:r w:rsidR="00C926CD">
        <w:rPr>
          <w:lang w:val="en-US"/>
        </w:rPr>
        <w:t xml:space="preserve">items from Napoleon’s conquest of Europe. Several excuses were used to justify this hoarding of material culture. </w:t>
      </w:r>
      <w:r w:rsidR="00922B09">
        <w:rPr>
          <w:lang w:val="en-US"/>
        </w:rPr>
        <w:t>They believed that Paris would become both the political and cultural capital of Europe</w:t>
      </w:r>
      <w:r w:rsidR="00DB69B5">
        <w:rPr>
          <w:lang w:val="en-US"/>
        </w:rPr>
        <w:t xml:space="preserve">, so it had to </w:t>
      </w:r>
      <w:r w:rsidR="00644D88">
        <w:rPr>
          <w:lang w:val="en-US"/>
        </w:rPr>
        <w:t xml:space="preserve">house many of the artefacts and artworks that Napoleon amassed </w:t>
      </w:r>
      <w:r w:rsidR="008D4583">
        <w:rPr>
          <w:lang w:val="en-US"/>
        </w:rPr>
        <w:t xml:space="preserve">during his conquests. Furthermore, they believed that </w:t>
      </w:r>
      <w:r w:rsidR="00536262">
        <w:rPr>
          <w:lang w:val="en-US"/>
        </w:rPr>
        <w:t>this accumulation of global culture would inspire France to increase its academic</w:t>
      </w:r>
      <w:r w:rsidR="005616F5">
        <w:rPr>
          <w:lang w:val="en-US"/>
        </w:rPr>
        <w:t xml:space="preserve"> aspirations and its industry.</w:t>
      </w:r>
      <w:r w:rsidR="005616F5">
        <w:rPr>
          <w:rStyle w:val="FootnoteReference"/>
          <w:lang w:val="en-US"/>
        </w:rPr>
        <w:footnoteReference w:id="12"/>
      </w:r>
      <w:r w:rsidR="005616F5">
        <w:rPr>
          <w:lang w:val="en-US"/>
        </w:rPr>
        <w:t xml:space="preserve"> </w:t>
      </w:r>
      <w:r w:rsidR="00E74A85">
        <w:rPr>
          <w:lang w:val="en-US"/>
        </w:rPr>
        <w:t xml:space="preserve">Even after the </w:t>
      </w:r>
      <w:r w:rsidR="00B444A3">
        <w:rPr>
          <w:lang w:val="en-US"/>
        </w:rPr>
        <w:t xml:space="preserve">repatriation forced onto other countries such as Germany in the post war years, France was allowed to keep </w:t>
      </w:r>
      <w:r w:rsidR="0021640B">
        <w:rPr>
          <w:lang w:val="en-US"/>
        </w:rPr>
        <w:t>its works, claiming that they had been acquired prior to the dates the agreements and treaties</w:t>
      </w:r>
      <w:r w:rsidR="00C12D2A">
        <w:rPr>
          <w:lang w:val="en-US"/>
        </w:rPr>
        <w:t xml:space="preserve"> cited. </w:t>
      </w:r>
      <w:r w:rsidR="009A5270">
        <w:rPr>
          <w:lang w:val="en-US"/>
        </w:rPr>
        <w:t xml:space="preserve">One example of works taken </w:t>
      </w:r>
      <w:r w:rsidR="005D59C8">
        <w:rPr>
          <w:lang w:val="en-US"/>
        </w:rPr>
        <w:t xml:space="preserve">during the Napoleonic conquest of Europe was the large amount of Flemish, or Belgian, paintings </w:t>
      </w:r>
      <w:r w:rsidR="00F74AFA">
        <w:rPr>
          <w:lang w:val="en-US"/>
        </w:rPr>
        <w:t xml:space="preserve">from across the nation. </w:t>
      </w:r>
      <w:r w:rsidR="00C450D5">
        <w:rPr>
          <w:lang w:val="en-US"/>
        </w:rPr>
        <w:t>While Belgium has yet to make a restitution claim for these paintings, they are considered part of Belgian cultural heritage</w:t>
      </w:r>
      <w:r w:rsidR="0064722F">
        <w:rPr>
          <w:lang w:val="en-US"/>
        </w:rPr>
        <w:t xml:space="preserve"> and could be cared for in many of Belgium’s museums. </w:t>
      </w:r>
      <w:r w:rsidR="007873A9">
        <w:rPr>
          <w:lang w:val="en-US"/>
        </w:rPr>
        <w:t>Whether or not Belgium can claim these paintings</w:t>
      </w:r>
      <w:r w:rsidR="00827C12">
        <w:rPr>
          <w:lang w:val="en-US"/>
        </w:rPr>
        <w:t xml:space="preserve"> thus depends on its ability to make a convincing restitution argument against France.</w:t>
      </w:r>
      <w:r w:rsidR="00577147">
        <w:rPr>
          <w:rStyle w:val="FootnoteReference"/>
          <w:lang w:val="en-US"/>
        </w:rPr>
        <w:footnoteReference w:id="13"/>
      </w:r>
    </w:p>
    <w:p w14:paraId="54B795C7" w14:textId="77777777" w:rsidR="00077855" w:rsidRDefault="00077855" w:rsidP="00522450">
      <w:pPr>
        <w:spacing w:line="360" w:lineRule="auto"/>
        <w:rPr>
          <w:lang w:val="en-US"/>
        </w:rPr>
      </w:pPr>
    </w:p>
    <w:p w14:paraId="1D225A96" w14:textId="242EA01B" w:rsidR="00733D8E" w:rsidRDefault="00430A13" w:rsidP="00522450">
      <w:pPr>
        <w:spacing w:line="360" w:lineRule="auto"/>
        <w:rPr>
          <w:lang w:val="en-US"/>
        </w:rPr>
      </w:pPr>
      <w:r>
        <w:rPr>
          <w:lang w:val="en-US"/>
        </w:rPr>
        <w:t xml:space="preserve">Belgium can argue that France has a moral obligation </w:t>
      </w:r>
      <w:r w:rsidR="00B5505A">
        <w:rPr>
          <w:lang w:val="en-US"/>
        </w:rPr>
        <w:t xml:space="preserve">to return its stolen artwork, as </w:t>
      </w:r>
      <w:r w:rsidR="00D131E1">
        <w:rPr>
          <w:lang w:val="en-US"/>
        </w:rPr>
        <w:t xml:space="preserve">the Second Treaty of Paris, signed by France after the defeat of Napoleon, acknowledges the works as </w:t>
      </w:r>
      <w:r w:rsidR="008F086C">
        <w:rPr>
          <w:lang w:val="en-US"/>
        </w:rPr>
        <w:t xml:space="preserve">part of Belgium’s cultural identity when it was stolen. </w:t>
      </w:r>
      <w:r w:rsidR="00CD558D">
        <w:rPr>
          <w:lang w:val="en-US"/>
        </w:rPr>
        <w:t xml:space="preserve">It can also be argued that </w:t>
      </w:r>
      <w:r w:rsidR="0076512E">
        <w:rPr>
          <w:lang w:val="en-US"/>
        </w:rPr>
        <w:t xml:space="preserve">Napoleon’s forces </w:t>
      </w:r>
      <w:r w:rsidR="00E90AE0">
        <w:rPr>
          <w:lang w:val="en-US"/>
        </w:rPr>
        <w:t>took Flemish property during a time when Belgium was relatively much weaker than it is now.</w:t>
      </w:r>
      <w:r w:rsidR="00752551">
        <w:rPr>
          <w:rStyle w:val="FootnoteReference"/>
          <w:lang w:val="en-US"/>
        </w:rPr>
        <w:footnoteReference w:id="14"/>
      </w:r>
      <w:r w:rsidR="00E90AE0">
        <w:rPr>
          <w:lang w:val="en-US"/>
        </w:rPr>
        <w:t xml:space="preserve"> </w:t>
      </w:r>
      <w:r w:rsidR="00C864D5">
        <w:rPr>
          <w:lang w:val="en-US"/>
        </w:rPr>
        <w:t xml:space="preserve">The Second Treaty of Paris also demanded that France return </w:t>
      </w:r>
      <w:proofErr w:type="gramStart"/>
      <w:r w:rsidR="00C864D5">
        <w:rPr>
          <w:lang w:val="en-US"/>
        </w:rPr>
        <w:t>all of</w:t>
      </w:r>
      <w:proofErr w:type="gramEnd"/>
      <w:r w:rsidR="00C864D5">
        <w:rPr>
          <w:lang w:val="en-US"/>
        </w:rPr>
        <w:t xml:space="preserve"> its stolen art, which can be argued included the Flemish </w:t>
      </w:r>
      <w:r w:rsidR="001B4D34">
        <w:rPr>
          <w:lang w:val="en-US"/>
        </w:rPr>
        <w:t xml:space="preserve">artworks that have still yet to be returned. </w:t>
      </w:r>
      <w:r w:rsidR="005B7CB5">
        <w:rPr>
          <w:lang w:val="en-US"/>
        </w:rPr>
        <w:t xml:space="preserve">While there is less of a legal precedent for the artworks return, </w:t>
      </w:r>
      <w:r w:rsidR="00213471">
        <w:rPr>
          <w:lang w:val="en-US"/>
        </w:rPr>
        <w:t xml:space="preserve">these events happened over 2 centuries ago </w:t>
      </w:r>
      <w:r w:rsidR="001D3C54">
        <w:rPr>
          <w:lang w:val="en-US"/>
        </w:rPr>
        <w:t xml:space="preserve">when </w:t>
      </w:r>
      <w:r w:rsidR="001C085F">
        <w:rPr>
          <w:lang w:val="en-US"/>
        </w:rPr>
        <w:t xml:space="preserve">the laws </w:t>
      </w:r>
      <w:r w:rsidR="001C085F">
        <w:rPr>
          <w:lang w:val="en-US"/>
        </w:rPr>
        <w:lastRenderedPageBreak/>
        <w:t xml:space="preserve">surrounding artworks </w:t>
      </w:r>
      <w:r w:rsidR="00C40529">
        <w:rPr>
          <w:lang w:val="en-US"/>
        </w:rPr>
        <w:t>were still being established</w:t>
      </w:r>
      <w:r w:rsidR="00FD65AA">
        <w:rPr>
          <w:lang w:val="en-US"/>
        </w:rPr>
        <w:t xml:space="preserve">. Although it may be argued that at the time spoils of war ‘laws’ applied, this is less of a solid argument than some may think, and </w:t>
      </w:r>
      <w:r w:rsidR="00AB1047">
        <w:rPr>
          <w:lang w:val="en-US"/>
        </w:rPr>
        <w:t>these rules were phased out by the time of the Second Paris Treaty.</w:t>
      </w:r>
      <w:r w:rsidR="00752551">
        <w:rPr>
          <w:lang w:val="en-US"/>
        </w:rPr>
        <w:t xml:space="preserve"> </w:t>
      </w:r>
      <w:r w:rsidR="007C3835">
        <w:rPr>
          <w:lang w:val="en-US"/>
        </w:rPr>
        <w:t xml:space="preserve">Some French authors also believed that </w:t>
      </w:r>
      <w:r w:rsidR="00502C22">
        <w:rPr>
          <w:lang w:val="en-US"/>
        </w:rPr>
        <w:t xml:space="preserve">the 1815 restitution, as demanded by the Second Paris Treaty, was unfair and hindered the public’s appreciation of art and artworks. </w:t>
      </w:r>
    </w:p>
    <w:p w14:paraId="2BC0F46A" w14:textId="246D60B9" w:rsidR="0020146C" w:rsidRDefault="0020146C" w:rsidP="00522450">
      <w:pPr>
        <w:spacing w:line="360" w:lineRule="auto"/>
        <w:rPr>
          <w:lang w:val="en-US"/>
        </w:rPr>
      </w:pPr>
    </w:p>
    <w:p w14:paraId="1324675C" w14:textId="30267FFE" w:rsidR="0020146C" w:rsidRDefault="0020146C" w:rsidP="00522450">
      <w:pPr>
        <w:spacing w:line="360" w:lineRule="auto"/>
        <w:rPr>
          <w:lang w:val="en-US"/>
        </w:rPr>
      </w:pPr>
      <w:r>
        <w:rPr>
          <w:lang w:val="en-US"/>
        </w:rPr>
        <w:t xml:space="preserve">However, some people may be opposed to returning </w:t>
      </w:r>
      <w:r w:rsidR="003552EE">
        <w:rPr>
          <w:lang w:val="en-US"/>
        </w:rPr>
        <w:t xml:space="preserve">these Flemish artworks to Belgium. </w:t>
      </w:r>
      <w:r w:rsidR="0089320F">
        <w:rPr>
          <w:lang w:val="en-US"/>
        </w:rPr>
        <w:t xml:space="preserve">It could be argued that the Louvre </w:t>
      </w:r>
      <w:r w:rsidR="0077549D">
        <w:rPr>
          <w:lang w:val="en-US"/>
        </w:rPr>
        <w:t xml:space="preserve">has a multitude of resources to preserve and protect these works for the public, </w:t>
      </w:r>
      <w:r w:rsidR="00637452">
        <w:rPr>
          <w:lang w:val="en-US"/>
        </w:rPr>
        <w:t xml:space="preserve">and that France should not have to go through the hassle of </w:t>
      </w:r>
      <w:r w:rsidR="00491FBB">
        <w:rPr>
          <w:lang w:val="en-US"/>
        </w:rPr>
        <w:t>sending the</w:t>
      </w:r>
      <w:r w:rsidR="00853E4F">
        <w:rPr>
          <w:lang w:val="en-US"/>
        </w:rPr>
        <w:t xml:space="preserve"> paintings back when it has already had them for two centuries. However, these works are fully considered a part of Belgium’s cultural heritage and they </w:t>
      </w:r>
      <w:r w:rsidR="009A02EE">
        <w:rPr>
          <w:lang w:val="en-US"/>
        </w:rPr>
        <w:t xml:space="preserve">are more than capable of being taken care of </w:t>
      </w:r>
      <w:r w:rsidR="00C40140">
        <w:rPr>
          <w:lang w:val="en-US"/>
        </w:rPr>
        <w:t xml:space="preserve">by any of Belgium’s </w:t>
      </w:r>
      <w:r w:rsidR="00AB1567">
        <w:rPr>
          <w:lang w:val="en-US"/>
        </w:rPr>
        <w:t xml:space="preserve">large museums. Belgium can also make a better case for restitution than Greece </w:t>
      </w:r>
      <w:r w:rsidR="007A67FC">
        <w:rPr>
          <w:lang w:val="en-US"/>
        </w:rPr>
        <w:t xml:space="preserve">did with its Elgin Marbles, due to Belgium’s stable economy and devotion to public education. </w:t>
      </w:r>
    </w:p>
    <w:p w14:paraId="5A9DBC0F" w14:textId="77777777" w:rsidR="00264B61" w:rsidRDefault="00264B61" w:rsidP="00522450">
      <w:pPr>
        <w:spacing w:line="360" w:lineRule="auto"/>
        <w:rPr>
          <w:lang w:val="en-US"/>
        </w:rPr>
      </w:pPr>
    </w:p>
    <w:p w14:paraId="5CD09B35" w14:textId="1528D5C6" w:rsidR="003068FC" w:rsidRDefault="00821074" w:rsidP="00522450">
      <w:pPr>
        <w:spacing w:line="360" w:lineRule="auto"/>
        <w:rPr>
          <w:lang w:val="en-US"/>
        </w:rPr>
      </w:pPr>
      <w:r>
        <w:rPr>
          <w:lang w:val="en-US"/>
        </w:rPr>
        <w:t xml:space="preserve">The issue of the Louvre is </w:t>
      </w:r>
      <w:r w:rsidR="00D03914">
        <w:rPr>
          <w:lang w:val="en-US"/>
        </w:rPr>
        <w:t xml:space="preserve">deeply linked to the ideas of self determination and sovereignty. </w:t>
      </w:r>
      <w:r w:rsidR="004211E5">
        <w:rPr>
          <w:lang w:val="en-US"/>
        </w:rPr>
        <w:t>Artefacts and Artworks that ended up in the Louvre during the Napoleonic era were almost always stolen during times of conquest</w:t>
      </w:r>
      <w:r w:rsidR="00973EF3">
        <w:rPr>
          <w:lang w:val="en-US"/>
        </w:rPr>
        <w:t xml:space="preserve">. This </w:t>
      </w:r>
      <w:r w:rsidR="00552AC3">
        <w:rPr>
          <w:lang w:val="en-US"/>
        </w:rPr>
        <w:t xml:space="preserve">links it directly to self-determination, </w:t>
      </w:r>
      <w:r w:rsidR="008C5E31">
        <w:rPr>
          <w:lang w:val="en-US"/>
        </w:rPr>
        <w:t>as by removing these artefacts</w:t>
      </w:r>
      <w:r w:rsidR="00BC77C4">
        <w:rPr>
          <w:lang w:val="en-US"/>
        </w:rPr>
        <w:t xml:space="preserve">, France took with it a part of </w:t>
      </w:r>
      <w:r w:rsidR="00B9558A">
        <w:rPr>
          <w:lang w:val="en-US"/>
        </w:rPr>
        <w:t xml:space="preserve">their cultural identity. </w:t>
      </w:r>
      <w:r w:rsidR="0028686B">
        <w:rPr>
          <w:lang w:val="en-US"/>
        </w:rPr>
        <w:t xml:space="preserve">This made it harder for each of these countries to have its own distinctive </w:t>
      </w:r>
      <w:r w:rsidR="003C2646">
        <w:rPr>
          <w:lang w:val="en-US"/>
        </w:rPr>
        <w:t xml:space="preserve">culture, as quite a fair bit of it was removed. </w:t>
      </w:r>
      <w:r w:rsidR="003F5047">
        <w:rPr>
          <w:lang w:val="en-US"/>
        </w:rPr>
        <w:t xml:space="preserve">As a particular example, while Belgium has yet to make any claim for its artworks that currently reside in the Louvre, </w:t>
      </w:r>
      <w:r w:rsidR="0024762D">
        <w:rPr>
          <w:lang w:val="en-US"/>
        </w:rPr>
        <w:t xml:space="preserve">they have been acknowledged multiple times as </w:t>
      </w:r>
      <w:r w:rsidR="0088022B">
        <w:rPr>
          <w:lang w:val="en-US"/>
        </w:rPr>
        <w:t xml:space="preserve">a part of Belgium’s cultural property and heritage. </w:t>
      </w:r>
      <w:r w:rsidR="00D00124">
        <w:rPr>
          <w:lang w:val="en-US"/>
        </w:rPr>
        <w:t>As such, bu</w:t>
      </w:r>
      <w:r w:rsidR="007C4DD7">
        <w:rPr>
          <w:lang w:val="en-US"/>
        </w:rPr>
        <w:t xml:space="preserve">y </w:t>
      </w:r>
      <w:r w:rsidR="00D00124">
        <w:rPr>
          <w:lang w:val="en-US"/>
        </w:rPr>
        <w:t xml:space="preserve">removing them and keeping them, </w:t>
      </w:r>
      <w:r w:rsidR="007C4DD7">
        <w:rPr>
          <w:lang w:val="en-US"/>
        </w:rPr>
        <w:t xml:space="preserve">The Louvre has had an impact on </w:t>
      </w:r>
      <w:r w:rsidR="00AF2EEB">
        <w:rPr>
          <w:lang w:val="en-US"/>
        </w:rPr>
        <w:t xml:space="preserve">the self determination of Belgium, as well as impacting how well it can present its history in its own museums. </w:t>
      </w:r>
    </w:p>
    <w:p w14:paraId="11154415" w14:textId="77E18529" w:rsidR="003068FC" w:rsidRDefault="003068FC" w:rsidP="00522450">
      <w:pPr>
        <w:spacing w:line="360" w:lineRule="auto"/>
        <w:rPr>
          <w:b/>
          <w:bCs/>
          <w:lang w:val="en-US"/>
        </w:rPr>
      </w:pPr>
    </w:p>
    <w:p w14:paraId="3E7C31BB" w14:textId="693D5347" w:rsidR="00DD6B0A" w:rsidRDefault="007C32F9" w:rsidP="00522450">
      <w:pPr>
        <w:spacing w:line="360" w:lineRule="auto"/>
        <w:rPr>
          <w:lang w:val="en-US"/>
        </w:rPr>
      </w:pPr>
      <w:r>
        <w:rPr>
          <w:lang w:val="en-US"/>
        </w:rPr>
        <w:t xml:space="preserve">Another example of repatriation is the Elgin Marbles, also known as the Parthenon Marbles. </w:t>
      </w:r>
      <w:r w:rsidR="005F303D">
        <w:rPr>
          <w:lang w:val="en-US"/>
        </w:rPr>
        <w:t>These are a collection of inscriptions, sculptures, and architectural structures that were removed from the Greek Acropolis by Lord Elgin, after which the Marbles have been since named, for the British Government. They have since been exhibited in the British Museum’s Duveen Gallery.</w:t>
      </w:r>
      <w:r w:rsidR="005F303D">
        <w:rPr>
          <w:rStyle w:val="FootnoteReference"/>
          <w:lang w:val="en-US"/>
        </w:rPr>
        <w:footnoteReference w:id="15"/>
      </w:r>
      <w:r w:rsidR="005F303D">
        <w:rPr>
          <w:lang w:val="en-US"/>
        </w:rPr>
        <w:t xml:space="preserve"> These Marbles have in recent years become a significant cultural cornerstone for the country of Greece, </w:t>
      </w:r>
      <w:r w:rsidR="005F303D">
        <w:rPr>
          <w:lang w:val="en-US"/>
        </w:rPr>
        <w:lastRenderedPageBreak/>
        <w:t xml:space="preserve">transformed into an emblem of national identity. Arguably, this is due to the financial crisis that begun in the mid to late 2000s, which led Greece to turn to marketing its history and the symbols associated with it as both a significant part of European </w:t>
      </w:r>
      <w:r w:rsidR="00EC5939">
        <w:rPr>
          <w:lang w:val="en-US"/>
        </w:rPr>
        <w:t>civilization’s</w:t>
      </w:r>
      <w:r w:rsidR="005F303D">
        <w:rPr>
          <w:lang w:val="en-US"/>
        </w:rPr>
        <w:t xml:space="preserve"> heritage and something that can be profited off, attempting to counteract the negative </w:t>
      </w:r>
      <w:r w:rsidR="00EC5939">
        <w:rPr>
          <w:lang w:val="en-US"/>
        </w:rPr>
        <w:t xml:space="preserve">national identity generated by their financial crisis. </w:t>
      </w:r>
    </w:p>
    <w:p w14:paraId="70B0BBA2" w14:textId="471B24D2" w:rsidR="00EC5939" w:rsidRDefault="00EC5939" w:rsidP="00522450">
      <w:pPr>
        <w:spacing w:line="360" w:lineRule="auto"/>
        <w:rPr>
          <w:lang w:val="en-US"/>
        </w:rPr>
      </w:pPr>
    </w:p>
    <w:p w14:paraId="77606693" w14:textId="36E8471A" w:rsidR="00EC5939" w:rsidRPr="007C32F9" w:rsidRDefault="00EC5939" w:rsidP="00522450">
      <w:pPr>
        <w:spacing w:line="360" w:lineRule="auto"/>
        <w:rPr>
          <w:lang w:val="en-US"/>
        </w:rPr>
      </w:pPr>
      <w:r>
        <w:rPr>
          <w:lang w:val="en-US"/>
        </w:rPr>
        <w:t xml:space="preserve">These marbles have since attracted attention on an international level, starting with the Greek actress and former minister for culture, Melina </w:t>
      </w:r>
      <w:proofErr w:type="spellStart"/>
      <w:r>
        <w:rPr>
          <w:lang w:val="en-US"/>
        </w:rPr>
        <w:t>Merkouri’s</w:t>
      </w:r>
      <w:proofErr w:type="spellEnd"/>
      <w:r>
        <w:rPr>
          <w:lang w:val="en-US"/>
        </w:rPr>
        <w:t xml:space="preserve"> political campaign for the repatriation of the marbles. It has since become an official goal of the Ministry of Culture to get the marbles back, to the extent where in 2014 the Greek government asked UNESCO to mediate and resolve the matter, something the British government rejected. </w:t>
      </w:r>
    </w:p>
    <w:p w14:paraId="5970DDB1" w14:textId="59F5C250" w:rsidR="00DD6B0A" w:rsidRDefault="00DD6B0A" w:rsidP="00522450">
      <w:pPr>
        <w:spacing w:line="360" w:lineRule="auto"/>
        <w:rPr>
          <w:b/>
          <w:bCs/>
          <w:lang w:val="en-US"/>
        </w:rPr>
      </w:pPr>
    </w:p>
    <w:p w14:paraId="5A2943E0" w14:textId="784E3A3E" w:rsidR="00DD6B0A" w:rsidRDefault="007C32F9" w:rsidP="00522450">
      <w:pPr>
        <w:spacing w:line="360" w:lineRule="auto"/>
        <w:rPr>
          <w:lang w:val="en-US"/>
        </w:rPr>
      </w:pPr>
      <w:r>
        <w:rPr>
          <w:lang w:val="en-US"/>
        </w:rPr>
        <w:t xml:space="preserve">There have been many campaigns both for and against the repatriation of the Parthenon Marbles. </w:t>
      </w:r>
      <w:r w:rsidR="00EC5939">
        <w:rPr>
          <w:lang w:val="en-US"/>
        </w:rPr>
        <w:t>The Greek government leads its own campaign, focusing on the issue at the level of national politics. The main argument they put forward is that the marbles deserve to be reunited as a coherent piece to be displayed in one place</w:t>
      </w:r>
      <w:r w:rsidR="00534FC1">
        <w:rPr>
          <w:lang w:val="en-US"/>
        </w:rPr>
        <w:t xml:space="preserve">. This would lead to an enhanced understanding of the monument’s significance and history for the general public. However, there has been an </w:t>
      </w:r>
      <w:proofErr w:type="gramStart"/>
      <w:r w:rsidR="00534FC1">
        <w:rPr>
          <w:lang w:val="en-US"/>
        </w:rPr>
        <w:t>Acropolis museum</w:t>
      </w:r>
      <w:proofErr w:type="gramEnd"/>
      <w:r w:rsidR="00534FC1">
        <w:rPr>
          <w:lang w:val="en-US"/>
        </w:rPr>
        <w:t xml:space="preserve"> developed, which has been equipped with all the technical facilities to both conserve the current relics and a new way to display those it does not have, which compromises this argument immensely. There is also a lot of debate on the legality of how these sculptures were acquired. </w:t>
      </w:r>
      <w:r w:rsidR="00CE2BE9">
        <w:rPr>
          <w:lang w:val="en-US"/>
        </w:rPr>
        <w:t xml:space="preserve">While deals were made between Greece and Britain, how legal these deals were </w:t>
      </w:r>
      <w:proofErr w:type="gramStart"/>
      <w:r w:rsidR="00CE2BE9">
        <w:rPr>
          <w:lang w:val="en-US"/>
        </w:rPr>
        <w:t>has</w:t>
      </w:r>
      <w:proofErr w:type="gramEnd"/>
      <w:r w:rsidR="00CE2BE9">
        <w:rPr>
          <w:lang w:val="en-US"/>
        </w:rPr>
        <w:t xml:space="preserve"> been called into question several times. </w:t>
      </w:r>
    </w:p>
    <w:p w14:paraId="6C1D4D70" w14:textId="3B30B7B3" w:rsidR="00CE2BE9" w:rsidRDefault="00CE2BE9" w:rsidP="00522450">
      <w:pPr>
        <w:spacing w:line="360" w:lineRule="auto"/>
        <w:rPr>
          <w:lang w:val="en-US"/>
        </w:rPr>
      </w:pPr>
    </w:p>
    <w:p w14:paraId="57042B2A" w14:textId="517DD9DB" w:rsidR="00CE2BE9" w:rsidRPr="007C32F9" w:rsidRDefault="00CE2BE9" w:rsidP="00522450">
      <w:pPr>
        <w:spacing w:line="360" w:lineRule="auto"/>
        <w:rPr>
          <w:lang w:val="en-US"/>
        </w:rPr>
      </w:pPr>
      <w:r>
        <w:rPr>
          <w:lang w:val="en-US"/>
        </w:rPr>
        <w:t xml:space="preserve">The side that is against the repatriation, on the other hand, mostly consists of The British Government and the British Museum. They view this request as a controversy between museums and instead embrace the concept of a ‘Universal’ Museum. This is defined as a museum that spans all cultures and periods, which they say increases the public’s awareness and knowledge of chronology and the interconnectedness of global history, making people aware of connections that they may have otherwise missed. However, this idea can be seen as very problematic. While there are no official agreed criteria to become a universal museum, the mentions of it in global meetings </w:t>
      </w:r>
      <w:r w:rsidR="005300F8">
        <w:rPr>
          <w:lang w:val="en-US"/>
        </w:rPr>
        <w:t xml:space="preserve">always seem to have contradictions and often seem to be western specific, holding a lot of euro-centric positions that they seem to be built on. While the British Museum has stated “anybody is </w:t>
      </w:r>
      <w:r w:rsidR="005300F8">
        <w:rPr>
          <w:lang w:val="en-US"/>
        </w:rPr>
        <w:lastRenderedPageBreak/>
        <w:t>entitled to their view”, their trustees have said in the past that they feel there’s “A public benefit to having the sculptures in our collection remain part of our collection.”.</w:t>
      </w:r>
      <w:r w:rsidR="005300F8">
        <w:rPr>
          <w:rStyle w:val="FootnoteReference"/>
          <w:lang w:val="en-US"/>
        </w:rPr>
        <w:footnoteReference w:id="16"/>
      </w:r>
    </w:p>
    <w:p w14:paraId="1F346CB0" w14:textId="393A4CB7" w:rsidR="00DD6B0A" w:rsidRDefault="00DD6B0A" w:rsidP="00522450">
      <w:pPr>
        <w:spacing w:line="360" w:lineRule="auto"/>
        <w:rPr>
          <w:b/>
          <w:bCs/>
          <w:lang w:val="en-US"/>
        </w:rPr>
      </w:pPr>
    </w:p>
    <w:p w14:paraId="0136CBB6" w14:textId="22746DE2" w:rsidR="003068FC" w:rsidRPr="007C32F9" w:rsidRDefault="007C32F9" w:rsidP="00522450">
      <w:pPr>
        <w:spacing w:line="360" w:lineRule="auto"/>
        <w:rPr>
          <w:lang w:val="en-US"/>
        </w:rPr>
      </w:pPr>
      <w:r>
        <w:rPr>
          <w:lang w:val="en-US"/>
        </w:rPr>
        <w:t xml:space="preserve">This case is linked to the ideas of self determination and sovereignty. </w:t>
      </w:r>
      <w:r w:rsidR="005300F8">
        <w:rPr>
          <w:lang w:val="en-US"/>
        </w:rPr>
        <w:t xml:space="preserve">The Elgin marbles have become, in recent years, a symbol of Greek national identity. While some may argue that they have been idolized as part of Greek culture as a result of the country’s drive to market its history as something consumable for the rest of the world to better its image in the current financial crisis, there is no doubt that the issue of the Marbles has impacted on the country’s image. </w:t>
      </w:r>
      <w:r w:rsidR="00552D60">
        <w:rPr>
          <w:lang w:val="en-US"/>
        </w:rPr>
        <w:t xml:space="preserve">It has generated, through the publicity and international legal battles, the idea that Greece cannot have or care for its own culture, instead relying on it being placed in museums overseas, with the main one being the British Museum. Furthermore, having the British Museum being the one holding the marbles feeds greatly into its imperialistic and colonial routes, strengthening the public conception of the British Museum itself being an authoritarian powerhouse of scholarship and artefact preservation. This then feeds back into the conception of Greece being unable to care for its own culture and artefacts. Therefore, it is easy to assume and claim that the issue and debate over the Elgin or Parthenon Marbles is thus heavily linked to the ideas of self determination and sovereignty within Greek culture and government. </w:t>
      </w:r>
    </w:p>
    <w:p w14:paraId="50F38AEB" w14:textId="77777777" w:rsidR="00552D60" w:rsidRDefault="00552D60" w:rsidP="00522450">
      <w:pPr>
        <w:spacing w:line="360" w:lineRule="auto"/>
        <w:rPr>
          <w:b/>
          <w:bCs/>
          <w:lang w:val="en-US"/>
        </w:rPr>
      </w:pPr>
    </w:p>
    <w:p w14:paraId="1D8DF6C6" w14:textId="53A92EA0" w:rsidR="003068FC" w:rsidRDefault="00A20CAE" w:rsidP="00522450">
      <w:pPr>
        <w:spacing w:line="360" w:lineRule="auto"/>
        <w:rPr>
          <w:lang w:val="en-US"/>
        </w:rPr>
      </w:pPr>
      <w:r>
        <w:rPr>
          <w:lang w:val="en-US"/>
        </w:rPr>
        <w:t xml:space="preserve">In conclusion, </w:t>
      </w:r>
      <w:r w:rsidR="00C950A4">
        <w:rPr>
          <w:lang w:val="en-US"/>
        </w:rPr>
        <w:t>there are many ways in which repatriation claims and the ideas of self</w:t>
      </w:r>
      <w:r w:rsidR="007C32F9">
        <w:rPr>
          <w:lang w:val="en-US"/>
        </w:rPr>
        <w:t xml:space="preserve"> </w:t>
      </w:r>
      <w:r w:rsidR="00C950A4">
        <w:rPr>
          <w:lang w:val="en-US"/>
        </w:rPr>
        <w:t xml:space="preserve">determination and sovereignty are related. This is demonstrated through the examples that have been examined in this essay. By looking at these cases, it could be said that repatriation is almost entirely motivated by these aspects. </w:t>
      </w:r>
      <w:proofErr w:type="gramStart"/>
      <w:r w:rsidR="008B7D82">
        <w:rPr>
          <w:lang w:val="en-US"/>
        </w:rPr>
        <w:t>All of</w:t>
      </w:r>
      <w:proofErr w:type="gramEnd"/>
      <w:r w:rsidR="008B7D82">
        <w:rPr>
          <w:lang w:val="en-US"/>
        </w:rPr>
        <w:t xml:space="preserve"> these cases have been linked to governments demanding, or being able to demand, their artefacts back from the country in which they are currently held. They consider these objects and artefacts part of their culture and thus their heritage, and by being separated from them, it has had a detrimental effect on their nation. </w:t>
      </w:r>
    </w:p>
    <w:p w14:paraId="0968927F" w14:textId="77777777" w:rsidR="00552D60" w:rsidRPr="00A20CAE" w:rsidRDefault="00552D60" w:rsidP="00522450">
      <w:pPr>
        <w:spacing w:line="360" w:lineRule="auto"/>
        <w:rPr>
          <w:lang w:val="en-US"/>
        </w:rPr>
      </w:pPr>
    </w:p>
    <w:p w14:paraId="51EB423A" w14:textId="2A9C9AE6" w:rsidR="003068FC" w:rsidRDefault="00552D60" w:rsidP="00522450">
      <w:pPr>
        <w:spacing w:line="360" w:lineRule="auto"/>
        <w:rPr>
          <w:lang w:val="en-US"/>
        </w:rPr>
      </w:pPr>
      <w:r>
        <w:rPr>
          <w:lang w:val="en-US"/>
        </w:rPr>
        <w:t xml:space="preserve">[Word Count – </w:t>
      </w:r>
      <w:r w:rsidR="008B7D82">
        <w:rPr>
          <w:lang w:val="en-US"/>
        </w:rPr>
        <w:t>3044</w:t>
      </w:r>
      <w:r>
        <w:rPr>
          <w:lang w:val="en-US"/>
        </w:rPr>
        <w:t xml:space="preserve"> Words] </w:t>
      </w:r>
    </w:p>
    <w:p w14:paraId="4EC84B07" w14:textId="77777777" w:rsidR="00552D60" w:rsidRPr="00552D60" w:rsidRDefault="00552D60" w:rsidP="00522450">
      <w:pPr>
        <w:spacing w:line="360" w:lineRule="auto"/>
        <w:rPr>
          <w:lang w:val="en-US"/>
        </w:rPr>
      </w:pPr>
    </w:p>
    <w:p w14:paraId="64ECA4EF" w14:textId="0AACD20C" w:rsidR="003068FC" w:rsidRDefault="003068FC" w:rsidP="00522450">
      <w:pPr>
        <w:spacing w:line="360" w:lineRule="auto"/>
        <w:rPr>
          <w:b/>
          <w:bCs/>
          <w:lang w:val="en-US"/>
        </w:rPr>
      </w:pPr>
      <w:r>
        <w:rPr>
          <w:b/>
          <w:bCs/>
          <w:lang w:val="en-US"/>
        </w:rPr>
        <w:lastRenderedPageBreak/>
        <w:t xml:space="preserve">Bibliography </w:t>
      </w:r>
    </w:p>
    <w:p w14:paraId="4E50223A" w14:textId="77777777" w:rsidR="00340F37" w:rsidRPr="00340F37" w:rsidRDefault="00340F37" w:rsidP="00340F37">
      <w:pPr>
        <w:pStyle w:val="NormalWeb"/>
        <w:spacing w:before="0" w:beforeAutospacing="0" w:after="0" w:afterAutospacing="0"/>
        <w:rPr>
          <w:rFonts w:asciiTheme="minorHAnsi" w:hAnsiTheme="minorHAnsi" w:cstheme="minorHAnsi"/>
          <w:sz w:val="22"/>
          <w:szCs w:val="22"/>
        </w:rPr>
      </w:pPr>
      <w:proofErr w:type="spellStart"/>
      <w:r w:rsidRPr="00340F37">
        <w:rPr>
          <w:rFonts w:asciiTheme="minorHAnsi" w:hAnsiTheme="minorHAnsi" w:cstheme="minorHAnsi"/>
          <w:sz w:val="22"/>
          <w:szCs w:val="22"/>
        </w:rPr>
        <w:t>Angouri</w:t>
      </w:r>
      <w:proofErr w:type="spellEnd"/>
      <w:r w:rsidRPr="00340F37">
        <w:rPr>
          <w:rFonts w:asciiTheme="minorHAnsi" w:hAnsiTheme="minorHAnsi" w:cstheme="minorHAnsi"/>
          <w:sz w:val="22"/>
          <w:szCs w:val="22"/>
        </w:rPr>
        <w:t xml:space="preserve">, Jo, Marina </w:t>
      </w:r>
      <w:proofErr w:type="spellStart"/>
      <w:r w:rsidRPr="00340F37">
        <w:rPr>
          <w:rFonts w:asciiTheme="minorHAnsi" w:hAnsiTheme="minorHAnsi" w:cstheme="minorHAnsi"/>
          <w:sz w:val="22"/>
          <w:szCs w:val="22"/>
        </w:rPr>
        <w:t>Paraskevaidi</w:t>
      </w:r>
      <w:proofErr w:type="spellEnd"/>
      <w:r w:rsidRPr="00340F37">
        <w:rPr>
          <w:rFonts w:asciiTheme="minorHAnsi" w:hAnsiTheme="minorHAnsi" w:cstheme="minorHAnsi"/>
          <w:sz w:val="22"/>
          <w:szCs w:val="22"/>
        </w:rPr>
        <w:t xml:space="preserve">, and Ruth </w:t>
      </w:r>
      <w:proofErr w:type="spellStart"/>
      <w:r w:rsidRPr="00340F37">
        <w:rPr>
          <w:rFonts w:asciiTheme="minorHAnsi" w:hAnsiTheme="minorHAnsi" w:cstheme="minorHAnsi"/>
          <w:sz w:val="22"/>
          <w:szCs w:val="22"/>
        </w:rPr>
        <w:t>Wodak</w:t>
      </w:r>
      <w:proofErr w:type="spellEnd"/>
      <w:r w:rsidRPr="00340F37">
        <w:rPr>
          <w:rFonts w:asciiTheme="minorHAnsi" w:hAnsiTheme="minorHAnsi" w:cstheme="minorHAnsi"/>
          <w:sz w:val="22"/>
          <w:szCs w:val="22"/>
        </w:rPr>
        <w:t xml:space="preserve">, ‘Discourses of Cultural Heritage in Times of Crisis: The Case of the Parthenon Marbles’, Journal of Sociolinguistics, 21.2 (2017), 208–37. </w:t>
      </w:r>
    </w:p>
    <w:p w14:paraId="054D1CB6" w14:textId="733DFC82" w:rsidR="00340F37" w:rsidRDefault="00340F37" w:rsidP="00522450">
      <w:pPr>
        <w:spacing w:line="360" w:lineRule="auto"/>
        <w:rPr>
          <w:rFonts w:cstheme="minorHAnsi"/>
        </w:rPr>
      </w:pPr>
    </w:p>
    <w:p w14:paraId="5A42A071" w14:textId="63DDABE3" w:rsidR="00340F37" w:rsidRDefault="00340F37" w:rsidP="00340F37">
      <w:pPr>
        <w:spacing w:line="360" w:lineRule="auto"/>
        <w:rPr>
          <w:rFonts w:cstheme="minorHAnsi"/>
        </w:rPr>
      </w:pPr>
      <w:proofErr w:type="spellStart"/>
      <w:r w:rsidRPr="00340F37">
        <w:rPr>
          <w:rFonts w:cstheme="minorHAnsi"/>
        </w:rPr>
        <w:t>Effros</w:t>
      </w:r>
      <w:proofErr w:type="spellEnd"/>
      <w:r w:rsidRPr="00340F37">
        <w:rPr>
          <w:rFonts w:cstheme="minorHAnsi"/>
        </w:rPr>
        <w:t xml:space="preserve">, Bonnie and </w:t>
      </w:r>
      <w:proofErr w:type="spellStart"/>
      <w:r w:rsidRPr="00340F37">
        <w:rPr>
          <w:rFonts w:cstheme="minorHAnsi"/>
        </w:rPr>
        <w:t>Guolong</w:t>
      </w:r>
      <w:proofErr w:type="spellEnd"/>
      <w:r w:rsidRPr="00340F37">
        <w:rPr>
          <w:rFonts w:cstheme="minorHAnsi"/>
        </w:rPr>
        <w:t xml:space="preserve"> Lai, Unmasking Ideology in Imperial and Colonial Archaeology: Vocabulary, Symbols, and Legacy (Los Angeles: Costen Institute of Archaeology Press, University of California, 2018).</w:t>
      </w:r>
    </w:p>
    <w:p w14:paraId="4A181B80" w14:textId="77777777" w:rsidR="00340F37" w:rsidRPr="00340F37" w:rsidRDefault="00340F37" w:rsidP="00340F37">
      <w:pPr>
        <w:spacing w:line="360" w:lineRule="auto"/>
        <w:rPr>
          <w:rFonts w:cstheme="minorHAnsi"/>
        </w:rPr>
      </w:pPr>
    </w:p>
    <w:p w14:paraId="499B3F71" w14:textId="77777777" w:rsidR="00340F37" w:rsidRPr="00340F37" w:rsidRDefault="00340F37" w:rsidP="00340F37">
      <w:pPr>
        <w:spacing w:line="360" w:lineRule="auto"/>
        <w:rPr>
          <w:rFonts w:cstheme="minorHAnsi"/>
        </w:rPr>
      </w:pPr>
      <w:r w:rsidRPr="00340F37">
        <w:rPr>
          <w:rFonts w:cstheme="minorHAnsi"/>
        </w:rPr>
        <w:t>Goodwin, Paige S, ‘Mapping the Limits of Repatriable Cultural Heritage: A Case Study of Stolen Flemish Art in French Museums’, University of Pennsylvania Law Review, 157.2, 2008, 673-705.</w:t>
      </w:r>
    </w:p>
    <w:p w14:paraId="2C0D0795" w14:textId="19E3D6E4" w:rsidR="00340F37" w:rsidRDefault="00340F37" w:rsidP="00522450">
      <w:pPr>
        <w:spacing w:line="360" w:lineRule="auto"/>
        <w:rPr>
          <w:rFonts w:cstheme="minorHAnsi"/>
        </w:rPr>
      </w:pPr>
    </w:p>
    <w:p w14:paraId="692AA31B" w14:textId="77777777" w:rsidR="00340F37" w:rsidRPr="00340F37" w:rsidRDefault="00340F37" w:rsidP="00340F37">
      <w:pPr>
        <w:pStyle w:val="FootnoteText"/>
        <w:rPr>
          <w:rFonts w:cstheme="minorHAnsi"/>
          <w:sz w:val="22"/>
          <w:szCs w:val="22"/>
        </w:rPr>
      </w:pPr>
      <w:r w:rsidRPr="00340F37">
        <w:rPr>
          <w:rFonts w:cstheme="minorHAnsi"/>
          <w:sz w:val="22"/>
          <w:szCs w:val="22"/>
        </w:rPr>
        <w:t xml:space="preserve">Wood, Paul, “Display, Restitution, and World Art History: The Case of the ‘Benin Bronzes’”, Visual Culture in Britain, vol. 13, no. 1, Mar. 2021, pp.115-137. </w:t>
      </w:r>
    </w:p>
    <w:p w14:paraId="54B7B70D" w14:textId="23C03ED1" w:rsidR="00340F37" w:rsidRDefault="00340F37" w:rsidP="00522450">
      <w:pPr>
        <w:spacing w:line="360" w:lineRule="auto"/>
        <w:rPr>
          <w:rFonts w:cstheme="minorHAnsi"/>
        </w:rPr>
      </w:pPr>
    </w:p>
    <w:p w14:paraId="203B9006" w14:textId="77777777" w:rsidR="00340F37" w:rsidRPr="00340F37" w:rsidRDefault="00340F37" w:rsidP="00340F37">
      <w:pPr>
        <w:pStyle w:val="FootnoteText"/>
        <w:rPr>
          <w:rFonts w:cstheme="minorHAnsi"/>
          <w:sz w:val="22"/>
          <w:szCs w:val="22"/>
        </w:rPr>
      </w:pPr>
      <w:r w:rsidRPr="00340F37">
        <w:rPr>
          <w:rFonts w:cstheme="minorHAnsi"/>
          <w:sz w:val="22"/>
          <w:szCs w:val="22"/>
        </w:rPr>
        <w:t xml:space="preserve">‘Benin Bronzes’, Art Monthly, 446, 2021, 21-22. </w:t>
      </w:r>
    </w:p>
    <w:p w14:paraId="2136A302" w14:textId="2810FAE4" w:rsidR="00340F37" w:rsidRDefault="00340F37" w:rsidP="00522450">
      <w:pPr>
        <w:spacing w:line="360" w:lineRule="auto"/>
        <w:rPr>
          <w:rFonts w:cstheme="minorHAnsi"/>
        </w:rPr>
      </w:pPr>
    </w:p>
    <w:p w14:paraId="64B181C2" w14:textId="77777777" w:rsidR="00340F37" w:rsidRPr="00340F37" w:rsidRDefault="00340F37" w:rsidP="00340F37">
      <w:pPr>
        <w:spacing w:line="360" w:lineRule="auto"/>
        <w:rPr>
          <w:rFonts w:cstheme="minorHAnsi"/>
          <w:lang w:val="en-US"/>
        </w:rPr>
      </w:pPr>
      <w:r w:rsidRPr="00340F37">
        <w:rPr>
          <w:rFonts w:cstheme="minorHAnsi"/>
        </w:rPr>
        <w:t>“Germany to Surrender Invaluable Benin Bronzes.”</w:t>
      </w:r>
      <w:r w:rsidRPr="00340F37">
        <w:rPr>
          <w:rFonts w:cstheme="minorHAnsi"/>
          <w:lang w:val="en-US"/>
        </w:rPr>
        <w:t> </w:t>
      </w:r>
      <w:r w:rsidRPr="00340F37">
        <w:rPr>
          <w:rFonts w:cstheme="minorHAnsi"/>
          <w:i/>
          <w:iCs/>
          <w:color w:val="000000" w:themeColor="text1"/>
          <w:shd w:val="clear" w:color="auto" w:fill="F5F5F5"/>
        </w:rPr>
        <w:t>New African</w:t>
      </w:r>
      <w:r w:rsidRPr="00340F37">
        <w:rPr>
          <w:rFonts w:cstheme="minorHAnsi"/>
          <w:lang w:val="en-US"/>
        </w:rPr>
        <w:t>, no. 608, June 2021, p. 6. </w:t>
      </w:r>
    </w:p>
    <w:p w14:paraId="0BBDF95F" w14:textId="77777777" w:rsidR="008B7D82" w:rsidRPr="008B7D82" w:rsidRDefault="008B7D82" w:rsidP="00522450">
      <w:pPr>
        <w:spacing w:line="360" w:lineRule="auto"/>
        <w:rPr>
          <w:lang w:val="en-US"/>
        </w:rPr>
      </w:pPr>
    </w:p>
    <w:sectPr w:rsidR="008B7D82" w:rsidRPr="008B7D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94A55" w14:textId="77777777" w:rsidR="00FF7A0C" w:rsidRDefault="00FF7A0C" w:rsidP="00FF7A0C">
      <w:pPr>
        <w:spacing w:after="0" w:line="240" w:lineRule="auto"/>
      </w:pPr>
      <w:r>
        <w:separator/>
      </w:r>
    </w:p>
  </w:endnote>
  <w:endnote w:type="continuationSeparator" w:id="0">
    <w:p w14:paraId="7806CFB8" w14:textId="77777777" w:rsidR="00FF7A0C" w:rsidRDefault="00FF7A0C" w:rsidP="00FF7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8F65" w14:textId="77777777" w:rsidR="00FF7A0C" w:rsidRDefault="00FF7A0C" w:rsidP="00FF7A0C">
      <w:pPr>
        <w:spacing w:after="0" w:line="240" w:lineRule="auto"/>
      </w:pPr>
      <w:r>
        <w:separator/>
      </w:r>
    </w:p>
  </w:footnote>
  <w:footnote w:type="continuationSeparator" w:id="0">
    <w:p w14:paraId="503A9C51" w14:textId="77777777" w:rsidR="00FF7A0C" w:rsidRDefault="00FF7A0C" w:rsidP="00FF7A0C">
      <w:pPr>
        <w:spacing w:after="0" w:line="240" w:lineRule="auto"/>
      </w:pPr>
      <w:r>
        <w:continuationSeparator/>
      </w:r>
    </w:p>
  </w:footnote>
  <w:footnote w:id="1">
    <w:p w14:paraId="01FEB46D" w14:textId="6C41A065" w:rsidR="00B509DB" w:rsidRPr="00340F37" w:rsidRDefault="00B509DB">
      <w:pPr>
        <w:pStyle w:val="FootnoteText"/>
        <w:rPr>
          <w:rFonts w:cstheme="minorHAnsi"/>
          <w:sz w:val="18"/>
          <w:szCs w:val="18"/>
        </w:rPr>
      </w:pPr>
      <w:r>
        <w:rPr>
          <w:rStyle w:val="FootnoteReference"/>
        </w:rPr>
        <w:footnoteRef/>
      </w:r>
      <w:r>
        <w:t xml:space="preserve"> </w:t>
      </w:r>
      <w:r w:rsidR="00C32414" w:rsidRPr="00340F37">
        <w:rPr>
          <w:rFonts w:cstheme="minorHAnsi"/>
          <w:sz w:val="18"/>
          <w:szCs w:val="18"/>
        </w:rPr>
        <w:t>Goodwin, Paige S, ‘Mapping the Limits of Repatriable Cultural Heritage: A Case Study of Stolen Flemish Art in French Museum</w:t>
      </w:r>
      <w:r w:rsidR="00CE6636" w:rsidRPr="00340F37">
        <w:rPr>
          <w:rFonts w:cstheme="minorHAnsi"/>
          <w:sz w:val="18"/>
          <w:szCs w:val="18"/>
        </w:rPr>
        <w:t xml:space="preserve">s’, University of Pennsylvania Law Review, 157.2, 2008, 673-705. </w:t>
      </w:r>
    </w:p>
  </w:footnote>
  <w:footnote w:id="2">
    <w:p w14:paraId="631BEEE9" w14:textId="3D276C0D" w:rsidR="00FF7A0C" w:rsidRPr="00340F37" w:rsidRDefault="00FF7A0C" w:rsidP="00FF7A0C">
      <w:pPr>
        <w:pStyle w:val="NormalWeb"/>
        <w:spacing w:before="0" w:beforeAutospacing="0" w:after="0" w:afterAutospacing="0"/>
        <w:rPr>
          <w:rFonts w:asciiTheme="minorHAnsi" w:hAnsiTheme="minorHAnsi" w:cstheme="minorHAnsi"/>
          <w:sz w:val="18"/>
          <w:szCs w:val="18"/>
        </w:rPr>
      </w:pPr>
      <w:r w:rsidRPr="00340F37">
        <w:rPr>
          <w:rStyle w:val="FootnoteReference"/>
          <w:rFonts w:asciiTheme="minorHAnsi" w:hAnsiTheme="minorHAnsi" w:cstheme="minorHAnsi"/>
          <w:sz w:val="18"/>
          <w:szCs w:val="18"/>
        </w:rPr>
        <w:footnoteRef/>
      </w:r>
      <w:r w:rsidRPr="00340F37">
        <w:rPr>
          <w:rFonts w:asciiTheme="minorHAnsi" w:hAnsiTheme="minorHAnsi" w:cstheme="minorHAnsi"/>
          <w:sz w:val="18"/>
          <w:szCs w:val="18"/>
        </w:rPr>
        <w:t xml:space="preserve"> “Germany to Surrender Invaluable Benin Bronzes.”</w:t>
      </w:r>
      <w:r w:rsidRPr="00340F37">
        <w:rPr>
          <w:rFonts w:asciiTheme="minorHAnsi" w:hAnsiTheme="minorHAnsi" w:cstheme="minorHAnsi"/>
          <w:sz w:val="18"/>
          <w:szCs w:val="18"/>
          <w:lang w:val="en-US"/>
        </w:rPr>
        <w:t> </w:t>
      </w:r>
      <w:r w:rsidRPr="00340F37">
        <w:rPr>
          <w:rFonts w:asciiTheme="minorHAnsi" w:hAnsiTheme="minorHAnsi" w:cstheme="minorHAnsi"/>
          <w:i/>
          <w:iCs/>
          <w:color w:val="000000" w:themeColor="text1"/>
          <w:sz w:val="18"/>
          <w:szCs w:val="18"/>
          <w:shd w:val="clear" w:color="auto" w:fill="F5F5F5"/>
        </w:rPr>
        <w:t>New African</w:t>
      </w:r>
      <w:r w:rsidRPr="00340F37">
        <w:rPr>
          <w:rFonts w:asciiTheme="minorHAnsi" w:hAnsiTheme="minorHAnsi" w:cstheme="minorHAnsi"/>
          <w:sz w:val="18"/>
          <w:szCs w:val="18"/>
          <w:lang w:val="en-US"/>
        </w:rPr>
        <w:t>, no. 608, June 2021, p. 6. </w:t>
      </w:r>
    </w:p>
    <w:p w14:paraId="05C9F864" w14:textId="41A93949" w:rsidR="00FF7A0C" w:rsidRPr="00340F37" w:rsidRDefault="00FF7A0C">
      <w:pPr>
        <w:pStyle w:val="FootnoteText"/>
        <w:rPr>
          <w:rFonts w:cstheme="minorHAnsi"/>
          <w:sz w:val="18"/>
          <w:szCs w:val="18"/>
        </w:rPr>
      </w:pPr>
    </w:p>
  </w:footnote>
  <w:footnote w:id="3">
    <w:p w14:paraId="72DA25F1" w14:textId="5A019B39" w:rsidR="00B80312" w:rsidRPr="00340F37" w:rsidRDefault="00B80312">
      <w:pPr>
        <w:pStyle w:val="FootnoteText"/>
        <w:rPr>
          <w:rFonts w:cstheme="minorHAnsi"/>
          <w:sz w:val="18"/>
          <w:szCs w:val="18"/>
        </w:rPr>
      </w:pPr>
      <w:r w:rsidRPr="00340F37">
        <w:rPr>
          <w:rStyle w:val="FootnoteReference"/>
          <w:rFonts w:cstheme="minorHAnsi"/>
          <w:sz w:val="18"/>
          <w:szCs w:val="18"/>
        </w:rPr>
        <w:footnoteRef/>
      </w:r>
      <w:r w:rsidRPr="00340F37">
        <w:rPr>
          <w:rFonts w:cstheme="minorHAnsi"/>
          <w:sz w:val="18"/>
          <w:szCs w:val="18"/>
        </w:rPr>
        <w:t xml:space="preserve"> “Germany to Surrender Benin Bronzes”, New African, no.608, June 2021, p.6. </w:t>
      </w:r>
    </w:p>
  </w:footnote>
  <w:footnote w:id="4">
    <w:p w14:paraId="11611359" w14:textId="7CEAE808" w:rsidR="00B80312" w:rsidRDefault="00B80312">
      <w:pPr>
        <w:pStyle w:val="FootnoteText"/>
      </w:pPr>
      <w:r w:rsidRPr="00340F37">
        <w:rPr>
          <w:rStyle w:val="FootnoteReference"/>
          <w:rFonts w:cstheme="minorHAnsi"/>
          <w:sz w:val="18"/>
          <w:szCs w:val="18"/>
        </w:rPr>
        <w:footnoteRef/>
      </w:r>
      <w:r w:rsidRPr="00340F37">
        <w:rPr>
          <w:rFonts w:cstheme="minorHAnsi"/>
          <w:sz w:val="18"/>
          <w:szCs w:val="18"/>
        </w:rPr>
        <w:t xml:space="preserve"> ‘Benin Bronzes’, Art Monthly, 446, 2021, 21-22.</w:t>
      </w:r>
      <w:r>
        <w:t xml:space="preserve"> </w:t>
      </w:r>
    </w:p>
  </w:footnote>
  <w:footnote w:id="5">
    <w:p w14:paraId="7865394F" w14:textId="2005A8DF" w:rsidR="006B29A7" w:rsidRPr="00340F37" w:rsidRDefault="006B29A7">
      <w:pPr>
        <w:pStyle w:val="FootnoteText"/>
        <w:rPr>
          <w:sz w:val="18"/>
          <w:szCs w:val="18"/>
        </w:rPr>
      </w:pPr>
      <w:r>
        <w:rPr>
          <w:rStyle w:val="FootnoteReference"/>
        </w:rPr>
        <w:footnoteRef/>
      </w:r>
      <w:r>
        <w:t xml:space="preserve"> </w:t>
      </w:r>
      <w:r w:rsidRPr="00340F37">
        <w:rPr>
          <w:sz w:val="18"/>
          <w:szCs w:val="18"/>
        </w:rPr>
        <w:t>“Germany to Surrender Benin Bronzes”, New African, no.608, June 2021, p.6</w:t>
      </w:r>
      <w:r w:rsidR="00A75F53" w:rsidRPr="00340F37">
        <w:rPr>
          <w:sz w:val="18"/>
          <w:szCs w:val="18"/>
        </w:rPr>
        <w:t xml:space="preserve">. </w:t>
      </w:r>
    </w:p>
  </w:footnote>
  <w:footnote w:id="6">
    <w:p w14:paraId="25BF56E8" w14:textId="21031460" w:rsidR="00A75F53" w:rsidRPr="00340F37" w:rsidRDefault="00A75F53">
      <w:pPr>
        <w:pStyle w:val="FootnoteText"/>
        <w:rPr>
          <w:sz w:val="18"/>
          <w:szCs w:val="18"/>
        </w:rPr>
      </w:pPr>
      <w:r w:rsidRPr="00340F37">
        <w:rPr>
          <w:rStyle w:val="FootnoteReference"/>
          <w:sz w:val="18"/>
          <w:szCs w:val="18"/>
        </w:rPr>
        <w:footnoteRef/>
      </w:r>
      <w:r w:rsidRPr="00340F37">
        <w:rPr>
          <w:sz w:val="18"/>
          <w:szCs w:val="18"/>
        </w:rPr>
        <w:t xml:space="preserve"> ‘Benin Bronzes’, Art Monthly, 446, 2021, 21-22. </w:t>
      </w:r>
    </w:p>
  </w:footnote>
  <w:footnote w:id="7">
    <w:p w14:paraId="633E8D5D" w14:textId="2444E473" w:rsidR="00A75F53" w:rsidRPr="00340F37" w:rsidRDefault="00A75F53">
      <w:pPr>
        <w:pStyle w:val="FootnoteText"/>
        <w:rPr>
          <w:sz w:val="18"/>
          <w:szCs w:val="18"/>
        </w:rPr>
      </w:pPr>
      <w:r w:rsidRPr="00340F37">
        <w:rPr>
          <w:rStyle w:val="FootnoteReference"/>
          <w:sz w:val="18"/>
          <w:szCs w:val="18"/>
        </w:rPr>
        <w:footnoteRef/>
      </w:r>
      <w:r w:rsidRPr="00340F37">
        <w:rPr>
          <w:sz w:val="18"/>
          <w:szCs w:val="18"/>
        </w:rPr>
        <w:t xml:space="preserve"> ‘Benin Bronzes’, Art Monthly, 446, 2021, 21-21. </w:t>
      </w:r>
    </w:p>
  </w:footnote>
  <w:footnote w:id="8">
    <w:p w14:paraId="63BBE0E1" w14:textId="72ECCA34" w:rsidR="00733D8E" w:rsidRPr="00340F37" w:rsidRDefault="00733D8E">
      <w:pPr>
        <w:pStyle w:val="FootnoteText"/>
        <w:rPr>
          <w:sz w:val="18"/>
          <w:szCs w:val="18"/>
        </w:rPr>
      </w:pPr>
      <w:r w:rsidRPr="00340F37">
        <w:rPr>
          <w:rStyle w:val="FootnoteReference"/>
          <w:sz w:val="18"/>
          <w:szCs w:val="18"/>
        </w:rPr>
        <w:footnoteRef/>
      </w:r>
      <w:r w:rsidRPr="00340F37">
        <w:rPr>
          <w:sz w:val="18"/>
          <w:szCs w:val="18"/>
        </w:rPr>
        <w:t xml:space="preserve"> ‘Benin Bronzes’, Art Monthly, 446, 2021, 21-22. </w:t>
      </w:r>
    </w:p>
  </w:footnote>
  <w:footnote w:id="9">
    <w:p w14:paraId="0A0D3940" w14:textId="127AFB38" w:rsidR="00733D8E" w:rsidRDefault="00733D8E">
      <w:pPr>
        <w:pStyle w:val="FootnoteText"/>
      </w:pPr>
      <w:r w:rsidRPr="00340F37">
        <w:rPr>
          <w:rStyle w:val="FootnoteReference"/>
          <w:sz w:val="18"/>
          <w:szCs w:val="18"/>
        </w:rPr>
        <w:footnoteRef/>
      </w:r>
      <w:r w:rsidRPr="00340F37">
        <w:rPr>
          <w:sz w:val="18"/>
          <w:szCs w:val="18"/>
        </w:rPr>
        <w:t xml:space="preserve"> Wood, Paul, “Display, Restitution, and World Art History: The Case of the ‘Benin Bronzes’”, Visual Culture in Britain, vol. 13, no. 1, Mar. 2021, pp.115-137. </w:t>
      </w:r>
    </w:p>
  </w:footnote>
  <w:footnote w:id="10">
    <w:p w14:paraId="4898ABA7" w14:textId="3F7B061E" w:rsidR="006B29A7" w:rsidRDefault="006B29A7">
      <w:pPr>
        <w:pStyle w:val="FootnoteText"/>
      </w:pPr>
      <w:r>
        <w:rPr>
          <w:rStyle w:val="FootnoteReference"/>
        </w:rPr>
        <w:footnoteRef/>
      </w:r>
      <w:r>
        <w:t xml:space="preserve"> </w:t>
      </w:r>
      <w:r w:rsidRPr="00340F37">
        <w:rPr>
          <w:sz w:val="18"/>
          <w:szCs w:val="18"/>
        </w:rPr>
        <w:t>Wood, “Display, Restitution, and World Art History”, Visual Culture in Britain, vol. 13, no. 1, Mar. 2021, pp.115-137.</w:t>
      </w:r>
    </w:p>
  </w:footnote>
  <w:footnote w:id="11">
    <w:p w14:paraId="5D94E705" w14:textId="366928F7" w:rsidR="00627D6F" w:rsidRPr="00340F37" w:rsidRDefault="00627D6F">
      <w:pPr>
        <w:pStyle w:val="FootnoteText"/>
        <w:rPr>
          <w:sz w:val="18"/>
          <w:szCs w:val="18"/>
        </w:rPr>
      </w:pPr>
      <w:r>
        <w:rPr>
          <w:rStyle w:val="FootnoteReference"/>
        </w:rPr>
        <w:footnoteRef/>
      </w:r>
      <w:r>
        <w:t xml:space="preserve"> </w:t>
      </w:r>
      <w:proofErr w:type="spellStart"/>
      <w:r w:rsidR="003540D4" w:rsidRPr="00340F37">
        <w:rPr>
          <w:sz w:val="18"/>
          <w:szCs w:val="18"/>
        </w:rPr>
        <w:t>Effros</w:t>
      </w:r>
      <w:proofErr w:type="spellEnd"/>
      <w:r w:rsidR="003540D4" w:rsidRPr="00340F37">
        <w:rPr>
          <w:sz w:val="18"/>
          <w:szCs w:val="18"/>
        </w:rPr>
        <w:t xml:space="preserve">, Bonnie and </w:t>
      </w:r>
      <w:proofErr w:type="spellStart"/>
      <w:r w:rsidR="003540D4" w:rsidRPr="00340F37">
        <w:rPr>
          <w:sz w:val="18"/>
          <w:szCs w:val="18"/>
        </w:rPr>
        <w:t>Guolong</w:t>
      </w:r>
      <w:proofErr w:type="spellEnd"/>
      <w:r w:rsidR="003540D4" w:rsidRPr="00340F37">
        <w:rPr>
          <w:sz w:val="18"/>
          <w:szCs w:val="18"/>
        </w:rPr>
        <w:t xml:space="preserve"> Lai, </w:t>
      </w:r>
      <w:r w:rsidR="008B7D82" w:rsidRPr="00340F37">
        <w:rPr>
          <w:sz w:val="18"/>
          <w:szCs w:val="18"/>
        </w:rPr>
        <w:t>‘</w:t>
      </w:r>
      <w:r w:rsidR="003540D4" w:rsidRPr="00340F37">
        <w:rPr>
          <w:sz w:val="18"/>
          <w:szCs w:val="18"/>
        </w:rPr>
        <w:t xml:space="preserve">Unmasking Ideology in Imperial and Colonial Archaeology: </w:t>
      </w:r>
      <w:r w:rsidR="00124790" w:rsidRPr="00340F37">
        <w:rPr>
          <w:sz w:val="18"/>
          <w:szCs w:val="18"/>
        </w:rPr>
        <w:t>Vocabulary</w:t>
      </w:r>
      <w:r w:rsidR="003540D4" w:rsidRPr="00340F37">
        <w:rPr>
          <w:sz w:val="18"/>
          <w:szCs w:val="18"/>
        </w:rPr>
        <w:t>, Symbols, and Legacy</w:t>
      </w:r>
      <w:r w:rsidR="008B7D82" w:rsidRPr="00340F37">
        <w:rPr>
          <w:sz w:val="18"/>
          <w:szCs w:val="18"/>
        </w:rPr>
        <w:t>’</w:t>
      </w:r>
      <w:r w:rsidR="003540D4" w:rsidRPr="00340F37">
        <w:rPr>
          <w:sz w:val="18"/>
          <w:szCs w:val="18"/>
        </w:rPr>
        <w:t xml:space="preserve"> Los Angeles: Costen Institute of Archaeology Press, </w:t>
      </w:r>
      <w:r w:rsidR="00124790" w:rsidRPr="00340F37">
        <w:rPr>
          <w:sz w:val="18"/>
          <w:szCs w:val="18"/>
        </w:rPr>
        <w:t xml:space="preserve">University of California, 2018. </w:t>
      </w:r>
    </w:p>
  </w:footnote>
  <w:footnote w:id="12">
    <w:p w14:paraId="4CDEF9FA" w14:textId="3F1AD282" w:rsidR="005616F5" w:rsidRPr="00340F37" w:rsidRDefault="005616F5">
      <w:pPr>
        <w:pStyle w:val="FootnoteText"/>
        <w:rPr>
          <w:sz w:val="18"/>
          <w:szCs w:val="18"/>
        </w:rPr>
      </w:pPr>
      <w:r w:rsidRPr="00340F37">
        <w:rPr>
          <w:rStyle w:val="FootnoteReference"/>
          <w:sz w:val="18"/>
          <w:szCs w:val="18"/>
        </w:rPr>
        <w:footnoteRef/>
      </w:r>
      <w:r w:rsidRPr="00340F37">
        <w:rPr>
          <w:sz w:val="18"/>
          <w:szCs w:val="18"/>
        </w:rPr>
        <w:t xml:space="preserve"> </w:t>
      </w:r>
      <w:proofErr w:type="spellStart"/>
      <w:r w:rsidRPr="00340F37">
        <w:rPr>
          <w:sz w:val="18"/>
          <w:szCs w:val="18"/>
        </w:rPr>
        <w:t>Effros</w:t>
      </w:r>
      <w:proofErr w:type="spellEnd"/>
      <w:r w:rsidRPr="00340F37">
        <w:rPr>
          <w:sz w:val="18"/>
          <w:szCs w:val="18"/>
        </w:rPr>
        <w:t xml:space="preserve">, and </w:t>
      </w:r>
      <w:proofErr w:type="spellStart"/>
      <w:r w:rsidRPr="00340F37">
        <w:rPr>
          <w:sz w:val="18"/>
          <w:szCs w:val="18"/>
        </w:rPr>
        <w:t>Guolong</w:t>
      </w:r>
      <w:proofErr w:type="spellEnd"/>
      <w:r w:rsidRPr="00340F37">
        <w:rPr>
          <w:sz w:val="18"/>
          <w:szCs w:val="18"/>
        </w:rPr>
        <w:t xml:space="preserve"> Lai, </w:t>
      </w:r>
      <w:r w:rsidR="008B7D82" w:rsidRPr="00340F37">
        <w:rPr>
          <w:sz w:val="18"/>
          <w:szCs w:val="18"/>
        </w:rPr>
        <w:t>‘</w:t>
      </w:r>
      <w:r w:rsidRPr="00340F37">
        <w:rPr>
          <w:sz w:val="18"/>
          <w:szCs w:val="18"/>
        </w:rPr>
        <w:t>Unmasking Ideology in Imperial and Colonial Archaeology</w:t>
      </w:r>
      <w:r w:rsidR="008B7D82" w:rsidRPr="00340F37">
        <w:rPr>
          <w:sz w:val="18"/>
          <w:szCs w:val="18"/>
        </w:rPr>
        <w:t xml:space="preserve">’ </w:t>
      </w:r>
      <w:r w:rsidRPr="00340F37">
        <w:rPr>
          <w:sz w:val="18"/>
          <w:szCs w:val="18"/>
        </w:rPr>
        <w:t>Los Angeles: Costen Institute of Archaeology Press, University of California, 2018.</w:t>
      </w:r>
    </w:p>
  </w:footnote>
  <w:footnote w:id="13">
    <w:p w14:paraId="384E39F9" w14:textId="55FBAEB4" w:rsidR="00577147" w:rsidRPr="00340F37" w:rsidRDefault="00577147">
      <w:pPr>
        <w:pStyle w:val="FootnoteText"/>
        <w:rPr>
          <w:sz w:val="18"/>
          <w:szCs w:val="18"/>
        </w:rPr>
      </w:pPr>
      <w:r w:rsidRPr="00340F37">
        <w:rPr>
          <w:rStyle w:val="FootnoteReference"/>
          <w:sz w:val="18"/>
          <w:szCs w:val="18"/>
        </w:rPr>
        <w:footnoteRef/>
      </w:r>
      <w:r w:rsidRPr="00340F37">
        <w:rPr>
          <w:sz w:val="18"/>
          <w:szCs w:val="18"/>
        </w:rPr>
        <w:t xml:space="preserve"> Goodwin, </w:t>
      </w:r>
      <w:r w:rsidR="0039403D" w:rsidRPr="00340F37">
        <w:rPr>
          <w:sz w:val="18"/>
          <w:szCs w:val="18"/>
        </w:rPr>
        <w:t xml:space="preserve">‘Mapping the Limits of Repatriable Cultural Heritage’, University of Pennsylvania Law Review, 157.2 (2008), 673-705. </w:t>
      </w:r>
    </w:p>
  </w:footnote>
  <w:footnote w:id="14">
    <w:p w14:paraId="715CF233" w14:textId="2F1B9B86" w:rsidR="00752551" w:rsidRPr="00340F37" w:rsidRDefault="00752551" w:rsidP="00752551">
      <w:pPr>
        <w:pStyle w:val="FootnoteText"/>
        <w:rPr>
          <w:sz w:val="18"/>
          <w:szCs w:val="18"/>
        </w:rPr>
      </w:pPr>
      <w:r w:rsidRPr="00340F37">
        <w:rPr>
          <w:rStyle w:val="FootnoteReference"/>
          <w:sz w:val="18"/>
          <w:szCs w:val="18"/>
        </w:rPr>
        <w:footnoteRef/>
      </w:r>
      <w:r w:rsidRPr="00340F37">
        <w:rPr>
          <w:sz w:val="18"/>
          <w:szCs w:val="18"/>
        </w:rPr>
        <w:t xml:space="preserve"> </w:t>
      </w:r>
      <w:r w:rsidRPr="00340F37">
        <w:rPr>
          <w:sz w:val="18"/>
          <w:szCs w:val="18"/>
        </w:rPr>
        <w:t>Goodwin, ‘Mapping the Limits of Repatriable Cultural Heritage</w:t>
      </w:r>
      <w:r w:rsidR="008B7D82" w:rsidRPr="00340F37">
        <w:rPr>
          <w:sz w:val="18"/>
          <w:szCs w:val="18"/>
        </w:rPr>
        <w:t>’</w:t>
      </w:r>
      <w:r w:rsidRPr="00340F37">
        <w:rPr>
          <w:sz w:val="18"/>
          <w:szCs w:val="18"/>
        </w:rPr>
        <w:t xml:space="preserve">, University of Pennsylvania Law Review, 157.2 (2008), 673-705. </w:t>
      </w:r>
    </w:p>
    <w:p w14:paraId="26B6BF11" w14:textId="15C48897" w:rsidR="00752551" w:rsidRDefault="00752551">
      <w:pPr>
        <w:pStyle w:val="FootnoteText"/>
      </w:pPr>
    </w:p>
  </w:footnote>
  <w:footnote w:id="15">
    <w:p w14:paraId="0954FD5E" w14:textId="75D8E788" w:rsidR="005F303D" w:rsidRPr="005F303D" w:rsidRDefault="005F303D" w:rsidP="005F303D">
      <w:pPr>
        <w:pStyle w:val="NormalWeb"/>
        <w:spacing w:before="0" w:beforeAutospacing="0" w:after="0" w:afterAutospacing="0"/>
        <w:rPr>
          <w:rFonts w:ascii="Calibri" w:hAnsi="Calibri" w:cs="Calibri"/>
          <w:sz w:val="22"/>
          <w:szCs w:val="22"/>
        </w:rPr>
      </w:pPr>
      <w:r>
        <w:rPr>
          <w:rStyle w:val="FootnoteReference"/>
        </w:rPr>
        <w:footnoteRef/>
      </w:r>
      <w:r>
        <w:t xml:space="preserve"> </w:t>
      </w:r>
      <w:r w:rsidRPr="005F303D">
        <w:rPr>
          <w:rFonts w:ascii="Calibri" w:hAnsi="Calibri" w:cs="Calibri"/>
          <w:sz w:val="22"/>
          <w:szCs w:val="22"/>
        </w:rPr>
        <w:t xml:space="preserve">  </w:t>
      </w:r>
      <w:proofErr w:type="spellStart"/>
      <w:r w:rsidRPr="00340F37">
        <w:rPr>
          <w:rFonts w:ascii="Calibri" w:hAnsi="Calibri" w:cs="Calibri"/>
          <w:sz w:val="18"/>
          <w:szCs w:val="18"/>
        </w:rPr>
        <w:t>Angouri</w:t>
      </w:r>
      <w:proofErr w:type="spellEnd"/>
      <w:r w:rsidRPr="00340F37">
        <w:rPr>
          <w:rFonts w:ascii="Calibri" w:hAnsi="Calibri" w:cs="Calibri"/>
          <w:sz w:val="18"/>
          <w:szCs w:val="18"/>
        </w:rPr>
        <w:t xml:space="preserve">, Jo, Marina </w:t>
      </w:r>
      <w:proofErr w:type="spellStart"/>
      <w:r w:rsidRPr="00340F37">
        <w:rPr>
          <w:rFonts w:ascii="Calibri" w:hAnsi="Calibri" w:cs="Calibri"/>
          <w:sz w:val="18"/>
          <w:szCs w:val="18"/>
        </w:rPr>
        <w:t>Paraskevaidi</w:t>
      </w:r>
      <w:proofErr w:type="spellEnd"/>
      <w:r w:rsidRPr="00340F37">
        <w:rPr>
          <w:rFonts w:ascii="Calibri" w:hAnsi="Calibri" w:cs="Calibri"/>
          <w:sz w:val="18"/>
          <w:szCs w:val="18"/>
        </w:rPr>
        <w:t xml:space="preserve">, and Ruth </w:t>
      </w:r>
      <w:proofErr w:type="spellStart"/>
      <w:r w:rsidRPr="00340F37">
        <w:rPr>
          <w:rFonts w:ascii="Calibri" w:hAnsi="Calibri" w:cs="Calibri"/>
          <w:sz w:val="18"/>
          <w:szCs w:val="18"/>
        </w:rPr>
        <w:t>Wodak</w:t>
      </w:r>
      <w:proofErr w:type="spellEnd"/>
      <w:r w:rsidRPr="00340F37">
        <w:rPr>
          <w:rFonts w:ascii="Calibri" w:hAnsi="Calibri" w:cs="Calibri"/>
          <w:sz w:val="18"/>
          <w:szCs w:val="18"/>
        </w:rPr>
        <w:t>, ‘Discourses of Cultural Heritage in Times of Crisis: The Case of the Parthenon Marbles’, Journal of Sociolinguistics, 21.2 (2017), 208–37</w:t>
      </w:r>
      <w:r w:rsidRPr="00340F37">
        <w:rPr>
          <w:rFonts w:ascii="Calibri" w:hAnsi="Calibri" w:cs="Calibri"/>
          <w:sz w:val="18"/>
          <w:szCs w:val="18"/>
        </w:rPr>
        <w:t xml:space="preserve">. </w:t>
      </w:r>
    </w:p>
    <w:p w14:paraId="742FB80C" w14:textId="1C88B181" w:rsidR="005F303D" w:rsidRDefault="005F303D">
      <w:pPr>
        <w:pStyle w:val="FootnoteText"/>
      </w:pPr>
    </w:p>
  </w:footnote>
  <w:footnote w:id="16">
    <w:p w14:paraId="0F818501" w14:textId="77777777" w:rsidR="005300F8" w:rsidRPr="00340F37" w:rsidRDefault="005300F8" w:rsidP="005300F8">
      <w:pPr>
        <w:pStyle w:val="NormalWeb"/>
        <w:spacing w:before="0" w:beforeAutospacing="0" w:after="0" w:afterAutospacing="0"/>
        <w:rPr>
          <w:rFonts w:ascii="Calibri" w:hAnsi="Calibri" w:cs="Calibri"/>
          <w:sz w:val="18"/>
          <w:szCs w:val="18"/>
        </w:rPr>
      </w:pPr>
      <w:r>
        <w:rPr>
          <w:rStyle w:val="FootnoteReference"/>
        </w:rPr>
        <w:footnoteRef/>
      </w:r>
      <w:r>
        <w:t xml:space="preserve"> </w:t>
      </w:r>
      <w:r w:rsidRPr="005300F8">
        <w:rPr>
          <w:rFonts w:ascii="Calibri" w:hAnsi="Calibri" w:cs="Calibri"/>
          <w:sz w:val="22"/>
          <w:szCs w:val="22"/>
        </w:rPr>
        <w:t xml:space="preserve">  </w:t>
      </w:r>
      <w:proofErr w:type="spellStart"/>
      <w:r w:rsidRPr="00340F37">
        <w:rPr>
          <w:rFonts w:ascii="Calibri" w:hAnsi="Calibri" w:cs="Calibri"/>
          <w:sz w:val="18"/>
          <w:szCs w:val="18"/>
        </w:rPr>
        <w:t>Angouri</w:t>
      </w:r>
      <w:proofErr w:type="spellEnd"/>
      <w:r w:rsidRPr="00340F37">
        <w:rPr>
          <w:rFonts w:ascii="Calibri" w:hAnsi="Calibri" w:cs="Calibri"/>
          <w:sz w:val="18"/>
          <w:szCs w:val="18"/>
        </w:rPr>
        <w:t xml:space="preserve">, Jo, Marina </w:t>
      </w:r>
      <w:proofErr w:type="spellStart"/>
      <w:r w:rsidRPr="00340F37">
        <w:rPr>
          <w:rFonts w:ascii="Calibri" w:hAnsi="Calibri" w:cs="Calibri"/>
          <w:sz w:val="18"/>
          <w:szCs w:val="18"/>
        </w:rPr>
        <w:t>Paraskevaidi</w:t>
      </w:r>
      <w:proofErr w:type="spellEnd"/>
      <w:r w:rsidRPr="00340F37">
        <w:rPr>
          <w:rFonts w:ascii="Calibri" w:hAnsi="Calibri" w:cs="Calibri"/>
          <w:sz w:val="18"/>
          <w:szCs w:val="18"/>
        </w:rPr>
        <w:t xml:space="preserve">, and Ruth </w:t>
      </w:r>
      <w:proofErr w:type="spellStart"/>
      <w:r w:rsidRPr="00340F37">
        <w:rPr>
          <w:rFonts w:ascii="Calibri" w:hAnsi="Calibri" w:cs="Calibri"/>
          <w:sz w:val="18"/>
          <w:szCs w:val="18"/>
        </w:rPr>
        <w:t>Wodak</w:t>
      </w:r>
      <w:proofErr w:type="spellEnd"/>
      <w:r w:rsidRPr="00340F37">
        <w:rPr>
          <w:rFonts w:ascii="Calibri" w:hAnsi="Calibri" w:cs="Calibri"/>
          <w:sz w:val="18"/>
          <w:szCs w:val="18"/>
        </w:rPr>
        <w:t xml:space="preserve">, ‘Discourses of Cultural Heritage in Times of Crisis: The Case of the Parthenon Marbles’, Journal of Sociolinguistics, 21.2 (2017), 208–37 </w:t>
      </w:r>
    </w:p>
    <w:p w14:paraId="641B99F2" w14:textId="76D83780" w:rsidR="005300F8" w:rsidRDefault="005300F8">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8FC"/>
    <w:rsid w:val="00077855"/>
    <w:rsid w:val="00124790"/>
    <w:rsid w:val="001443D5"/>
    <w:rsid w:val="001B4D34"/>
    <w:rsid w:val="001C085F"/>
    <w:rsid w:val="001D104A"/>
    <w:rsid w:val="001D3C54"/>
    <w:rsid w:val="0020146C"/>
    <w:rsid w:val="00213471"/>
    <w:rsid w:val="0021640B"/>
    <w:rsid w:val="002165D7"/>
    <w:rsid w:val="0024762D"/>
    <w:rsid w:val="00255A22"/>
    <w:rsid w:val="00264B61"/>
    <w:rsid w:val="0028686B"/>
    <w:rsid w:val="002D3789"/>
    <w:rsid w:val="003068FC"/>
    <w:rsid w:val="00340F37"/>
    <w:rsid w:val="003540D4"/>
    <w:rsid w:val="003552EE"/>
    <w:rsid w:val="0039403D"/>
    <w:rsid w:val="003C2646"/>
    <w:rsid w:val="003F5047"/>
    <w:rsid w:val="00407B27"/>
    <w:rsid w:val="004211E5"/>
    <w:rsid w:val="00430A13"/>
    <w:rsid w:val="004666B1"/>
    <w:rsid w:val="00477030"/>
    <w:rsid w:val="00491FBB"/>
    <w:rsid w:val="004C75E2"/>
    <w:rsid w:val="00502C22"/>
    <w:rsid w:val="00520C71"/>
    <w:rsid w:val="00522450"/>
    <w:rsid w:val="005300F8"/>
    <w:rsid w:val="00534FC1"/>
    <w:rsid w:val="00536262"/>
    <w:rsid w:val="00552AC3"/>
    <w:rsid w:val="00552D60"/>
    <w:rsid w:val="005616F5"/>
    <w:rsid w:val="00563BC4"/>
    <w:rsid w:val="00577147"/>
    <w:rsid w:val="005B7CB5"/>
    <w:rsid w:val="005D59C8"/>
    <w:rsid w:val="005F303D"/>
    <w:rsid w:val="00627D6F"/>
    <w:rsid w:val="00637452"/>
    <w:rsid w:val="00644D88"/>
    <w:rsid w:val="0064722F"/>
    <w:rsid w:val="006B29A7"/>
    <w:rsid w:val="006E09AE"/>
    <w:rsid w:val="00732A43"/>
    <w:rsid w:val="00733D8E"/>
    <w:rsid w:val="00752551"/>
    <w:rsid w:val="0076512E"/>
    <w:rsid w:val="0077549D"/>
    <w:rsid w:val="007873A9"/>
    <w:rsid w:val="007A67FC"/>
    <w:rsid w:val="007C32F9"/>
    <w:rsid w:val="007C3835"/>
    <w:rsid w:val="007C4DD7"/>
    <w:rsid w:val="00812743"/>
    <w:rsid w:val="00821074"/>
    <w:rsid w:val="00827C12"/>
    <w:rsid w:val="00853E4F"/>
    <w:rsid w:val="0088022B"/>
    <w:rsid w:val="0089320F"/>
    <w:rsid w:val="008B7D82"/>
    <w:rsid w:val="008C5E31"/>
    <w:rsid w:val="008D4583"/>
    <w:rsid w:val="008F086C"/>
    <w:rsid w:val="00922B09"/>
    <w:rsid w:val="00925B0E"/>
    <w:rsid w:val="009524A0"/>
    <w:rsid w:val="00972233"/>
    <w:rsid w:val="00973EF3"/>
    <w:rsid w:val="009A02EE"/>
    <w:rsid w:val="009A5270"/>
    <w:rsid w:val="009B5E4E"/>
    <w:rsid w:val="009E2B53"/>
    <w:rsid w:val="00A20CAE"/>
    <w:rsid w:val="00A276F5"/>
    <w:rsid w:val="00A65A36"/>
    <w:rsid w:val="00A75F53"/>
    <w:rsid w:val="00AB1047"/>
    <w:rsid w:val="00AB1567"/>
    <w:rsid w:val="00AF2EEB"/>
    <w:rsid w:val="00B36D3C"/>
    <w:rsid w:val="00B444A3"/>
    <w:rsid w:val="00B509DB"/>
    <w:rsid w:val="00B5505A"/>
    <w:rsid w:val="00B80312"/>
    <w:rsid w:val="00B9558A"/>
    <w:rsid w:val="00BB0139"/>
    <w:rsid w:val="00BC77C4"/>
    <w:rsid w:val="00BD36A5"/>
    <w:rsid w:val="00C12D2A"/>
    <w:rsid w:val="00C32414"/>
    <w:rsid w:val="00C40140"/>
    <w:rsid w:val="00C40529"/>
    <w:rsid w:val="00C450D5"/>
    <w:rsid w:val="00C47462"/>
    <w:rsid w:val="00C864D5"/>
    <w:rsid w:val="00C926CD"/>
    <w:rsid w:val="00C950A4"/>
    <w:rsid w:val="00CD558D"/>
    <w:rsid w:val="00CE2BE9"/>
    <w:rsid w:val="00CE6636"/>
    <w:rsid w:val="00D00124"/>
    <w:rsid w:val="00D03914"/>
    <w:rsid w:val="00D131E1"/>
    <w:rsid w:val="00D57398"/>
    <w:rsid w:val="00DB0660"/>
    <w:rsid w:val="00DB69B5"/>
    <w:rsid w:val="00DD6B0A"/>
    <w:rsid w:val="00E74A85"/>
    <w:rsid w:val="00E90AE0"/>
    <w:rsid w:val="00EC5939"/>
    <w:rsid w:val="00ED7937"/>
    <w:rsid w:val="00F01F13"/>
    <w:rsid w:val="00F634E9"/>
    <w:rsid w:val="00F74AFA"/>
    <w:rsid w:val="00FB48F9"/>
    <w:rsid w:val="00FD65AA"/>
    <w:rsid w:val="00FF7A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8CD4D"/>
  <w15:chartTrackingRefBased/>
  <w15:docId w15:val="{95E4B880-CC29-4A80-9F27-7EA2D2E13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F7A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7A0C"/>
    <w:rPr>
      <w:sz w:val="20"/>
      <w:szCs w:val="20"/>
    </w:rPr>
  </w:style>
  <w:style w:type="character" w:styleId="FootnoteReference">
    <w:name w:val="footnote reference"/>
    <w:basedOn w:val="DefaultParagraphFont"/>
    <w:uiPriority w:val="99"/>
    <w:semiHidden/>
    <w:unhideWhenUsed/>
    <w:rsid w:val="00FF7A0C"/>
    <w:rPr>
      <w:vertAlign w:val="superscript"/>
    </w:rPr>
  </w:style>
  <w:style w:type="paragraph" w:styleId="NormalWeb">
    <w:name w:val="Normal (Web)"/>
    <w:basedOn w:val="Normal"/>
    <w:uiPriority w:val="99"/>
    <w:semiHidden/>
    <w:unhideWhenUsed/>
    <w:rsid w:val="00FF7A0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136671">
      <w:bodyDiv w:val="1"/>
      <w:marLeft w:val="0"/>
      <w:marRight w:val="0"/>
      <w:marTop w:val="0"/>
      <w:marBottom w:val="0"/>
      <w:divBdr>
        <w:top w:val="none" w:sz="0" w:space="0" w:color="auto"/>
        <w:left w:val="none" w:sz="0" w:space="0" w:color="auto"/>
        <w:bottom w:val="none" w:sz="0" w:space="0" w:color="auto"/>
        <w:right w:val="none" w:sz="0" w:space="0" w:color="auto"/>
      </w:divBdr>
    </w:div>
    <w:div w:id="1201548684">
      <w:bodyDiv w:val="1"/>
      <w:marLeft w:val="0"/>
      <w:marRight w:val="0"/>
      <w:marTop w:val="0"/>
      <w:marBottom w:val="0"/>
      <w:divBdr>
        <w:top w:val="none" w:sz="0" w:space="0" w:color="auto"/>
        <w:left w:val="none" w:sz="0" w:space="0" w:color="auto"/>
        <w:bottom w:val="none" w:sz="0" w:space="0" w:color="auto"/>
        <w:right w:val="none" w:sz="0" w:space="0" w:color="auto"/>
      </w:divBdr>
    </w:div>
    <w:div w:id="1487546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TotalTime>
  <Pages>8</Pages>
  <Words>2686</Words>
  <Characters>15314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Laughlin</dc:creator>
  <cp:keywords/>
  <dc:description/>
  <cp:lastModifiedBy>Becky Laughlin</cp:lastModifiedBy>
  <cp:revision>3</cp:revision>
  <dcterms:created xsi:type="dcterms:W3CDTF">2021-10-17T18:00:00Z</dcterms:created>
  <dcterms:modified xsi:type="dcterms:W3CDTF">2021-10-17T21:36:00Z</dcterms:modified>
</cp:coreProperties>
</file>