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DC84DC" w14:textId="77777777" w:rsidR="00302501" w:rsidRPr="00302501" w:rsidRDefault="00302501" w:rsidP="00302501">
      <w:pPr>
        <w:spacing w:line="360" w:lineRule="auto"/>
        <w:rPr>
          <w:u w:val="single"/>
        </w:rPr>
      </w:pPr>
      <w:r w:rsidRPr="00302501">
        <w:rPr>
          <w:u w:val="single"/>
        </w:rPr>
        <w:t>Staff Recruitment</w:t>
      </w:r>
    </w:p>
    <w:p w14:paraId="7D9B2844" w14:textId="1C330104" w:rsidR="00302501" w:rsidRPr="00302501" w:rsidRDefault="00302501" w:rsidP="00302501">
      <w:pPr>
        <w:spacing w:line="360" w:lineRule="auto"/>
        <w:jc w:val="both"/>
        <w:rPr>
          <w:rFonts w:ascii="Arial" w:hAnsi="Arial" w:cs="Arial"/>
        </w:rPr>
      </w:pPr>
      <w:r w:rsidRPr="00302501">
        <w:rPr>
          <w:rFonts w:ascii="Tahoma" w:hAnsi="Tahoma" w:cs="Tahoma"/>
        </w:rPr>
        <w:t>﻿</w:t>
      </w:r>
      <w:r w:rsidRPr="00302501">
        <w:rPr>
          <w:rFonts w:ascii="Arial" w:hAnsi="Arial" w:cs="Arial"/>
        </w:rPr>
        <w:t>My role as the key stage two lead incorporates fulfilling the usual responsibilities of a teacher as described in the </w:t>
      </w:r>
      <w:proofErr w:type="gramStart"/>
      <w:r w:rsidRPr="00302501">
        <w:rPr>
          <w:rFonts w:ascii="Arial" w:hAnsi="Arial" w:cs="Arial"/>
        </w:rPr>
        <w:t>school teachers’</w:t>
      </w:r>
      <w:proofErr w:type="gramEnd"/>
      <w:r w:rsidRPr="00302501">
        <w:rPr>
          <w:rFonts w:ascii="Arial" w:hAnsi="Arial" w:cs="Arial"/>
        </w:rPr>
        <w:t xml:space="preserve"> pay and conditions (Wales) document 2024 (Welsh Government, 2024a) as well as holding the responsibility to ensure that the standard of teaching within the school and across the curriculum remains of exemplary standard (</w:t>
      </w:r>
      <w:proofErr w:type="spellStart"/>
      <w:r w:rsidRPr="00302501">
        <w:rPr>
          <w:rFonts w:ascii="Arial" w:hAnsi="Arial" w:cs="Arial"/>
        </w:rPr>
        <w:t>Thongsley</w:t>
      </w:r>
      <w:proofErr w:type="spellEnd"/>
      <w:r w:rsidRPr="00302501">
        <w:rPr>
          <w:rFonts w:ascii="Arial" w:hAnsi="Arial" w:cs="Arial"/>
        </w:rPr>
        <w:t xml:space="preserve"> Fields Primary &amp; Nursery School, 2024). I must ensure the continuous development of teachers to provide enabling and safe environments to allow pupils to achieve and progress, working in accordance with the new Welsh curriculum and the children and young person’s plan (Welsh Government, 2024b). </w:t>
      </w:r>
    </w:p>
    <w:p w14:paraId="687ADDFD" w14:textId="6D70D1F1" w:rsidR="00302501" w:rsidRPr="00302501" w:rsidRDefault="00302501" w:rsidP="00302501">
      <w:pPr>
        <w:spacing w:line="360" w:lineRule="auto"/>
        <w:jc w:val="both"/>
        <w:rPr>
          <w:rFonts w:ascii="Arial" w:hAnsi="Arial" w:cs="Arial"/>
        </w:rPr>
      </w:pPr>
      <w:r w:rsidRPr="00302501">
        <w:rPr>
          <w:rFonts w:ascii="Arial" w:hAnsi="Arial" w:cs="Arial"/>
        </w:rPr>
        <w:t xml:space="preserve">Our current staffing levels are adequate; however, we do have one year six </w:t>
      </w:r>
      <w:proofErr w:type="gramStart"/>
      <w:r w:rsidRPr="00302501">
        <w:rPr>
          <w:rFonts w:ascii="Arial" w:hAnsi="Arial" w:cs="Arial"/>
        </w:rPr>
        <w:t>teacher</w:t>
      </w:r>
      <w:proofErr w:type="gramEnd"/>
      <w:r w:rsidRPr="00302501">
        <w:rPr>
          <w:rFonts w:ascii="Arial" w:hAnsi="Arial" w:cs="Arial"/>
        </w:rPr>
        <w:t xml:space="preserve"> leaving after the Christmas term. We need to ensure that the role is advertised as soon as possible as we do not want a situation where there is a vacant post as every day without learning can hamper a child’s life chances. As stated by the Department for Education (2016), one day without learning has negative long-term impacts that can lead to the achievement of only 5 GCSEs or even less. </w:t>
      </w:r>
    </w:p>
    <w:p w14:paraId="4CA32D58" w14:textId="77777777" w:rsidR="00302501" w:rsidRPr="00302501" w:rsidRDefault="00302501" w:rsidP="00302501">
      <w:pPr>
        <w:spacing w:line="360" w:lineRule="auto"/>
        <w:jc w:val="both"/>
        <w:rPr>
          <w:rFonts w:ascii="Arial" w:hAnsi="Arial" w:cs="Arial"/>
        </w:rPr>
      </w:pPr>
      <w:r w:rsidRPr="00302501">
        <w:rPr>
          <w:rFonts w:ascii="Arial" w:hAnsi="Arial" w:cs="Arial"/>
        </w:rPr>
        <w:t xml:space="preserve">I have considered whether a cover teacher will be necessary in the interim period, however it has been decided against due to the inability of a cover teacher to provide a child centred approach. A cover teacher will be unable to get to know the child and their needs in the time that they are in post. As suggested by Dewey (1966), getting to know the child is integral to their development as learning is based on their individual capacity and needs. This thinking is also supported by Maslow’s (1943) hierarchy of needs. According to Maslow (1943), </w:t>
      </w:r>
      <w:proofErr w:type="gramStart"/>
      <w:r w:rsidRPr="00302501">
        <w:rPr>
          <w:rFonts w:ascii="Arial" w:hAnsi="Arial" w:cs="Arial"/>
        </w:rPr>
        <w:t>as long as</w:t>
      </w:r>
      <w:proofErr w:type="gramEnd"/>
      <w:r w:rsidRPr="00302501">
        <w:rPr>
          <w:rFonts w:ascii="Arial" w:hAnsi="Arial" w:cs="Arial"/>
        </w:rPr>
        <w:t xml:space="preserve"> children are provided with opportunities based on their personal needs, children have a natural motivation and drive to grow and develop, meeting self-actualisation at the top of the pyramid, increasing their life chances. We therefore do not want to risk negatively impacting the learning of </w:t>
      </w:r>
      <w:proofErr w:type="gramStart"/>
      <w:r w:rsidRPr="00302501">
        <w:rPr>
          <w:rFonts w:ascii="Arial" w:hAnsi="Arial" w:cs="Arial"/>
        </w:rPr>
        <w:t>each and every</w:t>
      </w:r>
      <w:proofErr w:type="gramEnd"/>
      <w:r w:rsidRPr="00302501">
        <w:rPr>
          <w:rFonts w:ascii="Arial" w:hAnsi="Arial" w:cs="Arial"/>
        </w:rPr>
        <w:t xml:space="preserve"> child during this period that we are seeking a new employee by not providing them with adequate opportunities based on their needs and interests.  </w:t>
      </w:r>
    </w:p>
    <w:p w14:paraId="2B0F5B2B" w14:textId="77777777" w:rsidR="00302501" w:rsidRPr="00302501" w:rsidRDefault="00302501" w:rsidP="00302501">
      <w:pPr>
        <w:spacing w:line="360" w:lineRule="auto"/>
        <w:jc w:val="both"/>
        <w:rPr>
          <w:rFonts w:ascii="Arial" w:hAnsi="Arial" w:cs="Arial"/>
        </w:rPr>
      </w:pPr>
    </w:p>
    <w:p w14:paraId="543EC38D" w14:textId="1525FD3D" w:rsidR="00302501" w:rsidRPr="00302501" w:rsidRDefault="00302501" w:rsidP="00302501">
      <w:pPr>
        <w:spacing w:line="360" w:lineRule="auto"/>
        <w:jc w:val="both"/>
        <w:rPr>
          <w:rFonts w:ascii="Arial" w:hAnsi="Arial" w:cs="Arial"/>
        </w:rPr>
      </w:pPr>
      <w:r w:rsidRPr="00302501">
        <w:rPr>
          <w:rFonts w:ascii="Arial" w:hAnsi="Arial" w:cs="Arial"/>
        </w:rPr>
        <w:lastRenderedPageBreak/>
        <w:t>Additionally, having different cover teachers during this period may result in inconsistencies in the teaching provided.</w:t>
      </w:r>
    </w:p>
    <w:p w14:paraId="7DEF730E" w14:textId="1C160E0E" w:rsidR="00302501" w:rsidRPr="00302501" w:rsidRDefault="00302501" w:rsidP="00302501">
      <w:pPr>
        <w:spacing w:line="360" w:lineRule="auto"/>
        <w:jc w:val="both"/>
        <w:rPr>
          <w:rFonts w:ascii="Arial" w:hAnsi="Arial" w:cs="Arial"/>
        </w:rPr>
      </w:pPr>
      <w:r w:rsidRPr="00302501">
        <w:rPr>
          <w:rFonts w:ascii="Arial" w:hAnsi="Arial" w:cs="Arial"/>
        </w:rPr>
        <w:t>Question: Do we know when the interview date for the job is scheduled in for?</w:t>
      </w:r>
    </w:p>
    <w:p w14:paraId="1FE24EB5" w14:textId="6E3255E4" w:rsidR="00302501" w:rsidRPr="00302501" w:rsidRDefault="00302501" w:rsidP="00302501">
      <w:pPr>
        <w:spacing w:line="360" w:lineRule="auto"/>
        <w:jc w:val="both"/>
        <w:rPr>
          <w:rFonts w:ascii="Arial" w:hAnsi="Arial" w:cs="Arial"/>
        </w:rPr>
      </w:pPr>
      <w:r w:rsidRPr="00302501">
        <w:rPr>
          <w:rFonts w:ascii="Arial" w:hAnsi="Arial" w:cs="Arial"/>
        </w:rPr>
        <w:t xml:space="preserve">It’s scheduled in for the 2nd of December. It’ll be </w:t>
      </w:r>
      <w:proofErr w:type="gramStart"/>
      <w:r w:rsidRPr="00302501">
        <w:rPr>
          <w:rFonts w:ascii="Arial" w:hAnsi="Arial" w:cs="Arial"/>
        </w:rPr>
        <w:t>myself</w:t>
      </w:r>
      <w:proofErr w:type="gramEnd"/>
      <w:r w:rsidRPr="00302501">
        <w:rPr>
          <w:rFonts w:ascii="Arial" w:hAnsi="Arial" w:cs="Arial"/>
        </w:rPr>
        <w:t xml:space="preserve"> and Alysha undertaking the interviews. We also need to consider the schools interview policy before this date to ensure we have set appropriate and clear assessment guidelines and consider how we will ensure consistency and equality during each interview (The Education Alliance, 2024).  We need to make sure that we are following the principles of the </w:t>
      </w:r>
      <w:r w:rsidRPr="00302501">
        <w:rPr>
          <w:rFonts w:ascii="Arial" w:hAnsi="Arial" w:cs="Arial"/>
          <w:i/>
          <w:iCs/>
        </w:rPr>
        <w:t>Equality Act 2010 </w:t>
      </w:r>
      <w:r w:rsidRPr="00302501">
        <w:rPr>
          <w:rFonts w:ascii="Arial" w:hAnsi="Arial" w:cs="Arial"/>
        </w:rPr>
        <w:t>and not discriminating applicants based on personal characteristics. </w:t>
      </w:r>
    </w:p>
    <w:p w14:paraId="340A013B" w14:textId="2F8DCE5B" w:rsidR="00302501" w:rsidRPr="00302501" w:rsidRDefault="00302501" w:rsidP="00302501">
      <w:pPr>
        <w:spacing w:line="360" w:lineRule="auto"/>
        <w:jc w:val="both"/>
        <w:rPr>
          <w:rFonts w:ascii="Arial" w:hAnsi="Arial" w:cs="Arial"/>
        </w:rPr>
      </w:pPr>
      <w:r w:rsidRPr="00302501">
        <w:rPr>
          <w:rFonts w:ascii="Arial" w:hAnsi="Arial" w:cs="Arial"/>
        </w:rPr>
        <w:t>Headteacher: yes, we will look at those in more detail after this meeting. I will highlight that as an action and include it on the agenda for the next meeting. </w:t>
      </w:r>
    </w:p>
    <w:p w14:paraId="262FD81D" w14:textId="1DED316C" w:rsidR="00302501" w:rsidRPr="00302501" w:rsidRDefault="00302501" w:rsidP="00302501">
      <w:pPr>
        <w:spacing w:line="360" w:lineRule="auto"/>
        <w:jc w:val="both"/>
        <w:rPr>
          <w:rFonts w:ascii="Arial" w:hAnsi="Arial" w:cs="Arial"/>
        </w:rPr>
      </w:pPr>
      <w:r w:rsidRPr="00302501">
        <w:rPr>
          <w:rFonts w:ascii="Arial" w:hAnsi="Arial" w:cs="Arial"/>
        </w:rPr>
        <w:t>Question: Have you decided which questions are going to be included in the interview?</w:t>
      </w:r>
    </w:p>
    <w:p w14:paraId="728D0507" w14:textId="08401834" w:rsidR="00302501" w:rsidRPr="00302501" w:rsidRDefault="00302501" w:rsidP="00302501">
      <w:pPr>
        <w:spacing w:line="360" w:lineRule="auto"/>
        <w:jc w:val="both"/>
        <w:rPr>
          <w:rFonts w:ascii="Arial" w:hAnsi="Arial" w:cs="Arial"/>
        </w:rPr>
      </w:pPr>
      <w:r w:rsidRPr="00302501">
        <w:rPr>
          <w:rFonts w:ascii="Arial" w:hAnsi="Arial" w:cs="Arial"/>
        </w:rPr>
        <w:t>Not yet. Does anyone have any suggestions or questions that they think should be included? We’ve released the job description, so we’ll need to base the interview questions off this. </w:t>
      </w:r>
    </w:p>
    <w:p w14:paraId="4D9278D7" w14:textId="49C79230" w:rsidR="00302501" w:rsidRPr="00302501" w:rsidRDefault="00302501" w:rsidP="00302501">
      <w:pPr>
        <w:spacing w:line="360" w:lineRule="auto"/>
        <w:jc w:val="both"/>
        <w:rPr>
          <w:rFonts w:ascii="Arial" w:hAnsi="Arial" w:cs="Arial"/>
        </w:rPr>
      </w:pPr>
      <w:r w:rsidRPr="00302501">
        <w:rPr>
          <w:rFonts w:ascii="Arial" w:hAnsi="Arial" w:cs="Arial"/>
        </w:rPr>
        <w:t>Question: What does the job description specify?</w:t>
      </w:r>
    </w:p>
    <w:p w14:paraId="3E3B5440" w14:textId="4B1F56DF" w:rsidR="00302501" w:rsidRPr="00302501" w:rsidRDefault="00302501" w:rsidP="00302501">
      <w:pPr>
        <w:spacing w:line="360" w:lineRule="auto"/>
        <w:jc w:val="both"/>
        <w:rPr>
          <w:rFonts w:ascii="Arial" w:hAnsi="Arial" w:cs="Arial"/>
        </w:rPr>
      </w:pPr>
      <w:r w:rsidRPr="00302501">
        <w:rPr>
          <w:rFonts w:ascii="Arial" w:hAnsi="Arial" w:cs="Arial"/>
        </w:rPr>
        <w:t xml:space="preserve">It refers to the professional standards for teaching and leadership, </w:t>
      </w:r>
      <w:proofErr w:type="gramStart"/>
      <w:r w:rsidRPr="00302501">
        <w:rPr>
          <w:rFonts w:ascii="Arial" w:hAnsi="Arial" w:cs="Arial"/>
        </w:rPr>
        <w:t>making reference</w:t>
      </w:r>
      <w:proofErr w:type="gramEnd"/>
      <w:r w:rsidRPr="00302501">
        <w:rPr>
          <w:rFonts w:ascii="Arial" w:hAnsi="Arial" w:cs="Arial"/>
        </w:rPr>
        <w:t xml:space="preserve"> to the values and dispositions, including Welsh language and culture, the rights of child, literacy, numeracy and digital competence, the professional environment, the system role and the professional learner (Welsh Government, 2019). There is also reference to the key skills required such as leadership, collaboration, innovation, professional development and pedagogy (Welsh Government, 2019). </w:t>
      </w:r>
    </w:p>
    <w:p w14:paraId="1B00F744" w14:textId="1F4F8C56" w:rsidR="00302501" w:rsidRPr="00302501" w:rsidRDefault="00302501" w:rsidP="00302501">
      <w:pPr>
        <w:spacing w:line="360" w:lineRule="auto"/>
        <w:jc w:val="both"/>
        <w:rPr>
          <w:rFonts w:ascii="Arial" w:hAnsi="Arial" w:cs="Arial"/>
        </w:rPr>
      </w:pPr>
      <w:r w:rsidRPr="00302501">
        <w:rPr>
          <w:rFonts w:ascii="Arial" w:hAnsi="Arial" w:cs="Arial"/>
        </w:rPr>
        <w:t>Question: it might be beneficial to include a competency-based question</w:t>
      </w:r>
      <w:r>
        <w:rPr>
          <w:rFonts w:ascii="Arial" w:hAnsi="Arial" w:cs="Arial"/>
        </w:rPr>
        <w:t>.</w:t>
      </w:r>
    </w:p>
    <w:p w14:paraId="0C1FD076" w14:textId="40801BEF" w:rsidR="00302501" w:rsidRPr="00302501" w:rsidRDefault="00302501" w:rsidP="00302501">
      <w:pPr>
        <w:spacing w:line="360" w:lineRule="auto"/>
        <w:jc w:val="both"/>
        <w:rPr>
          <w:rFonts w:ascii="Arial" w:hAnsi="Arial" w:cs="Arial"/>
        </w:rPr>
      </w:pPr>
      <w:r w:rsidRPr="00302501">
        <w:rPr>
          <w:rFonts w:ascii="Arial" w:hAnsi="Arial" w:cs="Arial"/>
        </w:rPr>
        <w:t xml:space="preserve">That’s a good suggestion. This type of question will provide them an opportunity to share their experience as well as their understanding of the requirements of the role. It might also be beneficial to ask a scenario-based question to identify the attitudes and values of the applicant. Ideally, we are looking for someone who is well rounded with the right experience, attitudes and values who can positively impact the children’s learning.  The Education Hub (no date) argues that teachers’ beliefs, expectations and opinions of a child has a big impact on the success of the child within education.  Their </w:t>
      </w:r>
      <w:r w:rsidRPr="00302501">
        <w:rPr>
          <w:rFonts w:ascii="Arial" w:hAnsi="Arial" w:cs="Arial"/>
        </w:rPr>
        <w:lastRenderedPageBreak/>
        <w:t>expectations determine what type of teaching approach they adopt, and they often provide differential learning experiences between what they believe are high achieving and low achieving students (The Education Hub, no date). We want someone who can provide an equitable approach, whilst taking into consideration the rights of the child within the education system and therefore a scenario-based question will provide us with an insight into their values and teaching approaches. For this reason, it may also be beneficial to conclude the interview with a short lesson provided by the applicant. We can then mark the applicants based on their interview answers, as well as teaching abilities. </w:t>
      </w:r>
    </w:p>
    <w:p w14:paraId="2C89E57E" w14:textId="0DBC7DB6" w:rsidR="00302501" w:rsidRPr="00302501" w:rsidRDefault="00302501" w:rsidP="00302501">
      <w:pPr>
        <w:spacing w:line="360" w:lineRule="auto"/>
        <w:jc w:val="both"/>
        <w:rPr>
          <w:rFonts w:ascii="Arial" w:hAnsi="Arial" w:cs="Arial"/>
        </w:rPr>
      </w:pPr>
      <w:r w:rsidRPr="00302501">
        <w:rPr>
          <w:rFonts w:ascii="Arial" w:hAnsi="Arial" w:cs="Arial"/>
        </w:rPr>
        <w:t>Question: I’m in agreement with that approach.</w:t>
      </w:r>
    </w:p>
    <w:p w14:paraId="48BB2323" w14:textId="132F7973" w:rsidR="00302501" w:rsidRPr="00302501" w:rsidRDefault="00302501" w:rsidP="00302501">
      <w:pPr>
        <w:spacing w:line="360" w:lineRule="auto"/>
        <w:jc w:val="both"/>
        <w:rPr>
          <w:rFonts w:ascii="Arial" w:hAnsi="Arial" w:cs="Arial"/>
        </w:rPr>
      </w:pPr>
      <w:r w:rsidRPr="00302501">
        <w:rPr>
          <w:rFonts w:ascii="Arial" w:hAnsi="Arial" w:cs="Arial"/>
        </w:rPr>
        <w:t>Question: Will they need a DBS check prior to the interview?</w:t>
      </w:r>
    </w:p>
    <w:p w14:paraId="7E7809DF" w14:textId="76FF7032" w:rsidR="00302501" w:rsidRPr="00302501" w:rsidRDefault="00302501" w:rsidP="00302501">
      <w:pPr>
        <w:spacing w:line="360" w:lineRule="auto"/>
        <w:jc w:val="both"/>
        <w:rPr>
          <w:rFonts w:ascii="Arial" w:hAnsi="Arial" w:cs="Arial"/>
        </w:rPr>
      </w:pPr>
      <w:r w:rsidRPr="00302501">
        <w:rPr>
          <w:rFonts w:ascii="Arial" w:hAnsi="Arial" w:cs="Arial"/>
        </w:rPr>
        <w:t>Yes, one of the requirements of the job application is to have a full enhanced DBS check as part of the </w:t>
      </w:r>
      <w:r w:rsidRPr="00302501">
        <w:rPr>
          <w:rFonts w:ascii="Arial" w:hAnsi="Arial" w:cs="Arial"/>
          <w:i/>
          <w:iCs/>
        </w:rPr>
        <w:t>Rehabilitation of Offenders Act 1974</w:t>
      </w:r>
      <w:r w:rsidRPr="00302501">
        <w:rPr>
          <w:rFonts w:ascii="Arial" w:hAnsi="Arial" w:cs="Arial"/>
        </w:rPr>
        <w:t>. Any applicants without this status will not be paper sifted for interview. This is particularly important if the interview is to incorporate the short lesson with the children, as we do not want to put any children, or colleagues at risk of harm as per the school’s safeguarding policy. </w:t>
      </w:r>
    </w:p>
    <w:p w14:paraId="5E1FA067" w14:textId="77777777" w:rsidR="00302501" w:rsidRPr="00302501" w:rsidRDefault="00302501" w:rsidP="00302501">
      <w:pPr>
        <w:spacing w:line="360" w:lineRule="auto"/>
        <w:jc w:val="both"/>
        <w:rPr>
          <w:rFonts w:ascii="Arial" w:hAnsi="Arial" w:cs="Arial"/>
        </w:rPr>
      </w:pPr>
      <w:r w:rsidRPr="00302501">
        <w:rPr>
          <w:rFonts w:ascii="Arial" w:hAnsi="Arial" w:cs="Arial"/>
        </w:rPr>
        <w:t>Headteacher: Thanks Ryan. We will continue this discussion following the meeting to ensure it is dealt with promptly. Do you have any further points to raise?</w:t>
      </w:r>
    </w:p>
    <w:p w14:paraId="49CE3C21" w14:textId="77777777" w:rsidR="00302501" w:rsidRPr="00302501" w:rsidRDefault="00302501" w:rsidP="00302501">
      <w:pPr>
        <w:spacing w:line="360" w:lineRule="auto"/>
        <w:jc w:val="both"/>
        <w:rPr>
          <w:rFonts w:ascii="Arial" w:hAnsi="Arial" w:cs="Arial"/>
        </w:rPr>
      </w:pPr>
      <w:r w:rsidRPr="00302501">
        <w:rPr>
          <w:rFonts w:ascii="Arial" w:hAnsi="Arial" w:cs="Arial"/>
        </w:rPr>
        <w:t xml:space="preserve">There are no further issues or points to raise </w:t>
      </w:r>
      <w:proofErr w:type="gramStart"/>
      <w:r w:rsidRPr="00302501">
        <w:rPr>
          <w:rFonts w:ascii="Arial" w:hAnsi="Arial" w:cs="Arial"/>
        </w:rPr>
        <w:t>at this time</w:t>
      </w:r>
      <w:proofErr w:type="gramEnd"/>
      <w:r w:rsidRPr="00302501">
        <w:rPr>
          <w:rFonts w:ascii="Arial" w:hAnsi="Arial" w:cs="Arial"/>
        </w:rPr>
        <w:t>. Attendance rates are of adequate standard, and all training is up to date.</w:t>
      </w:r>
    </w:p>
    <w:p w14:paraId="07E58A0B" w14:textId="77777777" w:rsidR="00302501" w:rsidRPr="00302501" w:rsidRDefault="00302501" w:rsidP="00302501">
      <w:pPr>
        <w:spacing w:line="360" w:lineRule="auto"/>
        <w:jc w:val="both"/>
        <w:rPr>
          <w:rFonts w:ascii="Arial" w:hAnsi="Arial" w:cs="Arial"/>
        </w:rPr>
      </w:pPr>
      <w:r w:rsidRPr="00302501">
        <w:rPr>
          <w:rFonts w:ascii="Arial" w:hAnsi="Arial" w:cs="Arial"/>
        </w:rPr>
        <w:br/>
      </w:r>
    </w:p>
    <w:p w14:paraId="0BED897D" w14:textId="77777777" w:rsidR="00302501" w:rsidRPr="00302501" w:rsidRDefault="00302501" w:rsidP="00302501">
      <w:pPr>
        <w:spacing w:line="360" w:lineRule="auto"/>
        <w:jc w:val="both"/>
        <w:rPr>
          <w:rFonts w:ascii="Arial" w:hAnsi="Arial" w:cs="Arial"/>
          <w:u w:val="single"/>
        </w:rPr>
      </w:pPr>
      <w:r w:rsidRPr="00302501">
        <w:rPr>
          <w:rFonts w:ascii="Arial" w:hAnsi="Arial" w:cs="Arial"/>
          <w:u w:val="single"/>
        </w:rPr>
        <w:t>Observations and Reflective Practice</w:t>
      </w:r>
    </w:p>
    <w:p w14:paraId="32C02A72" w14:textId="77777777" w:rsidR="00302501" w:rsidRPr="00302501" w:rsidRDefault="00302501" w:rsidP="00302501">
      <w:pPr>
        <w:spacing w:line="360" w:lineRule="auto"/>
        <w:jc w:val="both"/>
        <w:rPr>
          <w:rFonts w:ascii="Arial" w:hAnsi="Arial" w:cs="Arial"/>
        </w:rPr>
      </w:pPr>
      <w:r w:rsidRPr="00302501">
        <w:rPr>
          <w:rFonts w:ascii="Arial" w:hAnsi="Arial" w:cs="Arial"/>
        </w:rPr>
        <w:br/>
        <w:t>Yes, I feel being observed by another member of staff and observing others has helped me develop and grow confidence throughout my teaching career. </w:t>
      </w:r>
    </w:p>
    <w:p w14:paraId="6E2BE8E6" w14:textId="77777777" w:rsidR="00302501" w:rsidRDefault="00302501" w:rsidP="00302501">
      <w:pPr>
        <w:spacing w:line="360" w:lineRule="auto"/>
        <w:jc w:val="both"/>
        <w:rPr>
          <w:rFonts w:ascii="Arial" w:hAnsi="Arial" w:cs="Arial"/>
        </w:rPr>
      </w:pPr>
      <w:r w:rsidRPr="00302501">
        <w:rPr>
          <w:rFonts w:ascii="Arial" w:hAnsi="Arial" w:cs="Arial"/>
        </w:rPr>
        <w:t xml:space="preserve">Further to this, according to Wonder Learning Partnership (2023), peer observation encourages practitioners to assess their own practice and help identify areas of improvement based upon what they have observed from others. Moreover, Barber and Paul-Smith (2010) claims that in most instances, the observer is rhetorical person who </w:t>
      </w:r>
      <w:r w:rsidRPr="00302501">
        <w:rPr>
          <w:rFonts w:ascii="Arial" w:hAnsi="Arial" w:cs="Arial"/>
        </w:rPr>
        <w:lastRenderedPageBreak/>
        <w:t>learns more during peer observations as they gain knowledge and new ideas from the practitioner they are observing.</w:t>
      </w:r>
    </w:p>
    <w:p w14:paraId="4CC965FD" w14:textId="77777777" w:rsidR="00302501" w:rsidRDefault="00302501" w:rsidP="00302501">
      <w:pPr>
        <w:spacing w:line="360" w:lineRule="auto"/>
        <w:jc w:val="both"/>
        <w:rPr>
          <w:rFonts w:ascii="Arial" w:hAnsi="Arial" w:cs="Arial"/>
        </w:rPr>
      </w:pPr>
    </w:p>
    <w:p w14:paraId="590754DA" w14:textId="77777777" w:rsidR="00302501" w:rsidRDefault="00302501" w:rsidP="00302501">
      <w:pPr>
        <w:spacing w:line="360" w:lineRule="auto"/>
        <w:jc w:val="both"/>
        <w:rPr>
          <w:rFonts w:ascii="Arial" w:hAnsi="Arial" w:cs="Arial"/>
        </w:rPr>
      </w:pPr>
    </w:p>
    <w:p w14:paraId="3A4AF6B9" w14:textId="77777777" w:rsidR="00302501" w:rsidRDefault="00302501" w:rsidP="00302501">
      <w:pPr>
        <w:spacing w:line="360" w:lineRule="auto"/>
        <w:jc w:val="both"/>
        <w:rPr>
          <w:rFonts w:ascii="Arial" w:hAnsi="Arial" w:cs="Arial"/>
        </w:rPr>
      </w:pPr>
    </w:p>
    <w:p w14:paraId="25538851" w14:textId="77777777" w:rsidR="00302501" w:rsidRDefault="00302501" w:rsidP="00302501">
      <w:pPr>
        <w:spacing w:line="360" w:lineRule="auto"/>
        <w:jc w:val="both"/>
        <w:rPr>
          <w:rFonts w:ascii="Arial" w:hAnsi="Arial" w:cs="Arial"/>
        </w:rPr>
      </w:pPr>
    </w:p>
    <w:p w14:paraId="192CE518" w14:textId="77777777" w:rsidR="00302501" w:rsidRDefault="00302501" w:rsidP="00302501">
      <w:pPr>
        <w:spacing w:line="360" w:lineRule="auto"/>
        <w:jc w:val="both"/>
        <w:rPr>
          <w:rFonts w:ascii="Arial" w:hAnsi="Arial" w:cs="Arial"/>
        </w:rPr>
      </w:pPr>
    </w:p>
    <w:p w14:paraId="23A66A27" w14:textId="77777777" w:rsidR="00302501" w:rsidRDefault="00302501" w:rsidP="00302501">
      <w:pPr>
        <w:spacing w:line="360" w:lineRule="auto"/>
        <w:jc w:val="both"/>
        <w:rPr>
          <w:rFonts w:ascii="Arial" w:hAnsi="Arial" w:cs="Arial"/>
        </w:rPr>
      </w:pPr>
    </w:p>
    <w:p w14:paraId="22A2D6C7" w14:textId="77777777" w:rsidR="00302501" w:rsidRDefault="00302501" w:rsidP="00302501">
      <w:pPr>
        <w:spacing w:line="360" w:lineRule="auto"/>
        <w:jc w:val="both"/>
        <w:rPr>
          <w:rFonts w:ascii="Arial" w:hAnsi="Arial" w:cs="Arial"/>
        </w:rPr>
      </w:pPr>
    </w:p>
    <w:p w14:paraId="6009ED84" w14:textId="77777777" w:rsidR="00302501" w:rsidRDefault="00302501" w:rsidP="00302501">
      <w:pPr>
        <w:spacing w:line="360" w:lineRule="auto"/>
        <w:jc w:val="both"/>
        <w:rPr>
          <w:rFonts w:ascii="Arial" w:hAnsi="Arial" w:cs="Arial"/>
        </w:rPr>
      </w:pPr>
    </w:p>
    <w:p w14:paraId="6158B9BF" w14:textId="77777777" w:rsidR="00302501" w:rsidRDefault="00302501" w:rsidP="00302501">
      <w:pPr>
        <w:spacing w:line="360" w:lineRule="auto"/>
        <w:jc w:val="both"/>
        <w:rPr>
          <w:rFonts w:ascii="Arial" w:hAnsi="Arial" w:cs="Arial"/>
        </w:rPr>
      </w:pPr>
    </w:p>
    <w:p w14:paraId="19B65D96" w14:textId="77777777" w:rsidR="00302501" w:rsidRDefault="00302501" w:rsidP="00302501">
      <w:pPr>
        <w:spacing w:line="360" w:lineRule="auto"/>
        <w:jc w:val="both"/>
        <w:rPr>
          <w:rFonts w:ascii="Arial" w:hAnsi="Arial" w:cs="Arial"/>
        </w:rPr>
      </w:pPr>
    </w:p>
    <w:p w14:paraId="67F7BD50" w14:textId="77777777" w:rsidR="00302501" w:rsidRDefault="00302501" w:rsidP="00302501">
      <w:pPr>
        <w:spacing w:line="360" w:lineRule="auto"/>
        <w:jc w:val="both"/>
        <w:rPr>
          <w:rFonts w:ascii="Arial" w:hAnsi="Arial" w:cs="Arial"/>
        </w:rPr>
      </w:pPr>
    </w:p>
    <w:p w14:paraId="3010BB0E" w14:textId="77777777" w:rsidR="00302501" w:rsidRDefault="00302501" w:rsidP="00302501">
      <w:pPr>
        <w:spacing w:line="360" w:lineRule="auto"/>
        <w:jc w:val="both"/>
        <w:rPr>
          <w:rFonts w:ascii="Arial" w:hAnsi="Arial" w:cs="Arial"/>
        </w:rPr>
      </w:pPr>
    </w:p>
    <w:p w14:paraId="40803804" w14:textId="77777777" w:rsidR="00302501" w:rsidRDefault="00302501" w:rsidP="00302501">
      <w:pPr>
        <w:spacing w:line="360" w:lineRule="auto"/>
        <w:jc w:val="both"/>
        <w:rPr>
          <w:rFonts w:ascii="Arial" w:hAnsi="Arial" w:cs="Arial"/>
        </w:rPr>
      </w:pPr>
    </w:p>
    <w:p w14:paraId="03A392D6" w14:textId="77777777" w:rsidR="00302501" w:rsidRDefault="00302501" w:rsidP="00302501">
      <w:pPr>
        <w:spacing w:line="360" w:lineRule="auto"/>
        <w:jc w:val="both"/>
        <w:rPr>
          <w:rFonts w:ascii="Arial" w:hAnsi="Arial" w:cs="Arial"/>
        </w:rPr>
      </w:pPr>
    </w:p>
    <w:p w14:paraId="2C35E45D" w14:textId="77777777" w:rsidR="00302501" w:rsidRDefault="00302501" w:rsidP="00302501">
      <w:pPr>
        <w:spacing w:line="360" w:lineRule="auto"/>
        <w:jc w:val="both"/>
        <w:rPr>
          <w:rFonts w:ascii="Arial" w:hAnsi="Arial" w:cs="Arial"/>
        </w:rPr>
      </w:pPr>
    </w:p>
    <w:p w14:paraId="044C4EFF" w14:textId="77777777" w:rsidR="00302501" w:rsidRDefault="00302501" w:rsidP="00302501">
      <w:pPr>
        <w:spacing w:line="360" w:lineRule="auto"/>
        <w:jc w:val="both"/>
        <w:rPr>
          <w:rFonts w:ascii="Arial" w:hAnsi="Arial" w:cs="Arial"/>
        </w:rPr>
      </w:pPr>
    </w:p>
    <w:p w14:paraId="74AE547A" w14:textId="77777777" w:rsidR="00302501" w:rsidRDefault="00302501" w:rsidP="00302501">
      <w:pPr>
        <w:spacing w:line="360" w:lineRule="auto"/>
        <w:jc w:val="both"/>
        <w:rPr>
          <w:rFonts w:ascii="Arial" w:hAnsi="Arial" w:cs="Arial"/>
        </w:rPr>
      </w:pPr>
    </w:p>
    <w:p w14:paraId="16C1860D" w14:textId="77777777" w:rsidR="00302501" w:rsidRDefault="00302501" w:rsidP="00302501">
      <w:pPr>
        <w:spacing w:line="360" w:lineRule="auto"/>
        <w:jc w:val="both"/>
        <w:rPr>
          <w:rFonts w:ascii="Arial" w:hAnsi="Arial" w:cs="Arial"/>
        </w:rPr>
      </w:pPr>
    </w:p>
    <w:p w14:paraId="54F08E6E" w14:textId="77777777" w:rsidR="00302501" w:rsidRDefault="00302501" w:rsidP="00302501">
      <w:pPr>
        <w:spacing w:line="360" w:lineRule="auto"/>
        <w:jc w:val="both"/>
        <w:rPr>
          <w:rFonts w:ascii="Arial" w:hAnsi="Arial" w:cs="Arial"/>
        </w:rPr>
      </w:pPr>
    </w:p>
    <w:p w14:paraId="0C603B0D" w14:textId="77777777" w:rsidR="00302501" w:rsidRDefault="00302501" w:rsidP="00302501">
      <w:pPr>
        <w:spacing w:line="360" w:lineRule="auto"/>
        <w:jc w:val="both"/>
        <w:rPr>
          <w:rFonts w:ascii="Arial" w:hAnsi="Arial" w:cs="Arial"/>
        </w:rPr>
      </w:pPr>
    </w:p>
    <w:p w14:paraId="65C324B4" w14:textId="77777777" w:rsidR="00302501" w:rsidRDefault="00302501" w:rsidP="00302501">
      <w:pPr>
        <w:spacing w:line="360" w:lineRule="auto"/>
        <w:jc w:val="both"/>
        <w:rPr>
          <w:rFonts w:ascii="Arial" w:hAnsi="Arial" w:cs="Arial"/>
        </w:rPr>
      </w:pPr>
    </w:p>
    <w:p w14:paraId="131868D8" w14:textId="77777777" w:rsidR="00302501" w:rsidRDefault="00302501" w:rsidP="00302501">
      <w:pPr>
        <w:spacing w:line="360" w:lineRule="auto"/>
        <w:jc w:val="both"/>
        <w:rPr>
          <w:rFonts w:ascii="Arial" w:hAnsi="Arial" w:cs="Arial"/>
        </w:rPr>
      </w:pPr>
    </w:p>
    <w:p w14:paraId="502C54C4" w14:textId="7418957E" w:rsidR="00302501" w:rsidRPr="00302501" w:rsidRDefault="00302501" w:rsidP="00302501">
      <w:pPr>
        <w:spacing w:line="360" w:lineRule="auto"/>
        <w:jc w:val="both"/>
        <w:rPr>
          <w:rFonts w:ascii="Arial" w:hAnsi="Arial" w:cs="Arial"/>
        </w:rPr>
      </w:pPr>
      <w:r w:rsidRPr="00302501">
        <w:rPr>
          <w:rFonts w:ascii="Arial" w:hAnsi="Arial" w:cs="Arial"/>
          <w:b/>
          <w:bCs/>
          <w:u w:val="single"/>
        </w:rPr>
        <w:lastRenderedPageBreak/>
        <w:t>Reference List</w:t>
      </w:r>
    </w:p>
    <w:p w14:paraId="5366D6AD" w14:textId="77777777" w:rsidR="00302501" w:rsidRPr="00302501" w:rsidRDefault="00302501" w:rsidP="00302501">
      <w:pPr>
        <w:jc w:val="both"/>
        <w:rPr>
          <w:rFonts w:ascii="Arial" w:hAnsi="Arial" w:cs="Arial"/>
        </w:rPr>
      </w:pPr>
      <w:r w:rsidRPr="00302501">
        <w:rPr>
          <w:rFonts w:ascii="Arial" w:hAnsi="Arial" w:cs="Arial"/>
        </w:rPr>
        <w:t xml:space="preserve">Barber, J. and Paul-Smith, S. (2010) </w:t>
      </w:r>
      <w:r w:rsidRPr="00302501">
        <w:rPr>
          <w:rFonts w:ascii="Arial" w:hAnsi="Arial" w:cs="Arial"/>
          <w:i/>
          <w:iCs/>
        </w:rPr>
        <w:t>Early Years Observation and Planning in Practice: A Practical Guid for Observation and Planning in the EFYS</w:t>
      </w:r>
      <w:r w:rsidRPr="00302501">
        <w:rPr>
          <w:rFonts w:ascii="Arial" w:hAnsi="Arial" w:cs="Arial"/>
        </w:rPr>
        <w:t xml:space="preserve">. London: Practical Pre-School Books. </w:t>
      </w:r>
    </w:p>
    <w:p w14:paraId="2B469061" w14:textId="77777777" w:rsidR="00302501" w:rsidRPr="00302501" w:rsidRDefault="00302501" w:rsidP="00302501">
      <w:pPr>
        <w:jc w:val="both"/>
        <w:rPr>
          <w:rFonts w:ascii="Arial" w:hAnsi="Arial" w:cs="Arial"/>
          <w:u w:val="single"/>
        </w:rPr>
      </w:pPr>
    </w:p>
    <w:p w14:paraId="4D1D916F" w14:textId="77777777" w:rsidR="00302501" w:rsidRPr="00302501" w:rsidRDefault="00302501" w:rsidP="00302501">
      <w:pPr>
        <w:jc w:val="both"/>
        <w:rPr>
          <w:rFonts w:ascii="Arial" w:hAnsi="Arial" w:cs="Arial"/>
        </w:rPr>
      </w:pPr>
      <w:r w:rsidRPr="00302501">
        <w:rPr>
          <w:rFonts w:ascii="Arial" w:hAnsi="Arial" w:cs="Arial"/>
        </w:rPr>
        <w:t>Department for Education (2016) </w:t>
      </w:r>
      <w:r w:rsidRPr="00302501">
        <w:rPr>
          <w:rFonts w:ascii="Arial" w:hAnsi="Arial" w:cs="Arial"/>
          <w:i/>
          <w:iCs/>
        </w:rPr>
        <w:t>Just One Day Off Can Hamper Children's Life Chances.</w:t>
      </w:r>
      <w:r w:rsidRPr="00302501">
        <w:rPr>
          <w:rFonts w:ascii="Arial" w:hAnsi="Arial" w:cs="Arial"/>
        </w:rPr>
        <w:t>  Available at: </w:t>
      </w:r>
      <w:hyperlink r:id="rId6" w:anchor=":~:text=This%20new%20research%20is%20further,effect%20on%20their%20life%20chances" w:history="1">
        <w:r w:rsidRPr="00302501">
          <w:rPr>
            <w:rStyle w:val="Hyperlink"/>
            <w:rFonts w:ascii="Arial" w:hAnsi="Arial" w:cs="Arial"/>
          </w:rPr>
          <w:t>https://www.gov.uk/government/news/just-one-day-off-can-hamper-childrens-life-chances#:~:text=This%20new%20research%20is%20further,effect%20on%20their%20life%20chances</w:t>
        </w:r>
      </w:hyperlink>
      <w:r w:rsidRPr="00302501">
        <w:rPr>
          <w:rFonts w:ascii="Arial" w:hAnsi="Arial" w:cs="Arial"/>
        </w:rPr>
        <w:t>. (Accessed: 21 November 2024). </w:t>
      </w:r>
    </w:p>
    <w:p w14:paraId="02613202" w14:textId="77777777" w:rsidR="00302501" w:rsidRPr="00302501" w:rsidRDefault="00302501" w:rsidP="00302501">
      <w:pPr>
        <w:jc w:val="both"/>
        <w:rPr>
          <w:rFonts w:ascii="Arial" w:hAnsi="Arial" w:cs="Arial"/>
        </w:rPr>
      </w:pPr>
    </w:p>
    <w:p w14:paraId="65C832AB" w14:textId="77777777" w:rsidR="00302501" w:rsidRPr="00302501" w:rsidRDefault="00302501" w:rsidP="00302501">
      <w:pPr>
        <w:jc w:val="both"/>
        <w:rPr>
          <w:rFonts w:ascii="Arial" w:hAnsi="Arial" w:cs="Arial"/>
        </w:rPr>
      </w:pPr>
      <w:r w:rsidRPr="00302501">
        <w:rPr>
          <w:rFonts w:ascii="Arial" w:hAnsi="Arial" w:cs="Arial"/>
        </w:rPr>
        <w:t>Dewey, J. (1966) </w:t>
      </w:r>
      <w:r w:rsidRPr="00302501">
        <w:rPr>
          <w:rFonts w:ascii="Arial" w:hAnsi="Arial" w:cs="Arial"/>
          <w:i/>
          <w:iCs/>
        </w:rPr>
        <w:t>The Child and the Curriculum.</w:t>
      </w:r>
      <w:r w:rsidRPr="00302501">
        <w:rPr>
          <w:rFonts w:ascii="Arial" w:hAnsi="Arial" w:cs="Arial"/>
        </w:rPr>
        <w:t> Chicago: University of Chicago Press. </w:t>
      </w:r>
    </w:p>
    <w:p w14:paraId="4C4CAFF3" w14:textId="77777777" w:rsidR="00302501" w:rsidRPr="00302501" w:rsidRDefault="00302501" w:rsidP="00302501">
      <w:pPr>
        <w:jc w:val="both"/>
        <w:rPr>
          <w:rFonts w:ascii="Arial" w:hAnsi="Arial" w:cs="Arial"/>
        </w:rPr>
      </w:pPr>
    </w:p>
    <w:p w14:paraId="3506E85A" w14:textId="77777777" w:rsidR="00302501" w:rsidRPr="00302501" w:rsidRDefault="00302501" w:rsidP="00302501">
      <w:pPr>
        <w:jc w:val="both"/>
        <w:rPr>
          <w:rFonts w:ascii="Arial" w:hAnsi="Arial" w:cs="Arial"/>
        </w:rPr>
      </w:pPr>
      <w:r w:rsidRPr="00302501">
        <w:rPr>
          <w:rFonts w:ascii="Arial" w:hAnsi="Arial" w:cs="Arial"/>
          <w:i/>
          <w:iCs/>
        </w:rPr>
        <w:t>Equality Act 2010,</w:t>
      </w:r>
      <w:r w:rsidRPr="00302501">
        <w:rPr>
          <w:rFonts w:ascii="Arial" w:hAnsi="Arial" w:cs="Arial"/>
        </w:rPr>
        <w:t> c.15. Available at: </w:t>
      </w:r>
      <w:hyperlink r:id="rId7" w:history="1">
        <w:r w:rsidRPr="00302501">
          <w:rPr>
            <w:rStyle w:val="Hyperlink"/>
            <w:rFonts w:ascii="Arial" w:hAnsi="Arial" w:cs="Arial"/>
          </w:rPr>
          <w:t>https://www.legislation.gov.uk/ukpga/2010/15/contents</w:t>
        </w:r>
      </w:hyperlink>
      <w:r w:rsidRPr="00302501">
        <w:rPr>
          <w:rFonts w:ascii="Arial" w:hAnsi="Arial" w:cs="Arial"/>
        </w:rPr>
        <w:t xml:space="preserve"> (Accessed 23 November 2024). </w:t>
      </w:r>
    </w:p>
    <w:p w14:paraId="650C8DD3" w14:textId="77777777" w:rsidR="00302501" w:rsidRPr="00302501" w:rsidRDefault="00302501" w:rsidP="00302501">
      <w:pPr>
        <w:jc w:val="both"/>
        <w:rPr>
          <w:rFonts w:ascii="Arial" w:hAnsi="Arial" w:cs="Arial"/>
        </w:rPr>
      </w:pPr>
    </w:p>
    <w:p w14:paraId="2DA9BC48" w14:textId="77777777" w:rsidR="00302501" w:rsidRPr="00302501" w:rsidRDefault="00302501" w:rsidP="00302501">
      <w:pPr>
        <w:jc w:val="both"/>
        <w:rPr>
          <w:rFonts w:ascii="Arial" w:hAnsi="Arial" w:cs="Arial"/>
        </w:rPr>
      </w:pPr>
      <w:r w:rsidRPr="00302501">
        <w:rPr>
          <w:rFonts w:ascii="Arial" w:hAnsi="Arial" w:cs="Arial"/>
        </w:rPr>
        <w:t>Maslow, A. (1943) ‘A Theory of Human Motivation’, </w:t>
      </w:r>
      <w:r w:rsidRPr="00302501">
        <w:rPr>
          <w:rFonts w:ascii="Arial" w:hAnsi="Arial" w:cs="Arial"/>
          <w:i/>
          <w:iCs/>
        </w:rPr>
        <w:t>Psychological Review</w:t>
      </w:r>
      <w:r w:rsidRPr="00302501">
        <w:rPr>
          <w:rFonts w:ascii="Arial" w:hAnsi="Arial" w:cs="Arial"/>
        </w:rPr>
        <w:t xml:space="preserve">, 50(4). Available at: </w:t>
      </w:r>
      <w:hyperlink r:id="rId8" w:history="1">
        <w:r w:rsidRPr="00302501">
          <w:rPr>
            <w:rStyle w:val="Hyperlink"/>
            <w:rFonts w:ascii="Arial" w:hAnsi="Arial" w:cs="Arial"/>
          </w:rPr>
          <w:t>https://doi.org/10.1037/h0054346</w:t>
        </w:r>
      </w:hyperlink>
      <w:r w:rsidRPr="00302501">
        <w:rPr>
          <w:rFonts w:ascii="Arial" w:hAnsi="Arial" w:cs="Arial"/>
        </w:rPr>
        <w:t xml:space="preserve">  (Accessed: 23 November 2024). </w:t>
      </w:r>
    </w:p>
    <w:p w14:paraId="63A8EDD2" w14:textId="77777777" w:rsidR="00302501" w:rsidRPr="00302501" w:rsidRDefault="00302501" w:rsidP="00302501">
      <w:pPr>
        <w:jc w:val="both"/>
        <w:rPr>
          <w:rFonts w:ascii="Arial" w:hAnsi="Arial" w:cs="Arial"/>
        </w:rPr>
      </w:pPr>
    </w:p>
    <w:p w14:paraId="62B87F0F" w14:textId="77777777" w:rsidR="00302501" w:rsidRPr="00302501" w:rsidRDefault="00302501" w:rsidP="00302501">
      <w:pPr>
        <w:jc w:val="both"/>
        <w:rPr>
          <w:rFonts w:ascii="Arial" w:hAnsi="Arial" w:cs="Arial"/>
        </w:rPr>
      </w:pPr>
      <w:r w:rsidRPr="00302501">
        <w:rPr>
          <w:rFonts w:ascii="Arial" w:hAnsi="Arial" w:cs="Arial"/>
          <w:i/>
          <w:iCs/>
        </w:rPr>
        <w:t>Rehabilitation of Offender’s Act 1974</w:t>
      </w:r>
      <w:r w:rsidRPr="00302501">
        <w:rPr>
          <w:rFonts w:ascii="Arial" w:hAnsi="Arial" w:cs="Arial"/>
        </w:rPr>
        <w:t>, c.53. Available at: </w:t>
      </w:r>
      <w:hyperlink r:id="rId9" w:history="1">
        <w:r w:rsidRPr="00302501">
          <w:rPr>
            <w:rStyle w:val="Hyperlink"/>
            <w:rFonts w:ascii="Arial" w:hAnsi="Arial" w:cs="Arial"/>
          </w:rPr>
          <w:t>https://www.legislation.gov.uk/ukpga/1974/53</w:t>
        </w:r>
      </w:hyperlink>
      <w:r w:rsidRPr="00302501">
        <w:rPr>
          <w:rFonts w:ascii="Arial" w:hAnsi="Arial" w:cs="Arial"/>
        </w:rPr>
        <w:t xml:space="preserve"> (Accessed: 23 November 2024). </w:t>
      </w:r>
    </w:p>
    <w:p w14:paraId="5AEF4042" w14:textId="77777777" w:rsidR="00302501" w:rsidRPr="00302501" w:rsidRDefault="00302501" w:rsidP="00302501">
      <w:pPr>
        <w:jc w:val="both"/>
        <w:rPr>
          <w:rFonts w:ascii="Arial" w:hAnsi="Arial" w:cs="Arial"/>
        </w:rPr>
      </w:pPr>
    </w:p>
    <w:p w14:paraId="27810DB4" w14:textId="77777777" w:rsidR="00302501" w:rsidRPr="00302501" w:rsidRDefault="00302501" w:rsidP="00302501">
      <w:pPr>
        <w:jc w:val="both"/>
        <w:rPr>
          <w:rFonts w:ascii="Arial" w:hAnsi="Arial" w:cs="Arial"/>
        </w:rPr>
      </w:pPr>
      <w:r w:rsidRPr="00302501">
        <w:rPr>
          <w:rFonts w:ascii="Arial" w:hAnsi="Arial" w:cs="Arial"/>
        </w:rPr>
        <w:t>The Education Alliance (no date) </w:t>
      </w:r>
      <w:r w:rsidRPr="00302501">
        <w:rPr>
          <w:rFonts w:ascii="Arial" w:hAnsi="Arial" w:cs="Arial"/>
          <w:i/>
          <w:iCs/>
        </w:rPr>
        <w:t>Recruitment and Selection Policy and Procedure</w:t>
      </w:r>
      <w:r w:rsidRPr="00302501">
        <w:rPr>
          <w:rFonts w:ascii="Arial" w:hAnsi="Arial" w:cs="Arial"/>
        </w:rPr>
        <w:t>. Available at: </w:t>
      </w:r>
      <w:hyperlink r:id="rId10" w:history="1">
        <w:r w:rsidRPr="00302501">
          <w:rPr>
            <w:rStyle w:val="Hyperlink"/>
            <w:rFonts w:ascii="Arial" w:hAnsi="Arial" w:cs="Arial"/>
          </w:rPr>
          <w:t>https://theeducationalliance.org.uk/wp-content/uploads/Recruitment-and-Selection-Policy.pdf</w:t>
        </w:r>
      </w:hyperlink>
      <w:r w:rsidRPr="00302501">
        <w:rPr>
          <w:rFonts w:ascii="Arial" w:hAnsi="Arial" w:cs="Arial"/>
        </w:rPr>
        <w:t xml:space="preserve"> (Accessed: 23 November 2024). </w:t>
      </w:r>
    </w:p>
    <w:p w14:paraId="1CF7712F" w14:textId="77777777" w:rsidR="00302501" w:rsidRPr="00302501" w:rsidRDefault="00302501" w:rsidP="00302501">
      <w:pPr>
        <w:jc w:val="both"/>
        <w:rPr>
          <w:rFonts w:ascii="Arial" w:hAnsi="Arial" w:cs="Arial"/>
        </w:rPr>
      </w:pPr>
    </w:p>
    <w:p w14:paraId="5BBDD3CA" w14:textId="77777777" w:rsidR="00302501" w:rsidRPr="00302501" w:rsidRDefault="00302501" w:rsidP="00302501">
      <w:pPr>
        <w:jc w:val="both"/>
        <w:rPr>
          <w:rFonts w:ascii="Arial" w:hAnsi="Arial" w:cs="Arial"/>
        </w:rPr>
      </w:pPr>
      <w:r w:rsidRPr="00302501">
        <w:rPr>
          <w:rFonts w:ascii="Arial" w:hAnsi="Arial" w:cs="Arial"/>
        </w:rPr>
        <w:t>The Education Hub (no date) </w:t>
      </w:r>
      <w:r w:rsidRPr="00302501">
        <w:rPr>
          <w:rFonts w:ascii="Arial" w:hAnsi="Arial" w:cs="Arial"/>
          <w:i/>
          <w:iCs/>
        </w:rPr>
        <w:t>How to Develop High Expectations Teaching</w:t>
      </w:r>
      <w:r w:rsidRPr="00302501">
        <w:rPr>
          <w:rFonts w:ascii="Arial" w:hAnsi="Arial" w:cs="Arial"/>
        </w:rPr>
        <w:t>. Available at: </w:t>
      </w:r>
      <w:hyperlink r:id="rId11" w:history="1">
        <w:r w:rsidRPr="00302501">
          <w:rPr>
            <w:rStyle w:val="Hyperlink"/>
            <w:rFonts w:ascii="Arial" w:hAnsi="Arial" w:cs="Arial"/>
          </w:rPr>
          <w:t>https://theeducationhub.org.nz/wp-content/uploads/2018/06/How-to-develop-high-expectations-teaching.pdf</w:t>
        </w:r>
      </w:hyperlink>
      <w:r w:rsidRPr="00302501">
        <w:rPr>
          <w:rFonts w:ascii="Arial" w:hAnsi="Arial" w:cs="Arial"/>
        </w:rPr>
        <w:t xml:space="preserve">  (Accessed: 23 November 2024). </w:t>
      </w:r>
    </w:p>
    <w:p w14:paraId="1C72E3AC" w14:textId="77777777" w:rsidR="00302501" w:rsidRPr="00302501" w:rsidRDefault="00302501" w:rsidP="00302501">
      <w:pPr>
        <w:jc w:val="both"/>
        <w:rPr>
          <w:rFonts w:ascii="Arial" w:hAnsi="Arial" w:cs="Arial"/>
        </w:rPr>
      </w:pPr>
    </w:p>
    <w:p w14:paraId="7E94F78D" w14:textId="77777777" w:rsidR="00302501" w:rsidRPr="00302501" w:rsidRDefault="00302501" w:rsidP="00302501">
      <w:pPr>
        <w:jc w:val="both"/>
        <w:rPr>
          <w:rFonts w:ascii="Arial" w:hAnsi="Arial" w:cs="Arial"/>
        </w:rPr>
      </w:pPr>
      <w:proofErr w:type="spellStart"/>
      <w:r w:rsidRPr="00302501">
        <w:rPr>
          <w:rFonts w:ascii="Arial" w:hAnsi="Arial" w:cs="Arial"/>
        </w:rPr>
        <w:lastRenderedPageBreak/>
        <w:t>Thongsley</w:t>
      </w:r>
      <w:proofErr w:type="spellEnd"/>
      <w:r w:rsidRPr="00302501">
        <w:rPr>
          <w:rFonts w:ascii="Arial" w:hAnsi="Arial" w:cs="Arial"/>
        </w:rPr>
        <w:t xml:space="preserve"> Fields Primary &amp; Nursery School (2024) </w:t>
      </w:r>
      <w:r w:rsidRPr="00302501">
        <w:rPr>
          <w:rFonts w:ascii="Arial" w:hAnsi="Arial" w:cs="Arial"/>
          <w:i/>
          <w:iCs/>
        </w:rPr>
        <w:t>Phase Leader</w:t>
      </w:r>
      <w:r w:rsidRPr="00302501">
        <w:rPr>
          <w:rFonts w:ascii="Arial" w:hAnsi="Arial" w:cs="Arial"/>
        </w:rPr>
        <w:t>. Available at: </w:t>
      </w:r>
      <w:hyperlink r:id="rId12" w:history="1">
        <w:r w:rsidRPr="00302501">
          <w:rPr>
            <w:rStyle w:val="Hyperlink"/>
            <w:rFonts w:ascii="Arial" w:hAnsi="Arial" w:cs="Arial"/>
          </w:rPr>
          <w:t>https://atlp.org.uk/files/2023/01/BVS-KS2-Phase-Leader-JD-PS-Jan-23.pdf</w:t>
        </w:r>
      </w:hyperlink>
      <w:r w:rsidRPr="00302501">
        <w:rPr>
          <w:rFonts w:ascii="Arial" w:hAnsi="Arial" w:cs="Arial"/>
        </w:rPr>
        <w:t xml:space="preserve"> (Accessed: 21 November 2024). </w:t>
      </w:r>
    </w:p>
    <w:p w14:paraId="33E9D3A9" w14:textId="77777777" w:rsidR="00302501" w:rsidRPr="00302501" w:rsidRDefault="00302501" w:rsidP="00302501">
      <w:pPr>
        <w:jc w:val="both"/>
        <w:rPr>
          <w:rFonts w:ascii="Arial" w:hAnsi="Arial" w:cs="Arial"/>
        </w:rPr>
      </w:pPr>
    </w:p>
    <w:p w14:paraId="2C69C28D" w14:textId="77777777" w:rsidR="00302501" w:rsidRPr="00302501" w:rsidRDefault="00302501" w:rsidP="00302501">
      <w:pPr>
        <w:jc w:val="both"/>
        <w:rPr>
          <w:rFonts w:ascii="Arial" w:hAnsi="Arial" w:cs="Arial"/>
        </w:rPr>
      </w:pPr>
      <w:r w:rsidRPr="00302501">
        <w:rPr>
          <w:rFonts w:ascii="Arial" w:hAnsi="Arial" w:cs="Arial"/>
        </w:rPr>
        <w:t>Welsh Government (2019) </w:t>
      </w:r>
      <w:r w:rsidRPr="00302501">
        <w:rPr>
          <w:rFonts w:ascii="Arial" w:hAnsi="Arial" w:cs="Arial"/>
          <w:i/>
          <w:iCs/>
        </w:rPr>
        <w:t>Professional Standards for Teaching and Leadership</w:t>
      </w:r>
      <w:r w:rsidRPr="00302501">
        <w:rPr>
          <w:rFonts w:ascii="Arial" w:hAnsi="Arial" w:cs="Arial"/>
        </w:rPr>
        <w:t>. Available at: </w:t>
      </w:r>
      <w:hyperlink r:id="rId13" w:history="1">
        <w:r w:rsidRPr="00302501">
          <w:rPr>
            <w:rStyle w:val="Hyperlink"/>
            <w:rFonts w:ascii="Arial" w:hAnsi="Arial" w:cs="Arial"/>
          </w:rPr>
          <w:t>https://hwb.gov.wales/api/storage/19bc948b-8a3f-41e0-944a-7bf2cadf7d18/professional-standards-for-teaching-and-leadership-interactive-pdf-for-pc.pdf</w:t>
        </w:r>
      </w:hyperlink>
      <w:r w:rsidRPr="00302501">
        <w:rPr>
          <w:rFonts w:ascii="Arial" w:hAnsi="Arial" w:cs="Arial"/>
        </w:rPr>
        <w:t xml:space="preserve"> (Accessed: 23 November 2024). </w:t>
      </w:r>
    </w:p>
    <w:p w14:paraId="705971FD" w14:textId="77777777" w:rsidR="00302501" w:rsidRPr="00302501" w:rsidRDefault="00302501" w:rsidP="00302501">
      <w:pPr>
        <w:jc w:val="both"/>
        <w:rPr>
          <w:rFonts w:ascii="Arial" w:hAnsi="Arial" w:cs="Arial"/>
        </w:rPr>
      </w:pPr>
    </w:p>
    <w:p w14:paraId="3276DDCA" w14:textId="77777777" w:rsidR="00302501" w:rsidRPr="00302501" w:rsidRDefault="00302501" w:rsidP="00302501">
      <w:pPr>
        <w:jc w:val="both"/>
        <w:rPr>
          <w:rFonts w:ascii="Arial" w:hAnsi="Arial" w:cs="Arial"/>
        </w:rPr>
      </w:pPr>
      <w:r w:rsidRPr="00302501">
        <w:rPr>
          <w:rFonts w:ascii="Arial" w:hAnsi="Arial" w:cs="Arial"/>
        </w:rPr>
        <w:t>Welsh Government (2024a) </w:t>
      </w:r>
      <w:r w:rsidRPr="00302501">
        <w:rPr>
          <w:rFonts w:ascii="Arial" w:hAnsi="Arial" w:cs="Arial"/>
          <w:i/>
          <w:iCs/>
        </w:rPr>
        <w:t>School Teachers’ Pay and Conditions (Wales) Document 2024.</w:t>
      </w:r>
      <w:r w:rsidRPr="00302501">
        <w:rPr>
          <w:rFonts w:ascii="Arial" w:hAnsi="Arial" w:cs="Arial"/>
        </w:rPr>
        <w:t> Available at: </w:t>
      </w:r>
      <w:hyperlink r:id="rId14" w:history="1">
        <w:r w:rsidRPr="00302501">
          <w:rPr>
            <w:rStyle w:val="Hyperlink"/>
            <w:rFonts w:ascii="Arial" w:hAnsi="Arial" w:cs="Arial"/>
          </w:rPr>
          <w:t>https://www.gov.wales/school-teachers-pay-and-conditions-wales-document-2024</w:t>
        </w:r>
      </w:hyperlink>
      <w:r w:rsidRPr="00302501">
        <w:rPr>
          <w:rFonts w:ascii="Arial" w:hAnsi="Arial" w:cs="Arial"/>
        </w:rPr>
        <w:t xml:space="preserve">  (Accessed 21 November 2024).</w:t>
      </w:r>
    </w:p>
    <w:p w14:paraId="152750FF" w14:textId="77777777" w:rsidR="00302501" w:rsidRPr="00302501" w:rsidRDefault="00302501" w:rsidP="00302501">
      <w:pPr>
        <w:jc w:val="both"/>
        <w:rPr>
          <w:rFonts w:ascii="Arial" w:hAnsi="Arial" w:cs="Arial"/>
          <w:u w:val="single"/>
        </w:rPr>
      </w:pPr>
    </w:p>
    <w:p w14:paraId="205B0C79" w14:textId="77777777" w:rsidR="00302501" w:rsidRPr="00302501" w:rsidRDefault="00302501" w:rsidP="00302501">
      <w:pPr>
        <w:jc w:val="both"/>
        <w:rPr>
          <w:rFonts w:ascii="Arial" w:hAnsi="Arial" w:cs="Arial"/>
        </w:rPr>
      </w:pPr>
      <w:r w:rsidRPr="00302501">
        <w:rPr>
          <w:rFonts w:ascii="Arial" w:hAnsi="Arial" w:cs="Arial"/>
        </w:rPr>
        <w:t>Welsh Government (2024b) </w:t>
      </w:r>
      <w:r w:rsidRPr="00302501">
        <w:rPr>
          <w:rFonts w:ascii="Arial" w:hAnsi="Arial" w:cs="Arial"/>
          <w:i/>
          <w:iCs/>
        </w:rPr>
        <w:t>Children and Young People's Plan.</w:t>
      </w:r>
      <w:r w:rsidRPr="00302501">
        <w:rPr>
          <w:rFonts w:ascii="Arial" w:hAnsi="Arial" w:cs="Arial"/>
        </w:rPr>
        <w:t> Available at: </w:t>
      </w:r>
      <w:hyperlink r:id="rId15" w:anchor=":~:text=or%20continued%20education-,Children%20and%20young%20people%20said:,can%20get%20a%20(higher)%20qualification" w:history="1">
        <w:r w:rsidRPr="00302501">
          <w:rPr>
            <w:rStyle w:val="Hyperlink"/>
            <w:rFonts w:ascii="Arial" w:hAnsi="Arial" w:cs="Arial"/>
          </w:rPr>
          <w:t>https://www.gov.wales/children-and-young-peoples-plan-html#:~:text=or%20continued%20education-,Children%20and%20young%20people%20said:,can%20get%20a%20(higher)%20qualification</w:t>
        </w:r>
      </w:hyperlink>
      <w:r w:rsidRPr="00302501">
        <w:rPr>
          <w:rFonts w:ascii="Arial" w:hAnsi="Arial" w:cs="Arial"/>
        </w:rPr>
        <w:t xml:space="preserve"> (Accessed: 21 November 2024). </w:t>
      </w:r>
    </w:p>
    <w:p w14:paraId="5FFA3C85" w14:textId="77777777" w:rsidR="00302501" w:rsidRPr="00302501" w:rsidRDefault="00302501" w:rsidP="00302501">
      <w:pPr>
        <w:jc w:val="both"/>
        <w:rPr>
          <w:rFonts w:ascii="Arial" w:hAnsi="Arial" w:cs="Arial"/>
        </w:rPr>
      </w:pPr>
    </w:p>
    <w:p w14:paraId="1DF0ADDC" w14:textId="77777777" w:rsidR="00302501" w:rsidRPr="00302501" w:rsidRDefault="00302501" w:rsidP="00302501">
      <w:pPr>
        <w:jc w:val="both"/>
        <w:rPr>
          <w:rFonts w:ascii="Arial" w:hAnsi="Arial" w:cs="Arial"/>
        </w:rPr>
      </w:pPr>
      <w:r w:rsidRPr="00302501">
        <w:rPr>
          <w:rFonts w:ascii="Arial" w:hAnsi="Arial" w:cs="Arial"/>
        </w:rPr>
        <w:t>Wonder Learning Partnership (2023</w:t>
      </w:r>
      <w:r w:rsidRPr="00302501">
        <w:rPr>
          <w:rFonts w:ascii="Arial" w:hAnsi="Arial" w:cs="Arial"/>
          <w:i/>
          <w:iCs/>
        </w:rPr>
        <w:t>) The Benefits of Peer Observation in Teaching: learning from Each Other.</w:t>
      </w:r>
      <w:r w:rsidRPr="00302501">
        <w:rPr>
          <w:rFonts w:ascii="Arial" w:hAnsi="Arial" w:cs="Arial"/>
        </w:rPr>
        <w:t xml:space="preserve"> Available: </w:t>
      </w:r>
      <w:hyperlink r:id="rId16" w:anchor=":~:text=Watching%20fellow%20teachers%20in%20action,is%20vital%20for%20professional%20growth" w:history="1">
        <w:r w:rsidRPr="00302501">
          <w:rPr>
            <w:rStyle w:val="Hyperlink"/>
            <w:rFonts w:ascii="Arial" w:hAnsi="Arial" w:cs="Arial"/>
          </w:rPr>
          <w:t>https://wlp.education/the-benefits-of-peer-observation-in-teaching-learning-from-each-other/#:~:text=Watching%20fellow%20teachers%20in%20action,is%20vital%20for%20professional%20growth</w:t>
        </w:r>
      </w:hyperlink>
      <w:r w:rsidRPr="00302501">
        <w:rPr>
          <w:rFonts w:ascii="Arial" w:hAnsi="Arial" w:cs="Arial"/>
        </w:rPr>
        <w:t>.  (Accessed: 25 November 2024).</w:t>
      </w:r>
    </w:p>
    <w:p w14:paraId="170200A5" w14:textId="77777777" w:rsidR="00302501" w:rsidRPr="00302501" w:rsidRDefault="00302501" w:rsidP="00302501">
      <w:pPr>
        <w:jc w:val="both"/>
        <w:rPr>
          <w:rFonts w:ascii="Arial" w:hAnsi="Arial" w:cs="Arial"/>
        </w:rPr>
      </w:pPr>
    </w:p>
    <w:sectPr w:rsidR="00302501" w:rsidRPr="00302501">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A3F2B1" w14:textId="77777777" w:rsidR="00F70795" w:rsidRDefault="00F70795" w:rsidP="00302501">
      <w:pPr>
        <w:spacing w:after="0" w:line="240" w:lineRule="auto"/>
      </w:pPr>
      <w:r>
        <w:separator/>
      </w:r>
    </w:p>
  </w:endnote>
  <w:endnote w:type="continuationSeparator" w:id="0">
    <w:p w14:paraId="6FE09A4D" w14:textId="77777777" w:rsidR="00F70795" w:rsidRDefault="00F70795" w:rsidP="00302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84BE03" w14:textId="77777777" w:rsidR="00F70795" w:rsidRDefault="00F70795" w:rsidP="00302501">
      <w:pPr>
        <w:spacing w:after="0" w:line="240" w:lineRule="auto"/>
      </w:pPr>
      <w:r>
        <w:separator/>
      </w:r>
    </w:p>
  </w:footnote>
  <w:footnote w:type="continuationSeparator" w:id="0">
    <w:p w14:paraId="772C526F" w14:textId="77777777" w:rsidR="00F70795" w:rsidRDefault="00F70795" w:rsidP="00302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A97012" w14:textId="77777777" w:rsidR="00302501" w:rsidRPr="00302501" w:rsidRDefault="00302501" w:rsidP="00302501">
    <w:pPr>
      <w:pStyle w:val="Header"/>
    </w:pPr>
    <w:r w:rsidRPr="00302501">
      <w:t>2316355</w:t>
    </w:r>
  </w:p>
  <w:p w14:paraId="233D648B" w14:textId="77777777" w:rsidR="00302501" w:rsidRPr="00302501" w:rsidRDefault="00302501" w:rsidP="00302501">
    <w:pPr>
      <w:pStyle w:val="Header"/>
    </w:pPr>
    <w:r w:rsidRPr="00302501">
      <w:t>ECEY5006/C</w:t>
    </w:r>
  </w:p>
  <w:p w14:paraId="01D97D09" w14:textId="77777777" w:rsidR="00302501" w:rsidRDefault="0030250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501"/>
    <w:rsid w:val="00302501"/>
    <w:rsid w:val="00E94246"/>
    <w:rsid w:val="00F70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B2FB4"/>
  <w15:chartTrackingRefBased/>
  <w15:docId w15:val="{3D1F32EA-D84D-41DA-BD43-055B13565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25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25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25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25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25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25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25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25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25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25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25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25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25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25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25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25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25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2501"/>
    <w:rPr>
      <w:rFonts w:eastAsiaTheme="majorEastAsia" w:cstheme="majorBidi"/>
      <w:color w:val="272727" w:themeColor="text1" w:themeTint="D8"/>
    </w:rPr>
  </w:style>
  <w:style w:type="paragraph" w:styleId="Title">
    <w:name w:val="Title"/>
    <w:basedOn w:val="Normal"/>
    <w:next w:val="Normal"/>
    <w:link w:val="TitleChar"/>
    <w:uiPriority w:val="10"/>
    <w:qFormat/>
    <w:rsid w:val="003025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25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25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25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2501"/>
    <w:pPr>
      <w:spacing w:before="160"/>
      <w:jc w:val="center"/>
    </w:pPr>
    <w:rPr>
      <w:i/>
      <w:iCs/>
      <w:color w:val="404040" w:themeColor="text1" w:themeTint="BF"/>
    </w:rPr>
  </w:style>
  <w:style w:type="character" w:customStyle="1" w:styleId="QuoteChar">
    <w:name w:val="Quote Char"/>
    <w:basedOn w:val="DefaultParagraphFont"/>
    <w:link w:val="Quote"/>
    <w:uiPriority w:val="29"/>
    <w:rsid w:val="00302501"/>
    <w:rPr>
      <w:i/>
      <w:iCs/>
      <w:color w:val="404040" w:themeColor="text1" w:themeTint="BF"/>
    </w:rPr>
  </w:style>
  <w:style w:type="paragraph" w:styleId="ListParagraph">
    <w:name w:val="List Paragraph"/>
    <w:basedOn w:val="Normal"/>
    <w:uiPriority w:val="34"/>
    <w:qFormat/>
    <w:rsid w:val="00302501"/>
    <w:pPr>
      <w:ind w:left="720"/>
      <w:contextualSpacing/>
    </w:pPr>
  </w:style>
  <w:style w:type="character" w:styleId="IntenseEmphasis">
    <w:name w:val="Intense Emphasis"/>
    <w:basedOn w:val="DefaultParagraphFont"/>
    <w:uiPriority w:val="21"/>
    <w:qFormat/>
    <w:rsid w:val="00302501"/>
    <w:rPr>
      <w:i/>
      <w:iCs/>
      <w:color w:val="0F4761" w:themeColor="accent1" w:themeShade="BF"/>
    </w:rPr>
  </w:style>
  <w:style w:type="paragraph" w:styleId="IntenseQuote">
    <w:name w:val="Intense Quote"/>
    <w:basedOn w:val="Normal"/>
    <w:next w:val="Normal"/>
    <w:link w:val="IntenseQuoteChar"/>
    <w:uiPriority w:val="30"/>
    <w:qFormat/>
    <w:rsid w:val="003025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2501"/>
    <w:rPr>
      <w:i/>
      <w:iCs/>
      <w:color w:val="0F4761" w:themeColor="accent1" w:themeShade="BF"/>
    </w:rPr>
  </w:style>
  <w:style w:type="character" w:styleId="IntenseReference">
    <w:name w:val="Intense Reference"/>
    <w:basedOn w:val="DefaultParagraphFont"/>
    <w:uiPriority w:val="32"/>
    <w:qFormat/>
    <w:rsid w:val="00302501"/>
    <w:rPr>
      <w:b/>
      <w:bCs/>
      <w:smallCaps/>
      <w:color w:val="0F4761" w:themeColor="accent1" w:themeShade="BF"/>
      <w:spacing w:val="5"/>
    </w:rPr>
  </w:style>
  <w:style w:type="character" w:styleId="Hyperlink">
    <w:name w:val="Hyperlink"/>
    <w:basedOn w:val="DefaultParagraphFont"/>
    <w:uiPriority w:val="99"/>
    <w:unhideWhenUsed/>
    <w:rsid w:val="00302501"/>
    <w:rPr>
      <w:color w:val="467886" w:themeColor="hyperlink"/>
      <w:u w:val="single"/>
    </w:rPr>
  </w:style>
  <w:style w:type="character" w:styleId="UnresolvedMention">
    <w:name w:val="Unresolved Mention"/>
    <w:basedOn w:val="DefaultParagraphFont"/>
    <w:uiPriority w:val="99"/>
    <w:semiHidden/>
    <w:unhideWhenUsed/>
    <w:rsid w:val="00302501"/>
    <w:rPr>
      <w:color w:val="605E5C"/>
      <w:shd w:val="clear" w:color="auto" w:fill="E1DFDD"/>
    </w:rPr>
  </w:style>
  <w:style w:type="paragraph" w:styleId="Header">
    <w:name w:val="header"/>
    <w:basedOn w:val="Normal"/>
    <w:link w:val="HeaderChar"/>
    <w:uiPriority w:val="99"/>
    <w:unhideWhenUsed/>
    <w:rsid w:val="003025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501"/>
  </w:style>
  <w:style w:type="paragraph" w:styleId="Footer">
    <w:name w:val="footer"/>
    <w:basedOn w:val="Normal"/>
    <w:link w:val="FooterChar"/>
    <w:uiPriority w:val="99"/>
    <w:unhideWhenUsed/>
    <w:rsid w:val="003025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5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713378">
      <w:bodyDiv w:val="1"/>
      <w:marLeft w:val="0"/>
      <w:marRight w:val="0"/>
      <w:marTop w:val="0"/>
      <w:marBottom w:val="0"/>
      <w:divBdr>
        <w:top w:val="none" w:sz="0" w:space="0" w:color="auto"/>
        <w:left w:val="none" w:sz="0" w:space="0" w:color="auto"/>
        <w:bottom w:val="none" w:sz="0" w:space="0" w:color="auto"/>
        <w:right w:val="none" w:sz="0" w:space="0" w:color="auto"/>
      </w:divBdr>
    </w:div>
    <w:div w:id="278689091">
      <w:bodyDiv w:val="1"/>
      <w:marLeft w:val="0"/>
      <w:marRight w:val="0"/>
      <w:marTop w:val="0"/>
      <w:marBottom w:val="0"/>
      <w:divBdr>
        <w:top w:val="none" w:sz="0" w:space="0" w:color="auto"/>
        <w:left w:val="none" w:sz="0" w:space="0" w:color="auto"/>
        <w:bottom w:val="none" w:sz="0" w:space="0" w:color="auto"/>
        <w:right w:val="none" w:sz="0" w:space="0" w:color="auto"/>
      </w:divBdr>
    </w:div>
    <w:div w:id="655229710">
      <w:bodyDiv w:val="1"/>
      <w:marLeft w:val="0"/>
      <w:marRight w:val="0"/>
      <w:marTop w:val="0"/>
      <w:marBottom w:val="0"/>
      <w:divBdr>
        <w:top w:val="none" w:sz="0" w:space="0" w:color="auto"/>
        <w:left w:val="none" w:sz="0" w:space="0" w:color="auto"/>
        <w:bottom w:val="none" w:sz="0" w:space="0" w:color="auto"/>
        <w:right w:val="none" w:sz="0" w:space="0" w:color="auto"/>
      </w:divBdr>
    </w:div>
    <w:div w:id="902714618">
      <w:bodyDiv w:val="1"/>
      <w:marLeft w:val="0"/>
      <w:marRight w:val="0"/>
      <w:marTop w:val="0"/>
      <w:marBottom w:val="0"/>
      <w:divBdr>
        <w:top w:val="none" w:sz="0" w:space="0" w:color="auto"/>
        <w:left w:val="none" w:sz="0" w:space="0" w:color="auto"/>
        <w:bottom w:val="none" w:sz="0" w:space="0" w:color="auto"/>
        <w:right w:val="none" w:sz="0" w:space="0" w:color="auto"/>
      </w:divBdr>
    </w:div>
    <w:div w:id="1412388315">
      <w:bodyDiv w:val="1"/>
      <w:marLeft w:val="0"/>
      <w:marRight w:val="0"/>
      <w:marTop w:val="0"/>
      <w:marBottom w:val="0"/>
      <w:divBdr>
        <w:top w:val="none" w:sz="0" w:space="0" w:color="auto"/>
        <w:left w:val="none" w:sz="0" w:space="0" w:color="auto"/>
        <w:bottom w:val="none" w:sz="0" w:space="0" w:color="auto"/>
        <w:right w:val="none" w:sz="0" w:space="0" w:color="auto"/>
      </w:divBdr>
    </w:div>
    <w:div w:id="1417705061">
      <w:bodyDiv w:val="1"/>
      <w:marLeft w:val="0"/>
      <w:marRight w:val="0"/>
      <w:marTop w:val="0"/>
      <w:marBottom w:val="0"/>
      <w:divBdr>
        <w:top w:val="none" w:sz="0" w:space="0" w:color="auto"/>
        <w:left w:val="none" w:sz="0" w:space="0" w:color="auto"/>
        <w:bottom w:val="none" w:sz="0" w:space="0" w:color="auto"/>
        <w:right w:val="none" w:sz="0" w:space="0" w:color="auto"/>
      </w:divBdr>
    </w:div>
    <w:div w:id="1501432263">
      <w:bodyDiv w:val="1"/>
      <w:marLeft w:val="0"/>
      <w:marRight w:val="0"/>
      <w:marTop w:val="0"/>
      <w:marBottom w:val="0"/>
      <w:divBdr>
        <w:top w:val="none" w:sz="0" w:space="0" w:color="auto"/>
        <w:left w:val="none" w:sz="0" w:space="0" w:color="auto"/>
        <w:bottom w:val="none" w:sz="0" w:space="0" w:color="auto"/>
        <w:right w:val="none" w:sz="0" w:space="0" w:color="auto"/>
      </w:divBdr>
    </w:div>
    <w:div w:id="2097362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h0054346" TargetMode="External"/><Relationship Id="rId13" Type="http://schemas.openxmlformats.org/officeDocument/2006/relationships/hyperlink" Target="https://hwb.gov.wales/api/storage/19bc948b-8a3f-41e0-944a-7bf2cadf7d18/professional-standards-for-teaching-and-leadership-interactive-pdf-for-pc.pd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legislation.gov.uk/ukpga/2010/15/contents" TargetMode="External"/><Relationship Id="rId12" Type="http://schemas.openxmlformats.org/officeDocument/2006/relationships/hyperlink" Target="https://atlp.org.uk/files/2023/01/BVS-KS2-Phase-Leader-JD-PS-Jan-23.pdf"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lp.education/the-benefits-of-peer-observation-in-teaching-learning-from-each-other/" TargetMode="External"/><Relationship Id="rId1" Type="http://schemas.openxmlformats.org/officeDocument/2006/relationships/styles" Target="styles.xml"/><Relationship Id="rId6" Type="http://schemas.openxmlformats.org/officeDocument/2006/relationships/hyperlink" Target="https://www.gov.uk/government/news/just-one-day-off-can-hamper-childrens-life-chances" TargetMode="External"/><Relationship Id="rId11" Type="http://schemas.openxmlformats.org/officeDocument/2006/relationships/hyperlink" Target="https://theeducationhub.org.nz/wp-content/uploads/2018/06/How-to-develop-high-expectations-teaching.pdf" TargetMode="External"/><Relationship Id="rId5" Type="http://schemas.openxmlformats.org/officeDocument/2006/relationships/endnotes" Target="endnotes.xml"/><Relationship Id="rId15" Type="http://schemas.openxmlformats.org/officeDocument/2006/relationships/hyperlink" Target="https://www.gov.wales/children-and-young-peoples-plan-html" TargetMode="External"/><Relationship Id="rId10" Type="http://schemas.openxmlformats.org/officeDocument/2006/relationships/hyperlink" Target="https://theeducationalliance.org.uk/wp-content/uploads/Recruitment-and-Selection-Policy.pdf"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legislation.gov.uk/ukpga/1974/53" TargetMode="External"/><Relationship Id="rId14" Type="http://schemas.openxmlformats.org/officeDocument/2006/relationships/hyperlink" Target="https://www.gov.wales/school-teachers-pay-and-conditions-wales-document-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1607</Words>
  <Characters>9160</Characters>
  <Application>Microsoft Office Word</Application>
  <DocSecurity>0</DocSecurity>
  <Lines>76</Lines>
  <Paragraphs>21</Paragraphs>
  <ScaleCrop>false</ScaleCrop>
  <Company/>
  <LinksUpToDate>false</LinksUpToDate>
  <CharactersWithSpaces>10746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Morgans (2316355)</dc:creator>
  <cp:keywords/>
  <dc:description/>
  <cp:lastModifiedBy>Ryan Morgans (2316355)</cp:lastModifiedBy>
  <cp:revision>1</cp:revision>
  <dcterms:created xsi:type="dcterms:W3CDTF">2024-11-30T17:41:00Z</dcterms:created>
  <dcterms:modified xsi:type="dcterms:W3CDTF">2024-11-30T17:47:00Z</dcterms:modified>
</cp:coreProperties>
</file>