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0F023" w14:textId="77777777" w:rsidR="00E064CA" w:rsidRPr="00975088" w:rsidRDefault="00E064CA" w:rsidP="00975088">
      <w:pPr>
        <w:spacing w:line="360" w:lineRule="auto"/>
        <w:jc w:val="both"/>
        <w:rPr>
          <w:rFonts w:ascii="Times New Roman" w:hAnsi="Times New Roman" w:cs="Times New Roman"/>
          <w:color w:val="000000" w:themeColor="text1"/>
          <w:sz w:val="24"/>
          <w:szCs w:val="24"/>
        </w:rPr>
      </w:pPr>
    </w:p>
    <w:p w14:paraId="51493DD7" w14:textId="77777777" w:rsidR="00E064CA" w:rsidRPr="00975088" w:rsidRDefault="00E064CA" w:rsidP="00975088">
      <w:pPr>
        <w:spacing w:line="360" w:lineRule="auto"/>
        <w:jc w:val="both"/>
        <w:rPr>
          <w:rFonts w:ascii="Times New Roman" w:hAnsi="Times New Roman" w:cs="Times New Roman"/>
          <w:color w:val="000000" w:themeColor="text1"/>
          <w:sz w:val="24"/>
          <w:szCs w:val="24"/>
        </w:rPr>
      </w:pPr>
    </w:p>
    <w:p w14:paraId="01D633C1" w14:textId="77777777" w:rsidR="00E064CA" w:rsidRPr="00975088" w:rsidRDefault="00E064CA" w:rsidP="00975088">
      <w:pPr>
        <w:spacing w:line="360" w:lineRule="auto"/>
        <w:jc w:val="both"/>
        <w:rPr>
          <w:rFonts w:ascii="Times New Roman" w:hAnsi="Times New Roman" w:cs="Times New Roman"/>
          <w:color w:val="000000" w:themeColor="text1"/>
          <w:sz w:val="24"/>
          <w:szCs w:val="24"/>
        </w:rPr>
      </w:pPr>
    </w:p>
    <w:p w14:paraId="118C3401" w14:textId="77777777" w:rsidR="00E064CA" w:rsidRPr="00975088" w:rsidRDefault="00E064CA" w:rsidP="00975088">
      <w:pPr>
        <w:spacing w:line="360" w:lineRule="auto"/>
        <w:jc w:val="both"/>
        <w:rPr>
          <w:rFonts w:ascii="Times New Roman" w:hAnsi="Times New Roman" w:cs="Times New Roman"/>
          <w:color w:val="000000" w:themeColor="text1"/>
          <w:sz w:val="24"/>
          <w:szCs w:val="24"/>
        </w:rPr>
      </w:pPr>
    </w:p>
    <w:p w14:paraId="4AB3C961" w14:textId="77777777" w:rsidR="00E064CA" w:rsidRPr="00975088" w:rsidRDefault="00E064CA" w:rsidP="00975088">
      <w:pPr>
        <w:spacing w:line="360" w:lineRule="auto"/>
        <w:jc w:val="both"/>
        <w:rPr>
          <w:rFonts w:ascii="Times New Roman" w:hAnsi="Times New Roman" w:cs="Times New Roman"/>
          <w:color w:val="000000" w:themeColor="text1"/>
          <w:sz w:val="24"/>
          <w:szCs w:val="24"/>
        </w:rPr>
      </w:pPr>
    </w:p>
    <w:p w14:paraId="6E4175DD" w14:textId="77777777" w:rsidR="00E064CA" w:rsidRDefault="00E064CA" w:rsidP="00975088">
      <w:pPr>
        <w:spacing w:line="360" w:lineRule="auto"/>
        <w:jc w:val="both"/>
        <w:rPr>
          <w:rFonts w:ascii="Times New Roman" w:hAnsi="Times New Roman" w:cs="Times New Roman"/>
          <w:color w:val="000000" w:themeColor="text1"/>
          <w:sz w:val="24"/>
          <w:szCs w:val="24"/>
        </w:rPr>
      </w:pPr>
    </w:p>
    <w:p w14:paraId="60538124" w14:textId="77777777" w:rsidR="00662200" w:rsidRPr="00975088" w:rsidRDefault="00662200" w:rsidP="00975088">
      <w:pPr>
        <w:spacing w:line="360" w:lineRule="auto"/>
        <w:jc w:val="both"/>
        <w:rPr>
          <w:rFonts w:ascii="Times New Roman" w:hAnsi="Times New Roman" w:cs="Times New Roman"/>
          <w:color w:val="000000" w:themeColor="text1"/>
          <w:sz w:val="24"/>
          <w:szCs w:val="24"/>
        </w:rPr>
      </w:pPr>
    </w:p>
    <w:p w14:paraId="0141F2DB" w14:textId="77777777" w:rsidR="00E064CA" w:rsidRPr="00AD783E" w:rsidRDefault="00E064CA" w:rsidP="00975088">
      <w:pPr>
        <w:spacing w:line="360" w:lineRule="auto"/>
        <w:jc w:val="both"/>
        <w:rPr>
          <w:rFonts w:ascii="Arial" w:hAnsi="Arial" w:cs="Arial"/>
          <w:color w:val="000000" w:themeColor="text1"/>
          <w:sz w:val="44"/>
          <w:szCs w:val="44"/>
        </w:rPr>
      </w:pPr>
    </w:p>
    <w:p w14:paraId="5A0E7673" w14:textId="77777777" w:rsidR="00DF3887" w:rsidRDefault="00CF6ECD" w:rsidP="00975088">
      <w:pPr>
        <w:spacing w:line="360" w:lineRule="auto"/>
        <w:jc w:val="center"/>
        <w:rPr>
          <w:rFonts w:ascii="Arial" w:hAnsi="Arial" w:cs="Arial"/>
          <w:b/>
          <w:color w:val="000000" w:themeColor="text1"/>
          <w:sz w:val="44"/>
          <w:szCs w:val="44"/>
        </w:rPr>
      </w:pPr>
      <w:r w:rsidRPr="00AD783E">
        <w:rPr>
          <w:rFonts w:ascii="Arial" w:hAnsi="Arial" w:cs="Arial"/>
          <w:b/>
          <w:color w:val="000000" w:themeColor="text1"/>
          <w:sz w:val="44"/>
          <w:szCs w:val="44"/>
        </w:rPr>
        <w:t>International Financial Management</w:t>
      </w:r>
    </w:p>
    <w:p w14:paraId="38315492" w14:textId="16EE1ACC" w:rsidR="00AD783E" w:rsidRDefault="00AD783E" w:rsidP="00975088">
      <w:pPr>
        <w:spacing w:line="360" w:lineRule="auto"/>
        <w:jc w:val="center"/>
        <w:rPr>
          <w:rFonts w:ascii="Arial" w:hAnsi="Arial" w:cs="Arial"/>
          <w:b/>
          <w:color w:val="000000" w:themeColor="text1"/>
          <w:sz w:val="44"/>
          <w:szCs w:val="44"/>
        </w:rPr>
      </w:pPr>
      <w:r w:rsidRPr="00AD783E">
        <w:rPr>
          <w:rFonts w:ascii="Arial" w:hAnsi="Arial" w:cs="Arial"/>
          <w:b/>
          <w:color w:val="000000" w:themeColor="text1"/>
          <w:sz w:val="44"/>
          <w:szCs w:val="44"/>
        </w:rPr>
        <w:t>LCBB6002</w:t>
      </w:r>
    </w:p>
    <w:p w14:paraId="065213B9" w14:textId="405CAEB2" w:rsidR="0018735A" w:rsidRDefault="0018735A" w:rsidP="00975088">
      <w:pPr>
        <w:spacing w:line="360" w:lineRule="auto"/>
        <w:jc w:val="center"/>
        <w:rPr>
          <w:rFonts w:ascii="Arial" w:hAnsi="Arial" w:cs="Arial"/>
          <w:b/>
          <w:color w:val="000000" w:themeColor="text1"/>
          <w:sz w:val="44"/>
          <w:szCs w:val="44"/>
        </w:rPr>
      </w:pPr>
      <w:r w:rsidRPr="0018735A">
        <w:rPr>
          <w:rFonts w:ascii="Arial" w:hAnsi="Arial" w:cs="Arial"/>
          <w:b/>
          <w:color w:val="000000" w:themeColor="text1"/>
          <w:sz w:val="44"/>
          <w:szCs w:val="44"/>
        </w:rPr>
        <w:t>Component 1</w:t>
      </w:r>
    </w:p>
    <w:p w14:paraId="1CF039B9" w14:textId="77777777" w:rsidR="0018735A" w:rsidRDefault="0018735A" w:rsidP="0018735A">
      <w:pPr>
        <w:spacing w:line="360" w:lineRule="auto"/>
        <w:rPr>
          <w:rFonts w:ascii="Arial" w:hAnsi="Arial" w:cs="Arial"/>
          <w:b/>
          <w:color w:val="000000" w:themeColor="text1"/>
          <w:sz w:val="44"/>
          <w:szCs w:val="44"/>
        </w:rPr>
      </w:pPr>
    </w:p>
    <w:p w14:paraId="0E4700F2" w14:textId="77777777" w:rsidR="0018735A" w:rsidRDefault="0018735A" w:rsidP="0018735A">
      <w:pPr>
        <w:spacing w:line="360" w:lineRule="auto"/>
        <w:rPr>
          <w:rFonts w:ascii="Arial" w:hAnsi="Arial" w:cs="Arial"/>
          <w:b/>
          <w:color w:val="000000" w:themeColor="text1"/>
          <w:sz w:val="44"/>
          <w:szCs w:val="44"/>
        </w:rPr>
      </w:pPr>
    </w:p>
    <w:p w14:paraId="6BB36FC7" w14:textId="77777777" w:rsidR="0018735A" w:rsidRDefault="0018735A" w:rsidP="0018735A">
      <w:pPr>
        <w:spacing w:line="360" w:lineRule="auto"/>
        <w:rPr>
          <w:rFonts w:ascii="Arial" w:hAnsi="Arial" w:cs="Arial"/>
          <w:b/>
          <w:color w:val="000000" w:themeColor="text1"/>
          <w:sz w:val="44"/>
          <w:szCs w:val="44"/>
        </w:rPr>
      </w:pPr>
    </w:p>
    <w:p w14:paraId="16AC18EA" w14:textId="04F73346" w:rsidR="0018735A" w:rsidRPr="0018735A" w:rsidRDefault="0018735A" w:rsidP="00975088">
      <w:pPr>
        <w:spacing w:line="360" w:lineRule="auto"/>
        <w:jc w:val="center"/>
        <w:rPr>
          <w:rFonts w:ascii="Arial" w:hAnsi="Arial" w:cs="Arial"/>
          <w:b/>
          <w:color w:val="000000" w:themeColor="text1"/>
          <w:sz w:val="36"/>
          <w:szCs w:val="36"/>
        </w:rPr>
      </w:pPr>
      <w:r w:rsidRPr="0018735A">
        <w:rPr>
          <w:rFonts w:ascii="Arial" w:hAnsi="Arial" w:cs="Arial"/>
          <w:b/>
          <w:color w:val="000000" w:themeColor="text1"/>
          <w:sz w:val="36"/>
          <w:szCs w:val="36"/>
        </w:rPr>
        <w:t>Karolina Kwiecien</w:t>
      </w:r>
    </w:p>
    <w:p w14:paraId="6EA960EB" w14:textId="2A50AFB0" w:rsidR="0018735A" w:rsidRPr="0018735A" w:rsidRDefault="0018735A" w:rsidP="00975088">
      <w:pPr>
        <w:spacing w:line="360" w:lineRule="auto"/>
        <w:jc w:val="center"/>
        <w:rPr>
          <w:rFonts w:ascii="Arial" w:hAnsi="Arial" w:cs="Arial"/>
          <w:b/>
          <w:color w:val="000000" w:themeColor="text1"/>
          <w:sz w:val="36"/>
          <w:szCs w:val="36"/>
        </w:rPr>
      </w:pPr>
      <w:r w:rsidRPr="0018735A">
        <w:rPr>
          <w:rFonts w:ascii="Arial" w:hAnsi="Arial" w:cs="Arial"/>
          <w:b/>
          <w:color w:val="000000" w:themeColor="text1"/>
          <w:sz w:val="36"/>
          <w:szCs w:val="36"/>
        </w:rPr>
        <w:t>2113036</w:t>
      </w:r>
    </w:p>
    <w:p w14:paraId="77E31123" w14:textId="7DD09D60" w:rsidR="00DF3887" w:rsidRPr="00303AC9" w:rsidRDefault="0018735A" w:rsidP="00303AC9">
      <w:pPr>
        <w:spacing w:line="360" w:lineRule="auto"/>
        <w:jc w:val="center"/>
        <w:rPr>
          <w:rFonts w:ascii="Arial" w:hAnsi="Arial" w:cs="Arial"/>
          <w:b/>
          <w:color w:val="000000" w:themeColor="text1"/>
          <w:sz w:val="36"/>
          <w:szCs w:val="36"/>
        </w:rPr>
      </w:pPr>
      <w:r w:rsidRPr="0018735A">
        <w:rPr>
          <w:rFonts w:ascii="Arial" w:hAnsi="Arial" w:cs="Arial"/>
          <w:b/>
          <w:color w:val="000000" w:themeColor="text1"/>
          <w:sz w:val="36"/>
          <w:szCs w:val="36"/>
        </w:rPr>
        <w:t>02/01/2024</w:t>
      </w:r>
    </w:p>
    <w:sdt>
      <w:sdtPr>
        <w:rPr>
          <w:rFonts w:ascii="Arial" w:eastAsiaTheme="minorHAnsi" w:hAnsi="Arial" w:cs="Arial"/>
          <w:color w:val="auto"/>
          <w:sz w:val="24"/>
          <w:szCs w:val="24"/>
          <w:lang w:val="en-GB"/>
        </w:rPr>
        <w:id w:val="9580955"/>
        <w:docPartObj>
          <w:docPartGallery w:val="Table of Contents"/>
          <w:docPartUnique/>
        </w:docPartObj>
      </w:sdtPr>
      <w:sdtEndPr>
        <w:rPr>
          <w:b/>
          <w:bCs/>
          <w:noProof/>
        </w:rPr>
      </w:sdtEndPr>
      <w:sdtContent>
        <w:p w14:paraId="5D155E94" w14:textId="77777777" w:rsidR="00975088" w:rsidRPr="00AD783E" w:rsidRDefault="00975088" w:rsidP="00975088">
          <w:pPr>
            <w:pStyle w:val="TOCHeading"/>
            <w:spacing w:line="360" w:lineRule="auto"/>
            <w:jc w:val="both"/>
            <w:rPr>
              <w:rFonts w:ascii="Arial" w:hAnsi="Arial" w:cs="Arial"/>
              <w:sz w:val="24"/>
              <w:szCs w:val="24"/>
            </w:rPr>
          </w:pPr>
          <w:r w:rsidRPr="00AD783E">
            <w:rPr>
              <w:rFonts w:ascii="Arial" w:hAnsi="Arial" w:cs="Arial"/>
              <w:sz w:val="24"/>
              <w:szCs w:val="24"/>
            </w:rPr>
            <w:t>Table of Contents</w:t>
          </w:r>
        </w:p>
        <w:p w14:paraId="17DA3F24" w14:textId="4DF50AC7" w:rsidR="00975088" w:rsidRPr="00AD783E" w:rsidRDefault="00975088" w:rsidP="00975088">
          <w:pPr>
            <w:pStyle w:val="TOC1"/>
            <w:tabs>
              <w:tab w:val="right" w:leader="dot" w:pos="9350"/>
            </w:tabs>
            <w:spacing w:line="360" w:lineRule="auto"/>
            <w:jc w:val="both"/>
            <w:rPr>
              <w:rFonts w:ascii="Arial" w:hAnsi="Arial" w:cs="Arial"/>
              <w:noProof/>
              <w:sz w:val="24"/>
              <w:szCs w:val="24"/>
            </w:rPr>
          </w:pPr>
          <w:r w:rsidRPr="00AD783E">
            <w:rPr>
              <w:rFonts w:ascii="Arial" w:hAnsi="Arial" w:cs="Arial"/>
              <w:sz w:val="24"/>
              <w:szCs w:val="24"/>
            </w:rPr>
            <w:fldChar w:fldCharType="begin"/>
          </w:r>
          <w:r w:rsidRPr="00AD783E">
            <w:rPr>
              <w:rFonts w:ascii="Arial" w:hAnsi="Arial" w:cs="Arial"/>
              <w:sz w:val="24"/>
              <w:szCs w:val="24"/>
            </w:rPr>
            <w:instrText xml:space="preserve"> TOC \o "1-3" \h \z \u </w:instrText>
          </w:r>
          <w:r w:rsidRPr="00AD783E">
            <w:rPr>
              <w:rFonts w:ascii="Arial" w:hAnsi="Arial" w:cs="Arial"/>
              <w:sz w:val="24"/>
              <w:szCs w:val="24"/>
            </w:rPr>
            <w:fldChar w:fldCharType="separate"/>
          </w:r>
          <w:hyperlink w:anchor="_Toc154356405" w:history="1">
            <w:r w:rsidRPr="00AD783E">
              <w:rPr>
                <w:rStyle w:val="Hyperlink"/>
                <w:rFonts w:ascii="Arial" w:hAnsi="Arial" w:cs="Arial"/>
                <w:noProof/>
                <w:sz w:val="24"/>
                <w:szCs w:val="24"/>
              </w:rPr>
              <w:t>Introduction</w:t>
            </w:r>
            <w:r w:rsidRPr="00AD783E">
              <w:rPr>
                <w:rFonts w:ascii="Arial" w:hAnsi="Arial" w:cs="Arial"/>
                <w:noProof/>
                <w:webHidden/>
                <w:sz w:val="24"/>
                <w:szCs w:val="24"/>
              </w:rPr>
              <w:tab/>
            </w:r>
            <w:r w:rsidRPr="00AD783E">
              <w:rPr>
                <w:rFonts w:ascii="Arial" w:hAnsi="Arial" w:cs="Arial"/>
                <w:noProof/>
                <w:webHidden/>
                <w:sz w:val="24"/>
                <w:szCs w:val="24"/>
              </w:rPr>
              <w:fldChar w:fldCharType="begin"/>
            </w:r>
            <w:r w:rsidRPr="00AD783E">
              <w:rPr>
                <w:rFonts w:ascii="Arial" w:hAnsi="Arial" w:cs="Arial"/>
                <w:noProof/>
                <w:webHidden/>
                <w:sz w:val="24"/>
                <w:szCs w:val="24"/>
              </w:rPr>
              <w:instrText xml:space="preserve"> PAGEREF _Toc154356405 \h </w:instrText>
            </w:r>
            <w:r w:rsidRPr="00AD783E">
              <w:rPr>
                <w:rFonts w:ascii="Arial" w:hAnsi="Arial" w:cs="Arial"/>
                <w:noProof/>
                <w:webHidden/>
                <w:sz w:val="24"/>
                <w:szCs w:val="24"/>
              </w:rPr>
            </w:r>
            <w:r w:rsidRPr="00AD783E">
              <w:rPr>
                <w:rFonts w:ascii="Arial" w:hAnsi="Arial" w:cs="Arial"/>
                <w:noProof/>
                <w:webHidden/>
                <w:sz w:val="24"/>
                <w:szCs w:val="24"/>
              </w:rPr>
              <w:fldChar w:fldCharType="separate"/>
            </w:r>
            <w:r w:rsidR="00303AC9">
              <w:rPr>
                <w:rFonts w:ascii="Arial" w:hAnsi="Arial" w:cs="Arial"/>
                <w:noProof/>
                <w:webHidden/>
                <w:sz w:val="24"/>
                <w:szCs w:val="24"/>
              </w:rPr>
              <w:t>3</w:t>
            </w:r>
            <w:r w:rsidRPr="00AD783E">
              <w:rPr>
                <w:rFonts w:ascii="Arial" w:hAnsi="Arial" w:cs="Arial"/>
                <w:noProof/>
                <w:webHidden/>
                <w:sz w:val="24"/>
                <w:szCs w:val="24"/>
              </w:rPr>
              <w:fldChar w:fldCharType="end"/>
            </w:r>
          </w:hyperlink>
        </w:p>
        <w:p w14:paraId="2AB506B8" w14:textId="5B7AADC9" w:rsidR="00975088" w:rsidRPr="00AD783E" w:rsidRDefault="00E61748" w:rsidP="00975088">
          <w:pPr>
            <w:pStyle w:val="TOC1"/>
            <w:tabs>
              <w:tab w:val="right" w:leader="dot" w:pos="9350"/>
            </w:tabs>
            <w:spacing w:line="360" w:lineRule="auto"/>
            <w:jc w:val="both"/>
            <w:rPr>
              <w:rFonts w:ascii="Arial" w:hAnsi="Arial" w:cs="Arial"/>
              <w:noProof/>
              <w:sz w:val="24"/>
              <w:szCs w:val="24"/>
            </w:rPr>
          </w:pPr>
          <w:hyperlink w:anchor="_Toc154356406" w:history="1">
            <w:r w:rsidR="00975088" w:rsidRPr="00AD783E">
              <w:rPr>
                <w:rStyle w:val="Hyperlink"/>
                <w:rFonts w:ascii="Arial" w:hAnsi="Arial" w:cs="Arial"/>
                <w:noProof/>
                <w:sz w:val="24"/>
                <w:szCs w:val="24"/>
              </w:rPr>
              <w:t>Foreign exchange risks</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_Toc154356406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4</w:t>
            </w:r>
            <w:r w:rsidR="00975088" w:rsidRPr="00AD783E">
              <w:rPr>
                <w:rFonts w:ascii="Arial" w:hAnsi="Arial" w:cs="Arial"/>
                <w:noProof/>
                <w:webHidden/>
                <w:sz w:val="24"/>
                <w:szCs w:val="24"/>
              </w:rPr>
              <w:fldChar w:fldCharType="end"/>
            </w:r>
          </w:hyperlink>
        </w:p>
        <w:p w14:paraId="7DCF94FC" w14:textId="6A372B29" w:rsidR="00975088" w:rsidRPr="00AD783E" w:rsidRDefault="00E61748" w:rsidP="00975088">
          <w:pPr>
            <w:pStyle w:val="TOC1"/>
            <w:tabs>
              <w:tab w:val="right" w:leader="dot" w:pos="9350"/>
            </w:tabs>
            <w:spacing w:line="360" w:lineRule="auto"/>
            <w:jc w:val="both"/>
            <w:rPr>
              <w:rFonts w:ascii="Arial" w:hAnsi="Arial" w:cs="Arial"/>
              <w:noProof/>
              <w:sz w:val="24"/>
              <w:szCs w:val="24"/>
            </w:rPr>
          </w:pPr>
          <w:hyperlink w:anchor="_Toc154356407" w:history="1">
            <w:r w:rsidR="00975088" w:rsidRPr="00AD783E">
              <w:rPr>
                <w:rStyle w:val="Hyperlink"/>
                <w:rFonts w:ascii="Arial" w:hAnsi="Arial" w:cs="Arial"/>
                <w:noProof/>
                <w:sz w:val="24"/>
                <w:szCs w:val="24"/>
              </w:rPr>
              <w:t>Strategies adopted by MNCs</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_Toc154356407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5</w:t>
            </w:r>
            <w:r w:rsidR="00975088" w:rsidRPr="00AD783E">
              <w:rPr>
                <w:rFonts w:ascii="Arial" w:hAnsi="Arial" w:cs="Arial"/>
                <w:noProof/>
                <w:webHidden/>
                <w:sz w:val="24"/>
                <w:szCs w:val="24"/>
              </w:rPr>
              <w:fldChar w:fldCharType="end"/>
            </w:r>
          </w:hyperlink>
        </w:p>
        <w:p w14:paraId="1F938714" w14:textId="1D70DC39"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08" w:history="1">
            <w:r w:rsidR="00975088" w:rsidRPr="00AD783E">
              <w:rPr>
                <w:rStyle w:val="Hyperlink"/>
                <w:rFonts w:ascii="Arial" w:hAnsi="Arial" w:cs="Arial"/>
                <w:noProof/>
                <w:sz w:val="24"/>
                <w:szCs w:val="24"/>
              </w:rPr>
              <w:t>Hedging strategies</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_Toc154356408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5</w:t>
            </w:r>
            <w:r w:rsidR="00975088" w:rsidRPr="00AD783E">
              <w:rPr>
                <w:rFonts w:ascii="Arial" w:hAnsi="Arial" w:cs="Arial"/>
                <w:noProof/>
                <w:webHidden/>
                <w:sz w:val="24"/>
                <w:szCs w:val="24"/>
              </w:rPr>
              <w:fldChar w:fldCharType="end"/>
            </w:r>
          </w:hyperlink>
        </w:p>
        <w:p w14:paraId="79B1C3BC" w14:textId="3849544A"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09" w:history="1">
            <w:r w:rsidR="00975088" w:rsidRPr="00AD783E">
              <w:rPr>
                <w:rStyle w:val="Hyperlink"/>
                <w:rFonts w:ascii="Arial" w:eastAsia="Times New Roman" w:hAnsi="Arial" w:cs="Arial"/>
                <w:noProof/>
                <w:sz w:val="24"/>
                <w:szCs w:val="24"/>
                <w:lang w:val="en-US"/>
              </w:rPr>
              <w:t>Diversification</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_Toc154356409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6</w:t>
            </w:r>
            <w:r w:rsidR="00975088" w:rsidRPr="00AD783E">
              <w:rPr>
                <w:rFonts w:ascii="Arial" w:hAnsi="Arial" w:cs="Arial"/>
                <w:noProof/>
                <w:webHidden/>
                <w:sz w:val="24"/>
                <w:szCs w:val="24"/>
              </w:rPr>
              <w:fldChar w:fldCharType="end"/>
            </w:r>
          </w:hyperlink>
        </w:p>
        <w:p w14:paraId="33AEE95A" w14:textId="42990663"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10" w:history="1">
            <w:r w:rsidR="00975088" w:rsidRPr="00AD783E">
              <w:rPr>
                <w:rStyle w:val="Hyperlink"/>
                <w:rFonts w:ascii="Arial" w:eastAsia="Times New Roman" w:hAnsi="Arial" w:cs="Arial"/>
                <w:noProof/>
                <w:sz w:val="24"/>
                <w:szCs w:val="24"/>
                <w:lang w:val="en-US"/>
              </w:rPr>
              <w:t>Sharing currency risk</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_Toc154356410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7</w:t>
            </w:r>
            <w:r w:rsidR="00975088" w:rsidRPr="00AD783E">
              <w:rPr>
                <w:rFonts w:ascii="Arial" w:hAnsi="Arial" w:cs="Arial"/>
                <w:noProof/>
                <w:webHidden/>
                <w:sz w:val="24"/>
                <w:szCs w:val="24"/>
              </w:rPr>
              <w:fldChar w:fldCharType="end"/>
            </w:r>
          </w:hyperlink>
        </w:p>
        <w:p w14:paraId="583AE475" w14:textId="1629BEF3"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11" w:history="1">
            <w:r w:rsidR="00975088" w:rsidRPr="00AD783E">
              <w:rPr>
                <w:rStyle w:val="Hyperlink"/>
                <w:rFonts w:ascii="Arial" w:eastAsia="Times New Roman" w:hAnsi="Arial" w:cs="Arial"/>
                <w:noProof/>
                <w:sz w:val="24"/>
                <w:szCs w:val="24"/>
                <w:lang w:val="en-US"/>
              </w:rPr>
              <w:t>Netting</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_Toc154356411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7</w:t>
            </w:r>
            <w:r w:rsidR="00975088" w:rsidRPr="00AD783E">
              <w:rPr>
                <w:rFonts w:ascii="Arial" w:hAnsi="Arial" w:cs="Arial"/>
                <w:noProof/>
                <w:webHidden/>
                <w:sz w:val="24"/>
                <w:szCs w:val="24"/>
              </w:rPr>
              <w:fldChar w:fldCharType="end"/>
            </w:r>
          </w:hyperlink>
        </w:p>
        <w:p w14:paraId="665B3046" w14:textId="01336F95"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12" w:history="1">
            <w:r w:rsidR="00975088" w:rsidRPr="00AD783E">
              <w:rPr>
                <w:rStyle w:val="Hyperlink"/>
                <w:rFonts w:ascii="Arial" w:eastAsia="Times New Roman" w:hAnsi="Arial" w:cs="Arial"/>
                <w:noProof/>
                <w:sz w:val="24"/>
                <w:szCs w:val="24"/>
                <w:lang w:val="en-US"/>
              </w:rPr>
              <w:t>Matching</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_Toc154356412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7</w:t>
            </w:r>
            <w:r w:rsidR="00975088" w:rsidRPr="00AD783E">
              <w:rPr>
                <w:rFonts w:ascii="Arial" w:hAnsi="Arial" w:cs="Arial"/>
                <w:noProof/>
                <w:webHidden/>
                <w:sz w:val="24"/>
                <w:szCs w:val="24"/>
              </w:rPr>
              <w:fldChar w:fldCharType="end"/>
            </w:r>
          </w:hyperlink>
        </w:p>
        <w:p w14:paraId="5357CA1D" w14:textId="51ADE4FF" w:rsidR="00975088" w:rsidRPr="00AD783E" w:rsidRDefault="00E61748" w:rsidP="00AF3991">
          <w:pPr>
            <w:pStyle w:val="TOC1"/>
            <w:tabs>
              <w:tab w:val="right" w:leader="dot" w:pos="9350"/>
            </w:tabs>
            <w:spacing w:line="360" w:lineRule="auto"/>
            <w:ind w:left="720"/>
            <w:jc w:val="both"/>
            <w:rPr>
              <w:rFonts w:ascii="Arial" w:hAnsi="Arial" w:cs="Arial"/>
              <w:noProof/>
              <w:sz w:val="24"/>
              <w:szCs w:val="24"/>
            </w:rPr>
          </w:pPr>
          <w:hyperlink w:anchor="_Toc154356413" w:history="1">
            <w:r w:rsidR="00975088" w:rsidRPr="00AD783E">
              <w:rPr>
                <w:rStyle w:val="Hyperlink"/>
                <w:rFonts w:ascii="Arial" w:eastAsia="Times New Roman" w:hAnsi="Arial" w:cs="Arial"/>
                <w:noProof/>
                <w:sz w:val="24"/>
                <w:szCs w:val="24"/>
                <w:lang w:val="en-US"/>
              </w:rPr>
              <w:t>Natural hedging</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_Toc154356413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8</w:t>
            </w:r>
            <w:r w:rsidR="00975088" w:rsidRPr="00AD783E">
              <w:rPr>
                <w:rFonts w:ascii="Arial" w:hAnsi="Arial" w:cs="Arial"/>
                <w:noProof/>
                <w:webHidden/>
                <w:sz w:val="24"/>
                <w:szCs w:val="24"/>
              </w:rPr>
              <w:fldChar w:fldCharType="end"/>
            </w:r>
          </w:hyperlink>
        </w:p>
        <w:p w14:paraId="69F1AED2" w14:textId="4F844AF1" w:rsidR="00975088" w:rsidRPr="00AD783E" w:rsidRDefault="00E61748" w:rsidP="00975088">
          <w:pPr>
            <w:pStyle w:val="TOC1"/>
            <w:tabs>
              <w:tab w:val="right" w:leader="dot" w:pos="9350"/>
            </w:tabs>
            <w:spacing w:line="360" w:lineRule="auto"/>
            <w:jc w:val="both"/>
            <w:rPr>
              <w:rFonts w:ascii="Arial" w:hAnsi="Arial" w:cs="Arial"/>
              <w:noProof/>
              <w:sz w:val="24"/>
              <w:szCs w:val="24"/>
            </w:rPr>
          </w:pPr>
          <w:hyperlink w:anchor="_Toc154356414" w:history="1">
            <w:r w:rsidR="00975088" w:rsidRPr="00AD783E">
              <w:rPr>
                <w:rStyle w:val="Hyperlink"/>
                <w:rFonts w:ascii="Arial" w:eastAsia="Times New Roman" w:hAnsi="Arial" w:cs="Arial"/>
                <w:noProof/>
                <w:sz w:val="24"/>
                <w:szCs w:val="24"/>
                <w:lang w:val="en-US"/>
              </w:rPr>
              <w:t>Conclusion</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_Toc154356414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8</w:t>
            </w:r>
            <w:r w:rsidR="00975088" w:rsidRPr="00AD783E">
              <w:rPr>
                <w:rFonts w:ascii="Arial" w:hAnsi="Arial" w:cs="Arial"/>
                <w:noProof/>
                <w:webHidden/>
                <w:sz w:val="24"/>
                <w:szCs w:val="24"/>
              </w:rPr>
              <w:fldChar w:fldCharType="end"/>
            </w:r>
          </w:hyperlink>
        </w:p>
        <w:p w14:paraId="77CCAAE4" w14:textId="39E9A449" w:rsidR="00975088" w:rsidRPr="00AD783E" w:rsidRDefault="00E61748" w:rsidP="00975088">
          <w:pPr>
            <w:pStyle w:val="TOC1"/>
            <w:tabs>
              <w:tab w:val="right" w:leader="dot" w:pos="9350"/>
            </w:tabs>
            <w:spacing w:line="360" w:lineRule="auto"/>
            <w:jc w:val="both"/>
            <w:rPr>
              <w:rFonts w:ascii="Arial" w:hAnsi="Arial" w:cs="Arial"/>
              <w:noProof/>
              <w:sz w:val="24"/>
              <w:szCs w:val="24"/>
            </w:rPr>
          </w:pPr>
          <w:hyperlink w:anchor="_Toc154356415" w:history="1">
            <w:r w:rsidR="00975088" w:rsidRPr="00AD783E">
              <w:rPr>
                <w:rStyle w:val="Hyperlink"/>
                <w:rFonts w:ascii="Arial" w:hAnsi="Arial" w:cs="Arial"/>
                <w:noProof/>
                <w:sz w:val="24"/>
                <w:szCs w:val="24"/>
              </w:rPr>
              <w:t>References</w:t>
            </w:r>
            <w:r w:rsidR="00975088" w:rsidRPr="00AD783E">
              <w:rPr>
                <w:rFonts w:ascii="Arial" w:hAnsi="Arial" w:cs="Arial"/>
                <w:noProof/>
                <w:webHidden/>
                <w:sz w:val="24"/>
                <w:szCs w:val="24"/>
              </w:rPr>
              <w:tab/>
            </w:r>
            <w:r w:rsidR="00975088" w:rsidRPr="00AD783E">
              <w:rPr>
                <w:rFonts w:ascii="Arial" w:hAnsi="Arial" w:cs="Arial"/>
                <w:noProof/>
                <w:webHidden/>
                <w:sz w:val="24"/>
                <w:szCs w:val="24"/>
              </w:rPr>
              <w:fldChar w:fldCharType="begin"/>
            </w:r>
            <w:r w:rsidR="00975088" w:rsidRPr="00AD783E">
              <w:rPr>
                <w:rFonts w:ascii="Arial" w:hAnsi="Arial" w:cs="Arial"/>
                <w:noProof/>
                <w:webHidden/>
                <w:sz w:val="24"/>
                <w:szCs w:val="24"/>
              </w:rPr>
              <w:instrText xml:space="preserve"> PAGEREF _Toc154356415 \h </w:instrText>
            </w:r>
            <w:r w:rsidR="00975088" w:rsidRPr="00AD783E">
              <w:rPr>
                <w:rFonts w:ascii="Arial" w:hAnsi="Arial" w:cs="Arial"/>
                <w:noProof/>
                <w:webHidden/>
                <w:sz w:val="24"/>
                <w:szCs w:val="24"/>
              </w:rPr>
            </w:r>
            <w:r w:rsidR="00975088" w:rsidRPr="00AD783E">
              <w:rPr>
                <w:rFonts w:ascii="Arial" w:hAnsi="Arial" w:cs="Arial"/>
                <w:noProof/>
                <w:webHidden/>
                <w:sz w:val="24"/>
                <w:szCs w:val="24"/>
              </w:rPr>
              <w:fldChar w:fldCharType="separate"/>
            </w:r>
            <w:r w:rsidR="00303AC9">
              <w:rPr>
                <w:rFonts w:ascii="Arial" w:hAnsi="Arial" w:cs="Arial"/>
                <w:noProof/>
                <w:webHidden/>
                <w:sz w:val="24"/>
                <w:szCs w:val="24"/>
              </w:rPr>
              <w:t>9</w:t>
            </w:r>
            <w:r w:rsidR="00975088" w:rsidRPr="00AD783E">
              <w:rPr>
                <w:rFonts w:ascii="Arial" w:hAnsi="Arial" w:cs="Arial"/>
                <w:noProof/>
                <w:webHidden/>
                <w:sz w:val="24"/>
                <w:szCs w:val="24"/>
              </w:rPr>
              <w:fldChar w:fldCharType="end"/>
            </w:r>
          </w:hyperlink>
        </w:p>
        <w:p w14:paraId="01C4EFA8" w14:textId="77777777" w:rsidR="00975088" w:rsidRPr="00AD783E" w:rsidRDefault="00975088" w:rsidP="00975088">
          <w:pPr>
            <w:spacing w:line="360" w:lineRule="auto"/>
            <w:jc w:val="both"/>
            <w:rPr>
              <w:rFonts w:ascii="Arial" w:hAnsi="Arial" w:cs="Arial"/>
              <w:sz w:val="24"/>
              <w:szCs w:val="24"/>
            </w:rPr>
          </w:pPr>
          <w:r w:rsidRPr="00AD783E">
            <w:rPr>
              <w:rFonts w:ascii="Arial" w:hAnsi="Arial" w:cs="Arial"/>
              <w:b/>
              <w:bCs/>
              <w:noProof/>
              <w:sz w:val="24"/>
              <w:szCs w:val="24"/>
            </w:rPr>
            <w:fldChar w:fldCharType="end"/>
          </w:r>
        </w:p>
      </w:sdtContent>
    </w:sdt>
    <w:p w14:paraId="7B2AB933" w14:textId="77777777" w:rsidR="00975088" w:rsidRPr="00AD783E" w:rsidRDefault="00975088"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br w:type="page"/>
      </w:r>
    </w:p>
    <w:p w14:paraId="310FCA13" w14:textId="77777777" w:rsidR="00E61748" w:rsidRPr="00AD783E" w:rsidRDefault="00DF3887" w:rsidP="00975088">
      <w:pPr>
        <w:pStyle w:val="Heading1"/>
        <w:spacing w:line="360" w:lineRule="auto"/>
        <w:jc w:val="both"/>
        <w:rPr>
          <w:rFonts w:ascii="Arial" w:hAnsi="Arial" w:cs="Arial"/>
          <w:sz w:val="24"/>
          <w:szCs w:val="24"/>
        </w:rPr>
      </w:pPr>
      <w:bookmarkStart w:id="0" w:name="_Toc154356405"/>
      <w:r w:rsidRPr="00AD783E">
        <w:rPr>
          <w:rFonts w:ascii="Arial" w:hAnsi="Arial" w:cs="Arial"/>
          <w:sz w:val="24"/>
          <w:szCs w:val="24"/>
        </w:rPr>
        <w:lastRenderedPageBreak/>
        <w:t>Introduction</w:t>
      </w:r>
      <w:bookmarkEnd w:id="0"/>
    </w:p>
    <w:p w14:paraId="45C7FEB6" w14:textId="77777777" w:rsidR="00DF3887" w:rsidRPr="00AD783E" w:rsidRDefault="00B70001"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t>International financial management (IFM) can be defined as the strategic management of financial activities across national borders</w:t>
      </w:r>
      <w:r w:rsidR="00310EDE" w:rsidRPr="00AD783E">
        <w:rPr>
          <w:rFonts w:ascii="Arial" w:hAnsi="Arial" w:cs="Arial"/>
          <w:color w:val="000000" w:themeColor="text1"/>
          <w:sz w:val="24"/>
          <w:szCs w:val="24"/>
        </w:rPr>
        <w:t xml:space="preserve"> (</w:t>
      </w:r>
      <w:r w:rsidR="00310EDE" w:rsidRPr="00AD783E">
        <w:rPr>
          <w:rFonts w:ascii="Arial" w:hAnsi="Arial" w:cs="Arial"/>
          <w:color w:val="222222"/>
          <w:sz w:val="24"/>
          <w:szCs w:val="24"/>
          <w:shd w:val="clear" w:color="auto" w:fill="FFFFFF"/>
        </w:rPr>
        <w:t>Ayadi et al., 2022</w:t>
      </w:r>
      <w:r w:rsidR="00310EDE" w:rsidRPr="00AD783E">
        <w:rPr>
          <w:rFonts w:ascii="Arial" w:hAnsi="Arial" w:cs="Arial"/>
          <w:color w:val="000000" w:themeColor="text1"/>
          <w:sz w:val="24"/>
          <w:szCs w:val="24"/>
        </w:rPr>
        <w:t>)</w:t>
      </w:r>
      <w:r w:rsidRPr="00AD783E">
        <w:rPr>
          <w:rFonts w:ascii="Arial" w:hAnsi="Arial" w:cs="Arial"/>
          <w:color w:val="000000" w:themeColor="text1"/>
          <w:sz w:val="24"/>
          <w:szCs w:val="24"/>
        </w:rPr>
        <w:t xml:space="preserve">. The companies that operates business in multiple countries across national borders are called multinational corporations (MNCs) which frequently face challenges regarding the management of foreign exchange risks. </w:t>
      </w:r>
      <w:r w:rsidR="00EF304D" w:rsidRPr="00AD783E">
        <w:rPr>
          <w:rFonts w:ascii="Arial" w:hAnsi="Arial" w:cs="Arial"/>
          <w:color w:val="000000" w:themeColor="text1"/>
          <w:sz w:val="24"/>
          <w:szCs w:val="24"/>
        </w:rPr>
        <w:t>The fluctuation occurs in the exchange rate of foreign currency results in the occurrence</w:t>
      </w:r>
      <w:r w:rsidR="006241B0" w:rsidRPr="00AD783E">
        <w:rPr>
          <w:rFonts w:ascii="Arial" w:hAnsi="Arial" w:cs="Arial"/>
          <w:color w:val="000000" w:themeColor="text1"/>
          <w:sz w:val="24"/>
          <w:szCs w:val="24"/>
        </w:rPr>
        <w:t xml:space="preserve"> of foreign exchange risks which can have significant impact on the overall financial performance of the MNCs. These MNCs adopt different strategies to manage their exposure towards these risks. This report will be analysing the risks and the strategies adopted by the MNCs to manage their exposures towards the foreign exchange risks. </w:t>
      </w:r>
    </w:p>
    <w:p w14:paraId="248374B8" w14:textId="77777777" w:rsidR="006400ED" w:rsidRPr="00AD783E" w:rsidRDefault="006400ED"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br w:type="page"/>
      </w:r>
    </w:p>
    <w:p w14:paraId="62218032" w14:textId="77777777" w:rsidR="005B46C6" w:rsidRPr="00AD783E" w:rsidRDefault="005B46C6" w:rsidP="00975088">
      <w:pPr>
        <w:pStyle w:val="Heading1"/>
        <w:spacing w:line="360" w:lineRule="auto"/>
        <w:jc w:val="both"/>
        <w:rPr>
          <w:rFonts w:ascii="Arial" w:hAnsi="Arial" w:cs="Arial"/>
          <w:sz w:val="24"/>
          <w:szCs w:val="24"/>
        </w:rPr>
      </w:pPr>
      <w:bookmarkStart w:id="1" w:name="_Toc154356406"/>
      <w:r w:rsidRPr="00AD783E">
        <w:rPr>
          <w:rFonts w:ascii="Arial" w:hAnsi="Arial" w:cs="Arial"/>
          <w:sz w:val="24"/>
          <w:szCs w:val="24"/>
        </w:rPr>
        <w:lastRenderedPageBreak/>
        <w:t>Foreign exchange risks</w:t>
      </w:r>
      <w:bookmarkEnd w:id="1"/>
    </w:p>
    <w:p w14:paraId="3A3FF7B3" w14:textId="77777777" w:rsidR="005B46C6" w:rsidRPr="00AD783E" w:rsidRDefault="005B46C6"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t>The complicated landscape of international financial management exposes various types of foreign exchange risks which must be navigated by the multinational corporations for managing their finance effectively</w:t>
      </w:r>
      <w:r w:rsidR="00D434B0" w:rsidRPr="00AD783E">
        <w:rPr>
          <w:rFonts w:ascii="Arial" w:hAnsi="Arial" w:cs="Arial"/>
          <w:color w:val="000000" w:themeColor="text1"/>
          <w:sz w:val="24"/>
          <w:szCs w:val="24"/>
        </w:rPr>
        <w:t xml:space="preserve"> (</w:t>
      </w:r>
      <w:r w:rsidR="00D434B0" w:rsidRPr="00AD783E">
        <w:rPr>
          <w:rFonts w:ascii="Arial" w:hAnsi="Arial" w:cs="Arial"/>
          <w:color w:val="222222"/>
          <w:sz w:val="24"/>
          <w:szCs w:val="24"/>
          <w:shd w:val="clear" w:color="auto" w:fill="FFFFFF"/>
        </w:rPr>
        <w:t>Della Corte et al., 2022</w:t>
      </w:r>
      <w:r w:rsidR="00D434B0" w:rsidRPr="00AD783E">
        <w:rPr>
          <w:rFonts w:ascii="Arial" w:hAnsi="Arial" w:cs="Arial"/>
          <w:color w:val="000000" w:themeColor="text1"/>
          <w:sz w:val="24"/>
          <w:szCs w:val="24"/>
        </w:rPr>
        <w:t>)</w:t>
      </w:r>
      <w:r w:rsidRPr="00AD783E">
        <w:rPr>
          <w:rFonts w:ascii="Arial" w:hAnsi="Arial" w:cs="Arial"/>
          <w:color w:val="000000" w:themeColor="text1"/>
          <w:sz w:val="24"/>
          <w:szCs w:val="24"/>
        </w:rPr>
        <w:t xml:space="preserve">. </w:t>
      </w:r>
      <w:r w:rsidR="007712E1" w:rsidRPr="00AD783E">
        <w:rPr>
          <w:rFonts w:ascii="Arial" w:hAnsi="Arial" w:cs="Arial"/>
          <w:color w:val="000000" w:themeColor="text1"/>
          <w:sz w:val="24"/>
          <w:szCs w:val="24"/>
        </w:rPr>
        <w:t xml:space="preserve">Currency risk in the global market include </w:t>
      </w:r>
      <w:r w:rsidR="009668F6" w:rsidRPr="00AD783E">
        <w:rPr>
          <w:rFonts w:ascii="Arial" w:hAnsi="Arial" w:cs="Arial"/>
          <w:color w:val="000000" w:themeColor="text1"/>
          <w:sz w:val="24"/>
          <w:szCs w:val="24"/>
        </w:rPr>
        <w:t xml:space="preserve">transaction risk, translation risk and economic risk. </w:t>
      </w:r>
      <w:r w:rsidR="005F1121" w:rsidRPr="00AD783E">
        <w:rPr>
          <w:rFonts w:ascii="Arial" w:hAnsi="Arial" w:cs="Arial"/>
          <w:color w:val="000000" w:themeColor="text1"/>
          <w:sz w:val="24"/>
          <w:szCs w:val="24"/>
        </w:rPr>
        <w:t xml:space="preserve">MNCs must understand these risks for developing effective and suitable strategies to tackle this risks in the global market. </w:t>
      </w:r>
    </w:p>
    <w:p w14:paraId="430E5955" w14:textId="77777777" w:rsidR="00B70001" w:rsidRPr="00AD783E" w:rsidRDefault="005B46C6" w:rsidP="00AF3991">
      <w:pPr>
        <w:spacing w:line="360" w:lineRule="auto"/>
        <w:jc w:val="center"/>
        <w:rPr>
          <w:rFonts w:ascii="Arial" w:hAnsi="Arial" w:cs="Arial"/>
          <w:color w:val="000000" w:themeColor="text1"/>
          <w:sz w:val="24"/>
          <w:szCs w:val="24"/>
        </w:rPr>
      </w:pPr>
      <w:r w:rsidRPr="00AD783E">
        <w:rPr>
          <w:rFonts w:ascii="Arial" w:hAnsi="Arial" w:cs="Arial"/>
          <w:noProof/>
          <w:color w:val="000000" w:themeColor="text1"/>
          <w:sz w:val="24"/>
          <w:szCs w:val="24"/>
          <w:lang w:val="en-US"/>
        </w:rPr>
        <w:drawing>
          <wp:inline distT="0" distB="0" distL="0" distR="0" wp14:anchorId="39BA5E8D" wp14:editId="3DCA2422">
            <wp:extent cx="5942313" cy="3103418"/>
            <wp:effectExtent l="0" t="0" r="1905" b="1905"/>
            <wp:docPr id="2" name="Picture 2" descr="Currency Risk | Definition, Types, Causes, &amp;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ency Risk | Definition, Types, Causes, &amp; Strategi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104090"/>
                    </a:xfrm>
                    <a:prstGeom prst="rect">
                      <a:avLst/>
                    </a:prstGeom>
                    <a:noFill/>
                    <a:ln>
                      <a:noFill/>
                    </a:ln>
                    <a:extLst>
                      <a:ext uri="{53640926-AAD7-44D8-BBD7-CCE9431645EC}">
                        <a14:shadowObscured xmlns:a14="http://schemas.microsoft.com/office/drawing/2010/main"/>
                      </a:ext>
                    </a:extLst>
                  </pic:spPr>
                </pic:pic>
              </a:graphicData>
            </a:graphic>
          </wp:inline>
        </w:drawing>
      </w:r>
    </w:p>
    <w:p w14:paraId="1885DA6A" w14:textId="77777777" w:rsidR="00DE7A2B" w:rsidRPr="00AD783E" w:rsidRDefault="00DE7A2B" w:rsidP="00AF3991">
      <w:pPr>
        <w:spacing w:line="360" w:lineRule="auto"/>
        <w:jc w:val="center"/>
        <w:rPr>
          <w:rFonts w:ascii="Arial" w:hAnsi="Arial" w:cs="Arial"/>
          <w:i/>
          <w:color w:val="000000" w:themeColor="text1"/>
          <w:sz w:val="24"/>
          <w:szCs w:val="24"/>
        </w:rPr>
      </w:pPr>
      <w:r w:rsidRPr="00AD783E">
        <w:rPr>
          <w:rFonts w:ascii="Arial" w:hAnsi="Arial" w:cs="Arial"/>
          <w:i/>
          <w:color w:val="000000" w:themeColor="text1"/>
          <w:sz w:val="24"/>
          <w:szCs w:val="24"/>
        </w:rPr>
        <w:t>Figure01: Foreign exchange risks (</w:t>
      </w:r>
      <w:proofErr w:type="spellStart"/>
      <w:r w:rsidRPr="00AD783E">
        <w:rPr>
          <w:rFonts w:ascii="Arial" w:hAnsi="Arial" w:cs="Arial"/>
          <w:i/>
          <w:color w:val="222222"/>
          <w:sz w:val="24"/>
          <w:szCs w:val="24"/>
          <w:shd w:val="clear" w:color="auto" w:fill="FFFFFF"/>
        </w:rPr>
        <w:t>Candian</w:t>
      </w:r>
      <w:proofErr w:type="spellEnd"/>
      <w:r w:rsidRPr="00AD783E">
        <w:rPr>
          <w:rFonts w:ascii="Arial" w:hAnsi="Arial" w:cs="Arial"/>
          <w:i/>
          <w:color w:val="222222"/>
          <w:sz w:val="24"/>
          <w:szCs w:val="24"/>
          <w:shd w:val="clear" w:color="auto" w:fill="FFFFFF"/>
        </w:rPr>
        <w:t xml:space="preserve"> and De Leo, 2023</w:t>
      </w:r>
      <w:r w:rsidRPr="00AD783E">
        <w:rPr>
          <w:rFonts w:ascii="Arial" w:hAnsi="Arial" w:cs="Arial"/>
          <w:i/>
          <w:color w:val="000000" w:themeColor="text1"/>
          <w:sz w:val="24"/>
          <w:szCs w:val="24"/>
        </w:rPr>
        <w:t>).</w:t>
      </w:r>
    </w:p>
    <w:p w14:paraId="6218C163" w14:textId="77777777" w:rsidR="00AF3991" w:rsidRPr="00AD783E" w:rsidRDefault="00AF3991" w:rsidP="00AF3991">
      <w:pPr>
        <w:spacing w:line="360" w:lineRule="auto"/>
        <w:jc w:val="center"/>
        <w:rPr>
          <w:rFonts w:ascii="Arial" w:hAnsi="Arial" w:cs="Arial"/>
          <w:i/>
          <w:color w:val="000000" w:themeColor="text1"/>
          <w:sz w:val="24"/>
          <w:szCs w:val="24"/>
        </w:rPr>
      </w:pPr>
    </w:p>
    <w:p w14:paraId="6ABFEB99" w14:textId="77777777" w:rsidR="009668F6" w:rsidRPr="00AD783E" w:rsidRDefault="009668F6" w:rsidP="00975088">
      <w:pPr>
        <w:pStyle w:val="ListParagraph"/>
        <w:numPr>
          <w:ilvl w:val="0"/>
          <w:numId w:val="2"/>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Transaction risk:</w:t>
      </w:r>
      <w:r w:rsidR="009F1E08" w:rsidRPr="00AD783E">
        <w:rPr>
          <w:rFonts w:ascii="Arial" w:hAnsi="Arial" w:cs="Arial"/>
          <w:color w:val="000000" w:themeColor="text1"/>
          <w:sz w:val="24"/>
          <w:szCs w:val="24"/>
        </w:rPr>
        <w:t xml:space="preserve"> This risk occur due to the impact of fluctuation of exchange rate on the value of future cash flows</w:t>
      </w:r>
      <w:r w:rsidR="00DE7A2B" w:rsidRPr="00AD783E">
        <w:rPr>
          <w:rFonts w:ascii="Arial" w:hAnsi="Arial" w:cs="Arial"/>
          <w:color w:val="000000" w:themeColor="text1"/>
          <w:sz w:val="24"/>
          <w:szCs w:val="24"/>
        </w:rPr>
        <w:t xml:space="preserve"> (</w:t>
      </w:r>
      <w:proofErr w:type="spellStart"/>
      <w:r w:rsidR="00DE7A2B" w:rsidRPr="00AD783E">
        <w:rPr>
          <w:rFonts w:ascii="Arial" w:hAnsi="Arial" w:cs="Arial"/>
          <w:color w:val="222222"/>
          <w:sz w:val="24"/>
          <w:szCs w:val="24"/>
          <w:shd w:val="clear" w:color="auto" w:fill="FFFFFF"/>
        </w:rPr>
        <w:t>Candian</w:t>
      </w:r>
      <w:proofErr w:type="spellEnd"/>
      <w:r w:rsidR="00DE7A2B" w:rsidRPr="00AD783E">
        <w:rPr>
          <w:rFonts w:ascii="Arial" w:hAnsi="Arial" w:cs="Arial"/>
          <w:color w:val="222222"/>
          <w:sz w:val="24"/>
          <w:szCs w:val="24"/>
          <w:shd w:val="clear" w:color="auto" w:fill="FFFFFF"/>
        </w:rPr>
        <w:t xml:space="preserve"> and De Leo, 2023</w:t>
      </w:r>
      <w:r w:rsidR="00DE7A2B" w:rsidRPr="00AD783E">
        <w:rPr>
          <w:rFonts w:ascii="Arial" w:hAnsi="Arial" w:cs="Arial"/>
          <w:color w:val="000000" w:themeColor="text1"/>
          <w:sz w:val="24"/>
          <w:szCs w:val="24"/>
        </w:rPr>
        <w:t>)</w:t>
      </w:r>
      <w:r w:rsidR="009F1E08" w:rsidRPr="00AD783E">
        <w:rPr>
          <w:rFonts w:ascii="Arial" w:hAnsi="Arial" w:cs="Arial"/>
          <w:color w:val="000000" w:themeColor="text1"/>
          <w:sz w:val="24"/>
          <w:szCs w:val="24"/>
        </w:rPr>
        <w:t xml:space="preserve">. </w:t>
      </w:r>
      <w:r w:rsidR="006A22C5" w:rsidRPr="00AD783E">
        <w:rPr>
          <w:rFonts w:ascii="Arial" w:hAnsi="Arial" w:cs="Arial"/>
          <w:color w:val="000000" w:themeColor="text1"/>
          <w:sz w:val="24"/>
          <w:szCs w:val="24"/>
        </w:rPr>
        <w:t xml:space="preserve">Businesses that are involved in international trade encounter transaction risk due to the impact of currency movements occur in-between the time of agreeing the transaction and the time of settling down the transaction. </w:t>
      </w:r>
    </w:p>
    <w:p w14:paraId="5FBE375A" w14:textId="77777777" w:rsidR="009668F6" w:rsidRPr="00AD783E" w:rsidRDefault="009668F6" w:rsidP="00975088">
      <w:pPr>
        <w:pStyle w:val="ListParagraph"/>
        <w:numPr>
          <w:ilvl w:val="0"/>
          <w:numId w:val="2"/>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Translation risk</w:t>
      </w:r>
      <w:r w:rsidRPr="00AD783E">
        <w:rPr>
          <w:rFonts w:ascii="Arial" w:hAnsi="Arial" w:cs="Arial"/>
          <w:color w:val="000000" w:themeColor="text1"/>
          <w:sz w:val="24"/>
          <w:szCs w:val="24"/>
        </w:rPr>
        <w:t>:</w:t>
      </w:r>
      <w:r w:rsidR="00692F94" w:rsidRPr="00AD783E">
        <w:rPr>
          <w:rFonts w:ascii="Arial" w:hAnsi="Arial" w:cs="Arial"/>
          <w:color w:val="000000" w:themeColor="text1"/>
          <w:sz w:val="24"/>
          <w:szCs w:val="24"/>
        </w:rPr>
        <w:t xml:space="preserve"> The switch of financial statements from one currency to another currency might lead to the occurrence of translation risk. </w:t>
      </w:r>
      <w:r w:rsidR="00995CF3" w:rsidRPr="00AD783E">
        <w:rPr>
          <w:rFonts w:ascii="Arial" w:hAnsi="Arial" w:cs="Arial"/>
          <w:color w:val="000000" w:themeColor="text1"/>
          <w:sz w:val="24"/>
          <w:szCs w:val="24"/>
        </w:rPr>
        <w:t xml:space="preserve">MNCs running </w:t>
      </w:r>
      <w:r w:rsidR="00995CF3" w:rsidRPr="00AD783E">
        <w:rPr>
          <w:rFonts w:ascii="Arial" w:hAnsi="Arial" w:cs="Arial"/>
          <w:color w:val="000000" w:themeColor="text1"/>
          <w:sz w:val="24"/>
          <w:szCs w:val="24"/>
        </w:rPr>
        <w:lastRenderedPageBreak/>
        <w:t>subsidiaries in different countries often face translation risk while assembling overall financial results</w:t>
      </w:r>
      <w:r w:rsidR="00DE7A2B" w:rsidRPr="00AD783E">
        <w:rPr>
          <w:rFonts w:ascii="Arial" w:hAnsi="Arial" w:cs="Arial"/>
          <w:color w:val="000000" w:themeColor="text1"/>
          <w:sz w:val="24"/>
          <w:szCs w:val="24"/>
        </w:rPr>
        <w:t xml:space="preserve"> (</w:t>
      </w:r>
      <w:r w:rsidR="00DE7A2B" w:rsidRPr="00AD783E">
        <w:rPr>
          <w:rFonts w:ascii="Arial" w:hAnsi="Arial" w:cs="Arial"/>
          <w:color w:val="222222"/>
          <w:sz w:val="24"/>
          <w:szCs w:val="24"/>
          <w:shd w:val="clear" w:color="auto" w:fill="FFFFFF"/>
        </w:rPr>
        <w:t>Alonso-Monsalve et al., 2020</w:t>
      </w:r>
      <w:r w:rsidR="00DE7A2B" w:rsidRPr="00AD783E">
        <w:rPr>
          <w:rFonts w:ascii="Arial" w:hAnsi="Arial" w:cs="Arial"/>
          <w:color w:val="000000" w:themeColor="text1"/>
          <w:sz w:val="24"/>
          <w:szCs w:val="24"/>
        </w:rPr>
        <w:t>)</w:t>
      </w:r>
      <w:r w:rsidR="00995CF3" w:rsidRPr="00AD783E">
        <w:rPr>
          <w:rFonts w:ascii="Arial" w:hAnsi="Arial" w:cs="Arial"/>
          <w:color w:val="000000" w:themeColor="text1"/>
          <w:sz w:val="24"/>
          <w:szCs w:val="24"/>
        </w:rPr>
        <w:t xml:space="preserve">. </w:t>
      </w:r>
    </w:p>
    <w:p w14:paraId="1F5E71AE" w14:textId="77777777" w:rsidR="009F1E08" w:rsidRPr="00AD783E" w:rsidRDefault="009668F6" w:rsidP="00975088">
      <w:pPr>
        <w:pStyle w:val="ListParagraph"/>
        <w:numPr>
          <w:ilvl w:val="0"/>
          <w:numId w:val="2"/>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Economic risk:</w:t>
      </w:r>
      <w:r w:rsidR="000F078D" w:rsidRPr="00AD783E">
        <w:rPr>
          <w:rFonts w:ascii="Arial" w:hAnsi="Arial" w:cs="Arial"/>
          <w:color w:val="000000" w:themeColor="text1"/>
          <w:sz w:val="24"/>
          <w:szCs w:val="24"/>
        </w:rPr>
        <w:t xml:space="preserve"> </w:t>
      </w:r>
      <w:r w:rsidR="006E7BBE" w:rsidRPr="00AD783E">
        <w:rPr>
          <w:rFonts w:ascii="Arial" w:hAnsi="Arial" w:cs="Arial"/>
          <w:color w:val="000000" w:themeColor="text1"/>
          <w:sz w:val="24"/>
          <w:szCs w:val="24"/>
        </w:rPr>
        <w:t xml:space="preserve">This can also be called as operating exposure which basically arises due to the impact of fluctuations of exchange rate on the future operating cash flow of the company. This risk </w:t>
      </w:r>
      <w:r w:rsidR="00AF7FCF" w:rsidRPr="00AD783E">
        <w:rPr>
          <w:rFonts w:ascii="Arial" w:hAnsi="Arial" w:cs="Arial"/>
          <w:color w:val="000000" w:themeColor="text1"/>
          <w:sz w:val="24"/>
          <w:szCs w:val="24"/>
        </w:rPr>
        <w:t xml:space="preserve">has no direct connection with specific transactions but there are potential long term impact of the risk on the competitiveness as well as the profitability of the company. </w:t>
      </w:r>
    </w:p>
    <w:p w14:paraId="053BEEF7" w14:textId="77777777" w:rsidR="00975088" w:rsidRPr="00AD783E" w:rsidRDefault="00975088" w:rsidP="00975088">
      <w:pPr>
        <w:spacing w:line="360" w:lineRule="auto"/>
        <w:jc w:val="both"/>
        <w:rPr>
          <w:rFonts w:ascii="Arial" w:hAnsi="Arial" w:cs="Arial"/>
          <w:color w:val="000000" w:themeColor="text1"/>
          <w:sz w:val="24"/>
          <w:szCs w:val="24"/>
        </w:rPr>
      </w:pPr>
    </w:p>
    <w:p w14:paraId="674B2988" w14:textId="77777777" w:rsidR="00C5269C" w:rsidRPr="00AD783E" w:rsidRDefault="00C5269C" w:rsidP="00975088">
      <w:pPr>
        <w:pStyle w:val="Heading1"/>
        <w:spacing w:line="360" w:lineRule="auto"/>
        <w:jc w:val="both"/>
        <w:rPr>
          <w:rFonts w:ascii="Arial" w:hAnsi="Arial" w:cs="Arial"/>
          <w:sz w:val="24"/>
          <w:szCs w:val="24"/>
        </w:rPr>
      </w:pPr>
      <w:bookmarkStart w:id="2" w:name="_Toc154356407"/>
      <w:r w:rsidRPr="00AD783E">
        <w:rPr>
          <w:rFonts w:ascii="Arial" w:hAnsi="Arial" w:cs="Arial"/>
          <w:sz w:val="24"/>
          <w:szCs w:val="24"/>
        </w:rPr>
        <w:t>Strategies adopted by MNCs</w:t>
      </w:r>
      <w:bookmarkEnd w:id="2"/>
      <w:r w:rsidRPr="00AD783E">
        <w:rPr>
          <w:rFonts w:ascii="Arial" w:hAnsi="Arial" w:cs="Arial"/>
          <w:sz w:val="24"/>
          <w:szCs w:val="24"/>
        </w:rPr>
        <w:t xml:space="preserve"> </w:t>
      </w:r>
    </w:p>
    <w:p w14:paraId="49854243" w14:textId="77777777" w:rsidR="00C5269C" w:rsidRPr="00AD783E" w:rsidRDefault="00C5269C"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t xml:space="preserve">There are different types of strategies that are adopted by the multinational corporations for managing the foreign exchange risks. Such as </w:t>
      </w:r>
    </w:p>
    <w:p w14:paraId="184BE7D9" w14:textId="77777777" w:rsidR="009878F7" w:rsidRPr="00AD783E" w:rsidRDefault="00C5269C" w:rsidP="00975088">
      <w:pPr>
        <w:pStyle w:val="Heading1"/>
        <w:spacing w:line="360" w:lineRule="auto"/>
        <w:jc w:val="both"/>
        <w:rPr>
          <w:rFonts w:ascii="Arial" w:hAnsi="Arial" w:cs="Arial"/>
          <w:sz w:val="24"/>
          <w:szCs w:val="24"/>
        </w:rPr>
      </w:pPr>
      <w:bookmarkStart w:id="3" w:name="_Toc154356408"/>
      <w:r w:rsidRPr="00AD783E">
        <w:rPr>
          <w:rFonts w:ascii="Arial" w:hAnsi="Arial" w:cs="Arial"/>
          <w:sz w:val="24"/>
          <w:szCs w:val="24"/>
        </w:rPr>
        <w:t>Hedging strategies</w:t>
      </w:r>
      <w:bookmarkEnd w:id="3"/>
    </w:p>
    <w:p w14:paraId="330A2BB3" w14:textId="77777777" w:rsidR="00C5269C" w:rsidRPr="00AD783E" w:rsidRDefault="00C5269C" w:rsidP="00975088">
      <w:pPr>
        <w:spacing w:line="360" w:lineRule="auto"/>
        <w:jc w:val="both"/>
        <w:rPr>
          <w:rFonts w:ascii="Arial" w:hAnsi="Arial" w:cs="Arial"/>
          <w:color w:val="000000" w:themeColor="text1"/>
          <w:sz w:val="24"/>
          <w:szCs w:val="24"/>
        </w:rPr>
      </w:pPr>
      <w:r w:rsidRPr="00AD783E">
        <w:rPr>
          <w:rFonts w:ascii="Arial" w:hAnsi="Arial" w:cs="Arial"/>
          <w:color w:val="000000" w:themeColor="text1"/>
          <w:sz w:val="24"/>
          <w:szCs w:val="24"/>
        </w:rPr>
        <w:t>This is one of the fundamental aspects of managing risks in the context of international financial management. Hedging strategies are commonly adopted by MNCs for mitigating the negative impact of fluctuations in the foreign exchange rate</w:t>
      </w:r>
      <w:r w:rsidR="00A9058B" w:rsidRPr="00AD783E">
        <w:rPr>
          <w:rFonts w:ascii="Arial" w:hAnsi="Arial" w:cs="Arial"/>
          <w:color w:val="000000" w:themeColor="text1"/>
          <w:sz w:val="24"/>
          <w:szCs w:val="24"/>
        </w:rPr>
        <w:t xml:space="preserve"> (</w:t>
      </w:r>
      <w:r w:rsidR="00A9058B" w:rsidRPr="00AD783E">
        <w:rPr>
          <w:rFonts w:ascii="Arial" w:hAnsi="Arial" w:cs="Arial"/>
          <w:color w:val="222222"/>
          <w:sz w:val="24"/>
          <w:szCs w:val="24"/>
          <w:shd w:val="clear" w:color="auto" w:fill="FFFFFF"/>
        </w:rPr>
        <w:t>Alfaro et al., 2021</w:t>
      </w:r>
      <w:r w:rsidR="00A9058B" w:rsidRPr="00AD783E">
        <w:rPr>
          <w:rFonts w:ascii="Arial" w:hAnsi="Arial" w:cs="Arial"/>
          <w:color w:val="000000" w:themeColor="text1"/>
          <w:sz w:val="24"/>
          <w:szCs w:val="24"/>
        </w:rPr>
        <w:t>)</w:t>
      </w:r>
      <w:r w:rsidRPr="00AD783E">
        <w:rPr>
          <w:rFonts w:ascii="Arial" w:hAnsi="Arial" w:cs="Arial"/>
          <w:color w:val="000000" w:themeColor="text1"/>
          <w:sz w:val="24"/>
          <w:szCs w:val="24"/>
        </w:rPr>
        <w:t xml:space="preserve">. There are some primary instruments of hedging strategy including </w:t>
      </w:r>
    </w:p>
    <w:p w14:paraId="283B50E3" w14:textId="77777777" w:rsidR="00C5269C" w:rsidRPr="00AD783E" w:rsidRDefault="00C5269C" w:rsidP="00975088">
      <w:pPr>
        <w:pStyle w:val="ListParagraph"/>
        <w:numPr>
          <w:ilvl w:val="0"/>
          <w:numId w:val="4"/>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Forward contracts:</w:t>
      </w:r>
      <w:r w:rsidRPr="00AD783E">
        <w:rPr>
          <w:rFonts w:ascii="Arial" w:hAnsi="Arial" w:cs="Arial"/>
          <w:color w:val="000000" w:themeColor="text1"/>
          <w:sz w:val="24"/>
          <w:szCs w:val="24"/>
        </w:rPr>
        <w:t xml:space="preserve"> </w:t>
      </w:r>
      <w:r w:rsidR="008B42D7" w:rsidRPr="00AD783E">
        <w:rPr>
          <w:rFonts w:ascii="Arial" w:hAnsi="Arial" w:cs="Arial"/>
          <w:color w:val="000000" w:themeColor="text1"/>
          <w:sz w:val="24"/>
          <w:szCs w:val="24"/>
        </w:rPr>
        <w:t xml:space="preserve">This is basically a customized agreement between two or more parties agreeing to sell or buy any specific asset in the future at a pre-determined price. </w:t>
      </w:r>
      <w:r w:rsidR="00B96F64" w:rsidRPr="00AD783E">
        <w:rPr>
          <w:rFonts w:ascii="Arial" w:hAnsi="Arial" w:cs="Arial"/>
          <w:color w:val="000000" w:themeColor="text1"/>
          <w:sz w:val="24"/>
          <w:szCs w:val="24"/>
        </w:rPr>
        <w:t>Forward contracts are used by MNCs for securing specific exchange rates for transaction that will be happening in the future</w:t>
      </w:r>
      <w:r w:rsidR="00386C3B" w:rsidRPr="00AD783E">
        <w:rPr>
          <w:rFonts w:ascii="Arial" w:hAnsi="Arial" w:cs="Arial"/>
          <w:color w:val="000000" w:themeColor="text1"/>
          <w:sz w:val="24"/>
          <w:szCs w:val="24"/>
        </w:rPr>
        <w:t xml:space="preserve"> (</w:t>
      </w:r>
      <w:r w:rsidR="00386C3B" w:rsidRPr="00AD783E">
        <w:rPr>
          <w:rFonts w:ascii="Arial" w:hAnsi="Arial" w:cs="Arial"/>
          <w:color w:val="222222"/>
          <w:sz w:val="24"/>
          <w:szCs w:val="24"/>
          <w:shd w:val="clear" w:color="auto" w:fill="FFFFFF"/>
        </w:rPr>
        <w:t>Saeed et al., 2020</w:t>
      </w:r>
      <w:r w:rsidR="00386C3B" w:rsidRPr="00AD783E">
        <w:rPr>
          <w:rFonts w:ascii="Arial" w:hAnsi="Arial" w:cs="Arial"/>
          <w:color w:val="000000" w:themeColor="text1"/>
          <w:sz w:val="24"/>
          <w:szCs w:val="24"/>
        </w:rPr>
        <w:t>)</w:t>
      </w:r>
      <w:r w:rsidR="00B96F64" w:rsidRPr="00AD783E">
        <w:rPr>
          <w:rFonts w:ascii="Arial" w:hAnsi="Arial" w:cs="Arial"/>
          <w:color w:val="000000" w:themeColor="text1"/>
          <w:sz w:val="24"/>
          <w:szCs w:val="24"/>
        </w:rPr>
        <w:t>. This is used for safeguarding the exchange rate against any potential unwanted</w:t>
      </w:r>
      <w:r w:rsidR="00BC08B3" w:rsidRPr="00AD783E">
        <w:rPr>
          <w:rFonts w:ascii="Arial" w:hAnsi="Arial" w:cs="Arial"/>
          <w:color w:val="000000" w:themeColor="text1"/>
          <w:sz w:val="24"/>
          <w:szCs w:val="24"/>
        </w:rPr>
        <w:t xml:space="preserve"> shifts in the currency values in the future when the contract matures. This strategy helps firms in predicting cost of international transactions as well as the potential revenue stream. </w:t>
      </w:r>
      <w:r w:rsidR="00891E77" w:rsidRPr="00AD783E">
        <w:rPr>
          <w:rFonts w:ascii="Arial" w:hAnsi="Arial" w:cs="Arial"/>
          <w:color w:val="000000" w:themeColor="text1"/>
          <w:sz w:val="24"/>
          <w:szCs w:val="24"/>
        </w:rPr>
        <w:t xml:space="preserve">But such contracts are very inflexible since the terms and conditions are not changeable once the agreement is made. </w:t>
      </w:r>
    </w:p>
    <w:p w14:paraId="069AECA9" w14:textId="77777777" w:rsidR="00C5269C" w:rsidRPr="00AD783E" w:rsidRDefault="00C5269C" w:rsidP="00975088">
      <w:pPr>
        <w:pStyle w:val="ListParagraph"/>
        <w:numPr>
          <w:ilvl w:val="0"/>
          <w:numId w:val="4"/>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Future contracts</w:t>
      </w:r>
      <w:r w:rsidRPr="00AD783E">
        <w:rPr>
          <w:rFonts w:ascii="Arial" w:hAnsi="Arial" w:cs="Arial"/>
          <w:color w:val="000000" w:themeColor="text1"/>
          <w:sz w:val="24"/>
          <w:szCs w:val="24"/>
        </w:rPr>
        <w:t>:</w:t>
      </w:r>
      <w:r w:rsidR="00891E77" w:rsidRPr="00AD783E">
        <w:rPr>
          <w:rFonts w:ascii="Arial" w:hAnsi="Arial" w:cs="Arial"/>
          <w:color w:val="000000" w:themeColor="text1"/>
          <w:sz w:val="24"/>
          <w:szCs w:val="24"/>
        </w:rPr>
        <w:t xml:space="preserve"> This contracts are called the standardised exchange-traded contracts where there are certain contract amount along with maturity period</w:t>
      </w:r>
      <w:r w:rsidR="00E076D8" w:rsidRPr="00AD783E">
        <w:rPr>
          <w:rFonts w:ascii="Arial" w:hAnsi="Arial" w:cs="Arial"/>
          <w:color w:val="000000" w:themeColor="text1"/>
          <w:sz w:val="24"/>
          <w:szCs w:val="24"/>
        </w:rPr>
        <w:t xml:space="preserve"> (</w:t>
      </w:r>
      <w:r w:rsidR="00E076D8" w:rsidRPr="00AD783E">
        <w:rPr>
          <w:rFonts w:ascii="Arial" w:hAnsi="Arial" w:cs="Arial"/>
          <w:color w:val="222222"/>
          <w:sz w:val="24"/>
          <w:szCs w:val="24"/>
          <w:shd w:val="clear" w:color="auto" w:fill="FFFFFF"/>
        </w:rPr>
        <w:t xml:space="preserve">Shin and </w:t>
      </w:r>
      <w:proofErr w:type="spellStart"/>
      <w:r w:rsidR="00E076D8" w:rsidRPr="00AD783E">
        <w:rPr>
          <w:rFonts w:ascii="Arial" w:hAnsi="Arial" w:cs="Arial"/>
          <w:color w:val="222222"/>
          <w:sz w:val="24"/>
          <w:szCs w:val="24"/>
          <w:shd w:val="clear" w:color="auto" w:fill="FFFFFF"/>
        </w:rPr>
        <w:t>Pyo</w:t>
      </w:r>
      <w:proofErr w:type="spellEnd"/>
      <w:r w:rsidR="00E076D8" w:rsidRPr="00AD783E">
        <w:rPr>
          <w:rFonts w:ascii="Arial" w:hAnsi="Arial" w:cs="Arial"/>
          <w:color w:val="222222"/>
          <w:sz w:val="24"/>
          <w:szCs w:val="24"/>
          <w:shd w:val="clear" w:color="auto" w:fill="FFFFFF"/>
        </w:rPr>
        <w:t>, 2019</w:t>
      </w:r>
      <w:r w:rsidR="00E076D8" w:rsidRPr="00AD783E">
        <w:rPr>
          <w:rFonts w:ascii="Arial" w:hAnsi="Arial" w:cs="Arial"/>
          <w:color w:val="000000" w:themeColor="text1"/>
          <w:sz w:val="24"/>
          <w:szCs w:val="24"/>
        </w:rPr>
        <w:t>)</w:t>
      </w:r>
      <w:r w:rsidR="00891E77" w:rsidRPr="00AD783E">
        <w:rPr>
          <w:rFonts w:ascii="Arial" w:hAnsi="Arial" w:cs="Arial"/>
          <w:color w:val="000000" w:themeColor="text1"/>
          <w:sz w:val="24"/>
          <w:szCs w:val="24"/>
        </w:rPr>
        <w:t xml:space="preserve">. Clearinghouse enable trading helps to minimize the default risks arise from counterparty. </w:t>
      </w:r>
      <w:r w:rsidR="00C17AA0" w:rsidRPr="00AD783E">
        <w:rPr>
          <w:rFonts w:ascii="Arial" w:hAnsi="Arial" w:cs="Arial"/>
          <w:color w:val="000000" w:themeColor="text1"/>
          <w:sz w:val="24"/>
          <w:szCs w:val="24"/>
        </w:rPr>
        <w:t xml:space="preserve">There are </w:t>
      </w:r>
      <w:r w:rsidR="004A7816" w:rsidRPr="00AD783E">
        <w:rPr>
          <w:rFonts w:ascii="Arial" w:hAnsi="Arial" w:cs="Arial"/>
          <w:color w:val="000000" w:themeColor="text1"/>
          <w:sz w:val="24"/>
          <w:szCs w:val="24"/>
        </w:rPr>
        <w:t>l</w:t>
      </w:r>
      <w:r w:rsidR="00C17AA0" w:rsidRPr="00AD783E">
        <w:rPr>
          <w:rFonts w:ascii="Arial" w:hAnsi="Arial" w:cs="Arial"/>
          <w:color w:val="000000" w:themeColor="text1"/>
          <w:sz w:val="24"/>
          <w:szCs w:val="24"/>
        </w:rPr>
        <w:t xml:space="preserve">iquidity in the future contracts which makes </w:t>
      </w:r>
      <w:r w:rsidR="00C17AA0" w:rsidRPr="00AD783E">
        <w:rPr>
          <w:rFonts w:ascii="Arial" w:hAnsi="Arial" w:cs="Arial"/>
          <w:color w:val="000000" w:themeColor="text1"/>
          <w:sz w:val="24"/>
          <w:szCs w:val="24"/>
        </w:rPr>
        <w:lastRenderedPageBreak/>
        <w:t xml:space="preserve">these contracts popular. There are also flexibility in entering and exiting positions. </w:t>
      </w:r>
      <w:r w:rsidR="004A7816" w:rsidRPr="00AD783E">
        <w:rPr>
          <w:rFonts w:ascii="Arial" w:hAnsi="Arial" w:cs="Arial"/>
          <w:color w:val="000000" w:themeColor="text1"/>
          <w:sz w:val="24"/>
          <w:szCs w:val="24"/>
        </w:rPr>
        <w:t xml:space="preserve">These contracts are suitable for MNCs that emphasizes on managing their short-term currency risks. But the flexibility of terms and conditions of future contracts are less than the forward contracts. </w:t>
      </w:r>
    </w:p>
    <w:p w14:paraId="0075BADB" w14:textId="77777777" w:rsidR="00C5269C" w:rsidRPr="00AD783E" w:rsidRDefault="00C5269C" w:rsidP="00975088">
      <w:pPr>
        <w:pStyle w:val="ListParagraph"/>
        <w:numPr>
          <w:ilvl w:val="0"/>
          <w:numId w:val="4"/>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Option</w:t>
      </w:r>
      <w:r w:rsidR="003573E4" w:rsidRPr="00AD783E">
        <w:rPr>
          <w:rFonts w:ascii="Arial" w:hAnsi="Arial" w:cs="Arial"/>
          <w:b/>
          <w:color w:val="000000" w:themeColor="text1"/>
          <w:sz w:val="24"/>
          <w:szCs w:val="24"/>
        </w:rPr>
        <w:t>s</w:t>
      </w:r>
      <w:r w:rsidRPr="00AD783E">
        <w:rPr>
          <w:rFonts w:ascii="Arial" w:hAnsi="Arial" w:cs="Arial"/>
          <w:b/>
          <w:color w:val="000000" w:themeColor="text1"/>
          <w:sz w:val="24"/>
          <w:szCs w:val="24"/>
        </w:rPr>
        <w:t xml:space="preserve"> contracts</w:t>
      </w:r>
      <w:r w:rsidRPr="00AD783E">
        <w:rPr>
          <w:rFonts w:ascii="Arial" w:hAnsi="Arial" w:cs="Arial"/>
          <w:color w:val="000000" w:themeColor="text1"/>
          <w:sz w:val="24"/>
          <w:szCs w:val="24"/>
        </w:rPr>
        <w:t>:</w:t>
      </w:r>
      <w:r w:rsidR="002A2429" w:rsidRPr="00AD783E">
        <w:rPr>
          <w:rFonts w:ascii="Arial" w:hAnsi="Arial" w:cs="Arial"/>
          <w:color w:val="000000" w:themeColor="text1"/>
          <w:sz w:val="24"/>
          <w:szCs w:val="24"/>
        </w:rPr>
        <w:t xml:space="preserve"> </w:t>
      </w:r>
      <w:r w:rsidR="003573E4" w:rsidRPr="00AD783E">
        <w:rPr>
          <w:rFonts w:ascii="Arial" w:hAnsi="Arial" w:cs="Arial"/>
          <w:color w:val="000000" w:themeColor="text1"/>
          <w:sz w:val="24"/>
          <w:szCs w:val="24"/>
        </w:rPr>
        <w:t>The buyer involved in this agreement can have the right instead of the obligation of purchasing or selling certain amount of money at certain price at a particular date</w:t>
      </w:r>
      <w:r w:rsidR="00E076D8" w:rsidRPr="00AD783E">
        <w:rPr>
          <w:rFonts w:ascii="Arial" w:hAnsi="Arial" w:cs="Arial"/>
          <w:color w:val="000000" w:themeColor="text1"/>
          <w:sz w:val="24"/>
          <w:szCs w:val="24"/>
        </w:rPr>
        <w:t xml:space="preserve"> (</w:t>
      </w:r>
      <w:r w:rsidR="00E076D8" w:rsidRPr="00AD783E">
        <w:rPr>
          <w:rFonts w:ascii="Arial" w:hAnsi="Arial" w:cs="Arial"/>
          <w:color w:val="222222"/>
          <w:sz w:val="24"/>
          <w:szCs w:val="24"/>
          <w:shd w:val="clear" w:color="auto" w:fill="FFFFFF"/>
        </w:rPr>
        <w:t xml:space="preserve">Bai and </w:t>
      </w:r>
      <w:proofErr w:type="spellStart"/>
      <w:r w:rsidR="00E076D8" w:rsidRPr="00AD783E">
        <w:rPr>
          <w:rFonts w:ascii="Arial" w:hAnsi="Arial" w:cs="Arial"/>
          <w:color w:val="222222"/>
          <w:sz w:val="24"/>
          <w:szCs w:val="24"/>
          <w:shd w:val="clear" w:color="auto" w:fill="FFFFFF"/>
        </w:rPr>
        <w:t>Kavussanos</w:t>
      </w:r>
      <w:proofErr w:type="spellEnd"/>
      <w:r w:rsidR="00E076D8" w:rsidRPr="00AD783E">
        <w:rPr>
          <w:rFonts w:ascii="Arial" w:hAnsi="Arial" w:cs="Arial"/>
          <w:color w:val="222222"/>
          <w:sz w:val="24"/>
          <w:szCs w:val="24"/>
          <w:shd w:val="clear" w:color="auto" w:fill="FFFFFF"/>
        </w:rPr>
        <w:t>, 2022</w:t>
      </w:r>
      <w:r w:rsidR="00E076D8" w:rsidRPr="00AD783E">
        <w:rPr>
          <w:rFonts w:ascii="Arial" w:hAnsi="Arial" w:cs="Arial"/>
          <w:color w:val="000000" w:themeColor="text1"/>
          <w:sz w:val="24"/>
          <w:szCs w:val="24"/>
        </w:rPr>
        <w:t>)</w:t>
      </w:r>
      <w:r w:rsidR="003573E4" w:rsidRPr="00AD783E">
        <w:rPr>
          <w:rFonts w:ascii="Arial" w:hAnsi="Arial" w:cs="Arial"/>
          <w:color w:val="000000" w:themeColor="text1"/>
          <w:sz w:val="24"/>
          <w:szCs w:val="24"/>
        </w:rPr>
        <w:t xml:space="preserve">. The options are being valued depending on their versatility allowing the holders to take effective actions to depend any changes both the positive and negative in the exchange rate of currency. This contract allows the holders to make profit when there is a positive change while safeguarding any kinds of negative movement. The cost of the options are the premium that is paid for such flexibility. </w:t>
      </w:r>
    </w:p>
    <w:p w14:paraId="3F8E2486" w14:textId="77777777" w:rsidR="00C5269C" w:rsidRPr="00AD783E" w:rsidRDefault="00C5269C" w:rsidP="00975088">
      <w:pPr>
        <w:pStyle w:val="ListParagraph"/>
        <w:numPr>
          <w:ilvl w:val="0"/>
          <w:numId w:val="4"/>
        </w:numPr>
        <w:spacing w:line="360" w:lineRule="auto"/>
        <w:jc w:val="both"/>
        <w:rPr>
          <w:rFonts w:ascii="Arial" w:hAnsi="Arial" w:cs="Arial"/>
          <w:color w:val="000000" w:themeColor="text1"/>
          <w:sz w:val="24"/>
          <w:szCs w:val="24"/>
        </w:rPr>
      </w:pPr>
      <w:r w:rsidRPr="00AD783E">
        <w:rPr>
          <w:rFonts w:ascii="Arial" w:hAnsi="Arial" w:cs="Arial"/>
          <w:b/>
          <w:color w:val="000000" w:themeColor="text1"/>
          <w:sz w:val="24"/>
          <w:szCs w:val="24"/>
        </w:rPr>
        <w:t>Swaps:</w:t>
      </w:r>
      <w:r w:rsidRPr="00AD783E">
        <w:rPr>
          <w:rFonts w:ascii="Arial" w:hAnsi="Arial" w:cs="Arial"/>
          <w:color w:val="000000" w:themeColor="text1"/>
          <w:sz w:val="24"/>
          <w:szCs w:val="24"/>
        </w:rPr>
        <w:t xml:space="preserve"> </w:t>
      </w:r>
      <w:r w:rsidR="00625B0F" w:rsidRPr="00AD783E">
        <w:rPr>
          <w:rFonts w:ascii="Arial" w:hAnsi="Arial" w:cs="Arial"/>
          <w:color w:val="000000" w:themeColor="text1"/>
          <w:sz w:val="24"/>
          <w:szCs w:val="24"/>
        </w:rPr>
        <w:t xml:space="preserve">The swaps of currency basically involves the exchange of both the principle amount and the interest payments amongst </w:t>
      </w:r>
      <w:r w:rsidR="00C2684C" w:rsidRPr="00AD783E">
        <w:rPr>
          <w:rFonts w:ascii="Arial" w:hAnsi="Arial" w:cs="Arial"/>
          <w:color w:val="000000" w:themeColor="text1"/>
          <w:sz w:val="24"/>
          <w:szCs w:val="24"/>
        </w:rPr>
        <w:t>various currencies. This strategy is more effective to manage the debt obligations of foreign currency as well as for hedging the long-term exposures</w:t>
      </w:r>
      <w:r w:rsidR="00EF52E2" w:rsidRPr="00AD783E">
        <w:rPr>
          <w:rFonts w:ascii="Arial" w:hAnsi="Arial" w:cs="Arial"/>
          <w:color w:val="000000" w:themeColor="text1"/>
          <w:sz w:val="24"/>
          <w:szCs w:val="24"/>
        </w:rPr>
        <w:t xml:space="preserve"> (</w:t>
      </w:r>
      <w:proofErr w:type="spellStart"/>
      <w:r w:rsidR="00EF52E2" w:rsidRPr="00AD783E">
        <w:rPr>
          <w:rFonts w:ascii="Arial" w:hAnsi="Arial" w:cs="Arial"/>
          <w:color w:val="222222"/>
          <w:sz w:val="24"/>
          <w:szCs w:val="24"/>
          <w:shd w:val="clear" w:color="auto" w:fill="FFFFFF"/>
        </w:rPr>
        <w:t>SenGupta</w:t>
      </w:r>
      <w:proofErr w:type="spellEnd"/>
      <w:r w:rsidR="00EF52E2" w:rsidRPr="00AD783E">
        <w:rPr>
          <w:rFonts w:ascii="Arial" w:hAnsi="Arial" w:cs="Arial"/>
          <w:color w:val="222222"/>
          <w:sz w:val="24"/>
          <w:szCs w:val="24"/>
          <w:shd w:val="clear" w:color="auto" w:fill="FFFFFF"/>
        </w:rPr>
        <w:t xml:space="preserve"> et al., 2019</w:t>
      </w:r>
      <w:r w:rsidR="00EF52E2" w:rsidRPr="00AD783E">
        <w:rPr>
          <w:rFonts w:ascii="Arial" w:hAnsi="Arial" w:cs="Arial"/>
          <w:color w:val="000000" w:themeColor="text1"/>
          <w:sz w:val="24"/>
          <w:szCs w:val="24"/>
        </w:rPr>
        <w:t>)</w:t>
      </w:r>
      <w:r w:rsidR="00C2684C" w:rsidRPr="00AD783E">
        <w:rPr>
          <w:rFonts w:ascii="Arial" w:hAnsi="Arial" w:cs="Arial"/>
          <w:color w:val="000000" w:themeColor="text1"/>
          <w:sz w:val="24"/>
          <w:szCs w:val="24"/>
        </w:rPr>
        <w:t xml:space="preserve">. This strategy is widely used by MNCs </w:t>
      </w:r>
      <w:r w:rsidR="009B162B" w:rsidRPr="00AD783E">
        <w:rPr>
          <w:rFonts w:ascii="Arial" w:hAnsi="Arial" w:cs="Arial"/>
          <w:color w:val="000000" w:themeColor="text1"/>
          <w:sz w:val="24"/>
          <w:szCs w:val="24"/>
        </w:rPr>
        <w:t xml:space="preserve">to lower the exchange rate as well as the interest rates prevalent in different currency markets across the world. </w:t>
      </w:r>
    </w:p>
    <w:p w14:paraId="4B1BEEAA" w14:textId="77777777" w:rsidR="003A07FE" w:rsidRPr="00AD783E" w:rsidRDefault="00DA3280" w:rsidP="00975088">
      <w:pPr>
        <w:pStyle w:val="Heading1"/>
        <w:spacing w:line="360" w:lineRule="auto"/>
        <w:jc w:val="both"/>
        <w:rPr>
          <w:rFonts w:ascii="Arial" w:eastAsia="Times New Roman" w:hAnsi="Arial" w:cs="Arial"/>
          <w:sz w:val="24"/>
          <w:szCs w:val="24"/>
          <w:lang w:val="en-US"/>
        </w:rPr>
      </w:pPr>
      <w:bookmarkStart w:id="4" w:name="_Toc154356409"/>
      <w:r w:rsidRPr="00AD783E">
        <w:rPr>
          <w:rFonts w:ascii="Arial" w:eastAsia="Times New Roman" w:hAnsi="Arial" w:cs="Arial"/>
          <w:sz w:val="24"/>
          <w:szCs w:val="24"/>
          <w:lang w:val="en-US"/>
        </w:rPr>
        <w:t>Diversification</w:t>
      </w:r>
      <w:bookmarkEnd w:id="4"/>
    </w:p>
    <w:p w14:paraId="099FC7BA" w14:textId="77777777" w:rsidR="00DA3280" w:rsidRPr="00AD783E" w:rsidRDefault="00846EED"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This is one of the most significant and crucial strategies adopted by multinational corporations for reducing the exchange risks associated with the exchange of foreign currency</w:t>
      </w:r>
      <w:r w:rsidR="00CC1564" w:rsidRPr="00AD783E">
        <w:rPr>
          <w:rFonts w:ascii="Arial" w:eastAsia="Times New Roman" w:hAnsi="Arial" w:cs="Arial"/>
          <w:bCs/>
          <w:color w:val="000000" w:themeColor="text1"/>
          <w:sz w:val="24"/>
          <w:szCs w:val="24"/>
          <w:lang w:val="en-US"/>
        </w:rPr>
        <w:t xml:space="preserve"> (</w:t>
      </w:r>
      <w:r w:rsidR="00CC1564" w:rsidRPr="00AD783E">
        <w:rPr>
          <w:rFonts w:ascii="Arial" w:hAnsi="Arial" w:cs="Arial"/>
          <w:color w:val="222222"/>
          <w:sz w:val="24"/>
          <w:szCs w:val="24"/>
          <w:shd w:val="clear" w:color="auto" w:fill="FFFFFF"/>
        </w:rPr>
        <w:t>Garratt and Zimmerman, 2020</w:t>
      </w:r>
      <w:r w:rsidR="00CC1564" w:rsidRPr="00AD783E">
        <w:rPr>
          <w:rFonts w:ascii="Arial" w:eastAsia="Times New Roman" w:hAnsi="Arial" w:cs="Arial"/>
          <w:bCs/>
          <w:color w:val="000000" w:themeColor="text1"/>
          <w:sz w:val="24"/>
          <w:szCs w:val="24"/>
          <w:lang w:val="en-US"/>
        </w:rPr>
        <w:t>)</w:t>
      </w:r>
      <w:r w:rsidRPr="00AD783E">
        <w:rPr>
          <w:rFonts w:ascii="Arial" w:eastAsia="Times New Roman" w:hAnsi="Arial" w:cs="Arial"/>
          <w:bCs/>
          <w:color w:val="000000" w:themeColor="text1"/>
          <w:sz w:val="24"/>
          <w:szCs w:val="24"/>
          <w:lang w:val="en-US"/>
        </w:rPr>
        <w:t xml:space="preserve">. </w:t>
      </w:r>
      <w:r w:rsidR="00D5409B" w:rsidRPr="00AD783E">
        <w:rPr>
          <w:rFonts w:ascii="Arial" w:eastAsia="Times New Roman" w:hAnsi="Arial" w:cs="Arial"/>
          <w:bCs/>
          <w:color w:val="000000" w:themeColor="text1"/>
          <w:sz w:val="24"/>
          <w:szCs w:val="24"/>
          <w:lang w:val="en-US"/>
        </w:rPr>
        <w:t xml:space="preserve">Diversification strategy is widely used in corporate operations involving financing across multiple countries over many currencies. </w:t>
      </w:r>
      <w:r w:rsidR="007640B9" w:rsidRPr="00AD783E">
        <w:rPr>
          <w:rFonts w:ascii="Arial" w:eastAsia="Times New Roman" w:hAnsi="Arial" w:cs="Arial"/>
          <w:bCs/>
          <w:color w:val="000000" w:themeColor="text1"/>
          <w:sz w:val="24"/>
          <w:szCs w:val="24"/>
          <w:lang w:val="en-US"/>
        </w:rPr>
        <w:t>The outcome of volatility of exchange rate due to the reliance of a firm on particular currency can be mitigated by the application of this strategy. For instance, if a multinational company operates business in multiple countries and experiences decrease in the currency value of a particular country while having increase in the currency value of other countries then the impact of the decrease in the currency of the particular country can be neutralized. This tactics might include bringing change in the source of materials, production sites, sales market as well as the finance sources</w:t>
      </w:r>
      <w:r w:rsidR="00F30356" w:rsidRPr="00AD783E">
        <w:rPr>
          <w:rFonts w:ascii="Arial" w:eastAsia="Times New Roman" w:hAnsi="Arial" w:cs="Arial"/>
          <w:bCs/>
          <w:color w:val="000000" w:themeColor="text1"/>
          <w:sz w:val="24"/>
          <w:szCs w:val="24"/>
          <w:lang w:val="en-US"/>
        </w:rPr>
        <w:t xml:space="preserve"> </w:t>
      </w:r>
      <w:r w:rsidR="00F30356" w:rsidRPr="00AD783E">
        <w:rPr>
          <w:rFonts w:ascii="Arial" w:hAnsi="Arial" w:cs="Arial"/>
          <w:color w:val="000000" w:themeColor="text1"/>
          <w:sz w:val="24"/>
          <w:szCs w:val="24"/>
        </w:rPr>
        <w:t>(</w:t>
      </w:r>
      <w:r w:rsidR="00F30356" w:rsidRPr="00AD783E">
        <w:rPr>
          <w:rFonts w:ascii="Arial" w:hAnsi="Arial" w:cs="Arial"/>
          <w:color w:val="222222"/>
          <w:sz w:val="24"/>
          <w:szCs w:val="24"/>
          <w:shd w:val="clear" w:color="auto" w:fill="FFFFFF"/>
        </w:rPr>
        <w:t>Alfaro et al., 2021</w:t>
      </w:r>
      <w:r w:rsidR="00F30356" w:rsidRPr="00AD783E">
        <w:rPr>
          <w:rFonts w:ascii="Arial" w:hAnsi="Arial" w:cs="Arial"/>
          <w:color w:val="000000" w:themeColor="text1"/>
          <w:sz w:val="24"/>
          <w:szCs w:val="24"/>
        </w:rPr>
        <w:t>)</w:t>
      </w:r>
      <w:r w:rsidR="007640B9" w:rsidRPr="00AD783E">
        <w:rPr>
          <w:rFonts w:ascii="Arial" w:eastAsia="Times New Roman" w:hAnsi="Arial" w:cs="Arial"/>
          <w:bCs/>
          <w:color w:val="000000" w:themeColor="text1"/>
          <w:sz w:val="24"/>
          <w:szCs w:val="24"/>
          <w:lang w:val="en-US"/>
        </w:rPr>
        <w:t xml:space="preserve">. </w:t>
      </w:r>
      <w:r w:rsidR="00692CDD" w:rsidRPr="00AD783E">
        <w:rPr>
          <w:rFonts w:ascii="Arial" w:eastAsia="Times New Roman" w:hAnsi="Arial" w:cs="Arial"/>
          <w:bCs/>
          <w:color w:val="000000" w:themeColor="text1"/>
          <w:sz w:val="24"/>
          <w:szCs w:val="24"/>
          <w:lang w:val="en-US"/>
        </w:rPr>
        <w:lastRenderedPageBreak/>
        <w:t xml:space="preserve">Achieving a natural equilibrium is the core goal of diversification </w:t>
      </w:r>
      <w:r w:rsidR="00E271C7" w:rsidRPr="00AD783E">
        <w:rPr>
          <w:rFonts w:ascii="Arial" w:eastAsia="Times New Roman" w:hAnsi="Arial" w:cs="Arial"/>
          <w:bCs/>
          <w:color w:val="000000" w:themeColor="text1"/>
          <w:sz w:val="24"/>
          <w:szCs w:val="24"/>
          <w:lang w:val="en-US"/>
        </w:rPr>
        <w:t xml:space="preserve">which enables the firms in balancing the losses in one sector with the gains in other sectors. This strategy helps in ensuring consistent cash flow and profit for the MNCs. </w:t>
      </w:r>
    </w:p>
    <w:p w14:paraId="51BDE77C" w14:textId="77777777" w:rsidR="00E271C7" w:rsidRPr="00AD783E" w:rsidRDefault="00626252" w:rsidP="00975088">
      <w:pPr>
        <w:pStyle w:val="Heading1"/>
        <w:spacing w:line="360" w:lineRule="auto"/>
        <w:jc w:val="both"/>
        <w:rPr>
          <w:rFonts w:ascii="Arial" w:eastAsia="Times New Roman" w:hAnsi="Arial" w:cs="Arial"/>
          <w:sz w:val="24"/>
          <w:szCs w:val="24"/>
          <w:lang w:val="en-US"/>
        </w:rPr>
      </w:pPr>
      <w:bookmarkStart w:id="5" w:name="_Toc154356410"/>
      <w:r w:rsidRPr="00AD783E">
        <w:rPr>
          <w:rFonts w:ascii="Arial" w:eastAsia="Times New Roman" w:hAnsi="Arial" w:cs="Arial"/>
          <w:sz w:val="24"/>
          <w:szCs w:val="24"/>
          <w:lang w:val="en-US"/>
        </w:rPr>
        <w:t>Sharing currency risk</w:t>
      </w:r>
      <w:bookmarkEnd w:id="5"/>
    </w:p>
    <w:p w14:paraId="7D6673BC" w14:textId="77777777" w:rsidR="00626252" w:rsidRPr="00AD783E" w:rsidRDefault="00457B3F"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This is a collective strategy that involves a mutual agreement between different parties engaged in international trade for managing their risks associated with the change of exchange rate</w:t>
      </w:r>
      <w:r w:rsidR="006400ED" w:rsidRPr="00AD783E">
        <w:rPr>
          <w:rFonts w:ascii="Arial" w:eastAsia="Times New Roman" w:hAnsi="Arial" w:cs="Arial"/>
          <w:bCs/>
          <w:color w:val="000000" w:themeColor="text1"/>
          <w:sz w:val="24"/>
          <w:szCs w:val="24"/>
          <w:lang w:val="en-US"/>
        </w:rPr>
        <w:t xml:space="preserve"> (</w:t>
      </w:r>
      <w:r w:rsidR="006400ED" w:rsidRPr="00AD783E">
        <w:rPr>
          <w:rFonts w:ascii="Arial" w:hAnsi="Arial" w:cs="Arial"/>
          <w:color w:val="222222"/>
          <w:sz w:val="24"/>
          <w:szCs w:val="24"/>
          <w:shd w:val="clear" w:color="auto" w:fill="FFFFFF"/>
        </w:rPr>
        <w:t>Amit et al., 2022</w:t>
      </w:r>
      <w:r w:rsidR="006400ED" w:rsidRPr="00AD783E">
        <w:rPr>
          <w:rFonts w:ascii="Arial" w:eastAsia="Times New Roman" w:hAnsi="Arial" w:cs="Arial"/>
          <w:bCs/>
          <w:color w:val="000000" w:themeColor="text1"/>
          <w:sz w:val="24"/>
          <w:szCs w:val="24"/>
          <w:lang w:val="en-US"/>
        </w:rPr>
        <w:t>)</w:t>
      </w:r>
      <w:r w:rsidRPr="00AD783E">
        <w:rPr>
          <w:rFonts w:ascii="Arial" w:eastAsia="Times New Roman" w:hAnsi="Arial" w:cs="Arial"/>
          <w:bCs/>
          <w:color w:val="000000" w:themeColor="text1"/>
          <w:sz w:val="24"/>
          <w:szCs w:val="24"/>
          <w:lang w:val="en-US"/>
        </w:rPr>
        <w:t>. The price of products and services included in the contract are modified frequently aligning with the shifts in currency values. For example, if one of the parties encounter</w:t>
      </w:r>
      <w:r w:rsidR="003B7BFC" w:rsidRPr="00AD783E">
        <w:rPr>
          <w:rFonts w:ascii="Arial" w:eastAsia="Times New Roman" w:hAnsi="Arial" w:cs="Arial"/>
          <w:bCs/>
          <w:color w:val="000000" w:themeColor="text1"/>
          <w:sz w:val="24"/>
          <w:szCs w:val="24"/>
          <w:lang w:val="en-US"/>
        </w:rPr>
        <w:t>s</w:t>
      </w:r>
      <w:r w:rsidRPr="00AD783E">
        <w:rPr>
          <w:rFonts w:ascii="Arial" w:eastAsia="Times New Roman" w:hAnsi="Arial" w:cs="Arial"/>
          <w:bCs/>
          <w:color w:val="000000" w:themeColor="text1"/>
          <w:sz w:val="24"/>
          <w:szCs w:val="24"/>
          <w:lang w:val="en-US"/>
        </w:rPr>
        <w:t xml:space="preserve"> disadvantages due to the change of </w:t>
      </w:r>
      <w:r w:rsidR="003B7BFC" w:rsidRPr="00AD783E">
        <w:rPr>
          <w:rFonts w:ascii="Arial" w:eastAsia="Times New Roman" w:hAnsi="Arial" w:cs="Arial"/>
          <w:bCs/>
          <w:color w:val="000000" w:themeColor="text1"/>
          <w:sz w:val="24"/>
          <w:szCs w:val="24"/>
          <w:lang w:val="en-US"/>
        </w:rPr>
        <w:t>currency</w:t>
      </w:r>
      <w:r w:rsidRPr="00AD783E">
        <w:rPr>
          <w:rFonts w:ascii="Arial" w:eastAsia="Times New Roman" w:hAnsi="Arial" w:cs="Arial"/>
          <w:bCs/>
          <w:color w:val="000000" w:themeColor="text1"/>
          <w:sz w:val="24"/>
          <w:szCs w:val="24"/>
          <w:lang w:val="en-US"/>
        </w:rPr>
        <w:t xml:space="preserve"> rate then the other parties involved in the contract will be equally or proportionately </w:t>
      </w:r>
      <w:r w:rsidR="003B7BFC" w:rsidRPr="00AD783E">
        <w:rPr>
          <w:rFonts w:ascii="Arial" w:eastAsia="Times New Roman" w:hAnsi="Arial" w:cs="Arial"/>
          <w:bCs/>
          <w:color w:val="000000" w:themeColor="text1"/>
          <w:sz w:val="24"/>
          <w:szCs w:val="24"/>
          <w:lang w:val="en-US"/>
        </w:rPr>
        <w:t>distributing the financial</w:t>
      </w:r>
      <w:r w:rsidRPr="00AD783E">
        <w:rPr>
          <w:rFonts w:ascii="Arial" w:eastAsia="Times New Roman" w:hAnsi="Arial" w:cs="Arial"/>
          <w:bCs/>
          <w:color w:val="000000" w:themeColor="text1"/>
          <w:sz w:val="24"/>
          <w:szCs w:val="24"/>
          <w:lang w:val="en-US"/>
        </w:rPr>
        <w:t xml:space="preserve"> impact among themselves </w:t>
      </w:r>
      <w:r w:rsidR="003B7BFC" w:rsidRPr="00AD783E">
        <w:rPr>
          <w:rFonts w:ascii="Arial" w:eastAsia="Times New Roman" w:hAnsi="Arial" w:cs="Arial"/>
          <w:bCs/>
          <w:color w:val="000000" w:themeColor="text1"/>
          <w:sz w:val="24"/>
          <w:szCs w:val="24"/>
          <w:lang w:val="en-US"/>
        </w:rPr>
        <w:t xml:space="preserve">for limiting the risks on one side shoulder. </w:t>
      </w:r>
      <w:r w:rsidR="00AB54DA" w:rsidRPr="00AD783E">
        <w:rPr>
          <w:rFonts w:ascii="Arial" w:eastAsia="Times New Roman" w:hAnsi="Arial" w:cs="Arial"/>
          <w:bCs/>
          <w:color w:val="000000" w:themeColor="text1"/>
          <w:sz w:val="24"/>
          <w:szCs w:val="24"/>
          <w:lang w:val="en-US"/>
        </w:rPr>
        <w:t xml:space="preserve">This strategy basically forms a collaborative relationship amongst the parties for sustaining a long term partnership. </w:t>
      </w:r>
    </w:p>
    <w:p w14:paraId="5E72DE85" w14:textId="77777777" w:rsidR="00AB54DA" w:rsidRPr="00AD783E" w:rsidRDefault="00AB54DA" w:rsidP="00975088">
      <w:pPr>
        <w:pStyle w:val="Heading1"/>
        <w:spacing w:line="360" w:lineRule="auto"/>
        <w:jc w:val="both"/>
        <w:rPr>
          <w:rFonts w:ascii="Arial" w:eastAsia="Times New Roman" w:hAnsi="Arial" w:cs="Arial"/>
          <w:sz w:val="24"/>
          <w:szCs w:val="24"/>
          <w:lang w:val="en-US"/>
        </w:rPr>
      </w:pPr>
      <w:bookmarkStart w:id="6" w:name="_Toc154356411"/>
      <w:r w:rsidRPr="00AD783E">
        <w:rPr>
          <w:rFonts w:ascii="Arial" w:eastAsia="Times New Roman" w:hAnsi="Arial" w:cs="Arial"/>
          <w:sz w:val="24"/>
          <w:szCs w:val="24"/>
          <w:lang w:val="en-US"/>
        </w:rPr>
        <w:t>Netting</w:t>
      </w:r>
      <w:bookmarkEnd w:id="6"/>
    </w:p>
    <w:p w14:paraId="77CF6B74" w14:textId="77777777" w:rsidR="00AB54DA" w:rsidRPr="00AD783E" w:rsidRDefault="006517DB"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This is another significant and effective strategy to manage the currency risks by maintaining equilibrium in the receivables and payables. Netting strategy can be applied both internally and externally across the subsidiaries of MNCs</w:t>
      </w:r>
      <w:r w:rsidR="006400ED" w:rsidRPr="00AD783E">
        <w:rPr>
          <w:rFonts w:ascii="Arial" w:eastAsia="Times New Roman" w:hAnsi="Arial" w:cs="Arial"/>
          <w:bCs/>
          <w:color w:val="000000" w:themeColor="text1"/>
          <w:sz w:val="24"/>
          <w:szCs w:val="24"/>
          <w:lang w:val="en-US"/>
        </w:rPr>
        <w:t xml:space="preserve"> (</w:t>
      </w:r>
      <w:r w:rsidR="006400ED" w:rsidRPr="00AD783E">
        <w:rPr>
          <w:rFonts w:ascii="Arial" w:hAnsi="Arial" w:cs="Arial"/>
          <w:color w:val="222222"/>
          <w:sz w:val="24"/>
          <w:szCs w:val="24"/>
          <w:shd w:val="clear" w:color="auto" w:fill="FFFFFF"/>
        </w:rPr>
        <w:t>Garratt and Zimmerman, 2020</w:t>
      </w:r>
      <w:r w:rsidR="006400ED" w:rsidRPr="00AD783E">
        <w:rPr>
          <w:rFonts w:ascii="Arial" w:eastAsia="Times New Roman" w:hAnsi="Arial" w:cs="Arial"/>
          <w:bCs/>
          <w:color w:val="000000" w:themeColor="text1"/>
          <w:sz w:val="24"/>
          <w:szCs w:val="24"/>
          <w:lang w:val="en-US"/>
        </w:rPr>
        <w:t>)</w:t>
      </w:r>
      <w:r w:rsidRPr="00AD783E">
        <w:rPr>
          <w:rFonts w:ascii="Arial" w:eastAsia="Times New Roman" w:hAnsi="Arial" w:cs="Arial"/>
          <w:bCs/>
          <w:color w:val="000000" w:themeColor="text1"/>
          <w:sz w:val="24"/>
          <w:szCs w:val="24"/>
          <w:lang w:val="en-US"/>
        </w:rPr>
        <w:t xml:space="preserve">. </w:t>
      </w:r>
      <w:r w:rsidR="00D7156A" w:rsidRPr="00AD783E">
        <w:rPr>
          <w:rFonts w:ascii="Arial" w:eastAsia="Times New Roman" w:hAnsi="Arial" w:cs="Arial"/>
          <w:bCs/>
          <w:color w:val="000000" w:themeColor="text1"/>
          <w:sz w:val="24"/>
          <w:szCs w:val="24"/>
          <w:lang w:val="en-US"/>
        </w:rPr>
        <w:t xml:space="preserve">If a multinational company has both account receivable and account payables in euros it can apply the netting method for netting the euro-denominated transactions against one another for lowing its exposures to the exchange rate fluctuations of euros. </w:t>
      </w:r>
      <w:r w:rsidR="00046782" w:rsidRPr="00AD783E">
        <w:rPr>
          <w:rFonts w:ascii="Arial" w:eastAsia="Times New Roman" w:hAnsi="Arial" w:cs="Arial"/>
          <w:bCs/>
          <w:color w:val="000000" w:themeColor="text1"/>
          <w:sz w:val="24"/>
          <w:szCs w:val="24"/>
          <w:lang w:val="en-US"/>
        </w:rPr>
        <w:t xml:space="preserve">The application of netting method helps in reducing the cost of converting the currencies into another currency. The management of </w:t>
      </w:r>
      <w:r w:rsidR="00EE115F" w:rsidRPr="00AD783E">
        <w:rPr>
          <w:rFonts w:ascii="Arial" w:eastAsia="Times New Roman" w:hAnsi="Arial" w:cs="Arial"/>
          <w:bCs/>
          <w:color w:val="000000" w:themeColor="text1"/>
          <w:sz w:val="24"/>
          <w:szCs w:val="24"/>
          <w:lang w:val="en-US"/>
        </w:rPr>
        <w:t>transactions</w:t>
      </w:r>
      <w:r w:rsidR="00046782" w:rsidRPr="00AD783E">
        <w:rPr>
          <w:rFonts w:ascii="Arial" w:eastAsia="Times New Roman" w:hAnsi="Arial" w:cs="Arial"/>
          <w:bCs/>
          <w:color w:val="000000" w:themeColor="text1"/>
          <w:sz w:val="24"/>
          <w:szCs w:val="24"/>
          <w:lang w:val="en-US"/>
        </w:rPr>
        <w:t xml:space="preserve"> into various currencies can be easily streamlined through the adoption of netting which also helps in </w:t>
      </w:r>
      <w:r w:rsidR="00EE115F" w:rsidRPr="00AD783E">
        <w:rPr>
          <w:rFonts w:ascii="Arial" w:eastAsia="Times New Roman" w:hAnsi="Arial" w:cs="Arial"/>
          <w:bCs/>
          <w:color w:val="000000" w:themeColor="text1"/>
          <w:sz w:val="24"/>
          <w:szCs w:val="24"/>
          <w:lang w:val="en-US"/>
        </w:rPr>
        <w:t>enhancing</w:t>
      </w:r>
      <w:r w:rsidR="00046782" w:rsidRPr="00AD783E">
        <w:rPr>
          <w:rFonts w:ascii="Arial" w:eastAsia="Times New Roman" w:hAnsi="Arial" w:cs="Arial"/>
          <w:bCs/>
          <w:color w:val="000000" w:themeColor="text1"/>
          <w:sz w:val="24"/>
          <w:szCs w:val="24"/>
          <w:lang w:val="en-US"/>
        </w:rPr>
        <w:t xml:space="preserve"> efficiency as well as cost-effectiveness of financial management. </w:t>
      </w:r>
    </w:p>
    <w:p w14:paraId="6B5A4ADB" w14:textId="77777777" w:rsidR="006517DB" w:rsidRPr="00AD783E" w:rsidRDefault="005B1116" w:rsidP="00975088">
      <w:pPr>
        <w:pStyle w:val="Heading1"/>
        <w:spacing w:line="360" w:lineRule="auto"/>
        <w:jc w:val="both"/>
        <w:rPr>
          <w:rFonts w:ascii="Arial" w:eastAsia="Times New Roman" w:hAnsi="Arial" w:cs="Arial"/>
          <w:sz w:val="24"/>
          <w:szCs w:val="24"/>
          <w:lang w:val="en-US"/>
        </w:rPr>
      </w:pPr>
      <w:bookmarkStart w:id="7" w:name="_Toc154356412"/>
      <w:r w:rsidRPr="00AD783E">
        <w:rPr>
          <w:rFonts w:ascii="Arial" w:eastAsia="Times New Roman" w:hAnsi="Arial" w:cs="Arial"/>
          <w:sz w:val="24"/>
          <w:szCs w:val="24"/>
          <w:lang w:val="en-US"/>
        </w:rPr>
        <w:t>Matching</w:t>
      </w:r>
      <w:bookmarkEnd w:id="7"/>
    </w:p>
    <w:p w14:paraId="01F6AE5F" w14:textId="77777777" w:rsidR="005B1116" w:rsidRPr="00AD783E" w:rsidRDefault="00A20C73"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This is a financial strategy allowing a multinational corporation to align its cash flows with the same currency of other subsidiaries of the firm. The theme of the strategy is to synchronize the cash inflows and outflows of the corporation in the same currency for minimizing the overall risks associated with the exchange rate</w:t>
      </w:r>
      <w:r w:rsidR="00B25E52" w:rsidRPr="00AD783E">
        <w:rPr>
          <w:rFonts w:ascii="Arial" w:eastAsia="Times New Roman" w:hAnsi="Arial" w:cs="Arial"/>
          <w:bCs/>
          <w:color w:val="000000" w:themeColor="text1"/>
          <w:sz w:val="24"/>
          <w:szCs w:val="24"/>
          <w:lang w:val="en-US"/>
        </w:rPr>
        <w:t xml:space="preserve"> (</w:t>
      </w:r>
      <w:proofErr w:type="spellStart"/>
      <w:r w:rsidR="00B25E52" w:rsidRPr="00AD783E">
        <w:rPr>
          <w:rFonts w:ascii="Arial" w:hAnsi="Arial" w:cs="Arial"/>
          <w:color w:val="222222"/>
          <w:sz w:val="24"/>
          <w:szCs w:val="24"/>
          <w:shd w:val="clear" w:color="auto" w:fill="FFFFFF"/>
        </w:rPr>
        <w:t>Avdjiev</w:t>
      </w:r>
      <w:proofErr w:type="spellEnd"/>
      <w:r w:rsidR="00B25E52" w:rsidRPr="00AD783E">
        <w:rPr>
          <w:rFonts w:ascii="Arial" w:hAnsi="Arial" w:cs="Arial"/>
          <w:color w:val="222222"/>
          <w:sz w:val="24"/>
          <w:szCs w:val="24"/>
          <w:shd w:val="clear" w:color="auto" w:fill="FFFFFF"/>
        </w:rPr>
        <w:t xml:space="preserve"> et al., 2019</w:t>
      </w:r>
      <w:r w:rsidR="00B25E52" w:rsidRPr="00AD783E">
        <w:rPr>
          <w:rFonts w:ascii="Arial" w:eastAsia="Times New Roman" w:hAnsi="Arial" w:cs="Arial"/>
          <w:bCs/>
          <w:color w:val="000000" w:themeColor="text1"/>
          <w:sz w:val="24"/>
          <w:szCs w:val="24"/>
          <w:lang w:val="en-US"/>
        </w:rPr>
        <w:t>)</w:t>
      </w:r>
      <w:r w:rsidRPr="00AD783E">
        <w:rPr>
          <w:rFonts w:ascii="Arial" w:eastAsia="Times New Roman" w:hAnsi="Arial" w:cs="Arial"/>
          <w:bCs/>
          <w:color w:val="000000" w:themeColor="text1"/>
          <w:sz w:val="24"/>
          <w:szCs w:val="24"/>
          <w:lang w:val="en-US"/>
        </w:rPr>
        <w:t xml:space="preserve">. For </w:t>
      </w:r>
      <w:r w:rsidRPr="00AD783E">
        <w:rPr>
          <w:rFonts w:ascii="Arial" w:eastAsia="Times New Roman" w:hAnsi="Arial" w:cs="Arial"/>
          <w:bCs/>
          <w:color w:val="000000" w:themeColor="text1"/>
          <w:sz w:val="24"/>
          <w:szCs w:val="24"/>
          <w:lang w:val="en-US"/>
        </w:rPr>
        <w:lastRenderedPageBreak/>
        <w:t xml:space="preserve">instance, if one of the subsidiaries of a multinational corporation receives revenues in euros while another subsidiary of the firm also incurs expenses in euro then the MNC can align both of the transactions for reducing the requirements of converting the currencies to minimize currency risks. </w:t>
      </w:r>
      <w:r w:rsidR="005B58F2" w:rsidRPr="00AD783E">
        <w:rPr>
          <w:rFonts w:ascii="Arial" w:eastAsia="Times New Roman" w:hAnsi="Arial" w:cs="Arial"/>
          <w:bCs/>
          <w:color w:val="000000" w:themeColor="text1"/>
          <w:sz w:val="24"/>
          <w:szCs w:val="24"/>
          <w:lang w:val="en-US"/>
        </w:rPr>
        <w:t xml:space="preserve">The adverse impact of variability of the exchange rate of euro over the entire corporation can be significantly reduced by the adoption of matching strategy. This strategy enables the MNC in effectively managing its exposure to the currency risks. It also helps in ensuring that there is a minimal effect of currency exchange rate on the overall financial performance of the corporation. </w:t>
      </w:r>
    </w:p>
    <w:p w14:paraId="6F8C1AE5" w14:textId="77777777" w:rsidR="005B58F2" w:rsidRPr="00AD783E" w:rsidRDefault="00CF08D9" w:rsidP="00975088">
      <w:pPr>
        <w:pStyle w:val="Heading1"/>
        <w:spacing w:line="360" w:lineRule="auto"/>
        <w:jc w:val="both"/>
        <w:rPr>
          <w:rFonts w:ascii="Arial" w:eastAsia="Times New Roman" w:hAnsi="Arial" w:cs="Arial"/>
          <w:sz w:val="24"/>
          <w:szCs w:val="24"/>
          <w:lang w:val="en-US"/>
        </w:rPr>
      </w:pPr>
      <w:bookmarkStart w:id="8" w:name="_Toc154356413"/>
      <w:r w:rsidRPr="00AD783E">
        <w:rPr>
          <w:rFonts w:ascii="Arial" w:eastAsia="Times New Roman" w:hAnsi="Arial" w:cs="Arial"/>
          <w:sz w:val="24"/>
          <w:szCs w:val="24"/>
          <w:lang w:val="en-US"/>
        </w:rPr>
        <w:t>Natural hedging</w:t>
      </w:r>
      <w:bookmarkEnd w:id="8"/>
    </w:p>
    <w:p w14:paraId="6CF0BFB9" w14:textId="77777777" w:rsidR="00CF08D9" w:rsidRPr="00AD783E" w:rsidRDefault="00CF08D9"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This can also be called as operational hedging which is basically a strategic approach used to manage the risks associated with the foreign exchange by making operational decisions</w:t>
      </w:r>
      <w:r w:rsidR="00D73C3D" w:rsidRPr="00AD783E">
        <w:rPr>
          <w:rFonts w:ascii="Arial" w:eastAsia="Times New Roman" w:hAnsi="Arial" w:cs="Arial"/>
          <w:bCs/>
          <w:color w:val="000000" w:themeColor="text1"/>
          <w:sz w:val="24"/>
          <w:szCs w:val="24"/>
          <w:lang w:val="en-US"/>
        </w:rPr>
        <w:t xml:space="preserve"> (</w:t>
      </w:r>
      <w:proofErr w:type="spellStart"/>
      <w:r w:rsidR="00D73C3D" w:rsidRPr="00AD783E">
        <w:rPr>
          <w:rFonts w:ascii="Arial" w:hAnsi="Arial" w:cs="Arial"/>
          <w:color w:val="222222"/>
          <w:sz w:val="24"/>
          <w:szCs w:val="24"/>
          <w:shd w:val="clear" w:color="auto" w:fill="FFFFFF"/>
        </w:rPr>
        <w:t>Boudoukh</w:t>
      </w:r>
      <w:proofErr w:type="spellEnd"/>
      <w:r w:rsidR="00D73C3D" w:rsidRPr="00AD783E">
        <w:rPr>
          <w:rFonts w:ascii="Arial" w:hAnsi="Arial" w:cs="Arial"/>
          <w:color w:val="222222"/>
          <w:sz w:val="24"/>
          <w:szCs w:val="24"/>
          <w:shd w:val="clear" w:color="auto" w:fill="FFFFFF"/>
        </w:rPr>
        <w:t xml:space="preserve"> et al., 2019</w:t>
      </w:r>
      <w:r w:rsidR="00D73C3D" w:rsidRPr="00AD783E">
        <w:rPr>
          <w:rFonts w:ascii="Arial" w:eastAsia="Times New Roman" w:hAnsi="Arial" w:cs="Arial"/>
          <w:bCs/>
          <w:color w:val="000000" w:themeColor="text1"/>
          <w:sz w:val="24"/>
          <w:szCs w:val="24"/>
          <w:lang w:val="en-US"/>
        </w:rPr>
        <w:t>)</w:t>
      </w:r>
      <w:r w:rsidRPr="00AD783E">
        <w:rPr>
          <w:rFonts w:ascii="Arial" w:eastAsia="Times New Roman" w:hAnsi="Arial" w:cs="Arial"/>
          <w:bCs/>
          <w:color w:val="000000" w:themeColor="text1"/>
          <w:sz w:val="24"/>
          <w:szCs w:val="24"/>
          <w:lang w:val="en-US"/>
        </w:rPr>
        <w:t xml:space="preserve">. Under this method, MNCs make decisions to purchase the raw materials and other inputs from countries with the same currency region in which the products or services of the firms are sold. This is very helpful for the multinational corporations for aligning their expenditure framework with their income stream in the same currency. </w:t>
      </w:r>
      <w:r w:rsidR="001750D2" w:rsidRPr="00AD783E">
        <w:rPr>
          <w:rFonts w:ascii="Arial" w:eastAsia="Times New Roman" w:hAnsi="Arial" w:cs="Arial"/>
          <w:bCs/>
          <w:color w:val="000000" w:themeColor="text1"/>
          <w:sz w:val="24"/>
          <w:szCs w:val="24"/>
          <w:lang w:val="en-US"/>
        </w:rPr>
        <w:t xml:space="preserve">This helps in countering the effects of fluctuations of the currency rate. </w:t>
      </w:r>
    </w:p>
    <w:p w14:paraId="6AF808C7" w14:textId="77777777" w:rsidR="00CF08D9" w:rsidRPr="00AD783E" w:rsidRDefault="009B41A9" w:rsidP="00975088">
      <w:pPr>
        <w:pStyle w:val="Heading1"/>
        <w:spacing w:line="360" w:lineRule="auto"/>
        <w:jc w:val="both"/>
        <w:rPr>
          <w:rFonts w:ascii="Arial" w:eastAsia="Times New Roman" w:hAnsi="Arial" w:cs="Arial"/>
          <w:sz w:val="24"/>
          <w:szCs w:val="24"/>
          <w:lang w:val="en-US"/>
        </w:rPr>
      </w:pPr>
      <w:bookmarkStart w:id="9" w:name="_Toc154356414"/>
      <w:r w:rsidRPr="00AD783E">
        <w:rPr>
          <w:rFonts w:ascii="Arial" w:eastAsia="Times New Roman" w:hAnsi="Arial" w:cs="Arial"/>
          <w:sz w:val="24"/>
          <w:szCs w:val="24"/>
          <w:lang w:val="en-US"/>
        </w:rPr>
        <w:t>Conclusion</w:t>
      </w:r>
      <w:bookmarkEnd w:id="9"/>
    </w:p>
    <w:p w14:paraId="48759BC6" w14:textId="77777777" w:rsidR="009B41A9" w:rsidRPr="00AD783E" w:rsidRDefault="009B41A9" w:rsidP="00975088">
      <w:pPr>
        <w:spacing w:after="240" w:line="360" w:lineRule="auto"/>
        <w:jc w:val="both"/>
        <w:rPr>
          <w:rFonts w:ascii="Arial" w:eastAsia="Times New Roman" w:hAnsi="Arial" w:cs="Arial"/>
          <w:bCs/>
          <w:color w:val="000000" w:themeColor="text1"/>
          <w:sz w:val="24"/>
          <w:szCs w:val="24"/>
          <w:lang w:val="en-US"/>
        </w:rPr>
      </w:pPr>
      <w:r w:rsidRPr="00AD783E">
        <w:rPr>
          <w:rFonts w:ascii="Arial" w:eastAsia="Times New Roman" w:hAnsi="Arial" w:cs="Arial"/>
          <w:bCs/>
          <w:color w:val="000000" w:themeColor="text1"/>
          <w:sz w:val="24"/>
          <w:szCs w:val="24"/>
          <w:lang w:val="en-US"/>
        </w:rPr>
        <w:t xml:space="preserve">This is very crucial for multinational corporations to manage currency risks by the adoption of suitable strategies. </w:t>
      </w:r>
      <w:r w:rsidR="00F20448" w:rsidRPr="00AD783E">
        <w:rPr>
          <w:rFonts w:ascii="Arial" w:eastAsia="Times New Roman" w:hAnsi="Arial" w:cs="Arial"/>
          <w:bCs/>
          <w:color w:val="000000" w:themeColor="text1"/>
          <w:sz w:val="24"/>
          <w:szCs w:val="24"/>
          <w:lang w:val="en-US"/>
        </w:rPr>
        <w:t xml:space="preserve">Firms can adopt any of the strategies according to their need and consequences. Specific risk profiles of the company, characteristics of the company’s foreign activities as well as the status of market have impact on the selection of specific strategy to manage the currency risks in the international market. A deep understanding of the complexity of international market is also required for managing currency risks. </w:t>
      </w:r>
    </w:p>
    <w:p w14:paraId="62E5E0E8" w14:textId="77777777" w:rsidR="00CF08D9" w:rsidRPr="00AD783E" w:rsidRDefault="00CF08D9" w:rsidP="00975088">
      <w:pPr>
        <w:spacing w:after="240" w:line="360" w:lineRule="auto"/>
        <w:jc w:val="both"/>
        <w:rPr>
          <w:rFonts w:ascii="Arial" w:eastAsia="Times New Roman" w:hAnsi="Arial" w:cs="Arial"/>
          <w:b/>
          <w:bCs/>
          <w:color w:val="000000" w:themeColor="text1"/>
          <w:sz w:val="24"/>
          <w:szCs w:val="24"/>
          <w:lang w:val="en-US"/>
        </w:rPr>
      </w:pPr>
    </w:p>
    <w:p w14:paraId="27F2064A" w14:textId="77777777" w:rsidR="00F20448" w:rsidRPr="00AD783E" w:rsidRDefault="00F20448" w:rsidP="00975088">
      <w:pPr>
        <w:spacing w:after="240" w:line="360" w:lineRule="auto"/>
        <w:jc w:val="both"/>
        <w:rPr>
          <w:rFonts w:ascii="Arial" w:eastAsia="Times New Roman" w:hAnsi="Arial" w:cs="Arial"/>
          <w:color w:val="000000" w:themeColor="text1"/>
          <w:sz w:val="24"/>
          <w:szCs w:val="24"/>
          <w:lang w:val="en-US"/>
        </w:rPr>
      </w:pPr>
    </w:p>
    <w:p w14:paraId="0AE80ED7" w14:textId="77777777" w:rsidR="00F20448" w:rsidRPr="00AD783E" w:rsidRDefault="00F20448" w:rsidP="00975088">
      <w:pPr>
        <w:spacing w:line="360" w:lineRule="auto"/>
        <w:jc w:val="both"/>
        <w:rPr>
          <w:rFonts w:ascii="Arial" w:eastAsia="Times New Roman" w:hAnsi="Arial" w:cs="Arial"/>
          <w:color w:val="000000" w:themeColor="text1"/>
          <w:sz w:val="24"/>
          <w:szCs w:val="24"/>
          <w:lang w:val="en-US"/>
        </w:rPr>
      </w:pPr>
      <w:r w:rsidRPr="00AD783E">
        <w:rPr>
          <w:rFonts w:ascii="Arial" w:eastAsia="Times New Roman" w:hAnsi="Arial" w:cs="Arial"/>
          <w:color w:val="000000" w:themeColor="text1"/>
          <w:sz w:val="24"/>
          <w:szCs w:val="24"/>
          <w:lang w:val="en-US"/>
        </w:rPr>
        <w:br w:type="page"/>
      </w:r>
    </w:p>
    <w:p w14:paraId="038E0C4D" w14:textId="77777777" w:rsidR="00B70001" w:rsidRPr="00AD783E" w:rsidRDefault="00F20448" w:rsidP="00975088">
      <w:pPr>
        <w:pStyle w:val="Heading1"/>
        <w:spacing w:line="360" w:lineRule="auto"/>
        <w:jc w:val="both"/>
        <w:rPr>
          <w:rFonts w:ascii="Arial" w:hAnsi="Arial" w:cs="Arial"/>
          <w:sz w:val="24"/>
          <w:szCs w:val="24"/>
        </w:rPr>
      </w:pPr>
      <w:bookmarkStart w:id="10" w:name="_Toc154356415"/>
      <w:r w:rsidRPr="00AD783E">
        <w:rPr>
          <w:rFonts w:ascii="Arial" w:hAnsi="Arial" w:cs="Arial"/>
          <w:sz w:val="24"/>
          <w:szCs w:val="24"/>
        </w:rPr>
        <w:lastRenderedPageBreak/>
        <w:t>References</w:t>
      </w:r>
      <w:bookmarkEnd w:id="10"/>
    </w:p>
    <w:p w14:paraId="7B7A904E"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lang w:val="it-IT"/>
        </w:rPr>
        <w:t xml:space="preserve">Alfaro, L., </w:t>
      </w:r>
      <w:proofErr w:type="spellStart"/>
      <w:r w:rsidRPr="00060D02">
        <w:rPr>
          <w:rFonts w:ascii="Arial" w:hAnsi="Arial" w:cs="Arial"/>
          <w:color w:val="222222"/>
          <w:sz w:val="24"/>
          <w:szCs w:val="24"/>
          <w:shd w:val="clear" w:color="auto" w:fill="FFFFFF"/>
          <w:lang w:val="it-IT"/>
        </w:rPr>
        <w:t>Calani</w:t>
      </w:r>
      <w:proofErr w:type="spellEnd"/>
      <w:r w:rsidRPr="00060D02">
        <w:rPr>
          <w:rFonts w:ascii="Arial" w:hAnsi="Arial" w:cs="Arial"/>
          <w:color w:val="222222"/>
          <w:sz w:val="24"/>
          <w:szCs w:val="24"/>
          <w:shd w:val="clear" w:color="auto" w:fill="FFFFFF"/>
          <w:lang w:val="it-IT"/>
        </w:rPr>
        <w:t>, M. and Varela, L., 2021. </w:t>
      </w:r>
      <w:r w:rsidRPr="00060D02">
        <w:rPr>
          <w:rFonts w:ascii="Arial" w:hAnsi="Arial" w:cs="Arial"/>
          <w:i/>
          <w:iCs/>
          <w:color w:val="222222"/>
          <w:sz w:val="24"/>
          <w:szCs w:val="24"/>
          <w:shd w:val="clear" w:color="auto" w:fill="FFFFFF"/>
        </w:rPr>
        <w:t>Currency hedging in emerging markets: Managing cash flow exposure</w:t>
      </w:r>
      <w:r w:rsidRPr="00060D02">
        <w:rPr>
          <w:rFonts w:ascii="Arial" w:hAnsi="Arial" w:cs="Arial"/>
          <w:color w:val="222222"/>
          <w:sz w:val="24"/>
          <w:szCs w:val="24"/>
          <w:shd w:val="clear" w:color="auto" w:fill="FFFFFF"/>
        </w:rPr>
        <w:t>. Centre for Economic Policy Research.</w:t>
      </w:r>
    </w:p>
    <w:p w14:paraId="27FEF23B"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rPr>
        <w:t>Alonso-Monsalve, S., Suárez-Cetrulo, A.L., Cervantes, A. and Quintana, D., 2020. Convolution on neural networks for high-frequency trend prediction of cryptocurrency exchange rates using technical indicators. </w:t>
      </w:r>
      <w:r w:rsidRPr="00060D02">
        <w:rPr>
          <w:rFonts w:ascii="Arial" w:hAnsi="Arial" w:cs="Arial"/>
          <w:i/>
          <w:iCs/>
          <w:color w:val="222222"/>
          <w:sz w:val="24"/>
          <w:szCs w:val="24"/>
          <w:shd w:val="clear" w:color="auto" w:fill="FFFFFF"/>
        </w:rPr>
        <w:t>Expert Systems with Applications</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149</w:t>
      </w:r>
      <w:r w:rsidRPr="00060D02">
        <w:rPr>
          <w:rFonts w:ascii="Arial" w:hAnsi="Arial" w:cs="Arial"/>
          <w:color w:val="222222"/>
          <w:sz w:val="24"/>
          <w:szCs w:val="24"/>
          <w:shd w:val="clear" w:color="auto" w:fill="FFFFFF"/>
        </w:rPr>
        <w:t>, p.113250.</w:t>
      </w:r>
    </w:p>
    <w:p w14:paraId="7A9F7881"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lang w:val="de-DE"/>
        </w:rPr>
        <w:t xml:space="preserve">Amit, R., Glosten, L. and Muller, E., 2022. </w:t>
      </w:r>
      <w:r w:rsidRPr="00060D02">
        <w:rPr>
          <w:rFonts w:ascii="Arial" w:hAnsi="Arial" w:cs="Arial"/>
          <w:color w:val="222222"/>
          <w:sz w:val="24"/>
          <w:szCs w:val="24"/>
          <w:shd w:val="clear" w:color="auto" w:fill="FFFFFF"/>
        </w:rPr>
        <w:t>Entrepreneurial ability, venture investments, and risk sharing. In </w:t>
      </w:r>
      <w:r w:rsidRPr="00060D02">
        <w:rPr>
          <w:rFonts w:ascii="Arial" w:hAnsi="Arial" w:cs="Arial"/>
          <w:i/>
          <w:iCs/>
          <w:color w:val="222222"/>
          <w:sz w:val="24"/>
          <w:szCs w:val="24"/>
          <w:shd w:val="clear" w:color="auto" w:fill="FFFFFF"/>
        </w:rPr>
        <w:t>Venture Capital</w:t>
      </w:r>
      <w:r w:rsidRPr="00060D02">
        <w:rPr>
          <w:rFonts w:ascii="Arial" w:hAnsi="Arial" w:cs="Arial"/>
          <w:color w:val="222222"/>
          <w:sz w:val="24"/>
          <w:szCs w:val="24"/>
          <w:shd w:val="clear" w:color="auto" w:fill="FFFFFF"/>
        </w:rPr>
        <w:t> (pp. 135-148). Routledge</w:t>
      </w:r>
    </w:p>
    <w:p w14:paraId="52DEDA1C"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proofErr w:type="spellStart"/>
      <w:r w:rsidRPr="00060D02">
        <w:rPr>
          <w:rFonts w:ascii="Arial" w:hAnsi="Arial" w:cs="Arial"/>
          <w:color w:val="222222"/>
          <w:sz w:val="24"/>
          <w:szCs w:val="24"/>
          <w:shd w:val="clear" w:color="auto" w:fill="FFFFFF"/>
        </w:rPr>
        <w:t>Avdjiev</w:t>
      </w:r>
      <w:proofErr w:type="spellEnd"/>
      <w:r w:rsidRPr="00060D02">
        <w:rPr>
          <w:rFonts w:ascii="Arial" w:hAnsi="Arial" w:cs="Arial"/>
          <w:color w:val="222222"/>
          <w:sz w:val="24"/>
          <w:szCs w:val="24"/>
          <w:shd w:val="clear" w:color="auto" w:fill="FFFFFF"/>
        </w:rPr>
        <w:t>, S., Bruno, V., Koch, C. and Shin, H.S., 2019. The dollar exchange rate as a global risk factor: evidence from investment. </w:t>
      </w:r>
      <w:r w:rsidRPr="00060D02">
        <w:rPr>
          <w:rFonts w:ascii="Arial" w:hAnsi="Arial" w:cs="Arial"/>
          <w:i/>
          <w:iCs/>
          <w:color w:val="222222"/>
          <w:sz w:val="24"/>
          <w:szCs w:val="24"/>
          <w:shd w:val="clear" w:color="auto" w:fill="FFFFFF"/>
        </w:rPr>
        <w:t>IMF Economic Review</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67</w:t>
      </w:r>
      <w:r w:rsidRPr="00060D02">
        <w:rPr>
          <w:rFonts w:ascii="Arial" w:hAnsi="Arial" w:cs="Arial"/>
          <w:color w:val="222222"/>
          <w:sz w:val="24"/>
          <w:szCs w:val="24"/>
          <w:shd w:val="clear" w:color="auto" w:fill="FFFFFF"/>
        </w:rPr>
        <w:t>, pp.151-173.</w:t>
      </w:r>
    </w:p>
    <w:p w14:paraId="4A6237B7"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rPr>
        <w:t xml:space="preserve">Ayadi, M.A., </w:t>
      </w:r>
      <w:proofErr w:type="spellStart"/>
      <w:r w:rsidRPr="00060D02">
        <w:rPr>
          <w:rFonts w:ascii="Arial" w:hAnsi="Arial" w:cs="Arial"/>
          <w:color w:val="222222"/>
          <w:sz w:val="24"/>
          <w:szCs w:val="24"/>
          <w:shd w:val="clear" w:color="auto" w:fill="FFFFFF"/>
        </w:rPr>
        <w:t>Omrane</w:t>
      </w:r>
      <w:proofErr w:type="spellEnd"/>
      <w:r w:rsidRPr="00060D02">
        <w:rPr>
          <w:rFonts w:ascii="Arial" w:hAnsi="Arial" w:cs="Arial"/>
          <w:color w:val="222222"/>
          <w:sz w:val="24"/>
          <w:szCs w:val="24"/>
          <w:shd w:val="clear" w:color="auto" w:fill="FFFFFF"/>
        </w:rPr>
        <w:t>, W.B., Wang, J. and Welch, R., 2022. Senior official speech attributes and foreign exchange risk around business cycles. </w:t>
      </w:r>
      <w:r w:rsidRPr="00060D02">
        <w:rPr>
          <w:rFonts w:ascii="Arial" w:hAnsi="Arial" w:cs="Arial"/>
          <w:i/>
          <w:iCs/>
          <w:color w:val="222222"/>
          <w:sz w:val="24"/>
          <w:szCs w:val="24"/>
          <w:shd w:val="clear" w:color="auto" w:fill="FFFFFF"/>
        </w:rPr>
        <w:t>International Review of Financial Analysis</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80</w:t>
      </w:r>
      <w:r w:rsidRPr="00060D02">
        <w:rPr>
          <w:rFonts w:ascii="Arial" w:hAnsi="Arial" w:cs="Arial"/>
          <w:color w:val="222222"/>
          <w:sz w:val="24"/>
          <w:szCs w:val="24"/>
          <w:shd w:val="clear" w:color="auto" w:fill="FFFFFF"/>
        </w:rPr>
        <w:t>, p.102011.</w:t>
      </w:r>
    </w:p>
    <w:p w14:paraId="350055A0"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rPr>
        <w:t xml:space="preserve">Bai, X. and </w:t>
      </w:r>
      <w:proofErr w:type="spellStart"/>
      <w:r w:rsidRPr="00060D02">
        <w:rPr>
          <w:rFonts w:ascii="Arial" w:hAnsi="Arial" w:cs="Arial"/>
          <w:color w:val="222222"/>
          <w:sz w:val="24"/>
          <w:szCs w:val="24"/>
          <w:shd w:val="clear" w:color="auto" w:fill="FFFFFF"/>
        </w:rPr>
        <w:t>Kavussanos</w:t>
      </w:r>
      <w:proofErr w:type="spellEnd"/>
      <w:r w:rsidRPr="00060D02">
        <w:rPr>
          <w:rFonts w:ascii="Arial" w:hAnsi="Arial" w:cs="Arial"/>
          <w:color w:val="222222"/>
          <w:sz w:val="24"/>
          <w:szCs w:val="24"/>
          <w:shd w:val="clear" w:color="auto" w:fill="FFFFFF"/>
        </w:rPr>
        <w:t>, M.G., 2022. Hedging IMO2020 compliant fuel price exposure using futures contracts. </w:t>
      </w:r>
      <w:r w:rsidRPr="00060D02">
        <w:rPr>
          <w:rFonts w:ascii="Arial" w:hAnsi="Arial" w:cs="Arial"/>
          <w:i/>
          <w:iCs/>
          <w:color w:val="222222"/>
          <w:sz w:val="24"/>
          <w:szCs w:val="24"/>
          <w:shd w:val="clear" w:color="auto" w:fill="FFFFFF"/>
        </w:rPr>
        <w:t>Energy Economics</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110</w:t>
      </w:r>
      <w:r w:rsidRPr="00060D02">
        <w:rPr>
          <w:rFonts w:ascii="Arial" w:hAnsi="Arial" w:cs="Arial"/>
          <w:color w:val="222222"/>
          <w:sz w:val="24"/>
          <w:szCs w:val="24"/>
          <w:shd w:val="clear" w:color="auto" w:fill="FFFFFF"/>
        </w:rPr>
        <w:t>, p.106029.</w:t>
      </w:r>
    </w:p>
    <w:p w14:paraId="68E1B569"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proofErr w:type="spellStart"/>
      <w:r w:rsidRPr="00060D02">
        <w:rPr>
          <w:rFonts w:ascii="Arial" w:hAnsi="Arial" w:cs="Arial"/>
          <w:color w:val="222222"/>
          <w:sz w:val="24"/>
          <w:szCs w:val="24"/>
          <w:shd w:val="clear" w:color="auto" w:fill="FFFFFF"/>
        </w:rPr>
        <w:t>Boudoukh</w:t>
      </w:r>
      <w:proofErr w:type="spellEnd"/>
      <w:r w:rsidRPr="00060D02">
        <w:rPr>
          <w:rFonts w:ascii="Arial" w:hAnsi="Arial" w:cs="Arial"/>
          <w:color w:val="222222"/>
          <w:sz w:val="24"/>
          <w:szCs w:val="24"/>
          <w:shd w:val="clear" w:color="auto" w:fill="FFFFFF"/>
        </w:rPr>
        <w:t>, J., Richardson, M., Thapar, A. and Wang, F., 2019. Optimal currency hedging for international equity portfolios. </w:t>
      </w:r>
      <w:r w:rsidRPr="00060D02">
        <w:rPr>
          <w:rFonts w:ascii="Arial" w:hAnsi="Arial" w:cs="Arial"/>
          <w:i/>
          <w:iCs/>
          <w:color w:val="222222"/>
          <w:sz w:val="24"/>
          <w:szCs w:val="24"/>
          <w:shd w:val="clear" w:color="auto" w:fill="FFFFFF"/>
        </w:rPr>
        <w:t>Financial Analysts Journal</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75</w:t>
      </w:r>
      <w:r w:rsidRPr="00060D02">
        <w:rPr>
          <w:rFonts w:ascii="Arial" w:hAnsi="Arial" w:cs="Arial"/>
          <w:color w:val="222222"/>
          <w:sz w:val="24"/>
          <w:szCs w:val="24"/>
          <w:shd w:val="clear" w:color="auto" w:fill="FFFFFF"/>
        </w:rPr>
        <w:t>(4), pp.65-83.</w:t>
      </w:r>
    </w:p>
    <w:p w14:paraId="3E957927"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proofErr w:type="spellStart"/>
      <w:r w:rsidRPr="00060D02">
        <w:rPr>
          <w:rFonts w:ascii="Arial" w:hAnsi="Arial" w:cs="Arial"/>
          <w:color w:val="222222"/>
          <w:sz w:val="24"/>
          <w:szCs w:val="24"/>
          <w:shd w:val="clear" w:color="auto" w:fill="FFFFFF"/>
        </w:rPr>
        <w:t>Candian</w:t>
      </w:r>
      <w:proofErr w:type="spellEnd"/>
      <w:r w:rsidRPr="00060D02">
        <w:rPr>
          <w:rFonts w:ascii="Arial" w:hAnsi="Arial" w:cs="Arial"/>
          <w:color w:val="222222"/>
          <w:sz w:val="24"/>
          <w:szCs w:val="24"/>
          <w:shd w:val="clear" w:color="auto" w:fill="FFFFFF"/>
        </w:rPr>
        <w:t>, G. and De Leo, P., 2023. Imperfect exchange rate expectations. </w:t>
      </w:r>
      <w:r w:rsidRPr="00060D02">
        <w:rPr>
          <w:rFonts w:ascii="Arial" w:hAnsi="Arial" w:cs="Arial"/>
          <w:i/>
          <w:iCs/>
          <w:color w:val="222222"/>
          <w:sz w:val="24"/>
          <w:szCs w:val="24"/>
          <w:shd w:val="clear" w:color="auto" w:fill="FFFFFF"/>
        </w:rPr>
        <w:t>Review of Economics and Statistics</w:t>
      </w:r>
      <w:r w:rsidRPr="00060D02">
        <w:rPr>
          <w:rFonts w:ascii="Arial" w:hAnsi="Arial" w:cs="Arial"/>
          <w:color w:val="222222"/>
          <w:sz w:val="24"/>
          <w:szCs w:val="24"/>
          <w:shd w:val="clear" w:color="auto" w:fill="FFFFFF"/>
        </w:rPr>
        <w:t>, pp.1-46.</w:t>
      </w:r>
    </w:p>
    <w:p w14:paraId="07559DA5"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lang w:val="it-IT"/>
        </w:rPr>
        <w:t xml:space="preserve">Della Corte, P., Sarno, L., Schmeling, M. and Wagner, C., 2022. </w:t>
      </w:r>
      <w:r w:rsidRPr="00060D02">
        <w:rPr>
          <w:rFonts w:ascii="Arial" w:hAnsi="Arial" w:cs="Arial"/>
          <w:color w:val="222222"/>
          <w:sz w:val="24"/>
          <w:szCs w:val="24"/>
          <w:shd w:val="clear" w:color="auto" w:fill="FFFFFF"/>
        </w:rPr>
        <w:t>Exchange rates and sovereign risk. </w:t>
      </w:r>
      <w:r w:rsidRPr="00060D02">
        <w:rPr>
          <w:rFonts w:ascii="Arial" w:hAnsi="Arial" w:cs="Arial"/>
          <w:i/>
          <w:iCs/>
          <w:color w:val="222222"/>
          <w:sz w:val="24"/>
          <w:szCs w:val="24"/>
          <w:shd w:val="clear" w:color="auto" w:fill="FFFFFF"/>
        </w:rPr>
        <w:t>Management Science</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68</w:t>
      </w:r>
      <w:r w:rsidRPr="00060D02">
        <w:rPr>
          <w:rFonts w:ascii="Arial" w:hAnsi="Arial" w:cs="Arial"/>
          <w:color w:val="222222"/>
          <w:sz w:val="24"/>
          <w:szCs w:val="24"/>
          <w:shd w:val="clear" w:color="auto" w:fill="FFFFFF"/>
        </w:rPr>
        <w:t>(8), pp.5591-5617.</w:t>
      </w:r>
    </w:p>
    <w:p w14:paraId="7A8D7990"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proofErr w:type="spellStart"/>
      <w:r w:rsidRPr="00060D02">
        <w:rPr>
          <w:rFonts w:ascii="Arial" w:hAnsi="Arial" w:cs="Arial"/>
          <w:color w:val="222222"/>
          <w:sz w:val="24"/>
          <w:szCs w:val="24"/>
          <w:shd w:val="clear" w:color="auto" w:fill="FFFFFF"/>
          <w:lang w:val="de-DE"/>
        </w:rPr>
        <w:t>Garratt</w:t>
      </w:r>
      <w:proofErr w:type="spellEnd"/>
      <w:r w:rsidRPr="00060D02">
        <w:rPr>
          <w:rFonts w:ascii="Arial" w:hAnsi="Arial" w:cs="Arial"/>
          <w:color w:val="222222"/>
          <w:sz w:val="24"/>
          <w:szCs w:val="24"/>
          <w:shd w:val="clear" w:color="auto" w:fill="FFFFFF"/>
          <w:lang w:val="de-DE"/>
        </w:rPr>
        <w:t xml:space="preserve">, R. and Zimmerman, P., 2020. </w:t>
      </w:r>
      <w:r w:rsidRPr="00060D02">
        <w:rPr>
          <w:rFonts w:ascii="Arial" w:hAnsi="Arial" w:cs="Arial"/>
          <w:color w:val="222222"/>
          <w:sz w:val="24"/>
          <w:szCs w:val="24"/>
          <w:shd w:val="clear" w:color="auto" w:fill="FFFFFF"/>
        </w:rPr>
        <w:t>Centralized netting in financial networks. </w:t>
      </w:r>
      <w:r w:rsidRPr="00060D02">
        <w:rPr>
          <w:rFonts w:ascii="Arial" w:hAnsi="Arial" w:cs="Arial"/>
          <w:i/>
          <w:iCs/>
          <w:color w:val="222222"/>
          <w:sz w:val="24"/>
          <w:szCs w:val="24"/>
          <w:shd w:val="clear" w:color="auto" w:fill="FFFFFF"/>
        </w:rPr>
        <w:t>Journal of Banking &amp; Finance</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112</w:t>
      </w:r>
      <w:r w:rsidRPr="00060D02">
        <w:rPr>
          <w:rFonts w:ascii="Arial" w:hAnsi="Arial" w:cs="Arial"/>
          <w:color w:val="222222"/>
          <w:sz w:val="24"/>
          <w:szCs w:val="24"/>
          <w:shd w:val="clear" w:color="auto" w:fill="FFFFFF"/>
        </w:rPr>
        <w:t>, p.105270.</w:t>
      </w:r>
    </w:p>
    <w:p w14:paraId="207D731D"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rPr>
        <w:t>Saeed, T., Bouri, E. and Tran, D.K., 2020. Hedging strategies of green assets against dirty energy assets. </w:t>
      </w:r>
      <w:r w:rsidRPr="00060D02">
        <w:rPr>
          <w:rFonts w:ascii="Arial" w:hAnsi="Arial" w:cs="Arial"/>
          <w:i/>
          <w:iCs/>
          <w:color w:val="222222"/>
          <w:sz w:val="24"/>
          <w:szCs w:val="24"/>
          <w:shd w:val="clear" w:color="auto" w:fill="FFFFFF"/>
        </w:rPr>
        <w:t>Energies</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13</w:t>
      </w:r>
      <w:r w:rsidRPr="00060D02">
        <w:rPr>
          <w:rFonts w:ascii="Arial" w:hAnsi="Arial" w:cs="Arial"/>
          <w:color w:val="222222"/>
          <w:sz w:val="24"/>
          <w:szCs w:val="24"/>
          <w:shd w:val="clear" w:color="auto" w:fill="FFFFFF"/>
        </w:rPr>
        <w:t>(12), p.3141.</w:t>
      </w:r>
    </w:p>
    <w:p w14:paraId="07B5E54C"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proofErr w:type="spellStart"/>
      <w:r w:rsidRPr="00060D02">
        <w:rPr>
          <w:rFonts w:ascii="Arial" w:hAnsi="Arial" w:cs="Arial"/>
          <w:color w:val="222222"/>
          <w:sz w:val="24"/>
          <w:szCs w:val="24"/>
          <w:shd w:val="clear" w:color="auto" w:fill="FFFFFF"/>
        </w:rPr>
        <w:t>SenGupta</w:t>
      </w:r>
      <w:proofErr w:type="spellEnd"/>
      <w:r w:rsidRPr="00060D02">
        <w:rPr>
          <w:rFonts w:ascii="Arial" w:hAnsi="Arial" w:cs="Arial"/>
          <w:color w:val="222222"/>
          <w:sz w:val="24"/>
          <w:szCs w:val="24"/>
          <w:shd w:val="clear" w:color="auto" w:fill="FFFFFF"/>
        </w:rPr>
        <w:t xml:space="preserve">, I., Wilson, W. and </w:t>
      </w:r>
      <w:proofErr w:type="spellStart"/>
      <w:r w:rsidRPr="00060D02">
        <w:rPr>
          <w:rFonts w:ascii="Arial" w:hAnsi="Arial" w:cs="Arial"/>
          <w:color w:val="222222"/>
          <w:sz w:val="24"/>
          <w:szCs w:val="24"/>
          <w:shd w:val="clear" w:color="auto" w:fill="FFFFFF"/>
        </w:rPr>
        <w:t>Nganje</w:t>
      </w:r>
      <w:proofErr w:type="spellEnd"/>
      <w:r w:rsidRPr="00060D02">
        <w:rPr>
          <w:rFonts w:ascii="Arial" w:hAnsi="Arial" w:cs="Arial"/>
          <w:color w:val="222222"/>
          <w:sz w:val="24"/>
          <w:szCs w:val="24"/>
          <w:shd w:val="clear" w:color="auto" w:fill="FFFFFF"/>
        </w:rPr>
        <w:t>, W., 2019. Barndorff-Nielsen and Shephard model: oil hedging with variance swap and option. </w:t>
      </w:r>
      <w:r w:rsidRPr="00060D02">
        <w:rPr>
          <w:rFonts w:ascii="Arial" w:hAnsi="Arial" w:cs="Arial"/>
          <w:i/>
          <w:iCs/>
          <w:color w:val="222222"/>
          <w:sz w:val="24"/>
          <w:szCs w:val="24"/>
          <w:shd w:val="clear" w:color="auto" w:fill="FFFFFF"/>
        </w:rPr>
        <w:t>Mathematics and Financial Economics</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13</w:t>
      </w:r>
      <w:r w:rsidRPr="00060D02">
        <w:rPr>
          <w:rFonts w:ascii="Arial" w:hAnsi="Arial" w:cs="Arial"/>
          <w:color w:val="222222"/>
          <w:sz w:val="24"/>
          <w:szCs w:val="24"/>
          <w:shd w:val="clear" w:color="auto" w:fill="FFFFFF"/>
        </w:rPr>
        <w:t>, pp.209-226.</w:t>
      </w:r>
    </w:p>
    <w:p w14:paraId="682A4C34" w14:textId="77777777" w:rsidR="00E064CA" w:rsidRPr="00060D02" w:rsidRDefault="00E064CA" w:rsidP="00975088">
      <w:pPr>
        <w:pStyle w:val="ListParagraph"/>
        <w:numPr>
          <w:ilvl w:val="0"/>
          <w:numId w:val="5"/>
        </w:numPr>
        <w:spacing w:line="360" w:lineRule="auto"/>
        <w:jc w:val="both"/>
        <w:rPr>
          <w:rFonts w:ascii="Arial" w:hAnsi="Arial" w:cs="Arial"/>
          <w:color w:val="222222"/>
          <w:sz w:val="24"/>
          <w:szCs w:val="24"/>
          <w:shd w:val="clear" w:color="auto" w:fill="FFFFFF"/>
        </w:rPr>
      </w:pPr>
      <w:r w:rsidRPr="00060D02">
        <w:rPr>
          <w:rFonts w:ascii="Arial" w:hAnsi="Arial" w:cs="Arial"/>
          <w:color w:val="222222"/>
          <w:sz w:val="24"/>
          <w:szCs w:val="24"/>
          <w:shd w:val="clear" w:color="auto" w:fill="FFFFFF"/>
        </w:rPr>
        <w:lastRenderedPageBreak/>
        <w:t xml:space="preserve">Shin, Y.J. and </w:t>
      </w:r>
      <w:proofErr w:type="spellStart"/>
      <w:r w:rsidRPr="00060D02">
        <w:rPr>
          <w:rFonts w:ascii="Arial" w:hAnsi="Arial" w:cs="Arial"/>
          <w:color w:val="222222"/>
          <w:sz w:val="24"/>
          <w:szCs w:val="24"/>
          <w:shd w:val="clear" w:color="auto" w:fill="FFFFFF"/>
        </w:rPr>
        <w:t>Pyo</w:t>
      </w:r>
      <w:proofErr w:type="spellEnd"/>
      <w:r w:rsidRPr="00060D02">
        <w:rPr>
          <w:rFonts w:ascii="Arial" w:hAnsi="Arial" w:cs="Arial"/>
          <w:color w:val="222222"/>
          <w:sz w:val="24"/>
          <w:szCs w:val="24"/>
          <w:shd w:val="clear" w:color="auto" w:fill="FFFFFF"/>
        </w:rPr>
        <w:t>, U., 2019. Liquidity hedging with futures and forward contracts. </w:t>
      </w:r>
      <w:r w:rsidRPr="00060D02">
        <w:rPr>
          <w:rFonts w:ascii="Arial" w:hAnsi="Arial" w:cs="Arial"/>
          <w:i/>
          <w:iCs/>
          <w:color w:val="222222"/>
          <w:sz w:val="24"/>
          <w:szCs w:val="24"/>
          <w:shd w:val="clear" w:color="auto" w:fill="FFFFFF"/>
        </w:rPr>
        <w:t>Studies in Economics and Finance</w:t>
      </w:r>
      <w:r w:rsidRPr="00060D02">
        <w:rPr>
          <w:rFonts w:ascii="Arial" w:hAnsi="Arial" w:cs="Arial"/>
          <w:color w:val="222222"/>
          <w:sz w:val="24"/>
          <w:szCs w:val="24"/>
          <w:shd w:val="clear" w:color="auto" w:fill="FFFFFF"/>
        </w:rPr>
        <w:t>, </w:t>
      </w:r>
      <w:r w:rsidRPr="00060D02">
        <w:rPr>
          <w:rFonts w:ascii="Arial" w:hAnsi="Arial" w:cs="Arial"/>
          <w:i/>
          <w:iCs/>
          <w:color w:val="222222"/>
          <w:sz w:val="24"/>
          <w:szCs w:val="24"/>
          <w:shd w:val="clear" w:color="auto" w:fill="FFFFFF"/>
        </w:rPr>
        <w:t>36</w:t>
      </w:r>
      <w:r w:rsidRPr="00060D02">
        <w:rPr>
          <w:rFonts w:ascii="Arial" w:hAnsi="Arial" w:cs="Arial"/>
          <w:color w:val="222222"/>
          <w:sz w:val="24"/>
          <w:szCs w:val="24"/>
          <w:shd w:val="clear" w:color="auto" w:fill="FFFFFF"/>
        </w:rPr>
        <w:t>(2), pp.265-290.</w:t>
      </w:r>
    </w:p>
    <w:sectPr w:rsidR="00E064CA" w:rsidRPr="00060D02" w:rsidSect="001F399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00925" w14:textId="77777777" w:rsidR="00E048E1" w:rsidRDefault="00E048E1" w:rsidP="00E064CA">
      <w:pPr>
        <w:spacing w:after="0" w:line="240" w:lineRule="auto"/>
      </w:pPr>
      <w:r>
        <w:separator/>
      </w:r>
    </w:p>
  </w:endnote>
  <w:endnote w:type="continuationSeparator" w:id="0">
    <w:p w14:paraId="2B7FDD33" w14:textId="77777777" w:rsidR="00E048E1" w:rsidRDefault="00E048E1" w:rsidP="00E06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060FD" w14:textId="77777777" w:rsidR="00BA750B" w:rsidRDefault="00BA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283198"/>
      <w:docPartObj>
        <w:docPartGallery w:val="Page Numbers (Bottom of Page)"/>
        <w:docPartUnique/>
      </w:docPartObj>
    </w:sdtPr>
    <w:sdtEndPr>
      <w:rPr>
        <w:noProof/>
      </w:rPr>
    </w:sdtEndPr>
    <w:sdtContent>
      <w:p w14:paraId="69BDD8E1" w14:textId="77777777" w:rsidR="00E064CA" w:rsidRDefault="00E064CA">
        <w:pPr>
          <w:pStyle w:val="Footer"/>
          <w:jc w:val="right"/>
        </w:pPr>
        <w:r>
          <w:fldChar w:fldCharType="begin"/>
        </w:r>
        <w:r>
          <w:instrText xml:space="preserve"> PAGE   \* MERGEFORMAT </w:instrText>
        </w:r>
        <w:r>
          <w:fldChar w:fldCharType="separate"/>
        </w:r>
        <w:r w:rsidR="00BA750B">
          <w:rPr>
            <w:noProof/>
          </w:rPr>
          <w:t>9</w:t>
        </w:r>
        <w:r>
          <w:rPr>
            <w:noProof/>
          </w:rPr>
          <w:fldChar w:fldCharType="end"/>
        </w:r>
      </w:p>
    </w:sdtContent>
  </w:sdt>
  <w:p w14:paraId="33361D5C" w14:textId="77777777" w:rsidR="00E064CA" w:rsidRDefault="00E064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AC5F0" w14:textId="77777777" w:rsidR="00BA750B" w:rsidRDefault="00BA7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847F4" w14:textId="77777777" w:rsidR="00E048E1" w:rsidRDefault="00E048E1" w:rsidP="00E064CA">
      <w:pPr>
        <w:spacing w:after="0" w:line="240" w:lineRule="auto"/>
      </w:pPr>
      <w:r>
        <w:separator/>
      </w:r>
    </w:p>
  </w:footnote>
  <w:footnote w:type="continuationSeparator" w:id="0">
    <w:p w14:paraId="1F693AE4" w14:textId="77777777" w:rsidR="00E048E1" w:rsidRDefault="00E048E1" w:rsidP="00E06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64BA6" w14:textId="77777777" w:rsidR="00BA750B" w:rsidRDefault="00BA75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96982" w14:textId="77777777" w:rsidR="00BA750B" w:rsidRDefault="00BA75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D8937" w14:textId="77777777" w:rsidR="00BA750B" w:rsidRDefault="00BA75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308"/>
    <w:multiLevelType w:val="hybridMultilevel"/>
    <w:tmpl w:val="059CB23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A17E44"/>
    <w:multiLevelType w:val="multilevel"/>
    <w:tmpl w:val="71425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8F60D5"/>
    <w:multiLevelType w:val="multilevel"/>
    <w:tmpl w:val="450892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665300"/>
    <w:multiLevelType w:val="hybridMultilevel"/>
    <w:tmpl w:val="BD10BF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0D2767"/>
    <w:multiLevelType w:val="hybridMultilevel"/>
    <w:tmpl w:val="B9708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163876">
    <w:abstractNumId w:val="1"/>
  </w:num>
  <w:num w:numId="2" w16cid:durableId="348607674">
    <w:abstractNumId w:val="0"/>
  </w:num>
  <w:num w:numId="3" w16cid:durableId="1545361232">
    <w:abstractNumId w:val="2"/>
  </w:num>
  <w:num w:numId="4" w16cid:durableId="155848578">
    <w:abstractNumId w:val="4"/>
  </w:num>
  <w:num w:numId="5" w16cid:durableId="20116382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ECD"/>
    <w:rsid w:val="00046782"/>
    <w:rsid w:val="00060D02"/>
    <w:rsid w:val="000F078D"/>
    <w:rsid w:val="001750D2"/>
    <w:rsid w:val="00176574"/>
    <w:rsid w:val="0018735A"/>
    <w:rsid w:val="001F3993"/>
    <w:rsid w:val="001F7560"/>
    <w:rsid w:val="0027357E"/>
    <w:rsid w:val="002A2429"/>
    <w:rsid w:val="002D513A"/>
    <w:rsid w:val="00303AC9"/>
    <w:rsid w:val="00310EDE"/>
    <w:rsid w:val="00313203"/>
    <w:rsid w:val="003573E4"/>
    <w:rsid w:val="00386C3B"/>
    <w:rsid w:val="003A07FE"/>
    <w:rsid w:val="003B7BFC"/>
    <w:rsid w:val="00457B3F"/>
    <w:rsid w:val="004A7816"/>
    <w:rsid w:val="00525CDF"/>
    <w:rsid w:val="00533711"/>
    <w:rsid w:val="005423A4"/>
    <w:rsid w:val="005B1116"/>
    <w:rsid w:val="005B46C6"/>
    <w:rsid w:val="005B58F2"/>
    <w:rsid w:val="005F1121"/>
    <w:rsid w:val="006241B0"/>
    <w:rsid w:val="00625B0F"/>
    <w:rsid w:val="00626252"/>
    <w:rsid w:val="006400ED"/>
    <w:rsid w:val="006517DB"/>
    <w:rsid w:val="00662200"/>
    <w:rsid w:val="00692CDD"/>
    <w:rsid w:val="00692F94"/>
    <w:rsid w:val="00694B84"/>
    <w:rsid w:val="006A22C5"/>
    <w:rsid w:val="006E7BBE"/>
    <w:rsid w:val="007640B9"/>
    <w:rsid w:val="007712E1"/>
    <w:rsid w:val="00840C0D"/>
    <w:rsid w:val="00846EED"/>
    <w:rsid w:val="00891E77"/>
    <w:rsid w:val="008B42D7"/>
    <w:rsid w:val="009668F6"/>
    <w:rsid w:val="00975088"/>
    <w:rsid w:val="009878F7"/>
    <w:rsid w:val="00995CF3"/>
    <w:rsid w:val="009B162B"/>
    <w:rsid w:val="009B41A9"/>
    <w:rsid w:val="009F1E08"/>
    <w:rsid w:val="00A20C73"/>
    <w:rsid w:val="00A274FB"/>
    <w:rsid w:val="00A9058B"/>
    <w:rsid w:val="00AB54DA"/>
    <w:rsid w:val="00AD783E"/>
    <w:rsid w:val="00AF3991"/>
    <w:rsid w:val="00AF7FCF"/>
    <w:rsid w:val="00B222CC"/>
    <w:rsid w:val="00B25E52"/>
    <w:rsid w:val="00B70001"/>
    <w:rsid w:val="00B96F64"/>
    <w:rsid w:val="00BA750B"/>
    <w:rsid w:val="00BB7C69"/>
    <w:rsid w:val="00BC08B3"/>
    <w:rsid w:val="00C17AA0"/>
    <w:rsid w:val="00C2684C"/>
    <w:rsid w:val="00C5269C"/>
    <w:rsid w:val="00CC1564"/>
    <w:rsid w:val="00CF08D9"/>
    <w:rsid w:val="00CF6ECD"/>
    <w:rsid w:val="00D434B0"/>
    <w:rsid w:val="00D5409B"/>
    <w:rsid w:val="00D7156A"/>
    <w:rsid w:val="00D73C3D"/>
    <w:rsid w:val="00D97297"/>
    <w:rsid w:val="00DA3280"/>
    <w:rsid w:val="00DE7A2B"/>
    <w:rsid w:val="00DF3887"/>
    <w:rsid w:val="00E048E1"/>
    <w:rsid w:val="00E064CA"/>
    <w:rsid w:val="00E076D8"/>
    <w:rsid w:val="00E271C7"/>
    <w:rsid w:val="00E73499"/>
    <w:rsid w:val="00EE115F"/>
    <w:rsid w:val="00EF304D"/>
    <w:rsid w:val="00EF3492"/>
    <w:rsid w:val="00EF52E2"/>
    <w:rsid w:val="00F20448"/>
    <w:rsid w:val="00F30356"/>
    <w:rsid w:val="00FF74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5CA5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75088"/>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3">
    <w:name w:val="heading 3"/>
    <w:basedOn w:val="Normal"/>
    <w:link w:val="Heading3Char"/>
    <w:uiPriority w:val="9"/>
    <w:qFormat/>
    <w:rsid w:val="00B70001"/>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3887"/>
    <w:pPr>
      <w:spacing w:after="0" w:line="240" w:lineRule="auto"/>
    </w:pPr>
    <w:rPr>
      <w:lang w:val="en-GB"/>
    </w:rPr>
  </w:style>
  <w:style w:type="character" w:customStyle="1" w:styleId="Heading3Char">
    <w:name w:val="Heading 3 Char"/>
    <w:basedOn w:val="DefaultParagraphFont"/>
    <w:link w:val="Heading3"/>
    <w:uiPriority w:val="9"/>
    <w:rsid w:val="00B7000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7000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70001"/>
    <w:rPr>
      <w:b/>
      <w:bCs/>
    </w:rPr>
  </w:style>
  <w:style w:type="character" w:styleId="Emphasis">
    <w:name w:val="Emphasis"/>
    <w:basedOn w:val="DefaultParagraphFont"/>
    <w:uiPriority w:val="20"/>
    <w:qFormat/>
    <w:rsid w:val="00B70001"/>
    <w:rPr>
      <w:i/>
      <w:iCs/>
    </w:rPr>
  </w:style>
  <w:style w:type="paragraph" w:styleId="ListParagraph">
    <w:name w:val="List Paragraph"/>
    <w:basedOn w:val="Normal"/>
    <w:uiPriority w:val="34"/>
    <w:qFormat/>
    <w:rsid w:val="00A274FB"/>
    <w:pPr>
      <w:ind w:left="720"/>
      <w:contextualSpacing/>
    </w:pPr>
  </w:style>
  <w:style w:type="paragraph" w:styleId="Header">
    <w:name w:val="header"/>
    <w:basedOn w:val="Normal"/>
    <w:link w:val="HeaderChar"/>
    <w:uiPriority w:val="99"/>
    <w:unhideWhenUsed/>
    <w:rsid w:val="00E064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64CA"/>
    <w:rPr>
      <w:lang w:val="en-GB"/>
    </w:rPr>
  </w:style>
  <w:style w:type="paragraph" w:styleId="Footer">
    <w:name w:val="footer"/>
    <w:basedOn w:val="Normal"/>
    <w:link w:val="FooterChar"/>
    <w:uiPriority w:val="99"/>
    <w:unhideWhenUsed/>
    <w:rsid w:val="00E064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64CA"/>
    <w:rPr>
      <w:lang w:val="en-GB"/>
    </w:rPr>
  </w:style>
  <w:style w:type="character" w:customStyle="1" w:styleId="Heading1Char">
    <w:name w:val="Heading 1 Char"/>
    <w:basedOn w:val="DefaultParagraphFont"/>
    <w:link w:val="Heading1"/>
    <w:uiPriority w:val="9"/>
    <w:rsid w:val="00975088"/>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975088"/>
    <w:pPr>
      <w:outlineLvl w:val="9"/>
    </w:pPr>
    <w:rPr>
      <w:b w:val="0"/>
      <w:lang w:val="en-US"/>
    </w:rPr>
  </w:style>
  <w:style w:type="paragraph" w:styleId="TOC1">
    <w:name w:val="toc 1"/>
    <w:basedOn w:val="Normal"/>
    <w:next w:val="Normal"/>
    <w:autoRedefine/>
    <w:uiPriority w:val="39"/>
    <w:unhideWhenUsed/>
    <w:rsid w:val="00975088"/>
    <w:pPr>
      <w:spacing w:after="100"/>
    </w:pPr>
  </w:style>
  <w:style w:type="character" w:styleId="Hyperlink">
    <w:name w:val="Hyperlink"/>
    <w:basedOn w:val="DefaultParagraphFont"/>
    <w:uiPriority w:val="99"/>
    <w:unhideWhenUsed/>
    <w:rsid w:val="009750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482244">
      <w:bodyDiv w:val="1"/>
      <w:marLeft w:val="0"/>
      <w:marRight w:val="0"/>
      <w:marTop w:val="0"/>
      <w:marBottom w:val="0"/>
      <w:divBdr>
        <w:top w:val="none" w:sz="0" w:space="0" w:color="auto"/>
        <w:left w:val="none" w:sz="0" w:space="0" w:color="auto"/>
        <w:bottom w:val="none" w:sz="0" w:space="0" w:color="auto"/>
        <w:right w:val="none" w:sz="0" w:space="0" w:color="auto"/>
      </w:divBdr>
    </w:div>
    <w:div w:id="1614479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45FCC-FCDA-4F96-A691-4C1C3C072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2006</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2023-12-28T09:30:00Z</dcterms:created>
  <dcterms:modified xsi:type="dcterms:W3CDTF">2023-12-28T09:30:00Z</dcterms:modified>
</cp:coreProperties>
</file>