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6FFC38" w14:textId="28D89004" w:rsidR="000914D2" w:rsidRDefault="03E11DD8" w:rsidP="03E11DD8">
      <w:pPr>
        <w:spacing w:after="0"/>
        <w:jc w:val="center"/>
        <w:rPr>
          <w:sz w:val="24"/>
          <w:szCs w:val="24"/>
        </w:rPr>
      </w:pPr>
      <w:commentRangeStart w:id="0"/>
      <w:r w:rsidRPr="03E11DD8">
        <w:rPr>
          <w:sz w:val="24"/>
          <w:szCs w:val="24"/>
        </w:rPr>
        <w:t xml:space="preserve">Reconstructing Landscapes: </w:t>
      </w:r>
    </w:p>
    <w:p w14:paraId="4540233D" w14:textId="5FD8155E" w:rsidR="000914D2" w:rsidRDefault="03E11DD8" w:rsidP="03E11DD8">
      <w:pPr>
        <w:spacing w:after="0"/>
        <w:jc w:val="center"/>
        <w:rPr>
          <w:sz w:val="24"/>
          <w:szCs w:val="24"/>
        </w:rPr>
      </w:pPr>
      <w:r w:rsidRPr="03E11DD8">
        <w:rPr>
          <w:sz w:val="24"/>
          <w:szCs w:val="24"/>
        </w:rPr>
        <w:t>Molluscan Evidence at Easton Down Long Barrow, Wiltshire</w:t>
      </w:r>
      <w:commentRangeEnd w:id="0"/>
      <w:r w:rsidR="00915534">
        <w:rPr>
          <w:rStyle w:val="CommentReference"/>
        </w:rPr>
        <w:commentReference w:id="0"/>
      </w:r>
    </w:p>
    <w:p w14:paraId="453C3573" w14:textId="6CEC9F65" w:rsidR="000914D2" w:rsidRDefault="000914D2" w:rsidP="0D947B31">
      <w:pPr>
        <w:jc w:val="center"/>
      </w:pPr>
    </w:p>
    <w:p w14:paraId="7B55D58C" w14:textId="44F1E2DB" w:rsidR="000914D2" w:rsidRDefault="03E11DD8" w:rsidP="0D947B31">
      <w:commentRangeStart w:id="2"/>
      <w:r>
        <w:t>Study of Absolute molluscan diagram from Easton Down Long Barrow (Whittle et al. 1993)</w:t>
      </w:r>
    </w:p>
    <w:p w14:paraId="22D32788" w14:textId="1B4C98DE" w:rsidR="03E11DD8" w:rsidRDefault="03E11DD8" w:rsidP="03E11DD8">
      <w:pPr>
        <w:spacing w:after="0"/>
      </w:pPr>
      <w:r>
        <w:t>Changes shown in the diagram-</w:t>
      </w:r>
    </w:p>
    <w:p w14:paraId="1E129FCF" w14:textId="2EA10C31" w:rsidR="03E11DD8" w:rsidRDefault="03E11DD8" w:rsidP="03E11DD8">
      <w:pPr>
        <w:spacing w:after="0"/>
      </w:pPr>
      <w:commentRangeStart w:id="3"/>
      <w:r>
        <w:t>The diagram shows that the base of the sample in ED1V,</w:t>
      </w:r>
      <w:r w:rsidRPr="03E11DD8">
        <w:rPr>
          <w:rFonts w:ascii="Calibri" w:eastAsia="Calibri" w:hAnsi="Calibri" w:cs="Calibri"/>
          <w:color w:val="000000" w:themeColor="text1"/>
          <w:sz w:val="21"/>
          <w:szCs w:val="21"/>
        </w:rPr>
        <w:t xml:space="preserve"> between 19-12cm, </w:t>
      </w:r>
      <w:r>
        <w:t>which is in the soil of the barrow before the construction of the mound, contains mainly molluscs that favoured a shady area in woodland with some intermediate species included.</w:t>
      </w:r>
      <w:commentRangeEnd w:id="3"/>
      <w:r w:rsidR="00915534">
        <w:rPr>
          <w:rStyle w:val="CommentReference"/>
        </w:rPr>
        <w:commentReference w:id="3"/>
      </w:r>
    </w:p>
    <w:p w14:paraId="5C5E3370" w14:textId="76448BE3" w:rsidR="03E11DD8" w:rsidRDefault="03E11DD8" w:rsidP="03E11DD8">
      <w:pPr>
        <w:spacing w:after="0"/>
        <w:jc w:val="both"/>
      </w:pPr>
      <w:r>
        <w:t>In the next layer at 12-3.5cm there are is a rise in the number of open country species, and at 3.5-0cm open country species open country molluscs are predominant.</w:t>
      </w:r>
    </w:p>
    <w:p w14:paraId="1EEB7E8C" w14:textId="2EF3FAD3" w:rsidR="03E11DD8" w:rsidRDefault="03E11DD8" w:rsidP="03E11DD8">
      <w:pPr>
        <w:spacing w:after="0"/>
      </w:pPr>
      <w:r>
        <w:t>The sample then incorporates the ditch fill soil at 180-171cm open country species still dominate, and then at 153-135cm they are replaced by shade loving molluscs. The next layer shows an increasing number of woodland shade-loving species at 171-153cm, and this continues in the layers at 153-135cm and 135-92cm, with open-country species almost absent.</w:t>
      </w:r>
    </w:p>
    <w:p w14:paraId="4934D755" w14:textId="191C3207" w:rsidR="03E11DD8" w:rsidRDefault="03E11DD8" w:rsidP="03E11DD8">
      <w:pPr>
        <w:spacing w:after="0"/>
      </w:pPr>
      <w:r>
        <w:t>There is then a decrease in shade-loving molluscs at 92-79cm with species of open country and intermediate molluscs increasing.</w:t>
      </w:r>
    </w:p>
    <w:p w14:paraId="188C3980" w14:textId="66DFB33F" w:rsidR="03E11DD8" w:rsidRDefault="03E11DD8" w:rsidP="03E11DD8">
      <w:pPr>
        <w:spacing w:after="0"/>
      </w:pPr>
      <w:r>
        <w:t>At the level of 79-65cm there is a mix of intermediate and open country species, and then at 65-57cm the numbers and species of molluscs declines. The last layer at the top of the ditch shows a few open country and intermediate species.</w:t>
      </w:r>
    </w:p>
    <w:p w14:paraId="1076D7EB" w14:textId="16C3FB87" w:rsidR="03E11DD8" w:rsidRDefault="03E11DD8" w:rsidP="03E11DD8">
      <w:pPr>
        <w:spacing w:afterAutospacing="1"/>
        <w:jc w:val="both"/>
      </w:pPr>
    </w:p>
    <w:p w14:paraId="6CD29C89" w14:textId="171AB192" w:rsidR="03E11DD8" w:rsidRDefault="03E11DD8" w:rsidP="03E11DD8">
      <w:pPr>
        <w:spacing w:afterAutospacing="1"/>
        <w:jc w:val="both"/>
      </w:pPr>
      <w:r>
        <w:t>Interpretation of changes-</w:t>
      </w:r>
    </w:p>
    <w:p w14:paraId="5865EE54" w14:textId="703014AF" w:rsidR="03E11DD8" w:rsidRDefault="03E11DD8" w:rsidP="03E11DD8">
      <w:pPr>
        <w:spacing w:afterAutospacing="1"/>
        <w:jc w:val="both"/>
      </w:pPr>
      <w:r>
        <w:t xml:space="preserve">The samples of molluscs indicate that the area was originally a fairly shaded woodland area which was then </w:t>
      </w:r>
      <w:commentRangeStart w:id="4"/>
      <w:r>
        <w:t xml:space="preserve">cleared for cultivation </w:t>
      </w:r>
      <w:commentRangeEnd w:id="4"/>
      <w:r w:rsidR="00915534">
        <w:rPr>
          <w:rStyle w:val="CommentReference"/>
        </w:rPr>
        <w:commentReference w:id="4"/>
      </w:r>
      <w:r>
        <w:t>and eventually it became an open grassland area. Around the time of the construction of the mound there had been some further regeneration of woodland followed by clearance.</w:t>
      </w:r>
    </w:p>
    <w:p w14:paraId="64DAE6F3" w14:textId="48BC6796" w:rsidR="03E11DD8" w:rsidRDefault="03E11DD8" w:rsidP="03E11DD8">
      <w:pPr>
        <w:spacing w:afterAutospacing="1"/>
        <w:jc w:val="both"/>
      </w:pPr>
    </w:p>
    <w:p w14:paraId="31A13631" w14:textId="65ED131D" w:rsidR="03E11DD8" w:rsidRDefault="03E11DD8" w:rsidP="03E11DD8">
      <w:pPr>
        <w:spacing w:afterAutospacing="1"/>
        <w:jc w:val="both"/>
      </w:pPr>
      <w:r>
        <w:t>Time periods of changes-</w:t>
      </w:r>
    </w:p>
    <w:p w14:paraId="003A21CB" w14:textId="791BF4CD" w:rsidR="03E11DD8" w:rsidRDefault="03E11DD8" w:rsidP="03E11DD8">
      <w:commentRangeStart w:id="5"/>
      <w:r>
        <w:t>Early Bronze Age construction with clearance of woodland followed by cultivation of the land eventually reverting to open grassland.</w:t>
      </w:r>
      <w:commentRangeEnd w:id="5"/>
      <w:r w:rsidR="00915534">
        <w:rPr>
          <w:rStyle w:val="CommentReference"/>
        </w:rPr>
        <w:commentReference w:id="5"/>
      </w:r>
    </w:p>
    <w:p w14:paraId="3CBC4313" w14:textId="36F0F139" w:rsidR="03E11DD8" w:rsidRDefault="03E11DD8" w:rsidP="03E11DD8">
      <w:pPr>
        <w:rPr>
          <w:sz w:val="24"/>
          <w:szCs w:val="24"/>
        </w:rPr>
      </w:pPr>
    </w:p>
    <w:p w14:paraId="793F3FBC" w14:textId="0F833252" w:rsidR="03E11DD8" w:rsidRDefault="03E11DD8" w:rsidP="03E11DD8">
      <w:pPr>
        <w:rPr>
          <w:sz w:val="24"/>
          <w:szCs w:val="24"/>
        </w:rPr>
      </w:pPr>
    </w:p>
    <w:p w14:paraId="352E4E8E" w14:textId="38D1F255" w:rsidR="0D947B31" w:rsidRDefault="03E11DD8" w:rsidP="03E11DD8">
      <w:pPr>
        <w:rPr>
          <w:sz w:val="24"/>
          <w:szCs w:val="24"/>
        </w:rPr>
      </w:pPr>
      <w:r w:rsidRPr="03E11DD8">
        <w:rPr>
          <w:sz w:val="24"/>
          <w:szCs w:val="24"/>
        </w:rPr>
        <w:t>Reference</w:t>
      </w:r>
    </w:p>
    <w:p w14:paraId="30108A1B" w14:textId="33B554DF" w:rsidR="0D947B31" w:rsidRDefault="03E11DD8" w:rsidP="03E11DD8">
      <w:pPr>
        <w:spacing w:line="252" w:lineRule="exact"/>
        <w:jc w:val="both"/>
        <w:rPr>
          <w:rFonts w:ascii="Arial" w:eastAsia="Arial" w:hAnsi="Arial" w:cs="Arial"/>
          <w:b/>
          <w:bCs/>
          <w:color w:val="000000" w:themeColor="text1"/>
          <w:sz w:val="18"/>
          <w:szCs w:val="18"/>
        </w:rPr>
      </w:pPr>
      <w:r>
        <w:t xml:space="preserve">Whittle, A. W. R., Rouse, A. and Evans, J. 1993. A </w:t>
      </w:r>
      <w:proofErr w:type="spellStart"/>
      <w:r>
        <w:t>neolithic</w:t>
      </w:r>
      <w:proofErr w:type="spellEnd"/>
      <w:r>
        <w:t xml:space="preserve"> </w:t>
      </w:r>
      <w:proofErr w:type="spellStart"/>
      <w:r>
        <w:t>downland</w:t>
      </w:r>
      <w:proofErr w:type="spellEnd"/>
      <w:r>
        <w:t xml:space="preserve"> monument in its environment: excavations at the Easton Down Long Barrow, Bishops </w:t>
      </w:r>
      <w:proofErr w:type="spellStart"/>
      <w:r w:rsidRPr="03E11DD8">
        <w:t>Cannings</w:t>
      </w:r>
      <w:proofErr w:type="spellEnd"/>
      <w:r w:rsidRPr="03E11DD8">
        <w:t>, North Wiltshire</w:t>
      </w:r>
      <w:r w:rsidRPr="03E11DD8">
        <w:rPr>
          <w:i/>
          <w:iCs/>
        </w:rPr>
        <w:t>. Proceedings of the Prehistoric Society 59, pp 197-239.</w:t>
      </w:r>
      <w:commentRangeEnd w:id="2"/>
      <w:r w:rsidR="00915534">
        <w:rPr>
          <w:rStyle w:val="CommentReference"/>
        </w:rPr>
        <w:commentReference w:id="2"/>
      </w:r>
    </w:p>
    <w:p w14:paraId="04CE1725" w14:textId="1983FCF1" w:rsidR="0D947B31" w:rsidRDefault="0D947B31" w:rsidP="0D947B31">
      <w:pPr>
        <w:rPr>
          <w:i/>
          <w:iCs/>
        </w:rPr>
      </w:pPr>
    </w:p>
    <w:sectPr w:rsidR="0D947B3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Martin Bates" w:date="2019-06-05T10:49:00Z" w:initials="MB">
    <w:p w14:paraId="14A6BEE8" w14:textId="77777777" w:rsidR="00915534" w:rsidRDefault="00915534">
      <w:pPr>
        <w:pStyle w:val="CommentText"/>
      </w:pPr>
      <w:r>
        <w:rPr>
          <w:rStyle w:val="CommentReference"/>
        </w:rPr>
        <w:annotationRef/>
      </w:r>
      <w:r>
        <w:t>You have attempted the question but are hampered by a very limited number of words in order to do justice to the answer.  I think that you need to have read far more widely on this one in order to address parts 2 and 3 of the question.</w:t>
      </w:r>
    </w:p>
    <w:p w14:paraId="1B5180FF" w14:textId="77777777" w:rsidR="00915534" w:rsidRDefault="00915534">
      <w:pPr>
        <w:pStyle w:val="CommentText"/>
      </w:pPr>
    </w:p>
    <w:p w14:paraId="0C7B7EB7" w14:textId="77777777" w:rsidR="00915534" w:rsidRDefault="00915534">
      <w:pPr>
        <w:pStyle w:val="CommentText"/>
      </w:pPr>
      <w:r>
        <w:t>45%</w:t>
      </w:r>
    </w:p>
    <w:p w14:paraId="66B9EC6D" w14:textId="77777777" w:rsidR="00915534" w:rsidRDefault="00915534">
      <w:pPr>
        <w:pStyle w:val="CommentText"/>
      </w:pPr>
    </w:p>
    <w:p w14:paraId="35AB9994" w14:textId="721A0C1A" w:rsidR="00915534" w:rsidRDefault="00915534">
      <w:pPr>
        <w:pStyle w:val="CommentText"/>
      </w:pPr>
      <w:r>
        <w:t>MRB</w:t>
      </w:r>
      <w:bookmarkStart w:id="1" w:name="_GoBack"/>
      <w:bookmarkEnd w:id="1"/>
    </w:p>
  </w:comment>
  <w:comment w:id="3" w:author="Martin Bates" w:date="2019-06-05T10:46:00Z" w:initials="MB">
    <w:p w14:paraId="1499F89D" w14:textId="5E63D348" w:rsidR="00915534" w:rsidRDefault="00915534">
      <w:pPr>
        <w:pStyle w:val="CommentText"/>
      </w:pPr>
      <w:r>
        <w:rPr>
          <w:rStyle w:val="CommentReference"/>
        </w:rPr>
        <w:annotationRef/>
      </w:r>
      <w:r>
        <w:t>Firstly, you need to describe the changes, i.e. the patterns of change, then make the interpretation (i.e. shaded, open etc).  Do not muddle up observation with interpretation</w:t>
      </w:r>
    </w:p>
  </w:comment>
  <w:comment w:id="4" w:author="Martin Bates" w:date="2019-06-05T10:47:00Z" w:initials="MB">
    <w:p w14:paraId="46BA64B9" w14:textId="2E113C6A" w:rsidR="00915534" w:rsidRDefault="00915534">
      <w:pPr>
        <w:pStyle w:val="CommentText"/>
      </w:pPr>
      <w:r>
        <w:rPr>
          <w:rStyle w:val="CommentReference"/>
        </w:rPr>
        <w:annotationRef/>
      </w:r>
      <w:r>
        <w:t>Why cultivation?  Could it not have been something else?</w:t>
      </w:r>
    </w:p>
  </w:comment>
  <w:comment w:id="5" w:author="Martin Bates" w:date="2019-06-05T10:47:00Z" w:initials="MB">
    <w:p w14:paraId="66477730" w14:textId="38563609" w:rsidR="00915534" w:rsidRDefault="00915534">
      <w:pPr>
        <w:pStyle w:val="CommentText"/>
      </w:pPr>
      <w:r>
        <w:rPr>
          <w:rStyle w:val="CommentReference"/>
        </w:rPr>
        <w:annotationRef/>
      </w:r>
      <w:r>
        <w:t>Why?  How do you know this?</w:t>
      </w:r>
    </w:p>
  </w:comment>
  <w:comment w:id="2" w:author="Martin Bates" w:date="2019-06-05T10:49:00Z" w:initials="MB">
    <w:p w14:paraId="317366B0" w14:textId="0B542211" w:rsidR="00915534" w:rsidRDefault="00915534">
      <w:pPr>
        <w:pStyle w:val="CommentText"/>
      </w:pPr>
      <w:r>
        <w:rPr>
          <w:rStyle w:val="CommentReference"/>
        </w:rPr>
        <w:annotationRef/>
      </w:r>
      <w:r>
        <w:t>Your word count seems somewhat sort?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5AB9994" w15:done="0"/>
  <w15:commentEx w15:paraId="1499F89D" w15:done="0"/>
  <w15:commentEx w15:paraId="46BA64B9" w15:done="0"/>
  <w15:commentEx w15:paraId="66477730" w15:done="0"/>
  <w15:commentEx w15:paraId="317366B0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5AB9994" w16cid:durableId="20A21CAE"/>
  <w16cid:commentId w16cid:paraId="1499F89D" w16cid:durableId="20A21BEC"/>
  <w16cid:commentId w16cid:paraId="46BA64B9" w16cid:durableId="20A21C30"/>
  <w16cid:commentId w16cid:paraId="66477730" w16cid:durableId="20A21C45"/>
  <w16cid:commentId w16cid:paraId="317366B0" w16cid:durableId="20A21CA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rtin Bates">
    <w15:presenceInfo w15:providerId="AD" w15:userId="S::m.bates@uwtsd.ac.uk::06b65fff-e56c-413a-b256-4a688db0ce2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C683C13"/>
    <w:rsid w:val="000914D2"/>
    <w:rsid w:val="00915534"/>
    <w:rsid w:val="03E11DD8"/>
    <w:rsid w:val="0D947B31"/>
    <w:rsid w:val="2C683C13"/>
    <w:rsid w:val="5AFEA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EAD88"/>
  <w15:chartTrackingRefBased/>
  <w15:docId w15:val="{A8F412DF-6EC9-49D6-8BF9-9B0F2075D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9155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55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55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55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553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55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55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6/09/relationships/commentsIds" Target="commentsIds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Butler (1710287)</dc:creator>
  <cp:keywords/>
  <dc:description/>
  <cp:lastModifiedBy>Martin Bates</cp:lastModifiedBy>
  <cp:revision>2</cp:revision>
  <dcterms:created xsi:type="dcterms:W3CDTF">2019-06-05T09:50:00Z</dcterms:created>
  <dcterms:modified xsi:type="dcterms:W3CDTF">2019-06-05T09:50:00Z</dcterms:modified>
</cp:coreProperties>
</file>