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F182C4" w14:textId="77777777" w:rsidR="00877506" w:rsidRDefault="00F763C1">
      <w:pPr>
        <w:jc w:val="center"/>
      </w:pPr>
      <w:r>
        <w:rPr>
          <w:b/>
          <w:sz w:val="32"/>
        </w:rPr>
        <w:t>Component 1: Written Assignment (Case Study Report)</w:t>
      </w:r>
      <w:r>
        <w:rPr>
          <w:b/>
          <w:sz w:val="32"/>
        </w:rPr>
        <w:br/>
      </w:r>
    </w:p>
    <w:p w14:paraId="25325838" w14:textId="77777777" w:rsidR="00877506" w:rsidRDefault="00F763C1">
      <w:pPr>
        <w:jc w:val="center"/>
      </w:pPr>
      <w:r>
        <w:rPr>
          <w:b/>
          <w:sz w:val="28"/>
        </w:rPr>
        <w:t>Case Study 1 – Type 2 Diabetes Mellitus</w:t>
      </w:r>
      <w:r>
        <w:rPr>
          <w:b/>
          <w:sz w:val="28"/>
        </w:rPr>
        <w:br/>
      </w:r>
    </w:p>
    <w:p w14:paraId="11113999" w14:textId="77777777" w:rsidR="00F763C1" w:rsidRPr="00F763C1" w:rsidRDefault="00F763C1" w:rsidP="00F763C1">
      <w:pPr>
        <w:jc w:val="center"/>
        <w:rPr>
          <w:u w:val="single"/>
        </w:rPr>
      </w:pPr>
      <w:r>
        <w:t>Programme: BSc Health and Social Care</w:t>
      </w:r>
      <w:r>
        <w:br/>
        <w:t>Module: Introduction to Physiology (BMHP5023)</w:t>
      </w:r>
      <w:r>
        <w:br/>
      </w:r>
      <w:r>
        <w:br/>
      </w:r>
      <w:r w:rsidRPr="00F763C1">
        <w:rPr>
          <w:b/>
          <w:bCs/>
        </w:rPr>
        <w:t>Student Name:</w:t>
      </w:r>
      <w:r>
        <w:t xml:space="preserve"> </w:t>
      </w:r>
      <w:r w:rsidRPr="00F763C1">
        <w:rPr>
          <w:u w:val="single"/>
        </w:rPr>
        <w:t>A</w:t>
      </w:r>
      <w:proofErr w:type="spellStart"/>
      <w:r w:rsidRPr="00F763C1">
        <w:rPr>
          <w:u w:val="single"/>
        </w:rPr>
        <w:t>rfa</w:t>
      </w:r>
      <w:proofErr w:type="spellEnd"/>
      <w:r w:rsidRPr="00F763C1">
        <w:rPr>
          <w:u w:val="single"/>
        </w:rPr>
        <w:t xml:space="preserve"> Rahman</w:t>
      </w:r>
      <w:r w:rsidRPr="00F763C1">
        <w:rPr>
          <w:u w:val="single"/>
        </w:rPr>
        <w:br/>
      </w:r>
      <w:r w:rsidRPr="00F763C1">
        <w:rPr>
          <w:b/>
          <w:bCs/>
        </w:rPr>
        <w:t>Student Number:</w:t>
      </w:r>
      <w:r>
        <w:t xml:space="preserve"> </w:t>
      </w:r>
      <w:r w:rsidRPr="00F763C1">
        <w:rPr>
          <w:u w:val="single"/>
        </w:rPr>
        <w:t>2426612</w:t>
      </w:r>
    </w:p>
    <w:p w14:paraId="176F2CF8" w14:textId="598DF8B3" w:rsidR="00877506" w:rsidRDefault="00F763C1" w:rsidP="00F763C1">
      <w:pPr>
        <w:jc w:val="center"/>
      </w:pPr>
      <w:r w:rsidRPr="00F763C1">
        <w:rPr>
          <w:b/>
          <w:bCs/>
        </w:rPr>
        <w:t>Module leader name</w:t>
      </w:r>
      <w:r>
        <w:t xml:space="preserve">: </w:t>
      </w:r>
      <w:r w:rsidRPr="00F763C1">
        <w:rPr>
          <w:u w:val="single"/>
        </w:rPr>
        <w:t>Gillian Weaver</w:t>
      </w:r>
      <w:r>
        <w:br/>
      </w:r>
    </w:p>
    <w:p w14:paraId="1F1CEAA8" w14:textId="77777777" w:rsidR="00877506" w:rsidRDefault="00F763C1">
      <w:r>
        <w:br w:type="page"/>
      </w:r>
    </w:p>
    <w:p w14:paraId="3362EA3A" w14:textId="77777777" w:rsidR="00877506" w:rsidRPr="00F763C1" w:rsidRDefault="00F763C1">
      <w:pPr>
        <w:rPr>
          <w:rFonts w:cs="Arial"/>
        </w:rPr>
      </w:pPr>
      <w:r w:rsidRPr="00F763C1">
        <w:rPr>
          <w:rFonts w:cs="Arial"/>
          <w:b/>
        </w:rPr>
        <w:lastRenderedPageBreak/>
        <w:t>Introduction</w:t>
      </w:r>
    </w:p>
    <w:p w14:paraId="74C07993" w14:textId="631AEDCF" w:rsidR="00877506" w:rsidRPr="00F763C1" w:rsidRDefault="00F763C1">
      <w:pPr>
        <w:jc w:val="both"/>
        <w:rPr>
          <w:rFonts w:cs="Arial"/>
        </w:rPr>
      </w:pPr>
      <w:r w:rsidRPr="00F763C1">
        <w:rPr>
          <w:rFonts w:cs="Arial"/>
        </w:rPr>
        <w:t>Elevated blood glucose levels are a characteristic symptom of diabetes mellitus, a metabolic disorder that occurs due to a lack of insulin action or insulin secretion, or both. The most prevalent form of diabetes in the UK is type 2 diabetes mellitus (T2DM), which is a serious public health issue for primary care professionals. Contemporary lifestyle factors, including physical inactivity, high-energy diets, and increasing levels of overweight and obesity, are strongly linked to the rising prevalence of type 2 diabetes.</w:t>
      </w:r>
      <w:r w:rsidRPr="00F763C1">
        <w:rPr>
          <w:rFonts w:cs="Arial"/>
        </w:rPr>
        <w:t xml:space="preserve"> (NHS, 2023).</w:t>
      </w:r>
    </w:p>
    <w:p w14:paraId="1704F9AF" w14:textId="34C9631A" w:rsidR="00877506" w:rsidRPr="00F763C1" w:rsidRDefault="00F763C1">
      <w:pPr>
        <w:jc w:val="both"/>
        <w:rPr>
          <w:rFonts w:cs="Arial"/>
        </w:rPr>
      </w:pPr>
      <w:r w:rsidRPr="00F763C1">
        <w:rPr>
          <w:rFonts w:cs="Arial"/>
        </w:rPr>
        <w:t>Risk factors for type 2 diabetes include excess weight, particularly central obesity, physical inactivity, poor diet, smoking, age, family history of diabetes, and genetic factors. Certain ethnic groups are also at a higher risk than others, including African-Caribbean and South Asian people. Severe chronic complications of type 2 diabetes include cardiovascular disease, renal disease, neuropathy,</w:t>
      </w:r>
      <w:r>
        <w:rPr>
          <w:rFonts w:cs="Arial"/>
        </w:rPr>
        <w:t xml:space="preserve"> </w:t>
      </w:r>
      <w:r w:rsidRPr="00F763C1">
        <w:rPr>
          <w:rFonts w:cs="Arial"/>
        </w:rPr>
        <w:t>retinopathy, and the potential for lower limb amputation, all of which significantly impact the quality of life and increase healthcare costs.</w:t>
      </w:r>
      <w:r w:rsidRPr="00F763C1">
        <w:rPr>
          <w:rFonts w:cs="Arial"/>
        </w:rPr>
        <w:t xml:space="preserve"> (World Health Organization, 2022).</w:t>
      </w:r>
    </w:p>
    <w:p w14:paraId="4593EFC9" w14:textId="7D896D96" w:rsidR="00F763C1" w:rsidRDefault="00F763C1">
      <w:pPr>
        <w:rPr>
          <w:rFonts w:cs="Arial"/>
        </w:rPr>
      </w:pPr>
      <w:r w:rsidRPr="00F763C1">
        <w:rPr>
          <w:rFonts w:cs="Arial"/>
        </w:rPr>
        <w:t xml:space="preserve">Practice nurses play a key role in helping people with type 2 diabetes have a comprehensive awareness of their disease in a general practitioner's office. Patients are better able to interact with treatment plans and make health-related decisions when they receive education that connects physiological processes to lifestyle </w:t>
      </w:r>
      <w:proofErr w:type="spellStart"/>
      <w:r w:rsidRPr="00F763C1">
        <w:rPr>
          <w:rFonts w:cs="Arial"/>
        </w:rPr>
        <w:t>behaviours</w:t>
      </w:r>
      <w:proofErr w:type="spellEnd"/>
      <w:r w:rsidRPr="00F763C1">
        <w:rPr>
          <w:rFonts w:cs="Arial"/>
        </w:rPr>
        <w:t>. This report explains how blood glucose is kept within a safe range, investigates how cellular metabolism uses glucose and oxygen to produce energy, looks at the significance of tracking blood glucose levels over time, and offers evidence-based lifestyle suggestions to support successful self-management.</w:t>
      </w:r>
    </w:p>
    <w:p w14:paraId="49282FD6" w14:textId="122F8F2A" w:rsidR="00877506" w:rsidRPr="00F763C1" w:rsidRDefault="00F763C1">
      <w:pPr>
        <w:rPr>
          <w:rFonts w:cs="Arial"/>
        </w:rPr>
      </w:pPr>
      <w:r w:rsidRPr="00F763C1">
        <w:rPr>
          <w:rFonts w:cs="Arial"/>
          <w:b/>
        </w:rPr>
        <w:t>Regulation of Blood Glucose Levels</w:t>
      </w:r>
    </w:p>
    <w:p w14:paraId="25C00AB9" w14:textId="6D855C47" w:rsidR="00877506" w:rsidRPr="00F763C1" w:rsidRDefault="00F763C1">
      <w:pPr>
        <w:jc w:val="both"/>
        <w:rPr>
          <w:rFonts w:cs="Arial"/>
        </w:rPr>
      </w:pPr>
      <w:r w:rsidRPr="00F763C1">
        <w:rPr>
          <w:rFonts w:cs="Arial"/>
        </w:rPr>
        <w:t>For cells to work properly and for the body's metabolism to stay stable, blood sugar levels must stay within a small range of normal levels. Glucose is a major source of energy for many tissues, especially the brain, which mostly uses glucose when it's normal. The endocrine pancreas, liver, skeletal muscle, and adipose tissue all work together to keep blood glucose levels stable.</w:t>
      </w:r>
      <w:r w:rsidRPr="00F763C1">
        <w:rPr>
          <w:rFonts w:cs="Arial"/>
        </w:rPr>
        <w:t xml:space="preserve"> (Guyton and Hall, 2021).</w:t>
      </w:r>
    </w:p>
    <w:p w14:paraId="536816D9" w14:textId="78E18A9B" w:rsidR="00877506" w:rsidRPr="00F763C1" w:rsidRDefault="00F763C1">
      <w:pPr>
        <w:jc w:val="both"/>
        <w:rPr>
          <w:rFonts w:cs="Arial"/>
        </w:rPr>
      </w:pPr>
      <w:r w:rsidRPr="00F763C1">
        <w:rPr>
          <w:rFonts w:cs="Arial"/>
        </w:rPr>
        <w:t>The islets of Langerhans are groups of endocrine cells that are found in the pancreas. When blood sugar levels go up, like after eating carbs, beta cells in these islets release insulin. Insulin is an anabolic hormone that helps glucose get into insulin-sensitive tissues by moving glucose transporter type 4 (GLUT4) to the cell membrane. Insulin also promotes glycogenesis, which is the process of turning glucose into glycogen so that it can be stored in the liver and skeletal muscle. It also stops hepatic gluconeogenesis, which lowers the amount of glucose in the blood.</w:t>
      </w:r>
      <w:r w:rsidRPr="00F763C1">
        <w:rPr>
          <w:rFonts w:cs="Arial"/>
        </w:rPr>
        <w:t xml:space="preserve"> (Tortora and Derrickson, 2022).</w:t>
      </w:r>
    </w:p>
    <w:p w14:paraId="52039CF9" w14:textId="77777777" w:rsidR="00F763C1" w:rsidRPr="00F763C1" w:rsidRDefault="00F763C1" w:rsidP="00F763C1">
      <w:pPr>
        <w:jc w:val="both"/>
        <w:rPr>
          <w:rFonts w:cs="Arial"/>
        </w:rPr>
      </w:pPr>
      <w:r w:rsidRPr="00F763C1">
        <w:rPr>
          <w:rFonts w:cs="Arial"/>
        </w:rPr>
        <w:t>When blood sugar levels drop, the pancreas's alpha cells release glucagon. Glucagon mainly works on the liver to speed up gluconeogenesis and glycogenolysis, which sends more glucose into the blood. This counter-regulatory mechanism is necessary to stop hypoglycemia when you fast or do a lot of physical activity for a long time.</w:t>
      </w:r>
    </w:p>
    <w:p w14:paraId="78EB5D5B" w14:textId="6FA9E97A" w:rsidR="00877506" w:rsidRPr="00F763C1" w:rsidRDefault="00F763C1" w:rsidP="00F763C1">
      <w:pPr>
        <w:jc w:val="both"/>
        <w:rPr>
          <w:rFonts w:cs="Arial"/>
        </w:rPr>
      </w:pPr>
      <w:r w:rsidRPr="00F763C1">
        <w:rPr>
          <w:rFonts w:cs="Arial"/>
        </w:rPr>
        <w:lastRenderedPageBreak/>
        <w:t xml:space="preserve">People with T2DM develop insulin resistance in their peripheral tissues, which means that normal or high levels of insulin are less effective at getting glucose into cells. Over time, the function of pancreatic beta cells may decline, leading to relative insulin deficiency. Chronic hyperglycemia is caused by both insulin resistance and poor insulin secretion. Comprehending this dysregulation aids patients in </w:t>
      </w:r>
      <w:proofErr w:type="spellStart"/>
      <w:r w:rsidRPr="00F763C1">
        <w:rPr>
          <w:rFonts w:cs="Arial"/>
        </w:rPr>
        <w:t>recognising</w:t>
      </w:r>
      <w:proofErr w:type="spellEnd"/>
      <w:r w:rsidRPr="00F763C1">
        <w:rPr>
          <w:rFonts w:cs="Arial"/>
        </w:rPr>
        <w:t xml:space="preserve"> the justification for lifestyle alterations and pharmacological interventions designed to enhance insulin sensitivity and </w:t>
      </w:r>
      <w:proofErr w:type="spellStart"/>
      <w:r w:rsidRPr="00F763C1">
        <w:rPr>
          <w:rFonts w:cs="Arial"/>
        </w:rPr>
        <w:t>glycaemic</w:t>
      </w:r>
      <w:proofErr w:type="spellEnd"/>
      <w:r w:rsidRPr="00F763C1">
        <w:rPr>
          <w:rFonts w:cs="Arial"/>
        </w:rPr>
        <w:t xml:space="preserve"> regulation.</w:t>
      </w:r>
      <w:r w:rsidRPr="00F763C1">
        <w:rPr>
          <w:rFonts w:cs="Arial"/>
        </w:rPr>
        <w:t xml:space="preserve"> (American Diabetes Association, 2024).</w:t>
      </w:r>
    </w:p>
    <w:p w14:paraId="7869631E" w14:textId="77777777" w:rsidR="00877506" w:rsidRPr="00F763C1" w:rsidRDefault="00F763C1">
      <w:pPr>
        <w:rPr>
          <w:rFonts w:cs="Arial"/>
        </w:rPr>
      </w:pPr>
      <w:r w:rsidRPr="00F763C1">
        <w:rPr>
          <w:rFonts w:cs="Arial"/>
          <w:b/>
        </w:rPr>
        <w:t>Cellular Metabolism: Use of Glucose and Oxygen in Energy Production</w:t>
      </w:r>
    </w:p>
    <w:p w14:paraId="0EAA9A83" w14:textId="77777777" w:rsidR="00F763C1" w:rsidRPr="00F763C1" w:rsidRDefault="00F763C1" w:rsidP="00F763C1">
      <w:pPr>
        <w:jc w:val="both"/>
        <w:rPr>
          <w:rFonts w:cs="Arial"/>
        </w:rPr>
      </w:pPr>
      <w:r w:rsidRPr="00F763C1">
        <w:rPr>
          <w:rFonts w:cs="Arial"/>
        </w:rPr>
        <w:t>At the cellular level, oxygen and glucose serve as essential building blocks for aerobic respiration, which is how cells produce adenosine triphosphate (ATP) in response to energy demands. Certain transport proteins allow glucose to enter cells, where it is glycolyzed in the cytoplasm to produce pyruvate, ATP, and decreased nicotinamide adenine dinucleotide (NADH).</w:t>
      </w:r>
    </w:p>
    <w:p w14:paraId="3CF96DC4" w14:textId="41F63AED" w:rsidR="00877506" w:rsidRPr="00F763C1" w:rsidRDefault="00F763C1" w:rsidP="00F763C1">
      <w:pPr>
        <w:jc w:val="both"/>
        <w:rPr>
          <w:rFonts w:cs="Arial"/>
        </w:rPr>
      </w:pPr>
      <w:r w:rsidRPr="00F763C1">
        <w:rPr>
          <w:rFonts w:cs="Arial"/>
        </w:rPr>
        <w:t>Pyruvate is carried into the mitochondria and enters the Krebs cycle when there is enough oxygen present. The electron carriers produced by this cycle are fed into the inner mitochondrial membrane's electron transport chain. As the last electron acceptor, oxygen facilitates oxidative phosphorylation and the effective synthesis of ATP. Essential cellular functions like active transport systems, nerve impulse transmission, and muscle contraction are supported by this energy.</w:t>
      </w:r>
      <w:r w:rsidRPr="00F763C1">
        <w:rPr>
          <w:rFonts w:cs="Arial"/>
        </w:rPr>
        <w:t xml:space="preserve"> (Guyton and Hall, 2021).</w:t>
      </w:r>
    </w:p>
    <w:p w14:paraId="47F4C202" w14:textId="3AB540D1" w:rsidR="00877506" w:rsidRPr="00F763C1" w:rsidRDefault="00F763C1">
      <w:pPr>
        <w:jc w:val="both"/>
        <w:rPr>
          <w:rFonts w:cs="Arial"/>
        </w:rPr>
      </w:pPr>
      <w:r w:rsidRPr="00F763C1">
        <w:rPr>
          <w:rFonts w:cs="Arial"/>
        </w:rPr>
        <w:t xml:space="preserve">Despite high blood glucose levels, insulin resistance in type 2 diabetes hinders the absorption of glucose into cells. Cells may consequently suffer from a relative lack of energy, which exacerbates symptoms like exhaustion. Additionally, increased flux through alternate metabolic pathways brought on by chronic hyperglycemia produces toxic byproducts such as advanced glycation end products. These substances harm nerves and blood vessels, which contributes significantly to the emergence of complications from </w:t>
      </w:r>
      <w:proofErr w:type="gramStart"/>
      <w:r w:rsidRPr="00F763C1">
        <w:rPr>
          <w:rFonts w:cs="Arial"/>
        </w:rPr>
        <w:t>diabetes.</w:t>
      </w:r>
      <w:r w:rsidRPr="00F763C1">
        <w:rPr>
          <w:rFonts w:cs="Arial"/>
        </w:rPr>
        <w:t>(</w:t>
      </w:r>
      <w:proofErr w:type="gramEnd"/>
      <w:r w:rsidRPr="00F763C1">
        <w:rPr>
          <w:rFonts w:cs="Arial"/>
        </w:rPr>
        <w:t>Tortora and Derrickson, 2022). Explaining these processes reinforces the importance of maintaining blood glucose within recommended targets.</w:t>
      </w:r>
    </w:p>
    <w:p w14:paraId="13C39D59" w14:textId="77777777" w:rsidR="00877506" w:rsidRPr="00F763C1" w:rsidRDefault="00F763C1">
      <w:pPr>
        <w:rPr>
          <w:rFonts w:cs="Arial"/>
        </w:rPr>
      </w:pPr>
      <w:r w:rsidRPr="00F763C1">
        <w:rPr>
          <w:rFonts w:cs="Arial"/>
          <w:b/>
        </w:rPr>
        <w:t>Importance of Recording and Tracking Blood Gl</w:t>
      </w:r>
      <w:r w:rsidRPr="00F763C1">
        <w:rPr>
          <w:rFonts w:cs="Arial"/>
          <w:b/>
        </w:rPr>
        <w:t>ucose Levels</w:t>
      </w:r>
    </w:p>
    <w:p w14:paraId="7A8933A1" w14:textId="77777777" w:rsidR="00F763C1" w:rsidRPr="00F763C1" w:rsidRDefault="00F763C1" w:rsidP="00F763C1">
      <w:pPr>
        <w:jc w:val="both"/>
        <w:rPr>
          <w:rFonts w:cs="Arial"/>
        </w:rPr>
      </w:pPr>
      <w:r w:rsidRPr="00F763C1">
        <w:rPr>
          <w:rFonts w:cs="Arial"/>
        </w:rPr>
        <w:t xml:space="preserve">A key component of safe and efficient T2DM management is routine blood glucose monitoring and recording. Self-monitoring helps people understand how daily actions, such as food choices, physical exercise, stress, and medication adherence, affect blood glucose levels and gives them instant feedback on their current </w:t>
      </w:r>
      <w:proofErr w:type="spellStart"/>
      <w:r w:rsidRPr="00F763C1">
        <w:rPr>
          <w:rFonts w:cs="Arial"/>
        </w:rPr>
        <w:t>glycaemic</w:t>
      </w:r>
      <w:proofErr w:type="spellEnd"/>
      <w:r w:rsidRPr="00F763C1">
        <w:rPr>
          <w:rFonts w:cs="Arial"/>
        </w:rPr>
        <w:t xml:space="preserve"> state.</w:t>
      </w:r>
    </w:p>
    <w:p w14:paraId="6353E26C" w14:textId="7C8E982E" w:rsidR="00877506" w:rsidRPr="00F763C1" w:rsidRDefault="00F763C1" w:rsidP="00F763C1">
      <w:pPr>
        <w:jc w:val="both"/>
        <w:rPr>
          <w:rFonts w:cs="Arial"/>
        </w:rPr>
      </w:pPr>
      <w:r w:rsidRPr="00F763C1">
        <w:rPr>
          <w:rFonts w:cs="Arial"/>
        </w:rPr>
        <w:t>Readings that are regularly taken throughout time show patterns and trends that can be discussed with medical professionals at regular check-ups. Evidence-based decision-making, which includes tailored lifestyle recommendations and medication modifications, is supported by this knowledge. Additionally, monitoring lowers the risk of hypoglycemia and permits early detection of persistent hyperglycemia, especially in patients receiving insulin or sulfonylureas.</w:t>
      </w:r>
      <w:r w:rsidRPr="00F763C1">
        <w:rPr>
          <w:rFonts w:cs="Arial"/>
        </w:rPr>
        <w:t xml:space="preserve"> (NICE, 2023).</w:t>
      </w:r>
    </w:p>
    <w:p w14:paraId="74942D52" w14:textId="77777777" w:rsidR="00F763C1" w:rsidRPr="00F763C1" w:rsidRDefault="00F763C1">
      <w:pPr>
        <w:rPr>
          <w:rFonts w:cs="Arial"/>
          <w:bCs/>
        </w:rPr>
      </w:pPr>
      <w:r w:rsidRPr="00F763C1">
        <w:rPr>
          <w:rFonts w:cs="Arial"/>
          <w:bCs/>
        </w:rPr>
        <w:lastRenderedPageBreak/>
        <w:t>From a nursing standpoint, it's crucial to teach patients how to properly monitor and interpret their results. In line with person-</w:t>
      </w:r>
      <w:proofErr w:type="spellStart"/>
      <w:r w:rsidRPr="00F763C1">
        <w:rPr>
          <w:rFonts w:cs="Arial"/>
          <w:bCs/>
        </w:rPr>
        <w:t>centred</w:t>
      </w:r>
      <w:proofErr w:type="spellEnd"/>
      <w:r w:rsidRPr="00F763C1">
        <w:rPr>
          <w:rFonts w:cs="Arial"/>
          <w:bCs/>
        </w:rPr>
        <w:t xml:space="preserve"> care approaches, structured education raises self-efficacy, facilitates collaborative decision-making, and stimulates increased involvement with </w:t>
      </w:r>
      <w:proofErr w:type="spellStart"/>
      <w:r w:rsidRPr="00F763C1">
        <w:rPr>
          <w:rFonts w:cs="Arial"/>
          <w:bCs/>
        </w:rPr>
        <w:t>individualised</w:t>
      </w:r>
      <w:proofErr w:type="spellEnd"/>
      <w:r w:rsidRPr="00F763C1">
        <w:rPr>
          <w:rFonts w:cs="Arial"/>
          <w:bCs/>
        </w:rPr>
        <w:t xml:space="preserve"> care </w:t>
      </w:r>
      <w:proofErr w:type="spellStart"/>
      <w:r w:rsidRPr="00F763C1">
        <w:rPr>
          <w:rFonts w:cs="Arial"/>
          <w:bCs/>
        </w:rPr>
        <w:t>plans.</w:t>
      </w:r>
      <w:proofErr w:type="spellEnd"/>
    </w:p>
    <w:p w14:paraId="4E408F36" w14:textId="04D82F1D" w:rsidR="00877506" w:rsidRPr="00F763C1" w:rsidRDefault="00F763C1">
      <w:pPr>
        <w:rPr>
          <w:rFonts w:cs="Arial"/>
        </w:rPr>
      </w:pPr>
      <w:r w:rsidRPr="00F763C1">
        <w:rPr>
          <w:rFonts w:cs="Arial"/>
          <w:b/>
        </w:rPr>
        <w:t>Lifestyle Factors and Evidence-Based Recommendations</w:t>
      </w:r>
    </w:p>
    <w:p w14:paraId="1DC2DA45" w14:textId="3D78ADA6" w:rsidR="00877506" w:rsidRPr="00F763C1" w:rsidRDefault="00F763C1">
      <w:pPr>
        <w:jc w:val="both"/>
        <w:rPr>
          <w:rFonts w:cs="Arial"/>
        </w:rPr>
      </w:pPr>
      <w:r w:rsidRPr="00F763C1">
        <w:rPr>
          <w:rFonts w:cs="Arial"/>
        </w:rPr>
        <w:t xml:space="preserve">As a first-line treatment at diagnosis and throughout the course of the disease, lifestyle modification is still a key part of managing type 2 diabetes. Blood glucose levels are directly influenced by dietary consumption. Better </w:t>
      </w:r>
      <w:proofErr w:type="spellStart"/>
      <w:r w:rsidRPr="00F763C1">
        <w:rPr>
          <w:rFonts w:cs="Arial"/>
        </w:rPr>
        <w:t>glycaemic</w:t>
      </w:r>
      <w:proofErr w:type="spellEnd"/>
      <w:r w:rsidRPr="00F763C1">
        <w:rPr>
          <w:rFonts w:cs="Arial"/>
        </w:rPr>
        <w:t xml:space="preserve"> control and a lower risk of cardiovascular disease are linked to a balanced diet full of whole grains, fruits, vegetables, lean protein sources, and unsaturated fats. Reducing postprandial glucose excursions and promoting weight management are two benefits of limiting refined carbs, added sugars, and saturated fats.</w:t>
      </w:r>
      <w:r w:rsidRPr="00F763C1">
        <w:rPr>
          <w:rFonts w:cs="Arial"/>
        </w:rPr>
        <w:t xml:space="preserve"> (Diabetes UK, 2022).</w:t>
      </w:r>
    </w:p>
    <w:p w14:paraId="573C3FC3" w14:textId="7FB0D1CE" w:rsidR="00877506" w:rsidRPr="00F763C1" w:rsidRDefault="00F763C1">
      <w:pPr>
        <w:jc w:val="both"/>
        <w:rPr>
          <w:rFonts w:cs="Arial"/>
        </w:rPr>
      </w:pPr>
      <w:r w:rsidRPr="00F763C1">
        <w:rPr>
          <w:rFonts w:cs="Arial"/>
        </w:rPr>
        <w:t xml:space="preserve">Through both insulin-dependent and insulin-independent pathways, physical activity enhances </w:t>
      </w:r>
      <w:proofErr w:type="spellStart"/>
      <w:r w:rsidRPr="00F763C1">
        <w:rPr>
          <w:rFonts w:cs="Arial"/>
        </w:rPr>
        <w:t>glycaemic</w:t>
      </w:r>
      <w:proofErr w:type="spellEnd"/>
      <w:r w:rsidRPr="00F763C1">
        <w:rPr>
          <w:rFonts w:cs="Arial"/>
        </w:rPr>
        <w:t xml:space="preserve"> control and insulin sensitivity. Skeletal muscle lowers blood glucose levels during exercise by increasing glucose absorption without the use of insulin. According to UK guidelines, resistance training should be done two or more days a week in addition to at least 150 minutes of moderate-intensity aerobic activity.</w:t>
      </w:r>
      <w:r w:rsidRPr="00F763C1">
        <w:rPr>
          <w:rFonts w:cs="Arial"/>
        </w:rPr>
        <w:t xml:space="preserve"> </w:t>
      </w:r>
      <w:r w:rsidRPr="00F763C1">
        <w:rPr>
          <w:rFonts w:cs="Arial"/>
        </w:rPr>
        <w:t>(NHS, 2023). Even modest increases in activity provide clinically meaningful benefits.</w:t>
      </w:r>
    </w:p>
    <w:p w14:paraId="3D670C9B" w14:textId="53CA4A89" w:rsidR="00877506" w:rsidRPr="00F763C1" w:rsidRDefault="00F763C1">
      <w:pPr>
        <w:jc w:val="both"/>
        <w:rPr>
          <w:rFonts w:cs="Arial"/>
        </w:rPr>
      </w:pPr>
      <w:r w:rsidRPr="00F763C1">
        <w:rPr>
          <w:rFonts w:cs="Arial"/>
        </w:rPr>
        <w:t xml:space="preserve">For people with type 2 diabetes, quitting smoking is especially crucial because it worsens insulin resistance and significantly raises the risk of cardiovascular disease. Practice nurses are essential in providing </w:t>
      </w:r>
      <w:proofErr w:type="spellStart"/>
      <w:r w:rsidRPr="00F763C1">
        <w:rPr>
          <w:rFonts w:cs="Arial"/>
        </w:rPr>
        <w:t>behavioural</w:t>
      </w:r>
      <w:proofErr w:type="spellEnd"/>
      <w:r w:rsidRPr="00F763C1">
        <w:rPr>
          <w:rFonts w:cs="Arial"/>
        </w:rPr>
        <w:t xml:space="preserve"> support, short-term therapies, and arranging for referrals to smoking cessation programs. When combined, these lifestyle modifications support comprehensive treatment by addressing comorbid risk factors and </w:t>
      </w:r>
      <w:proofErr w:type="spellStart"/>
      <w:r w:rsidRPr="00F763C1">
        <w:rPr>
          <w:rFonts w:cs="Arial"/>
        </w:rPr>
        <w:t>glycaemic</w:t>
      </w:r>
      <w:proofErr w:type="spellEnd"/>
      <w:r w:rsidRPr="00F763C1">
        <w:rPr>
          <w:rFonts w:cs="Arial"/>
        </w:rPr>
        <w:t xml:space="preserve"> management.</w:t>
      </w:r>
      <w:r w:rsidRPr="00F763C1">
        <w:rPr>
          <w:rFonts w:cs="Arial"/>
        </w:rPr>
        <w:t xml:space="preserve"> (Public Health England, 2021).</w:t>
      </w:r>
    </w:p>
    <w:p w14:paraId="355B7E4F" w14:textId="289D8186" w:rsidR="00877506" w:rsidRDefault="00F763C1">
      <w:pPr>
        <w:rPr>
          <w:rFonts w:cs="Arial"/>
          <w:b/>
        </w:rPr>
      </w:pPr>
      <w:r w:rsidRPr="00F763C1">
        <w:rPr>
          <w:rFonts w:cs="Arial"/>
          <w:b/>
        </w:rPr>
        <w:t>Conclusion</w:t>
      </w:r>
    </w:p>
    <w:p w14:paraId="3D7EACE0" w14:textId="573C0645" w:rsidR="00F763C1" w:rsidRPr="00F763C1" w:rsidRDefault="00F763C1">
      <w:pPr>
        <w:rPr>
          <w:rFonts w:cs="Arial"/>
        </w:rPr>
      </w:pPr>
      <w:r w:rsidRPr="00F763C1">
        <w:rPr>
          <w:rFonts w:cs="Arial"/>
        </w:rPr>
        <w:t>Type 2 diabetes mellitus is a chronic, complicated illness that necessitates continuous medical assistance as well as educated self-management. People can interact with their care plans more successfully if they comprehend the physiological processes underlying cellular metabolism and blood glucose management. Frequent blood glucose testing and monitoring yields vital information for safe management and group decision-making. Results are greatly enhanced by evidence-based lifestyle treatments, such as changing one's diet, increasing physical activity, and quitting smoking. In order to empower patients and lessen the long-term toll that type 2 diabetes takes on both individuals and the healthcare system, practice nurses must provide clear, physiology-informed teaching.</w:t>
      </w:r>
    </w:p>
    <w:p w14:paraId="10C1D60C" w14:textId="5660F65A" w:rsidR="00877506" w:rsidRPr="00F763C1" w:rsidRDefault="00F763C1">
      <w:pPr>
        <w:rPr>
          <w:rFonts w:cs="Arial"/>
          <w:b/>
        </w:rPr>
      </w:pPr>
      <w:r w:rsidRPr="00F763C1">
        <w:rPr>
          <w:rFonts w:cs="Arial"/>
          <w:b/>
        </w:rPr>
        <w:t>References:</w:t>
      </w:r>
    </w:p>
    <w:p w14:paraId="1B92ADEF" w14:textId="77777777" w:rsidR="00F763C1" w:rsidRPr="00F763C1" w:rsidRDefault="00F763C1" w:rsidP="00F763C1">
      <w:pPr>
        <w:pStyle w:val="NormalWeb"/>
        <w:rPr>
          <w:rFonts w:ascii="Arial" w:hAnsi="Arial" w:cs="Arial"/>
          <w:color w:val="000000"/>
          <w:sz w:val="22"/>
          <w:szCs w:val="22"/>
        </w:rPr>
      </w:pPr>
      <w:r w:rsidRPr="00F763C1">
        <w:rPr>
          <w:rFonts w:ascii="Arial" w:hAnsi="Arial" w:cs="Arial"/>
          <w:color w:val="000000"/>
          <w:sz w:val="22"/>
          <w:szCs w:val="22"/>
        </w:rPr>
        <w:t>American Diabetes Association (2024)</w:t>
      </w:r>
      <w:r w:rsidRPr="00F763C1">
        <w:rPr>
          <w:rStyle w:val="apple-converted-space"/>
          <w:rFonts w:ascii="Arial" w:hAnsi="Arial" w:cs="Arial"/>
          <w:color w:val="000000"/>
          <w:sz w:val="22"/>
          <w:szCs w:val="22"/>
        </w:rPr>
        <w:t> </w:t>
      </w:r>
      <w:r w:rsidRPr="00F763C1">
        <w:rPr>
          <w:rStyle w:val="Emphasis"/>
          <w:rFonts w:ascii="Arial" w:hAnsi="Arial" w:cs="Arial"/>
          <w:color w:val="000000"/>
          <w:sz w:val="22"/>
          <w:szCs w:val="22"/>
        </w:rPr>
        <w:t>Standards of medical care in diabetes—2024</w:t>
      </w:r>
      <w:r w:rsidRPr="00F763C1">
        <w:rPr>
          <w:rFonts w:ascii="Arial" w:hAnsi="Arial" w:cs="Arial"/>
          <w:color w:val="000000"/>
          <w:sz w:val="22"/>
          <w:szCs w:val="22"/>
        </w:rPr>
        <w:t>.</w:t>
      </w:r>
      <w:r w:rsidRPr="00F763C1">
        <w:rPr>
          <w:rStyle w:val="apple-converted-space"/>
          <w:rFonts w:ascii="Arial" w:hAnsi="Arial" w:cs="Arial"/>
          <w:color w:val="000000"/>
          <w:sz w:val="22"/>
          <w:szCs w:val="22"/>
        </w:rPr>
        <w:t> </w:t>
      </w:r>
      <w:r w:rsidRPr="00F763C1">
        <w:rPr>
          <w:rStyle w:val="Strong"/>
          <w:rFonts w:ascii="Arial" w:hAnsi="Arial" w:cs="Arial"/>
          <w:b w:val="0"/>
          <w:bCs w:val="0"/>
          <w:color w:val="000000"/>
          <w:sz w:val="22"/>
          <w:szCs w:val="22"/>
        </w:rPr>
        <w:t>Diabetes Care</w:t>
      </w:r>
      <w:r w:rsidRPr="00F763C1">
        <w:rPr>
          <w:rFonts w:ascii="Arial" w:hAnsi="Arial" w:cs="Arial"/>
          <w:b/>
          <w:bCs/>
          <w:color w:val="000000"/>
          <w:sz w:val="22"/>
          <w:szCs w:val="22"/>
        </w:rPr>
        <w:t>,</w:t>
      </w:r>
      <w:r w:rsidRPr="00F763C1">
        <w:rPr>
          <w:rFonts w:ascii="Arial" w:hAnsi="Arial" w:cs="Arial"/>
          <w:color w:val="000000"/>
          <w:sz w:val="22"/>
          <w:szCs w:val="22"/>
        </w:rPr>
        <w:t xml:space="preserve"> 47(Suppl. 1), pp. S1–S350.</w:t>
      </w:r>
    </w:p>
    <w:p w14:paraId="65277B1F" w14:textId="77777777" w:rsidR="00F763C1" w:rsidRPr="00F763C1" w:rsidRDefault="00F763C1" w:rsidP="00F763C1">
      <w:pPr>
        <w:pStyle w:val="NormalWeb"/>
        <w:rPr>
          <w:rFonts w:ascii="Arial" w:hAnsi="Arial" w:cs="Arial"/>
          <w:color w:val="000000"/>
          <w:sz w:val="22"/>
          <w:szCs w:val="22"/>
        </w:rPr>
      </w:pPr>
      <w:r w:rsidRPr="00F763C1">
        <w:rPr>
          <w:rFonts w:ascii="Arial" w:hAnsi="Arial" w:cs="Arial"/>
          <w:color w:val="000000"/>
          <w:sz w:val="22"/>
          <w:szCs w:val="22"/>
        </w:rPr>
        <w:lastRenderedPageBreak/>
        <w:t>Diabetes UK (2022)</w:t>
      </w:r>
      <w:r w:rsidRPr="00F763C1">
        <w:rPr>
          <w:rStyle w:val="apple-converted-space"/>
          <w:rFonts w:ascii="Arial" w:hAnsi="Arial" w:cs="Arial"/>
          <w:color w:val="000000"/>
          <w:sz w:val="22"/>
          <w:szCs w:val="22"/>
        </w:rPr>
        <w:t> </w:t>
      </w:r>
      <w:r w:rsidRPr="00F763C1">
        <w:rPr>
          <w:rStyle w:val="Emphasis"/>
          <w:rFonts w:ascii="Arial" w:hAnsi="Arial" w:cs="Arial"/>
          <w:color w:val="000000"/>
          <w:sz w:val="22"/>
          <w:szCs w:val="22"/>
        </w:rPr>
        <w:t>Evidence-based nutrition guidelines for the prevention and management of diabetes</w:t>
      </w:r>
      <w:r w:rsidRPr="00F763C1">
        <w:rPr>
          <w:rFonts w:ascii="Arial" w:hAnsi="Arial" w:cs="Arial"/>
          <w:color w:val="000000"/>
          <w:sz w:val="22"/>
          <w:szCs w:val="22"/>
        </w:rPr>
        <w:t>. Available at:</w:t>
      </w:r>
      <w:r w:rsidRPr="00F763C1">
        <w:rPr>
          <w:rStyle w:val="apple-converted-space"/>
          <w:rFonts w:ascii="Arial" w:hAnsi="Arial" w:cs="Arial"/>
          <w:color w:val="000000"/>
          <w:sz w:val="22"/>
          <w:szCs w:val="22"/>
        </w:rPr>
        <w:t> </w:t>
      </w:r>
      <w:hyperlink r:id="rId6" w:tgtFrame="_new" w:history="1">
        <w:r w:rsidRPr="00F763C1">
          <w:rPr>
            <w:rStyle w:val="Hyperlink"/>
            <w:rFonts w:ascii="Arial" w:eastAsiaTheme="majorEastAsia" w:hAnsi="Arial" w:cs="Arial"/>
            <w:sz w:val="22"/>
            <w:szCs w:val="22"/>
          </w:rPr>
          <w:t>https://www.diabetes.org.uk</w:t>
        </w:r>
      </w:hyperlink>
      <w:r w:rsidRPr="00F763C1">
        <w:rPr>
          <w:rStyle w:val="apple-converted-space"/>
          <w:rFonts w:ascii="Arial" w:hAnsi="Arial" w:cs="Arial"/>
          <w:color w:val="000000"/>
          <w:sz w:val="22"/>
          <w:szCs w:val="22"/>
        </w:rPr>
        <w:t> </w:t>
      </w:r>
      <w:r w:rsidRPr="00F763C1">
        <w:rPr>
          <w:rFonts w:ascii="Arial" w:hAnsi="Arial" w:cs="Arial"/>
          <w:color w:val="000000"/>
          <w:sz w:val="22"/>
          <w:szCs w:val="22"/>
        </w:rPr>
        <w:t>(Accessed: 20 February 2026).</w:t>
      </w:r>
    </w:p>
    <w:p w14:paraId="36AB312C" w14:textId="77777777" w:rsidR="00F763C1" w:rsidRPr="00F763C1" w:rsidRDefault="00F763C1" w:rsidP="00F763C1">
      <w:pPr>
        <w:pStyle w:val="NormalWeb"/>
        <w:rPr>
          <w:rFonts w:ascii="Arial" w:hAnsi="Arial" w:cs="Arial"/>
          <w:color w:val="000000"/>
          <w:sz w:val="22"/>
          <w:szCs w:val="22"/>
        </w:rPr>
      </w:pPr>
      <w:r w:rsidRPr="00F763C1">
        <w:rPr>
          <w:rFonts w:ascii="Arial" w:hAnsi="Arial" w:cs="Arial"/>
          <w:color w:val="000000"/>
          <w:sz w:val="22"/>
          <w:szCs w:val="22"/>
        </w:rPr>
        <w:t>Guyton, A.C. and Hall, J.E. (2021)</w:t>
      </w:r>
      <w:r w:rsidRPr="00F763C1">
        <w:rPr>
          <w:rStyle w:val="apple-converted-space"/>
          <w:rFonts w:ascii="Arial" w:hAnsi="Arial" w:cs="Arial"/>
          <w:color w:val="000000"/>
          <w:sz w:val="22"/>
          <w:szCs w:val="22"/>
        </w:rPr>
        <w:t> </w:t>
      </w:r>
      <w:r w:rsidRPr="00F763C1">
        <w:rPr>
          <w:rStyle w:val="Emphasis"/>
          <w:rFonts w:ascii="Arial" w:hAnsi="Arial" w:cs="Arial"/>
          <w:color w:val="000000"/>
          <w:sz w:val="22"/>
          <w:szCs w:val="22"/>
        </w:rPr>
        <w:t>Textbook of medical physiology</w:t>
      </w:r>
      <w:r w:rsidRPr="00F763C1">
        <w:rPr>
          <w:rFonts w:ascii="Arial" w:hAnsi="Arial" w:cs="Arial"/>
          <w:color w:val="000000"/>
          <w:sz w:val="22"/>
          <w:szCs w:val="22"/>
        </w:rPr>
        <w:t xml:space="preserve">. 14th </w:t>
      </w:r>
      <w:proofErr w:type="spellStart"/>
      <w:r w:rsidRPr="00F763C1">
        <w:rPr>
          <w:rFonts w:ascii="Arial" w:hAnsi="Arial" w:cs="Arial"/>
          <w:color w:val="000000"/>
          <w:sz w:val="22"/>
          <w:szCs w:val="22"/>
        </w:rPr>
        <w:t>edn</w:t>
      </w:r>
      <w:proofErr w:type="spellEnd"/>
      <w:r w:rsidRPr="00F763C1">
        <w:rPr>
          <w:rFonts w:ascii="Arial" w:hAnsi="Arial" w:cs="Arial"/>
          <w:color w:val="000000"/>
          <w:sz w:val="22"/>
          <w:szCs w:val="22"/>
        </w:rPr>
        <w:t>. Philadelphia: Elsevier.</w:t>
      </w:r>
    </w:p>
    <w:p w14:paraId="608A47D0" w14:textId="77777777" w:rsidR="00F763C1" w:rsidRPr="00F763C1" w:rsidRDefault="00F763C1" w:rsidP="00F763C1">
      <w:pPr>
        <w:pStyle w:val="NormalWeb"/>
        <w:rPr>
          <w:rFonts w:ascii="Arial" w:hAnsi="Arial" w:cs="Arial"/>
          <w:color w:val="000000"/>
          <w:sz w:val="22"/>
          <w:szCs w:val="22"/>
        </w:rPr>
      </w:pPr>
      <w:r w:rsidRPr="00F763C1">
        <w:rPr>
          <w:rFonts w:ascii="Arial" w:hAnsi="Arial" w:cs="Arial"/>
          <w:color w:val="000000"/>
          <w:sz w:val="22"/>
          <w:szCs w:val="22"/>
        </w:rPr>
        <w:t>National Health Service (NHS) (2023)</w:t>
      </w:r>
      <w:r w:rsidRPr="00F763C1">
        <w:rPr>
          <w:rStyle w:val="apple-converted-space"/>
          <w:rFonts w:ascii="Arial" w:hAnsi="Arial" w:cs="Arial"/>
          <w:color w:val="000000"/>
          <w:sz w:val="22"/>
          <w:szCs w:val="22"/>
        </w:rPr>
        <w:t> </w:t>
      </w:r>
      <w:r w:rsidRPr="00F763C1">
        <w:rPr>
          <w:rStyle w:val="Emphasis"/>
          <w:rFonts w:ascii="Arial" w:hAnsi="Arial" w:cs="Arial"/>
          <w:color w:val="000000"/>
          <w:sz w:val="22"/>
          <w:szCs w:val="22"/>
        </w:rPr>
        <w:t>Type 2 diabetes</w:t>
      </w:r>
      <w:r w:rsidRPr="00F763C1">
        <w:rPr>
          <w:rFonts w:ascii="Arial" w:hAnsi="Arial" w:cs="Arial"/>
          <w:color w:val="000000"/>
          <w:sz w:val="22"/>
          <w:szCs w:val="22"/>
        </w:rPr>
        <w:t>. Available at:</w:t>
      </w:r>
      <w:r w:rsidRPr="00F763C1">
        <w:rPr>
          <w:rStyle w:val="apple-converted-space"/>
          <w:rFonts w:ascii="Arial" w:hAnsi="Arial" w:cs="Arial"/>
          <w:color w:val="000000"/>
          <w:sz w:val="22"/>
          <w:szCs w:val="22"/>
        </w:rPr>
        <w:t> </w:t>
      </w:r>
      <w:hyperlink r:id="rId7" w:tgtFrame="_new" w:history="1">
        <w:r w:rsidRPr="00F763C1">
          <w:rPr>
            <w:rStyle w:val="Hyperlink"/>
            <w:rFonts w:ascii="Arial" w:eastAsiaTheme="majorEastAsia" w:hAnsi="Arial" w:cs="Arial"/>
            <w:sz w:val="22"/>
            <w:szCs w:val="22"/>
          </w:rPr>
          <w:t>https://www.nhs.uk/conditions/type-2-diabetes/</w:t>
        </w:r>
      </w:hyperlink>
      <w:r w:rsidRPr="00F763C1">
        <w:rPr>
          <w:rFonts w:ascii="Arial" w:hAnsi="Arial" w:cs="Arial"/>
          <w:color w:val="000000"/>
          <w:sz w:val="22"/>
          <w:szCs w:val="22"/>
        </w:rPr>
        <w:t>(Accessed: 20 February 2026).</w:t>
      </w:r>
    </w:p>
    <w:p w14:paraId="33F1E6CE" w14:textId="77777777" w:rsidR="00F763C1" w:rsidRPr="00F763C1" w:rsidRDefault="00F763C1" w:rsidP="00F763C1">
      <w:pPr>
        <w:pStyle w:val="NormalWeb"/>
        <w:rPr>
          <w:rFonts w:ascii="Arial" w:hAnsi="Arial" w:cs="Arial"/>
          <w:color w:val="000000"/>
          <w:sz w:val="22"/>
          <w:szCs w:val="22"/>
        </w:rPr>
      </w:pPr>
      <w:r w:rsidRPr="00F763C1">
        <w:rPr>
          <w:rFonts w:ascii="Arial" w:hAnsi="Arial" w:cs="Arial"/>
          <w:color w:val="000000"/>
          <w:sz w:val="22"/>
          <w:szCs w:val="22"/>
        </w:rPr>
        <w:t>National Institute for Health and Care Excellence (NICE) (2023)</w:t>
      </w:r>
      <w:r w:rsidRPr="00F763C1">
        <w:rPr>
          <w:rStyle w:val="apple-converted-space"/>
          <w:rFonts w:ascii="Arial" w:hAnsi="Arial" w:cs="Arial"/>
          <w:color w:val="000000"/>
          <w:sz w:val="22"/>
          <w:szCs w:val="22"/>
        </w:rPr>
        <w:t> </w:t>
      </w:r>
      <w:r w:rsidRPr="00F763C1">
        <w:rPr>
          <w:rStyle w:val="Emphasis"/>
          <w:rFonts w:ascii="Arial" w:hAnsi="Arial" w:cs="Arial"/>
          <w:color w:val="000000"/>
          <w:sz w:val="22"/>
          <w:szCs w:val="22"/>
        </w:rPr>
        <w:t>Type 2 diabetes in adults: management (NG28)</w:t>
      </w:r>
      <w:r w:rsidRPr="00F763C1">
        <w:rPr>
          <w:rFonts w:ascii="Arial" w:hAnsi="Arial" w:cs="Arial"/>
          <w:color w:val="000000"/>
          <w:sz w:val="22"/>
          <w:szCs w:val="22"/>
        </w:rPr>
        <w:t>. London: NICE.</w:t>
      </w:r>
    </w:p>
    <w:p w14:paraId="62304A6B" w14:textId="77777777" w:rsidR="00F763C1" w:rsidRPr="00F763C1" w:rsidRDefault="00F763C1" w:rsidP="00F763C1">
      <w:pPr>
        <w:pStyle w:val="NormalWeb"/>
        <w:rPr>
          <w:rFonts w:ascii="Arial" w:hAnsi="Arial" w:cs="Arial"/>
          <w:color w:val="000000"/>
          <w:sz w:val="22"/>
          <w:szCs w:val="22"/>
        </w:rPr>
      </w:pPr>
      <w:r w:rsidRPr="00F763C1">
        <w:rPr>
          <w:rFonts w:ascii="Arial" w:hAnsi="Arial" w:cs="Arial"/>
          <w:color w:val="000000"/>
          <w:sz w:val="22"/>
          <w:szCs w:val="22"/>
        </w:rPr>
        <w:t>Public Health England (2021)</w:t>
      </w:r>
      <w:r w:rsidRPr="00F763C1">
        <w:rPr>
          <w:rStyle w:val="apple-converted-space"/>
          <w:rFonts w:ascii="Arial" w:hAnsi="Arial" w:cs="Arial"/>
          <w:color w:val="000000"/>
          <w:sz w:val="22"/>
          <w:szCs w:val="22"/>
        </w:rPr>
        <w:t> </w:t>
      </w:r>
      <w:r w:rsidRPr="00F763C1">
        <w:rPr>
          <w:rStyle w:val="Emphasis"/>
          <w:rFonts w:ascii="Arial" w:hAnsi="Arial" w:cs="Arial"/>
          <w:color w:val="000000"/>
          <w:sz w:val="22"/>
          <w:szCs w:val="22"/>
        </w:rPr>
        <w:t>Health matters: preventing cardiovascular disease</w:t>
      </w:r>
      <w:r w:rsidRPr="00F763C1">
        <w:rPr>
          <w:rFonts w:ascii="Arial" w:hAnsi="Arial" w:cs="Arial"/>
          <w:color w:val="000000"/>
          <w:sz w:val="22"/>
          <w:szCs w:val="22"/>
        </w:rPr>
        <w:t>. London: Public Health England.</w:t>
      </w:r>
    </w:p>
    <w:p w14:paraId="71A3E60D" w14:textId="77777777" w:rsidR="00F763C1" w:rsidRPr="00F763C1" w:rsidRDefault="00F763C1" w:rsidP="00F763C1">
      <w:pPr>
        <w:pStyle w:val="NormalWeb"/>
        <w:rPr>
          <w:rFonts w:ascii="Arial" w:hAnsi="Arial" w:cs="Arial"/>
          <w:color w:val="000000"/>
          <w:sz w:val="22"/>
          <w:szCs w:val="22"/>
        </w:rPr>
      </w:pPr>
      <w:r w:rsidRPr="00F763C1">
        <w:rPr>
          <w:rFonts w:ascii="Arial" w:hAnsi="Arial" w:cs="Arial"/>
          <w:color w:val="000000"/>
          <w:sz w:val="22"/>
          <w:szCs w:val="22"/>
        </w:rPr>
        <w:t>Tortora, G.J. and Derrickson, B.H. (2022)</w:t>
      </w:r>
      <w:r w:rsidRPr="00F763C1">
        <w:rPr>
          <w:rStyle w:val="apple-converted-space"/>
          <w:rFonts w:ascii="Arial" w:hAnsi="Arial" w:cs="Arial"/>
          <w:color w:val="000000"/>
          <w:sz w:val="22"/>
          <w:szCs w:val="22"/>
        </w:rPr>
        <w:t> </w:t>
      </w:r>
      <w:r w:rsidRPr="00F763C1">
        <w:rPr>
          <w:rStyle w:val="Emphasis"/>
          <w:rFonts w:ascii="Arial" w:hAnsi="Arial" w:cs="Arial"/>
          <w:color w:val="000000"/>
          <w:sz w:val="22"/>
          <w:szCs w:val="22"/>
        </w:rPr>
        <w:t>Principles of anatomy and physiology</w:t>
      </w:r>
      <w:r w:rsidRPr="00F763C1">
        <w:rPr>
          <w:rFonts w:ascii="Arial" w:hAnsi="Arial" w:cs="Arial"/>
          <w:color w:val="000000"/>
          <w:sz w:val="22"/>
          <w:szCs w:val="22"/>
        </w:rPr>
        <w:t xml:space="preserve">. 16th </w:t>
      </w:r>
      <w:proofErr w:type="spellStart"/>
      <w:r w:rsidRPr="00F763C1">
        <w:rPr>
          <w:rFonts w:ascii="Arial" w:hAnsi="Arial" w:cs="Arial"/>
          <w:color w:val="000000"/>
          <w:sz w:val="22"/>
          <w:szCs w:val="22"/>
        </w:rPr>
        <w:t>edn</w:t>
      </w:r>
      <w:proofErr w:type="spellEnd"/>
      <w:r w:rsidRPr="00F763C1">
        <w:rPr>
          <w:rFonts w:ascii="Arial" w:hAnsi="Arial" w:cs="Arial"/>
          <w:color w:val="000000"/>
          <w:sz w:val="22"/>
          <w:szCs w:val="22"/>
        </w:rPr>
        <w:t>. Hoboken, NJ: Wiley.</w:t>
      </w:r>
    </w:p>
    <w:p w14:paraId="37BD723D" w14:textId="77777777" w:rsidR="00F763C1" w:rsidRPr="00F763C1" w:rsidRDefault="00F763C1" w:rsidP="00F763C1">
      <w:pPr>
        <w:pStyle w:val="NormalWeb"/>
        <w:rPr>
          <w:rFonts w:ascii="Arial" w:hAnsi="Arial" w:cs="Arial"/>
          <w:color w:val="000000"/>
          <w:sz w:val="22"/>
          <w:szCs w:val="22"/>
        </w:rPr>
      </w:pPr>
      <w:r w:rsidRPr="00F763C1">
        <w:rPr>
          <w:rFonts w:ascii="Arial" w:hAnsi="Arial" w:cs="Arial"/>
          <w:color w:val="000000"/>
          <w:sz w:val="22"/>
          <w:szCs w:val="22"/>
        </w:rPr>
        <w:t>World Health Organization (2022)</w:t>
      </w:r>
      <w:r w:rsidRPr="00F763C1">
        <w:rPr>
          <w:rStyle w:val="apple-converted-space"/>
          <w:rFonts w:ascii="Arial" w:hAnsi="Arial" w:cs="Arial"/>
          <w:color w:val="000000"/>
          <w:sz w:val="22"/>
          <w:szCs w:val="22"/>
        </w:rPr>
        <w:t> </w:t>
      </w:r>
      <w:r w:rsidRPr="00F763C1">
        <w:rPr>
          <w:rStyle w:val="Emphasis"/>
          <w:rFonts w:ascii="Arial" w:hAnsi="Arial" w:cs="Arial"/>
          <w:color w:val="000000"/>
          <w:sz w:val="22"/>
          <w:szCs w:val="22"/>
        </w:rPr>
        <w:t>Diabetes</w:t>
      </w:r>
      <w:r w:rsidRPr="00F763C1">
        <w:rPr>
          <w:rFonts w:ascii="Arial" w:hAnsi="Arial" w:cs="Arial"/>
          <w:color w:val="000000"/>
          <w:sz w:val="22"/>
          <w:szCs w:val="22"/>
        </w:rPr>
        <w:t>. Available at:</w:t>
      </w:r>
      <w:r w:rsidRPr="00F763C1">
        <w:rPr>
          <w:rStyle w:val="apple-converted-space"/>
          <w:rFonts w:ascii="Arial" w:hAnsi="Arial" w:cs="Arial"/>
          <w:color w:val="000000"/>
          <w:sz w:val="22"/>
          <w:szCs w:val="22"/>
        </w:rPr>
        <w:t> </w:t>
      </w:r>
      <w:hyperlink r:id="rId8" w:tgtFrame="_new" w:history="1">
        <w:r w:rsidRPr="00F763C1">
          <w:rPr>
            <w:rStyle w:val="Hyperlink"/>
            <w:rFonts w:ascii="Arial" w:eastAsiaTheme="majorEastAsia" w:hAnsi="Arial" w:cs="Arial"/>
            <w:sz w:val="22"/>
            <w:szCs w:val="22"/>
          </w:rPr>
          <w:t>https://www.who.int/news-room/fact-sheets/detail/diabetes</w:t>
        </w:r>
      </w:hyperlink>
      <w:r w:rsidRPr="00F763C1">
        <w:rPr>
          <w:rFonts w:ascii="Arial" w:hAnsi="Arial" w:cs="Arial"/>
          <w:color w:val="000000"/>
          <w:sz w:val="22"/>
          <w:szCs w:val="22"/>
        </w:rPr>
        <w:t>(Accessed: 20 February 2026).</w:t>
      </w:r>
    </w:p>
    <w:p w14:paraId="60D7D07B" w14:textId="77777777" w:rsidR="00F763C1" w:rsidRPr="00F763C1" w:rsidRDefault="00F763C1">
      <w:pPr>
        <w:rPr>
          <w:rFonts w:cs="Arial"/>
        </w:rPr>
      </w:pPr>
    </w:p>
    <w:p w14:paraId="773D52AA" w14:textId="62D63477" w:rsidR="00877506" w:rsidRPr="00F763C1" w:rsidRDefault="00877506">
      <w:pPr>
        <w:jc w:val="both"/>
        <w:rPr>
          <w:rFonts w:cs="Arial"/>
        </w:rPr>
      </w:pPr>
    </w:p>
    <w:sectPr w:rsidR="00877506" w:rsidRPr="00F763C1"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877506"/>
    <w:rsid w:val="0094162B"/>
    <w:rsid w:val="00AA1D8D"/>
    <w:rsid w:val="00B47730"/>
    <w:rsid w:val="00CB0664"/>
    <w:rsid w:val="00F763C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CB21581"/>
  <w14:defaultImageDpi w14:val="300"/>
  <w15:docId w15:val="{CA041404-4AE9-7542-AA97-7FCF87CB8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F763C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pple-converted-space">
    <w:name w:val="apple-converted-space"/>
    <w:basedOn w:val="DefaultParagraphFont"/>
    <w:rsid w:val="00F763C1"/>
  </w:style>
  <w:style w:type="character" w:styleId="Hyperlink">
    <w:name w:val="Hyperlink"/>
    <w:basedOn w:val="DefaultParagraphFont"/>
    <w:uiPriority w:val="99"/>
    <w:semiHidden/>
    <w:unhideWhenUsed/>
    <w:rsid w:val="00F763C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346957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news-room/fact-sheets/detail/diabetes" TargetMode="External"/><Relationship Id="rId3" Type="http://schemas.openxmlformats.org/officeDocument/2006/relationships/styles" Target="styles.xml"/><Relationship Id="rId7" Type="http://schemas.openxmlformats.org/officeDocument/2006/relationships/hyperlink" Target="https://www.nhs.uk/conditions/type-2-diabet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diabetes.org.uk/"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1564</Words>
  <Characters>8918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10462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Sumayah Miah</cp:lastModifiedBy>
  <cp:revision>2</cp:revision>
  <dcterms:created xsi:type="dcterms:W3CDTF">2026-02-21T22:27:00Z</dcterms:created>
  <dcterms:modified xsi:type="dcterms:W3CDTF">2026-02-21T22:27:00Z</dcterms:modified>
  <cp:category/>
</cp:coreProperties>
</file>