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FDCAA" w14:textId="77777777" w:rsidR="00047A0F" w:rsidRDefault="00047A0F" w:rsidP="00047A0F">
      <w:pPr>
        <w:rPr>
          <w:rFonts w:ascii="Arial" w:eastAsia="Arial" w:hAnsi="Arial" w:cs="Arial"/>
          <w:color w:val="000000"/>
          <w:sz w:val="20"/>
        </w:rPr>
      </w:pPr>
    </w:p>
    <w:p w14:paraId="4CC13D80" w14:textId="77777777" w:rsidR="00047A0F" w:rsidRDefault="00047A0F" w:rsidP="00047A0F">
      <w:pPr>
        <w:jc w:val="center"/>
        <w:rPr>
          <w:rFonts w:ascii="Calibri" w:eastAsia="Calibri" w:hAnsi="Calibri" w:cs="Calibri"/>
        </w:rPr>
      </w:pPr>
      <w:r>
        <w:object w:dxaOrig="7902" w:dyaOrig="2479" w14:anchorId="69BA168C">
          <v:rect id="_x0000_i1025" style="width:394.45pt;height:123.95pt" o:ole="" o:preferrelative="t" stroked="f">
            <v:imagedata r:id="rId8" o:title=""/>
          </v:rect>
          <o:OLEObject Type="Embed" ProgID="StaticMetafile" ShapeID="_x0000_i1025" DrawAspect="Content" ObjectID="_1732886360" r:id="rId9"/>
        </w:object>
      </w:r>
    </w:p>
    <w:p w14:paraId="2C6125E0" w14:textId="77777777" w:rsidR="00047A0F" w:rsidRDefault="00047A0F" w:rsidP="00047A0F">
      <w:pPr>
        <w:rPr>
          <w:rFonts w:ascii="Calibri" w:eastAsia="Calibri" w:hAnsi="Calibri" w:cs="Calibri"/>
        </w:rPr>
      </w:pPr>
    </w:p>
    <w:p w14:paraId="25F6DC11" w14:textId="77777777" w:rsidR="00047A0F" w:rsidRDefault="00047A0F" w:rsidP="00047A0F">
      <w:pPr>
        <w:rPr>
          <w:rFonts w:ascii="Calibri" w:eastAsia="Calibri" w:hAnsi="Calibri" w:cs="Calibri"/>
        </w:rPr>
      </w:pPr>
    </w:p>
    <w:p w14:paraId="0A653BEA" w14:textId="77777777" w:rsidR="00047A0F" w:rsidRDefault="00047A0F" w:rsidP="00047A0F">
      <w:pPr>
        <w:rPr>
          <w:rFonts w:ascii="Calibri" w:eastAsia="Calibri" w:hAnsi="Calibri" w:cs="Calibri"/>
        </w:rPr>
      </w:pPr>
    </w:p>
    <w:p w14:paraId="68B83B46" w14:textId="77777777" w:rsidR="00047A0F" w:rsidRDefault="00047A0F" w:rsidP="00047A0F">
      <w:pPr>
        <w:rPr>
          <w:rFonts w:ascii="Calibri" w:eastAsia="Calibri" w:hAnsi="Calibri" w:cs="Calibri"/>
        </w:rPr>
      </w:pPr>
    </w:p>
    <w:p w14:paraId="7EC6E044" w14:textId="77777777" w:rsidR="00047A0F" w:rsidRDefault="00047A0F" w:rsidP="00047A0F">
      <w:pPr>
        <w:rPr>
          <w:rFonts w:ascii="Calibri" w:eastAsia="Calibri" w:hAnsi="Calibri" w:cs="Calibri"/>
        </w:rPr>
      </w:pPr>
    </w:p>
    <w:p w14:paraId="2E9689DD" w14:textId="06E39DA4" w:rsidR="00047A0F" w:rsidRPr="008F382E" w:rsidRDefault="00A16866" w:rsidP="00047A0F">
      <w:pPr>
        <w:spacing w:after="0" w:line="240" w:lineRule="auto"/>
        <w:jc w:val="center"/>
        <w:rPr>
          <w:rFonts w:ascii="Calibri" w:eastAsia="Calibri" w:hAnsi="Calibri" w:cs="Calibri"/>
          <w:spacing w:val="-10"/>
          <w:sz w:val="32"/>
        </w:rPr>
      </w:pPr>
      <w:r>
        <w:rPr>
          <w:rFonts w:ascii="Calibri" w:eastAsia="Calibri" w:hAnsi="Calibri" w:cs="Calibri"/>
          <w:b/>
          <w:spacing w:val="-10"/>
          <w:sz w:val="32"/>
        </w:rPr>
        <w:t>Essay</w:t>
      </w:r>
      <w:r w:rsidR="00047A0F">
        <w:rPr>
          <w:rFonts w:ascii="Calibri" w:eastAsia="Calibri" w:hAnsi="Calibri" w:cs="Calibri"/>
          <w:b/>
          <w:sz w:val="32"/>
        </w:rPr>
        <w:t>:</w:t>
      </w:r>
      <w:r w:rsidR="00047A0F">
        <w:rPr>
          <w:rFonts w:ascii="Calibri" w:eastAsia="Calibri" w:hAnsi="Calibri" w:cs="Calibri"/>
          <w:sz w:val="32"/>
        </w:rPr>
        <w:t xml:space="preserve"> Assessment </w:t>
      </w:r>
      <w:r w:rsidR="00047A0F">
        <w:rPr>
          <w:rFonts w:ascii="Calibri" w:eastAsia="Calibri" w:hAnsi="Calibri" w:cs="Calibri"/>
          <w:sz w:val="32"/>
        </w:rPr>
        <w:t>1</w:t>
      </w:r>
    </w:p>
    <w:p w14:paraId="6033B22F" w14:textId="77777777" w:rsidR="00047A0F" w:rsidRDefault="00047A0F" w:rsidP="00047A0F">
      <w:pPr>
        <w:rPr>
          <w:rFonts w:ascii="Calibri" w:eastAsia="Calibri" w:hAnsi="Calibri" w:cs="Calibri"/>
          <w:sz w:val="32"/>
        </w:rPr>
      </w:pPr>
    </w:p>
    <w:p w14:paraId="3A47992E" w14:textId="77777777" w:rsidR="00047A0F" w:rsidRDefault="00047A0F" w:rsidP="00047A0F">
      <w:pPr>
        <w:rPr>
          <w:rFonts w:ascii="Calibri" w:eastAsia="Calibri" w:hAnsi="Calibri" w:cs="Calibri"/>
          <w:sz w:val="32"/>
        </w:rPr>
      </w:pPr>
    </w:p>
    <w:p w14:paraId="67CC46F6" w14:textId="77777777" w:rsidR="00047A0F" w:rsidRDefault="00047A0F" w:rsidP="00047A0F">
      <w:pPr>
        <w:rPr>
          <w:rFonts w:ascii="Calibri" w:eastAsia="Calibri" w:hAnsi="Calibri" w:cs="Calibri"/>
          <w:sz w:val="32"/>
        </w:rPr>
      </w:pPr>
    </w:p>
    <w:p w14:paraId="22CB2FA0" w14:textId="77777777" w:rsidR="00047A0F" w:rsidRDefault="00047A0F" w:rsidP="00047A0F">
      <w:pPr>
        <w:rPr>
          <w:rFonts w:ascii="Calibri" w:eastAsia="Calibri" w:hAnsi="Calibri" w:cs="Calibri"/>
          <w:sz w:val="32"/>
        </w:rPr>
      </w:pPr>
    </w:p>
    <w:p w14:paraId="67EEC1F3" w14:textId="77777777" w:rsidR="00047A0F" w:rsidRDefault="00047A0F" w:rsidP="00047A0F">
      <w:pPr>
        <w:rPr>
          <w:rFonts w:ascii="Calibri" w:eastAsia="Calibri" w:hAnsi="Calibri" w:cs="Calibri"/>
          <w:sz w:val="32"/>
        </w:rPr>
      </w:pPr>
    </w:p>
    <w:p w14:paraId="4D93634A" w14:textId="77777777" w:rsidR="00047A0F" w:rsidRDefault="00047A0F" w:rsidP="00047A0F">
      <w:pPr>
        <w:rPr>
          <w:rFonts w:ascii="Calibri" w:eastAsia="Calibri" w:hAnsi="Calibri" w:cs="Calibri"/>
          <w:sz w:val="32"/>
        </w:rPr>
      </w:pPr>
    </w:p>
    <w:p w14:paraId="2A54E9D2" w14:textId="77777777" w:rsidR="00047A0F" w:rsidRDefault="00047A0F" w:rsidP="00047A0F">
      <w:pPr>
        <w:rPr>
          <w:rFonts w:ascii="Calibri" w:eastAsia="Calibri" w:hAnsi="Calibri" w:cs="Calibri"/>
          <w:sz w:val="32"/>
        </w:rPr>
      </w:pPr>
      <w:r>
        <w:rPr>
          <w:rFonts w:ascii="Calibri" w:eastAsia="Calibri" w:hAnsi="Calibri" w:cs="Calibri"/>
          <w:b/>
          <w:sz w:val="32"/>
        </w:rPr>
        <w:t>Student Name:</w:t>
      </w:r>
      <w:r>
        <w:rPr>
          <w:rFonts w:ascii="Calibri" w:eastAsia="Calibri" w:hAnsi="Calibri" w:cs="Calibri"/>
          <w:sz w:val="32"/>
        </w:rPr>
        <w:t xml:space="preserve"> Rumyana Stoyanova Rekarska</w:t>
      </w:r>
    </w:p>
    <w:p w14:paraId="169AF243" w14:textId="77777777" w:rsidR="00047A0F" w:rsidRDefault="00047A0F" w:rsidP="00047A0F">
      <w:pPr>
        <w:rPr>
          <w:rFonts w:ascii="Calibri" w:eastAsia="Calibri" w:hAnsi="Calibri" w:cs="Calibri"/>
          <w:sz w:val="32"/>
        </w:rPr>
      </w:pPr>
      <w:r>
        <w:rPr>
          <w:rFonts w:ascii="Calibri" w:eastAsia="Calibri" w:hAnsi="Calibri" w:cs="Calibri"/>
          <w:b/>
          <w:sz w:val="32"/>
        </w:rPr>
        <w:t xml:space="preserve">Student </w:t>
      </w:r>
      <w:r>
        <w:rPr>
          <w:rFonts w:ascii="Segoe UI Symbol" w:eastAsia="Segoe UI Symbol" w:hAnsi="Segoe UI Symbol" w:cs="Segoe UI Symbol"/>
          <w:b/>
          <w:sz w:val="32"/>
        </w:rPr>
        <w:t>№</w:t>
      </w:r>
      <w:r>
        <w:rPr>
          <w:rFonts w:ascii="Calibri" w:eastAsia="Calibri" w:hAnsi="Calibri" w:cs="Calibri"/>
          <w:b/>
          <w:sz w:val="32"/>
        </w:rPr>
        <w:t>:</w:t>
      </w:r>
      <w:r>
        <w:rPr>
          <w:rFonts w:ascii="Calibri" w:eastAsia="Calibri" w:hAnsi="Calibri" w:cs="Calibri"/>
          <w:sz w:val="32"/>
        </w:rPr>
        <w:t xml:space="preserve"> 2008344</w:t>
      </w:r>
    </w:p>
    <w:p w14:paraId="514CA711" w14:textId="1A6A7FF1" w:rsidR="00047A0F" w:rsidRDefault="00047A0F" w:rsidP="00047A0F">
      <w:pPr>
        <w:rPr>
          <w:rFonts w:ascii="Calibri" w:eastAsia="Calibri" w:hAnsi="Calibri" w:cs="Calibri"/>
          <w:sz w:val="32"/>
        </w:rPr>
      </w:pPr>
      <w:r>
        <w:rPr>
          <w:rFonts w:ascii="Calibri" w:eastAsia="Calibri" w:hAnsi="Calibri" w:cs="Calibri"/>
          <w:b/>
          <w:sz w:val="32"/>
        </w:rPr>
        <w:t>Module Name:</w:t>
      </w:r>
      <w:r w:rsidR="005138BD">
        <w:rPr>
          <w:rFonts w:ascii="Calibri" w:eastAsia="Calibri" w:hAnsi="Calibri" w:cs="Calibri"/>
          <w:sz w:val="32"/>
        </w:rPr>
        <w:t xml:space="preserve"> International Financial Management</w:t>
      </w:r>
    </w:p>
    <w:p w14:paraId="04B20FE5" w14:textId="4A346915" w:rsidR="00047A0F" w:rsidRDefault="00047A0F" w:rsidP="00047A0F">
      <w:pPr>
        <w:rPr>
          <w:rFonts w:ascii="Calibri" w:eastAsia="Calibri" w:hAnsi="Calibri" w:cs="Calibri"/>
          <w:sz w:val="32"/>
        </w:rPr>
      </w:pPr>
      <w:r>
        <w:rPr>
          <w:rFonts w:ascii="Calibri" w:eastAsia="Calibri" w:hAnsi="Calibri" w:cs="Calibri"/>
          <w:b/>
          <w:sz w:val="32"/>
        </w:rPr>
        <w:t>Module Code:</w:t>
      </w:r>
      <w:r>
        <w:rPr>
          <w:rFonts w:ascii="Calibri" w:eastAsia="Calibri" w:hAnsi="Calibri" w:cs="Calibri"/>
          <w:sz w:val="32"/>
        </w:rPr>
        <w:t xml:space="preserve"> LCBB</w:t>
      </w:r>
      <w:r w:rsidR="00F74633">
        <w:rPr>
          <w:rFonts w:ascii="Calibri" w:eastAsia="Calibri" w:hAnsi="Calibri" w:cs="Calibri"/>
          <w:sz w:val="32"/>
        </w:rPr>
        <w:t>6</w:t>
      </w:r>
      <w:r>
        <w:rPr>
          <w:rFonts w:ascii="Calibri" w:eastAsia="Calibri" w:hAnsi="Calibri" w:cs="Calibri"/>
          <w:sz w:val="32"/>
        </w:rPr>
        <w:t>00</w:t>
      </w:r>
      <w:r w:rsidR="00F74633">
        <w:rPr>
          <w:rFonts w:ascii="Calibri" w:eastAsia="Calibri" w:hAnsi="Calibri" w:cs="Calibri"/>
          <w:sz w:val="32"/>
        </w:rPr>
        <w:t>2</w:t>
      </w:r>
    </w:p>
    <w:p w14:paraId="3E187A11" w14:textId="77B4EE0E" w:rsidR="00047A0F" w:rsidRDefault="00047A0F" w:rsidP="00047A0F">
      <w:pPr>
        <w:rPr>
          <w:rFonts w:ascii="Calibri" w:eastAsia="Calibri" w:hAnsi="Calibri" w:cs="Calibri"/>
          <w:sz w:val="32"/>
        </w:rPr>
      </w:pPr>
      <w:r>
        <w:rPr>
          <w:rFonts w:ascii="Calibri" w:eastAsia="Calibri" w:hAnsi="Calibri" w:cs="Calibri"/>
          <w:b/>
          <w:sz w:val="32"/>
        </w:rPr>
        <w:t>Lecturer’s Name:</w:t>
      </w:r>
      <w:r>
        <w:rPr>
          <w:rFonts w:ascii="Calibri" w:eastAsia="Calibri" w:hAnsi="Calibri" w:cs="Calibri"/>
          <w:sz w:val="32"/>
        </w:rPr>
        <w:t xml:space="preserve"> </w:t>
      </w:r>
      <w:r w:rsidR="00B73590">
        <w:rPr>
          <w:rFonts w:ascii="Calibri" w:eastAsia="Calibri" w:hAnsi="Calibri" w:cs="Calibri"/>
          <w:sz w:val="32"/>
        </w:rPr>
        <w:t>Dr</w:t>
      </w:r>
      <w:r w:rsidR="0045047C">
        <w:rPr>
          <w:rFonts w:ascii="Calibri" w:eastAsia="Calibri" w:hAnsi="Calibri" w:cs="Calibri"/>
          <w:sz w:val="32"/>
        </w:rPr>
        <w:t xml:space="preserve"> Konstantina Mari</w:t>
      </w:r>
    </w:p>
    <w:p w14:paraId="0FD2C2BB" w14:textId="77777777" w:rsidR="00475DD2" w:rsidRDefault="00475DD2" w:rsidP="00047A0F">
      <w:pPr>
        <w:rPr>
          <w:rFonts w:ascii="Calibri" w:eastAsia="Calibri" w:hAnsi="Calibri" w:cs="Calibri"/>
          <w:sz w:val="32"/>
        </w:rPr>
      </w:pPr>
    </w:p>
    <w:p w14:paraId="37295C6E" w14:textId="51A97FF0" w:rsidR="005922CA" w:rsidRPr="00E92DCE" w:rsidRDefault="00D33CBE" w:rsidP="00E92DCE">
      <w:pPr>
        <w:pStyle w:val="Title"/>
        <w:jc w:val="center"/>
      </w:pPr>
      <w:r w:rsidRPr="00E92DCE">
        <w:lastRenderedPageBreak/>
        <w:t>Starbucks - a sip of progress in a financial meltdown</w:t>
      </w:r>
    </w:p>
    <w:p w14:paraId="2D0C4E42" w14:textId="4C231444" w:rsidR="00064830" w:rsidRDefault="00064830" w:rsidP="00064830"/>
    <w:p w14:paraId="1000BF03" w14:textId="77777777" w:rsidR="00064830" w:rsidRPr="00064830" w:rsidRDefault="00064830" w:rsidP="00064830"/>
    <w:sdt>
      <w:sdtPr>
        <w:rPr>
          <w:rFonts w:asciiTheme="minorHAnsi" w:eastAsiaTheme="minorHAnsi" w:hAnsiTheme="minorHAnsi" w:cstheme="minorBidi"/>
          <w:color w:val="auto"/>
          <w:sz w:val="22"/>
          <w:szCs w:val="22"/>
          <w:lang w:val="en-GB"/>
        </w:rPr>
        <w:id w:val="-792290136"/>
        <w:docPartObj>
          <w:docPartGallery w:val="Table of Contents"/>
          <w:docPartUnique/>
        </w:docPartObj>
      </w:sdtPr>
      <w:sdtEndPr>
        <w:rPr>
          <w:b/>
          <w:bCs/>
          <w:noProof/>
        </w:rPr>
      </w:sdtEndPr>
      <w:sdtContent>
        <w:p w14:paraId="182C3BFB" w14:textId="47AA3943" w:rsidR="002A0691" w:rsidRDefault="002A0691">
          <w:pPr>
            <w:pStyle w:val="TOCHeading"/>
          </w:pPr>
          <w:r>
            <w:t>Table of Contents</w:t>
          </w:r>
        </w:p>
        <w:p w14:paraId="74DA7471" w14:textId="116E2541" w:rsidR="00B73590" w:rsidRDefault="002A069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2273609" w:history="1">
            <w:r w:rsidR="00B73590" w:rsidRPr="00AA6C5D">
              <w:rPr>
                <w:rStyle w:val="Hyperlink"/>
                <w:noProof/>
              </w:rPr>
              <w:t>Executive summary</w:t>
            </w:r>
            <w:r w:rsidR="00B73590">
              <w:rPr>
                <w:noProof/>
                <w:webHidden/>
              </w:rPr>
              <w:tab/>
            </w:r>
            <w:r w:rsidR="00B73590">
              <w:rPr>
                <w:noProof/>
                <w:webHidden/>
              </w:rPr>
              <w:fldChar w:fldCharType="begin"/>
            </w:r>
            <w:r w:rsidR="00B73590">
              <w:rPr>
                <w:noProof/>
                <w:webHidden/>
              </w:rPr>
              <w:instrText xml:space="preserve"> PAGEREF _Toc122273609 \h </w:instrText>
            </w:r>
            <w:r w:rsidR="00B73590">
              <w:rPr>
                <w:noProof/>
                <w:webHidden/>
              </w:rPr>
            </w:r>
            <w:r w:rsidR="00B73590">
              <w:rPr>
                <w:noProof/>
                <w:webHidden/>
              </w:rPr>
              <w:fldChar w:fldCharType="separate"/>
            </w:r>
            <w:r w:rsidR="00B73590">
              <w:rPr>
                <w:noProof/>
                <w:webHidden/>
              </w:rPr>
              <w:t>3</w:t>
            </w:r>
            <w:r w:rsidR="00B73590">
              <w:rPr>
                <w:noProof/>
                <w:webHidden/>
              </w:rPr>
              <w:fldChar w:fldCharType="end"/>
            </w:r>
          </w:hyperlink>
        </w:p>
        <w:p w14:paraId="7BB20A09" w14:textId="7939F6E9" w:rsidR="00B73590" w:rsidRDefault="00B73590">
          <w:pPr>
            <w:pStyle w:val="TOC1"/>
            <w:tabs>
              <w:tab w:val="right" w:leader="dot" w:pos="9016"/>
            </w:tabs>
            <w:rPr>
              <w:rFonts w:eastAsiaTheme="minorEastAsia"/>
              <w:noProof/>
              <w:lang w:eastAsia="en-GB"/>
            </w:rPr>
          </w:pPr>
          <w:hyperlink w:anchor="_Toc122273610" w:history="1">
            <w:r w:rsidRPr="00AA6C5D">
              <w:rPr>
                <w:rStyle w:val="Hyperlink"/>
                <w:noProof/>
              </w:rPr>
              <w:t>Financial evaluation of Starbucks</w:t>
            </w:r>
            <w:r>
              <w:rPr>
                <w:noProof/>
                <w:webHidden/>
              </w:rPr>
              <w:tab/>
            </w:r>
            <w:r>
              <w:rPr>
                <w:noProof/>
                <w:webHidden/>
              </w:rPr>
              <w:fldChar w:fldCharType="begin"/>
            </w:r>
            <w:r>
              <w:rPr>
                <w:noProof/>
                <w:webHidden/>
              </w:rPr>
              <w:instrText xml:space="preserve"> PAGEREF _Toc122273610 \h </w:instrText>
            </w:r>
            <w:r>
              <w:rPr>
                <w:noProof/>
                <w:webHidden/>
              </w:rPr>
            </w:r>
            <w:r>
              <w:rPr>
                <w:noProof/>
                <w:webHidden/>
              </w:rPr>
              <w:fldChar w:fldCharType="separate"/>
            </w:r>
            <w:r>
              <w:rPr>
                <w:noProof/>
                <w:webHidden/>
              </w:rPr>
              <w:t>3</w:t>
            </w:r>
            <w:r>
              <w:rPr>
                <w:noProof/>
                <w:webHidden/>
              </w:rPr>
              <w:fldChar w:fldCharType="end"/>
            </w:r>
          </w:hyperlink>
        </w:p>
        <w:p w14:paraId="7837E630" w14:textId="744BD5C8" w:rsidR="00B73590" w:rsidRDefault="00B73590">
          <w:pPr>
            <w:pStyle w:val="TOC2"/>
            <w:tabs>
              <w:tab w:val="right" w:leader="dot" w:pos="9016"/>
            </w:tabs>
            <w:rPr>
              <w:rFonts w:eastAsiaTheme="minorEastAsia"/>
              <w:noProof/>
              <w:lang w:eastAsia="en-GB"/>
            </w:rPr>
          </w:pPr>
          <w:hyperlink w:anchor="_Toc122273611" w:history="1">
            <w:r w:rsidRPr="00AA6C5D">
              <w:rPr>
                <w:rStyle w:val="Hyperlink"/>
                <w:noProof/>
              </w:rPr>
              <w:t>Dividend policy</w:t>
            </w:r>
            <w:r>
              <w:rPr>
                <w:noProof/>
                <w:webHidden/>
              </w:rPr>
              <w:tab/>
            </w:r>
            <w:r>
              <w:rPr>
                <w:noProof/>
                <w:webHidden/>
              </w:rPr>
              <w:fldChar w:fldCharType="begin"/>
            </w:r>
            <w:r>
              <w:rPr>
                <w:noProof/>
                <w:webHidden/>
              </w:rPr>
              <w:instrText xml:space="preserve"> PAGEREF _Toc122273611 \h </w:instrText>
            </w:r>
            <w:r>
              <w:rPr>
                <w:noProof/>
                <w:webHidden/>
              </w:rPr>
            </w:r>
            <w:r>
              <w:rPr>
                <w:noProof/>
                <w:webHidden/>
              </w:rPr>
              <w:fldChar w:fldCharType="separate"/>
            </w:r>
            <w:r>
              <w:rPr>
                <w:noProof/>
                <w:webHidden/>
              </w:rPr>
              <w:t>3</w:t>
            </w:r>
            <w:r>
              <w:rPr>
                <w:noProof/>
                <w:webHidden/>
              </w:rPr>
              <w:fldChar w:fldCharType="end"/>
            </w:r>
          </w:hyperlink>
        </w:p>
        <w:p w14:paraId="1386C76F" w14:textId="0B2E0272" w:rsidR="00B73590" w:rsidRDefault="00B73590">
          <w:pPr>
            <w:pStyle w:val="TOC2"/>
            <w:tabs>
              <w:tab w:val="right" w:leader="dot" w:pos="9016"/>
            </w:tabs>
            <w:rPr>
              <w:rFonts w:eastAsiaTheme="minorEastAsia"/>
              <w:noProof/>
              <w:lang w:eastAsia="en-GB"/>
            </w:rPr>
          </w:pPr>
          <w:hyperlink w:anchor="_Toc122273612" w:history="1">
            <w:r w:rsidRPr="00AA6C5D">
              <w:rPr>
                <w:rStyle w:val="Hyperlink"/>
                <w:noProof/>
              </w:rPr>
              <w:t>Efficient Market hypothesis</w:t>
            </w:r>
            <w:r>
              <w:rPr>
                <w:noProof/>
                <w:webHidden/>
              </w:rPr>
              <w:tab/>
            </w:r>
            <w:r>
              <w:rPr>
                <w:noProof/>
                <w:webHidden/>
              </w:rPr>
              <w:fldChar w:fldCharType="begin"/>
            </w:r>
            <w:r>
              <w:rPr>
                <w:noProof/>
                <w:webHidden/>
              </w:rPr>
              <w:instrText xml:space="preserve"> PAGEREF _Toc122273612 \h </w:instrText>
            </w:r>
            <w:r>
              <w:rPr>
                <w:noProof/>
                <w:webHidden/>
              </w:rPr>
            </w:r>
            <w:r>
              <w:rPr>
                <w:noProof/>
                <w:webHidden/>
              </w:rPr>
              <w:fldChar w:fldCharType="separate"/>
            </w:r>
            <w:r>
              <w:rPr>
                <w:noProof/>
                <w:webHidden/>
              </w:rPr>
              <w:t>5</w:t>
            </w:r>
            <w:r>
              <w:rPr>
                <w:noProof/>
                <w:webHidden/>
              </w:rPr>
              <w:fldChar w:fldCharType="end"/>
            </w:r>
          </w:hyperlink>
        </w:p>
        <w:p w14:paraId="349DBAE0" w14:textId="723464DA" w:rsidR="00B73590" w:rsidRDefault="00B73590">
          <w:pPr>
            <w:pStyle w:val="TOC3"/>
            <w:tabs>
              <w:tab w:val="right" w:leader="dot" w:pos="9016"/>
            </w:tabs>
            <w:rPr>
              <w:rFonts w:eastAsiaTheme="minorEastAsia"/>
              <w:noProof/>
              <w:lang w:eastAsia="en-GB"/>
            </w:rPr>
          </w:pPr>
          <w:hyperlink w:anchor="_Toc122273613" w:history="1">
            <w:r w:rsidRPr="00AA6C5D">
              <w:rPr>
                <w:rStyle w:val="Hyperlink"/>
                <w:noProof/>
              </w:rPr>
              <w:t>Weak form</w:t>
            </w:r>
            <w:r>
              <w:rPr>
                <w:noProof/>
                <w:webHidden/>
              </w:rPr>
              <w:tab/>
            </w:r>
            <w:r>
              <w:rPr>
                <w:noProof/>
                <w:webHidden/>
              </w:rPr>
              <w:fldChar w:fldCharType="begin"/>
            </w:r>
            <w:r>
              <w:rPr>
                <w:noProof/>
                <w:webHidden/>
              </w:rPr>
              <w:instrText xml:space="preserve"> PAGEREF _Toc122273613 \h </w:instrText>
            </w:r>
            <w:r>
              <w:rPr>
                <w:noProof/>
                <w:webHidden/>
              </w:rPr>
            </w:r>
            <w:r>
              <w:rPr>
                <w:noProof/>
                <w:webHidden/>
              </w:rPr>
              <w:fldChar w:fldCharType="separate"/>
            </w:r>
            <w:r>
              <w:rPr>
                <w:noProof/>
                <w:webHidden/>
              </w:rPr>
              <w:t>5</w:t>
            </w:r>
            <w:r>
              <w:rPr>
                <w:noProof/>
                <w:webHidden/>
              </w:rPr>
              <w:fldChar w:fldCharType="end"/>
            </w:r>
          </w:hyperlink>
        </w:p>
        <w:p w14:paraId="2216FD24" w14:textId="11B8E660" w:rsidR="00B73590" w:rsidRDefault="00B73590">
          <w:pPr>
            <w:pStyle w:val="TOC3"/>
            <w:tabs>
              <w:tab w:val="right" w:leader="dot" w:pos="9016"/>
            </w:tabs>
            <w:rPr>
              <w:rFonts w:eastAsiaTheme="minorEastAsia"/>
              <w:noProof/>
              <w:lang w:eastAsia="en-GB"/>
            </w:rPr>
          </w:pPr>
          <w:hyperlink w:anchor="_Toc122273614" w:history="1">
            <w:r w:rsidRPr="00AA6C5D">
              <w:rPr>
                <w:rStyle w:val="Hyperlink"/>
                <w:noProof/>
              </w:rPr>
              <w:t>Semi-strong form</w:t>
            </w:r>
            <w:r>
              <w:rPr>
                <w:noProof/>
                <w:webHidden/>
              </w:rPr>
              <w:tab/>
            </w:r>
            <w:r>
              <w:rPr>
                <w:noProof/>
                <w:webHidden/>
              </w:rPr>
              <w:fldChar w:fldCharType="begin"/>
            </w:r>
            <w:r>
              <w:rPr>
                <w:noProof/>
                <w:webHidden/>
              </w:rPr>
              <w:instrText xml:space="preserve"> PAGEREF _Toc122273614 \h </w:instrText>
            </w:r>
            <w:r>
              <w:rPr>
                <w:noProof/>
                <w:webHidden/>
              </w:rPr>
            </w:r>
            <w:r>
              <w:rPr>
                <w:noProof/>
                <w:webHidden/>
              </w:rPr>
              <w:fldChar w:fldCharType="separate"/>
            </w:r>
            <w:r>
              <w:rPr>
                <w:noProof/>
                <w:webHidden/>
              </w:rPr>
              <w:t>6</w:t>
            </w:r>
            <w:r>
              <w:rPr>
                <w:noProof/>
                <w:webHidden/>
              </w:rPr>
              <w:fldChar w:fldCharType="end"/>
            </w:r>
          </w:hyperlink>
        </w:p>
        <w:p w14:paraId="66FA18C8" w14:textId="6F180BE0" w:rsidR="00B73590" w:rsidRDefault="00B73590">
          <w:pPr>
            <w:pStyle w:val="TOC3"/>
            <w:tabs>
              <w:tab w:val="right" w:leader="dot" w:pos="9016"/>
            </w:tabs>
            <w:rPr>
              <w:rFonts w:eastAsiaTheme="minorEastAsia"/>
              <w:noProof/>
              <w:lang w:eastAsia="en-GB"/>
            </w:rPr>
          </w:pPr>
          <w:hyperlink w:anchor="_Toc122273615" w:history="1">
            <w:r w:rsidRPr="00AA6C5D">
              <w:rPr>
                <w:rStyle w:val="Hyperlink"/>
                <w:noProof/>
              </w:rPr>
              <w:t>Strong form</w:t>
            </w:r>
            <w:r>
              <w:rPr>
                <w:noProof/>
                <w:webHidden/>
              </w:rPr>
              <w:tab/>
            </w:r>
            <w:r>
              <w:rPr>
                <w:noProof/>
                <w:webHidden/>
              </w:rPr>
              <w:fldChar w:fldCharType="begin"/>
            </w:r>
            <w:r>
              <w:rPr>
                <w:noProof/>
                <w:webHidden/>
              </w:rPr>
              <w:instrText xml:space="preserve"> PAGEREF _Toc122273615 \h </w:instrText>
            </w:r>
            <w:r>
              <w:rPr>
                <w:noProof/>
                <w:webHidden/>
              </w:rPr>
            </w:r>
            <w:r>
              <w:rPr>
                <w:noProof/>
                <w:webHidden/>
              </w:rPr>
              <w:fldChar w:fldCharType="separate"/>
            </w:r>
            <w:r>
              <w:rPr>
                <w:noProof/>
                <w:webHidden/>
              </w:rPr>
              <w:t>7</w:t>
            </w:r>
            <w:r>
              <w:rPr>
                <w:noProof/>
                <w:webHidden/>
              </w:rPr>
              <w:fldChar w:fldCharType="end"/>
            </w:r>
          </w:hyperlink>
        </w:p>
        <w:p w14:paraId="23958E2B" w14:textId="60125583" w:rsidR="00B73590" w:rsidRDefault="00B73590">
          <w:pPr>
            <w:pStyle w:val="TOC3"/>
            <w:tabs>
              <w:tab w:val="right" w:leader="dot" w:pos="9016"/>
            </w:tabs>
            <w:rPr>
              <w:rFonts w:eastAsiaTheme="minorEastAsia"/>
              <w:noProof/>
              <w:lang w:eastAsia="en-GB"/>
            </w:rPr>
          </w:pPr>
          <w:hyperlink w:anchor="_Toc122273616" w:history="1">
            <w:r w:rsidRPr="00AA6C5D">
              <w:rPr>
                <w:rStyle w:val="Hyperlink"/>
                <w:noProof/>
              </w:rPr>
              <w:t>Active vs passive approach</w:t>
            </w:r>
            <w:r>
              <w:rPr>
                <w:noProof/>
                <w:webHidden/>
              </w:rPr>
              <w:tab/>
            </w:r>
            <w:r>
              <w:rPr>
                <w:noProof/>
                <w:webHidden/>
              </w:rPr>
              <w:fldChar w:fldCharType="begin"/>
            </w:r>
            <w:r>
              <w:rPr>
                <w:noProof/>
                <w:webHidden/>
              </w:rPr>
              <w:instrText xml:space="preserve"> PAGEREF _Toc122273616 \h </w:instrText>
            </w:r>
            <w:r>
              <w:rPr>
                <w:noProof/>
                <w:webHidden/>
              </w:rPr>
            </w:r>
            <w:r>
              <w:rPr>
                <w:noProof/>
                <w:webHidden/>
              </w:rPr>
              <w:fldChar w:fldCharType="separate"/>
            </w:r>
            <w:r>
              <w:rPr>
                <w:noProof/>
                <w:webHidden/>
              </w:rPr>
              <w:t>7</w:t>
            </w:r>
            <w:r>
              <w:rPr>
                <w:noProof/>
                <w:webHidden/>
              </w:rPr>
              <w:fldChar w:fldCharType="end"/>
            </w:r>
          </w:hyperlink>
        </w:p>
        <w:p w14:paraId="3B7BD579" w14:textId="1C0D1B08" w:rsidR="00B73590" w:rsidRDefault="00B73590">
          <w:pPr>
            <w:pStyle w:val="TOC2"/>
            <w:tabs>
              <w:tab w:val="right" w:leader="dot" w:pos="9016"/>
            </w:tabs>
            <w:rPr>
              <w:rFonts w:eastAsiaTheme="minorEastAsia"/>
              <w:noProof/>
              <w:lang w:eastAsia="en-GB"/>
            </w:rPr>
          </w:pPr>
          <w:hyperlink w:anchor="_Toc122273617" w:history="1">
            <w:r w:rsidRPr="00AA6C5D">
              <w:rPr>
                <w:rStyle w:val="Hyperlink"/>
                <w:noProof/>
              </w:rPr>
              <w:t>Investment appraisal techniques</w:t>
            </w:r>
            <w:r>
              <w:rPr>
                <w:noProof/>
                <w:webHidden/>
              </w:rPr>
              <w:tab/>
            </w:r>
            <w:r>
              <w:rPr>
                <w:noProof/>
                <w:webHidden/>
              </w:rPr>
              <w:fldChar w:fldCharType="begin"/>
            </w:r>
            <w:r>
              <w:rPr>
                <w:noProof/>
                <w:webHidden/>
              </w:rPr>
              <w:instrText xml:space="preserve"> PAGEREF _Toc122273617 \h </w:instrText>
            </w:r>
            <w:r>
              <w:rPr>
                <w:noProof/>
                <w:webHidden/>
              </w:rPr>
            </w:r>
            <w:r>
              <w:rPr>
                <w:noProof/>
                <w:webHidden/>
              </w:rPr>
              <w:fldChar w:fldCharType="separate"/>
            </w:r>
            <w:r>
              <w:rPr>
                <w:noProof/>
                <w:webHidden/>
              </w:rPr>
              <w:t>7</w:t>
            </w:r>
            <w:r>
              <w:rPr>
                <w:noProof/>
                <w:webHidden/>
              </w:rPr>
              <w:fldChar w:fldCharType="end"/>
            </w:r>
          </w:hyperlink>
        </w:p>
        <w:p w14:paraId="18B9523C" w14:textId="5B9F48AD" w:rsidR="00B73590" w:rsidRDefault="00B73590">
          <w:pPr>
            <w:pStyle w:val="TOC1"/>
            <w:tabs>
              <w:tab w:val="right" w:leader="dot" w:pos="9016"/>
            </w:tabs>
            <w:rPr>
              <w:rFonts w:eastAsiaTheme="minorEastAsia"/>
              <w:noProof/>
              <w:lang w:eastAsia="en-GB"/>
            </w:rPr>
          </w:pPr>
          <w:hyperlink w:anchor="_Toc122273618" w:history="1">
            <w:r w:rsidRPr="00AA6C5D">
              <w:rPr>
                <w:rStyle w:val="Hyperlink"/>
                <w:noProof/>
              </w:rPr>
              <w:t>Conclusion</w:t>
            </w:r>
            <w:r>
              <w:rPr>
                <w:noProof/>
                <w:webHidden/>
              </w:rPr>
              <w:tab/>
            </w:r>
            <w:r>
              <w:rPr>
                <w:noProof/>
                <w:webHidden/>
              </w:rPr>
              <w:fldChar w:fldCharType="begin"/>
            </w:r>
            <w:r>
              <w:rPr>
                <w:noProof/>
                <w:webHidden/>
              </w:rPr>
              <w:instrText xml:space="preserve"> PAGEREF _Toc122273618 \h </w:instrText>
            </w:r>
            <w:r>
              <w:rPr>
                <w:noProof/>
                <w:webHidden/>
              </w:rPr>
            </w:r>
            <w:r>
              <w:rPr>
                <w:noProof/>
                <w:webHidden/>
              </w:rPr>
              <w:fldChar w:fldCharType="separate"/>
            </w:r>
            <w:r>
              <w:rPr>
                <w:noProof/>
                <w:webHidden/>
              </w:rPr>
              <w:t>8</w:t>
            </w:r>
            <w:r>
              <w:rPr>
                <w:noProof/>
                <w:webHidden/>
              </w:rPr>
              <w:fldChar w:fldCharType="end"/>
            </w:r>
          </w:hyperlink>
        </w:p>
        <w:p w14:paraId="18948205" w14:textId="32736753" w:rsidR="00B73590" w:rsidRDefault="00B73590">
          <w:pPr>
            <w:pStyle w:val="TOC1"/>
            <w:tabs>
              <w:tab w:val="right" w:leader="dot" w:pos="9016"/>
            </w:tabs>
            <w:rPr>
              <w:rFonts w:eastAsiaTheme="minorEastAsia"/>
              <w:noProof/>
              <w:lang w:eastAsia="en-GB"/>
            </w:rPr>
          </w:pPr>
          <w:hyperlink w:anchor="_Toc122273619" w:history="1">
            <w:r w:rsidRPr="00AA6C5D">
              <w:rPr>
                <w:rStyle w:val="Hyperlink"/>
                <w:noProof/>
              </w:rPr>
              <w:t>APPENDIX 1</w:t>
            </w:r>
            <w:r>
              <w:rPr>
                <w:noProof/>
                <w:webHidden/>
              </w:rPr>
              <w:tab/>
            </w:r>
            <w:r>
              <w:rPr>
                <w:noProof/>
                <w:webHidden/>
              </w:rPr>
              <w:fldChar w:fldCharType="begin"/>
            </w:r>
            <w:r>
              <w:rPr>
                <w:noProof/>
                <w:webHidden/>
              </w:rPr>
              <w:instrText xml:space="preserve"> PAGEREF _Toc122273619 \h </w:instrText>
            </w:r>
            <w:r>
              <w:rPr>
                <w:noProof/>
                <w:webHidden/>
              </w:rPr>
            </w:r>
            <w:r>
              <w:rPr>
                <w:noProof/>
                <w:webHidden/>
              </w:rPr>
              <w:fldChar w:fldCharType="separate"/>
            </w:r>
            <w:r>
              <w:rPr>
                <w:noProof/>
                <w:webHidden/>
              </w:rPr>
              <w:t>9</w:t>
            </w:r>
            <w:r>
              <w:rPr>
                <w:noProof/>
                <w:webHidden/>
              </w:rPr>
              <w:fldChar w:fldCharType="end"/>
            </w:r>
          </w:hyperlink>
        </w:p>
        <w:p w14:paraId="144CB277" w14:textId="55C6AE62" w:rsidR="00B73590" w:rsidRDefault="00B73590">
          <w:pPr>
            <w:pStyle w:val="TOC1"/>
            <w:tabs>
              <w:tab w:val="right" w:leader="dot" w:pos="9016"/>
            </w:tabs>
            <w:rPr>
              <w:rFonts w:eastAsiaTheme="minorEastAsia"/>
              <w:noProof/>
              <w:lang w:eastAsia="en-GB"/>
            </w:rPr>
          </w:pPr>
          <w:hyperlink w:anchor="_Toc122273620" w:history="1">
            <w:r w:rsidRPr="00AA6C5D">
              <w:rPr>
                <w:rStyle w:val="Hyperlink"/>
                <w:noProof/>
              </w:rPr>
              <w:t>APPENDIX 2</w:t>
            </w:r>
            <w:r>
              <w:rPr>
                <w:noProof/>
                <w:webHidden/>
              </w:rPr>
              <w:tab/>
            </w:r>
            <w:r>
              <w:rPr>
                <w:noProof/>
                <w:webHidden/>
              </w:rPr>
              <w:fldChar w:fldCharType="begin"/>
            </w:r>
            <w:r>
              <w:rPr>
                <w:noProof/>
                <w:webHidden/>
              </w:rPr>
              <w:instrText xml:space="preserve"> PAGEREF _Toc122273620 \h </w:instrText>
            </w:r>
            <w:r>
              <w:rPr>
                <w:noProof/>
                <w:webHidden/>
              </w:rPr>
            </w:r>
            <w:r>
              <w:rPr>
                <w:noProof/>
                <w:webHidden/>
              </w:rPr>
              <w:fldChar w:fldCharType="separate"/>
            </w:r>
            <w:r>
              <w:rPr>
                <w:noProof/>
                <w:webHidden/>
              </w:rPr>
              <w:t>9</w:t>
            </w:r>
            <w:r>
              <w:rPr>
                <w:noProof/>
                <w:webHidden/>
              </w:rPr>
              <w:fldChar w:fldCharType="end"/>
            </w:r>
          </w:hyperlink>
        </w:p>
        <w:p w14:paraId="5D673EFE" w14:textId="2EE2CD07" w:rsidR="00B73590" w:rsidRDefault="00B73590">
          <w:pPr>
            <w:pStyle w:val="TOC1"/>
            <w:tabs>
              <w:tab w:val="right" w:leader="dot" w:pos="9016"/>
            </w:tabs>
            <w:rPr>
              <w:rFonts w:eastAsiaTheme="minorEastAsia"/>
              <w:noProof/>
              <w:lang w:eastAsia="en-GB"/>
            </w:rPr>
          </w:pPr>
          <w:hyperlink w:anchor="_Toc122273621" w:history="1">
            <w:r w:rsidRPr="00AA6C5D">
              <w:rPr>
                <w:rStyle w:val="Hyperlink"/>
                <w:noProof/>
              </w:rPr>
              <w:t>References</w:t>
            </w:r>
            <w:r>
              <w:rPr>
                <w:noProof/>
                <w:webHidden/>
              </w:rPr>
              <w:tab/>
            </w:r>
            <w:r>
              <w:rPr>
                <w:noProof/>
                <w:webHidden/>
              </w:rPr>
              <w:fldChar w:fldCharType="begin"/>
            </w:r>
            <w:r>
              <w:rPr>
                <w:noProof/>
                <w:webHidden/>
              </w:rPr>
              <w:instrText xml:space="preserve"> PAGEREF _Toc122273621 \h </w:instrText>
            </w:r>
            <w:r>
              <w:rPr>
                <w:noProof/>
                <w:webHidden/>
              </w:rPr>
            </w:r>
            <w:r>
              <w:rPr>
                <w:noProof/>
                <w:webHidden/>
              </w:rPr>
              <w:fldChar w:fldCharType="separate"/>
            </w:r>
            <w:r>
              <w:rPr>
                <w:noProof/>
                <w:webHidden/>
              </w:rPr>
              <w:t>10</w:t>
            </w:r>
            <w:r>
              <w:rPr>
                <w:noProof/>
                <w:webHidden/>
              </w:rPr>
              <w:fldChar w:fldCharType="end"/>
            </w:r>
          </w:hyperlink>
        </w:p>
        <w:p w14:paraId="31DFFDDD" w14:textId="5CE88637" w:rsidR="0043436E" w:rsidRPr="0043436E" w:rsidRDefault="002A0691" w:rsidP="0043436E">
          <w:r>
            <w:rPr>
              <w:b/>
              <w:bCs/>
              <w:noProof/>
            </w:rPr>
            <w:fldChar w:fldCharType="end"/>
          </w:r>
        </w:p>
      </w:sdtContent>
    </w:sdt>
    <w:p w14:paraId="14214E06" w14:textId="77777777" w:rsidR="00064830" w:rsidRDefault="00064830" w:rsidP="00D5792F">
      <w:pPr>
        <w:pStyle w:val="Heading1"/>
      </w:pPr>
    </w:p>
    <w:p w14:paraId="0CCD7795" w14:textId="77777777" w:rsidR="00064830" w:rsidRDefault="00064830" w:rsidP="00D5792F">
      <w:pPr>
        <w:pStyle w:val="Heading1"/>
      </w:pPr>
    </w:p>
    <w:p w14:paraId="32BE72D7" w14:textId="77777777" w:rsidR="00064830" w:rsidRDefault="00064830" w:rsidP="00D5792F">
      <w:pPr>
        <w:pStyle w:val="Heading1"/>
      </w:pPr>
    </w:p>
    <w:p w14:paraId="2B4BFEA3" w14:textId="77777777" w:rsidR="00064830" w:rsidRDefault="00064830" w:rsidP="00D5792F">
      <w:pPr>
        <w:pStyle w:val="Heading1"/>
      </w:pPr>
    </w:p>
    <w:p w14:paraId="1B9920A8" w14:textId="77777777" w:rsidR="00064830" w:rsidRDefault="00064830" w:rsidP="00D5792F">
      <w:pPr>
        <w:pStyle w:val="Heading1"/>
      </w:pPr>
    </w:p>
    <w:p w14:paraId="315871BE" w14:textId="77777777" w:rsidR="00064830" w:rsidRDefault="00064830" w:rsidP="00D5792F">
      <w:pPr>
        <w:pStyle w:val="Heading1"/>
      </w:pPr>
    </w:p>
    <w:p w14:paraId="70F318B8" w14:textId="77777777" w:rsidR="00064830" w:rsidRDefault="00064830" w:rsidP="00D5792F">
      <w:pPr>
        <w:pStyle w:val="Heading1"/>
      </w:pPr>
    </w:p>
    <w:p w14:paraId="0A7F47CA" w14:textId="77777777" w:rsidR="00064830" w:rsidRDefault="00064830" w:rsidP="00D5792F">
      <w:pPr>
        <w:pStyle w:val="Heading1"/>
      </w:pPr>
    </w:p>
    <w:p w14:paraId="56880C1F" w14:textId="77777777" w:rsidR="00F94B9E" w:rsidRPr="00F94B9E" w:rsidRDefault="00F94B9E" w:rsidP="00F94B9E"/>
    <w:p w14:paraId="7C1CC89C" w14:textId="73B064D7" w:rsidR="009A6CAE" w:rsidRPr="00D5792F" w:rsidRDefault="008E326E" w:rsidP="00A71FA1">
      <w:pPr>
        <w:pStyle w:val="Heading1"/>
        <w:spacing w:line="360" w:lineRule="auto"/>
      </w:pPr>
      <w:bookmarkStart w:id="0" w:name="_Toc122273609"/>
      <w:r w:rsidRPr="00D5792F">
        <w:lastRenderedPageBreak/>
        <w:t>Executive summary</w:t>
      </w:r>
      <w:bookmarkEnd w:id="0"/>
    </w:p>
    <w:p w14:paraId="52BB14C9" w14:textId="20C12D42" w:rsidR="007C341B" w:rsidRDefault="007C341B" w:rsidP="00A71FA1">
      <w:pPr>
        <w:spacing w:line="360" w:lineRule="auto"/>
        <w:rPr>
          <w:rFonts w:cstheme="minorHAnsi"/>
        </w:rPr>
      </w:pPr>
      <w:r w:rsidRPr="00D5792F">
        <w:rPr>
          <w:rFonts w:cstheme="minorHAnsi"/>
        </w:rPr>
        <w:t xml:space="preserve">This </w:t>
      </w:r>
      <w:r w:rsidR="009D7079">
        <w:rPr>
          <w:rFonts w:cstheme="minorHAnsi"/>
        </w:rPr>
        <w:t>essay</w:t>
      </w:r>
      <w:r w:rsidRPr="00D5792F">
        <w:rPr>
          <w:rFonts w:cstheme="minorHAnsi"/>
        </w:rPr>
        <w:t xml:space="preserve"> explores some of the </w:t>
      </w:r>
      <w:r w:rsidR="003A3420" w:rsidRPr="003A3420">
        <w:rPr>
          <w:rFonts w:cstheme="minorHAnsi"/>
        </w:rPr>
        <w:t>external and internal</w:t>
      </w:r>
      <w:r w:rsidR="003A3420" w:rsidRPr="003A3420">
        <w:rPr>
          <w:rFonts w:cstheme="minorHAnsi"/>
        </w:rPr>
        <w:t xml:space="preserve"> </w:t>
      </w:r>
      <w:r w:rsidRPr="00D5792F">
        <w:rPr>
          <w:rFonts w:cstheme="minorHAnsi"/>
        </w:rPr>
        <w:t xml:space="preserve">overviews of the Starbucks company’s financial practices and performance. It used a combination of theory and empirical research articles to critical analysis processes </w:t>
      </w:r>
      <w:r w:rsidR="00B135A6" w:rsidRPr="00B135A6">
        <w:rPr>
          <w:rFonts w:cstheme="minorHAnsi"/>
        </w:rPr>
        <w:t>from basic knowledge to particular contexts to justify the findings accurately and have inherent relevance</w:t>
      </w:r>
      <w:r w:rsidRPr="00D5792F">
        <w:rPr>
          <w:rFonts w:cstheme="minorHAnsi"/>
        </w:rPr>
        <w:t xml:space="preserve">. </w:t>
      </w:r>
      <w:proofErr w:type="gramStart"/>
      <w:r w:rsidR="00750740" w:rsidRPr="00750740">
        <w:rPr>
          <w:rFonts w:cstheme="minorHAnsi"/>
        </w:rPr>
        <w:t>On the basis of</w:t>
      </w:r>
      <w:proofErr w:type="gramEnd"/>
      <w:r w:rsidR="00750740" w:rsidRPr="00750740">
        <w:rPr>
          <w:rFonts w:cstheme="minorHAnsi"/>
        </w:rPr>
        <w:t xml:space="preserve"> theoretical study and company analysis, the paper first provides actual indicators and datasets of company dividends</w:t>
      </w:r>
      <w:r w:rsidRPr="00D5792F">
        <w:rPr>
          <w:rFonts w:cstheme="minorHAnsi"/>
        </w:rPr>
        <w:t>. Furthermore, summarises and expands various knowledge about efficient market hypotheses. In the end, explore selected several main appraisal technics through which corporations such as Starbucks could use in appraisal methods of its investment opportunities to approach its management decisions.</w:t>
      </w:r>
    </w:p>
    <w:p w14:paraId="133BED03" w14:textId="2AAABDC8" w:rsidR="002C2F52" w:rsidRPr="00D5792F" w:rsidRDefault="00D33CBE" w:rsidP="00A71FA1">
      <w:pPr>
        <w:pStyle w:val="Heading1"/>
        <w:spacing w:line="360" w:lineRule="auto"/>
        <w:rPr>
          <w:rFonts w:cstheme="minorHAnsi"/>
        </w:rPr>
      </w:pPr>
      <w:bookmarkStart w:id="1" w:name="_Toc122273610"/>
      <w:r w:rsidRPr="005922CA">
        <w:t>Financial evaluation of Starbuc</w:t>
      </w:r>
      <w:r w:rsidRPr="00A876FB">
        <w:t>ks</w:t>
      </w:r>
      <w:bookmarkEnd w:id="1"/>
    </w:p>
    <w:p w14:paraId="74E3DDF3" w14:textId="5BB71F29" w:rsidR="009A6CAE" w:rsidRPr="00D5792F" w:rsidRDefault="00676428" w:rsidP="00A71FA1">
      <w:pPr>
        <w:pStyle w:val="Heading2"/>
        <w:spacing w:line="360" w:lineRule="auto"/>
      </w:pPr>
      <w:bookmarkStart w:id="2" w:name="_Toc122273611"/>
      <w:r w:rsidRPr="00D5792F">
        <w:t>Dividend policy</w:t>
      </w:r>
      <w:bookmarkEnd w:id="2"/>
    </w:p>
    <w:p w14:paraId="5241C6D5" w14:textId="01348D29" w:rsidR="0077018B" w:rsidRPr="00D5792F" w:rsidRDefault="0077018B" w:rsidP="00A71FA1">
      <w:pPr>
        <w:spacing w:line="360" w:lineRule="auto"/>
        <w:rPr>
          <w:rFonts w:cstheme="minorHAnsi"/>
        </w:rPr>
      </w:pPr>
      <w:r w:rsidRPr="00D5792F">
        <w:rPr>
          <w:rFonts w:cstheme="minorHAnsi"/>
        </w:rPr>
        <w:t xml:space="preserve">Starbucks' business strategy has transformed into an example of overcoming hardship in the business world </w:t>
      </w:r>
      <w:r w:rsidR="00D333C8" w:rsidRPr="00D5792F">
        <w:rPr>
          <w:rFonts w:cstheme="minorHAnsi"/>
        </w:rPr>
        <w:t>due to</w:t>
      </w:r>
      <w:r w:rsidRPr="00D5792F">
        <w:rPr>
          <w:rFonts w:cstheme="minorHAnsi"/>
        </w:rPr>
        <w:t xml:space="preserve"> the company's quick </w:t>
      </w:r>
      <w:r w:rsidR="00534163" w:rsidRPr="00D5792F">
        <w:rPr>
          <w:rFonts w:cstheme="minorHAnsi"/>
        </w:rPr>
        <w:t>expansion and well-incorporated dividend system.</w:t>
      </w:r>
      <w:r w:rsidRPr="00D5792F">
        <w:rPr>
          <w:rFonts w:cstheme="minorHAnsi"/>
        </w:rPr>
        <w:t xml:space="preserve"> Despite the firm long–term</w:t>
      </w:r>
      <w:r w:rsidR="00B467FF" w:rsidRPr="00D5792F">
        <w:rPr>
          <w:rFonts w:cstheme="minorHAnsi"/>
        </w:rPr>
        <w:t xml:space="preserve"> suffering</w:t>
      </w:r>
      <w:r w:rsidRPr="00D5792F">
        <w:rPr>
          <w:rFonts w:cstheme="minorHAnsi"/>
        </w:rPr>
        <w:t xml:space="preserve"> debts, which almost doubled in 2019 and were represented as negative earnings per share in 2020 (</w:t>
      </w:r>
      <w:r w:rsidR="006B34E9" w:rsidRPr="00D5792F">
        <w:rPr>
          <w:rFonts w:cstheme="minorHAnsi"/>
        </w:rPr>
        <w:t>Chart</w:t>
      </w:r>
      <w:r w:rsidRPr="00D5792F">
        <w:rPr>
          <w:rFonts w:cstheme="minorHAnsi"/>
        </w:rPr>
        <w:t xml:space="preserve"> 1), the company continued to issue dividends that were steadily growing to those announced in the previous years (Dow Jones and Company, 2022). (</w:t>
      </w:r>
      <w:r w:rsidR="006B34E9" w:rsidRPr="00D5792F">
        <w:rPr>
          <w:rFonts w:cstheme="minorHAnsi"/>
        </w:rPr>
        <w:t>Chart</w:t>
      </w:r>
      <w:r w:rsidRPr="00D5792F">
        <w:rPr>
          <w:rFonts w:cstheme="minorHAnsi"/>
        </w:rPr>
        <w:t xml:space="preserve"> 2) Even though the price of Starbucks' stock has been quite volatile at the end of 2021, Starbucks' market value was estimated at $137.85 billion, with </w:t>
      </w:r>
      <w:r w:rsidR="004D48D6" w:rsidRPr="00D5792F">
        <w:rPr>
          <w:rFonts w:cstheme="minorHAnsi"/>
        </w:rPr>
        <w:t>$</w:t>
      </w:r>
      <w:r w:rsidRPr="00D5792F">
        <w:rPr>
          <w:rFonts w:cstheme="minorHAnsi"/>
        </w:rPr>
        <w:t xml:space="preserve">1.18 billion fully diluted shares outstanding as of the financial year 2021 (Yu, 2021). However, even the company's temporary poor performance and management's commitment to returning money to shareholders through share repurchases and dividends make the stock more appealing — particularly for dividend investors. </w:t>
      </w:r>
    </w:p>
    <w:p w14:paraId="4075C4C0" w14:textId="77777777" w:rsidR="0077018B" w:rsidRPr="00D5792F" w:rsidRDefault="0077018B" w:rsidP="00A71FA1">
      <w:pPr>
        <w:spacing w:line="360" w:lineRule="auto"/>
        <w:rPr>
          <w:rFonts w:cstheme="minorHAnsi"/>
        </w:rPr>
      </w:pPr>
      <w:r w:rsidRPr="00D5792F">
        <w:rPr>
          <w:rFonts w:cstheme="minorHAnsi"/>
          <w:noProof/>
        </w:rPr>
        <w:drawing>
          <wp:inline distT="0" distB="0" distL="0" distR="0" wp14:anchorId="7A6DDE43" wp14:editId="63F496C4">
            <wp:extent cx="5563772" cy="2738192"/>
            <wp:effectExtent l="0" t="0" r="0" b="5080"/>
            <wp:docPr id="1" name="Picture 1" descr="Graphical user interface,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chart, histogram&#10;&#10;Description automatically generated"/>
                    <pic:cNvPicPr/>
                  </pic:nvPicPr>
                  <pic:blipFill rotWithShape="1">
                    <a:blip r:embed="rId10"/>
                    <a:srcRect l="20863" t="18327" r="8808" b="20138"/>
                    <a:stretch/>
                  </pic:blipFill>
                  <pic:spPr bwMode="auto">
                    <a:xfrm>
                      <a:off x="0" y="0"/>
                      <a:ext cx="5589900" cy="2751051"/>
                    </a:xfrm>
                    <a:prstGeom prst="rect">
                      <a:avLst/>
                    </a:prstGeom>
                    <a:ln>
                      <a:noFill/>
                    </a:ln>
                    <a:extLst>
                      <a:ext uri="{53640926-AAD7-44D8-BBD7-CCE9431645EC}">
                        <a14:shadowObscured xmlns:a14="http://schemas.microsoft.com/office/drawing/2010/main"/>
                      </a:ext>
                    </a:extLst>
                  </pic:spPr>
                </pic:pic>
              </a:graphicData>
            </a:graphic>
          </wp:inline>
        </w:drawing>
      </w:r>
    </w:p>
    <w:p w14:paraId="0109DEC2" w14:textId="1BB048D0" w:rsidR="0077018B" w:rsidRPr="00D5792F" w:rsidRDefault="0077018B" w:rsidP="00A71FA1">
      <w:pPr>
        <w:spacing w:line="360" w:lineRule="auto"/>
        <w:rPr>
          <w:rFonts w:cstheme="minorHAnsi"/>
        </w:rPr>
      </w:pPr>
      <w:r w:rsidRPr="00D5792F">
        <w:rPr>
          <w:rFonts w:cstheme="minorHAnsi"/>
        </w:rPr>
        <w:lastRenderedPageBreak/>
        <w:t>(</w:t>
      </w:r>
      <w:r w:rsidR="00287A93" w:rsidRPr="00D5792F">
        <w:rPr>
          <w:rFonts w:cstheme="minorHAnsi"/>
        </w:rPr>
        <w:t xml:space="preserve">Chart 1, </w:t>
      </w:r>
      <w:r w:rsidR="00254CC2" w:rsidRPr="00D5792F">
        <w:rPr>
          <w:rFonts w:cstheme="minorHAnsi"/>
        </w:rPr>
        <w:t>S</w:t>
      </w:r>
      <w:r w:rsidRPr="00D5792F">
        <w:rPr>
          <w:rFonts w:cstheme="minorHAnsi"/>
        </w:rPr>
        <w:t>ource</w:t>
      </w:r>
      <w:r w:rsidR="002A015A" w:rsidRPr="00D5792F">
        <w:rPr>
          <w:rFonts w:cstheme="minorHAnsi"/>
        </w:rPr>
        <w:t>:</w:t>
      </w:r>
      <w:r w:rsidRPr="00D5792F">
        <w:rPr>
          <w:rFonts w:cstheme="minorHAnsi"/>
        </w:rPr>
        <w:t xml:space="preserve"> </w:t>
      </w:r>
      <w:r w:rsidR="009F412A" w:rsidRPr="00D5792F">
        <w:rPr>
          <w:rFonts w:cstheme="minorHAnsi"/>
        </w:rPr>
        <w:t>Nas</w:t>
      </w:r>
      <w:r w:rsidR="00C56EE0" w:rsidRPr="00D5792F">
        <w:rPr>
          <w:rFonts w:cstheme="minorHAnsi"/>
        </w:rPr>
        <w:t xml:space="preserve">daq </w:t>
      </w:r>
      <w:r w:rsidR="00287A93" w:rsidRPr="00D5792F">
        <w:rPr>
          <w:rFonts w:cstheme="minorHAnsi"/>
        </w:rPr>
        <w:t>(</w:t>
      </w:r>
      <w:r w:rsidR="00C56EE0" w:rsidRPr="00D5792F">
        <w:rPr>
          <w:rFonts w:cstheme="minorHAnsi"/>
        </w:rPr>
        <w:t>2022)</w:t>
      </w:r>
      <w:r w:rsidR="00287A93" w:rsidRPr="00D5792F">
        <w:rPr>
          <w:rFonts w:cstheme="minorHAnsi"/>
        </w:rPr>
        <w:t xml:space="preserve"> </w:t>
      </w:r>
      <w:hyperlink r:id="rId11" w:history="1">
        <w:r w:rsidR="00604AE1" w:rsidRPr="00D5792F">
          <w:rPr>
            <w:rStyle w:val="Hyperlink"/>
            <w:rFonts w:cstheme="minorHAnsi"/>
          </w:rPr>
          <w:t>https://www.nasdaq.com/market-activity/stocks/sbux/advanced-charting</w:t>
        </w:r>
      </w:hyperlink>
      <w:r w:rsidRPr="00D5792F">
        <w:rPr>
          <w:rFonts w:cstheme="minorHAnsi"/>
        </w:rPr>
        <w:t>)</w:t>
      </w:r>
    </w:p>
    <w:p w14:paraId="72B36641" w14:textId="77777777" w:rsidR="0077018B" w:rsidRPr="00D5792F" w:rsidRDefault="0077018B" w:rsidP="00A71FA1">
      <w:pPr>
        <w:spacing w:line="360" w:lineRule="auto"/>
        <w:rPr>
          <w:rFonts w:cstheme="minorHAnsi"/>
        </w:rPr>
      </w:pPr>
      <w:r w:rsidRPr="00D5792F">
        <w:rPr>
          <w:rFonts w:cstheme="minorHAnsi"/>
          <w:noProof/>
        </w:rPr>
        <w:drawing>
          <wp:inline distT="0" distB="0" distL="0" distR="0" wp14:anchorId="3948C2BB" wp14:editId="37635E7E">
            <wp:extent cx="4455649" cy="1764826"/>
            <wp:effectExtent l="0" t="0" r="2540" b="698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2"/>
                    <a:srcRect l="10099" t="26391" r="12153" b="18860"/>
                    <a:stretch/>
                  </pic:blipFill>
                  <pic:spPr bwMode="auto">
                    <a:xfrm>
                      <a:off x="0" y="0"/>
                      <a:ext cx="4456184" cy="1765038"/>
                    </a:xfrm>
                    <a:prstGeom prst="rect">
                      <a:avLst/>
                    </a:prstGeom>
                    <a:ln>
                      <a:noFill/>
                    </a:ln>
                    <a:extLst>
                      <a:ext uri="{53640926-AAD7-44D8-BBD7-CCE9431645EC}">
                        <a14:shadowObscured xmlns:a14="http://schemas.microsoft.com/office/drawing/2010/main"/>
                      </a:ext>
                    </a:extLst>
                  </pic:spPr>
                </pic:pic>
              </a:graphicData>
            </a:graphic>
          </wp:inline>
        </w:drawing>
      </w:r>
    </w:p>
    <w:p w14:paraId="6766CB24" w14:textId="77777777" w:rsidR="0077018B" w:rsidRPr="00D5792F" w:rsidRDefault="0077018B" w:rsidP="00A71FA1">
      <w:pPr>
        <w:spacing w:line="360" w:lineRule="auto"/>
        <w:rPr>
          <w:rFonts w:cstheme="minorHAnsi"/>
        </w:rPr>
      </w:pPr>
    </w:p>
    <w:p w14:paraId="2C5A602C" w14:textId="539314D9" w:rsidR="0077018B" w:rsidRPr="00D5792F" w:rsidRDefault="00604AE1" w:rsidP="00A71FA1">
      <w:pPr>
        <w:spacing w:line="360" w:lineRule="auto"/>
        <w:rPr>
          <w:rFonts w:cstheme="minorHAnsi"/>
        </w:rPr>
      </w:pPr>
      <w:r w:rsidRPr="00D5792F">
        <w:rPr>
          <w:rFonts w:cstheme="minorHAnsi"/>
        </w:rPr>
        <w:t xml:space="preserve">(Chart </w:t>
      </w:r>
      <w:r w:rsidR="00490938" w:rsidRPr="00D5792F">
        <w:rPr>
          <w:rFonts w:cstheme="minorHAnsi"/>
        </w:rPr>
        <w:t>2</w:t>
      </w:r>
      <w:r w:rsidRPr="00D5792F">
        <w:rPr>
          <w:rFonts w:cstheme="minorHAnsi"/>
        </w:rPr>
        <w:t xml:space="preserve">, Source: </w:t>
      </w:r>
      <w:proofErr w:type="spellStart"/>
      <w:r w:rsidR="00E0772D" w:rsidRPr="00D5792F">
        <w:rPr>
          <w:rFonts w:cstheme="minorHAnsi"/>
        </w:rPr>
        <w:t>Dividend</w:t>
      </w:r>
      <w:r w:rsidR="000E7B6E" w:rsidRPr="00D5792F">
        <w:rPr>
          <w:rFonts w:cstheme="minorHAnsi"/>
        </w:rPr>
        <w:t>max</w:t>
      </w:r>
      <w:proofErr w:type="spellEnd"/>
      <w:r w:rsidRPr="00D5792F">
        <w:rPr>
          <w:rFonts w:cstheme="minorHAnsi"/>
        </w:rPr>
        <w:t xml:space="preserve"> (2022) </w:t>
      </w:r>
      <w:r w:rsidR="000E7B6E" w:rsidRPr="00D5792F">
        <w:rPr>
          <w:rFonts w:cstheme="minorHAnsi"/>
        </w:rPr>
        <w:t>https://www.dividendmax.com/united-states/nasdaq/food-and-drug-retailers/starbucks-corp/dividends</w:t>
      </w:r>
      <w:r w:rsidRPr="00D5792F">
        <w:rPr>
          <w:rFonts w:cstheme="minorHAnsi"/>
        </w:rPr>
        <w:t>)</w:t>
      </w:r>
    </w:p>
    <w:p w14:paraId="222837FA" w14:textId="62BF3D71" w:rsidR="0077018B" w:rsidRPr="00D5792F" w:rsidRDefault="0077018B" w:rsidP="00A71FA1">
      <w:pPr>
        <w:spacing w:line="360" w:lineRule="auto"/>
        <w:rPr>
          <w:rFonts w:cstheme="minorHAnsi"/>
        </w:rPr>
      </w:pPr>
      <w:r w:rsidRPr="00D5792F">
        <w:rPr>
          <w:rFonts w:cstheme="minorHAnsi"/>
        </w:rPr>
        <w:t>Starbucks is widely renowned for its track record of consistently paying dividends and buying back common stocks. Even the common notice that the dividend policy endorses the concept that dividend payments should come from earnings rather than capital or reserves Starbucks use the strategy of repurchasing stocks when the stock price falls</w:t>
      </w:r>
      <w:r w:rsidRPr="00D5792F">
        <w:rPr>
          <w:rFonts w:cstheme="minorHAnsi"/>
          <w:color w:val="222222"/>
          <w:shd w:val="clear" w:color="auto" w:fill="FFFFFF"/>
        </w:rPr>
        <w:t xml:space="preserve"> (Shankar, 2021)</w:t>
      </w:r>
      <w:r w:rsidRPr="00D5792F">
        <w:rPr>
          <w:rFonts w:cstheme="minorHAnsi"/>
        </w:rPr>
        <w:t xml:space="preserve">. </w:t>
      </w:r>
      <w:r w:rsidR="00534163" w:rsidRPr="00D5792F">
        <w:rPr>
          <w:rFonts w:cstheme="minorHAnsi"/>
        </w:rPr>
        <w:t>A company’s</w:t>
      </w:r>
      <w:r w:rsidRPr="00D5792F">
        <w:rPr>
          <w:rFonts w:cstheme="minorHAnsi"/>
        </w:rPr>
        <w:t xml:space="preserve"> stock buybacks have a positive correlation with stock market liquidity, suggesting that the higher liquidity of its stock is, the more it tends to employ stock repurchases to fund dividend payments.</w:t>
      </w:r>
      <w:r w:rsidRPr="00D5792F">
        <w:rPr>
          <w:rFonts w:cstheme="minorHAnsi"/>
          <w:color w:val="222222"/>
          <w:shd w:val="clear" w:color="auto" w:fill="FFFFFF"/>
        </w:rPr>
        <w:t xml:space="preserve"> (Nguyen, 2017).</w:t>
      </w:r>
      <w:r w:rsidRPr="00D5792F">
        <w:rPr>
          <w:rFonts w:cstheme="minorHAnsi"/>
        </w:rPr>
        <w:t xml:space="preserve"> For the risk they assume, investors look for a reward. </w:t>
      </w:r>
      <w:r w:rsidR="008B06FC" w:rsidRPr="00D5792F">
        <w:rPr>
          <w:rFonts w:cstheme="minorHAnsi"/>
        </w:rPr>
        <w:t>Thus, S</w:t>
      </w:r>
      <w:r w:rsidRPr="00D5792F">
        <w:rPr>
          <w:rFonts w:cstheme="minorHAnsi"/>
        </w:rPr>
        <w:t>tarbucks company dividends and capital gains are two possible ways for shareholders to be compensated (</w:t>
      </w:r>
      <w:r w:rsidRPr="00D5792F">
        <w:rPr>
          <w:rFonts w:cstheme="minorHAnsi"/>
          <w:color w:val="222222"/>
          <w:shd w:val="clear" w:color="auto" w:fill="FFFFFF"/>
        </w:rPr>
        <w:t>Chen</w:t>
      </w:r>
      <w:r w:rsidR="00E8385C" w:rsidRPr="00D5792F">
        <w:rPr>
          <w:rFonts w:cstheme="minorHAnsi"/>
          <w:color w:val="222222"/>
          <w:shd w:val="clear" w:color="auto" w:fill="FFFFFF"/>
        </w:rPr>
        <w:t xml:space="preserve"> </w:t>
      </w:r>
      <w:r w:rsidRPr="00D5792F">
        <w:rPr>
          <w:rFonts w:cstheme="minorHAnsi"/>
          <w:color w:val="222222"/>
          <w:shd w:val="clear" w:color="auto" w:fill="FFFFFF"/>
        </w:rPr>
        <w:t>and Tang, 2021</w:t>
      </w:r>
      <w:r w:rsidR="0010074F" w:rsidRPr="00D5792F">
        <w:rPr>
          <w:rFonts w:cstheme="minorHAnsi"/>
          <w:color w:val="222222"/>
          <w:shd w:val="clear" w:color="auto" w:fill="FFFFFF"/>
        </w:rPr>
        <w:t>)</w:t>
      </w:r>
      <w:r w:rsidRPr="00D5792F">
        <w:rPr>
          <w:rFonts w:cstheme="minorHAnsi"/>
        </w:rPr>
        <w:t xml:space="preserve">. Moreover, investing in equities that generate dividends is </w:t>
      </w:r>
      <w:r w:rsidR="00390860" w:rsidRPr="00D5792F">
        <w:rPr>
          <w:rFonts w:cstheme="minorHAnsi"/>
        </w:rPr>
        <w:t xml:space="preserve">probably </w:t>
      </w:r>
      <w:r w:rsidRPr="00D5792F">
        <w:rPr>
          <w:rFonts w:cstheme="minorHAnsi"/>
        </w:rPr>
        <w:t>a good method to beat inflation.</w:t>
      </w:r>
      <w:r w:rsidR="003213FA" w:rsidRPr="00D5792F">
        <w:rPr>
          <w:rFonts w:cstheme="minorHAnsi"/>
        </w:rPr>
        <w:t xml:space="preserve"> </w:t>
      </w:r>
      <w:r w:rsidRPr="00D5792F">
        <w:rPr>
          <w:rFonts w:cstheme="minorHAnsi"/>
        </w:rPr>
        <w:t>Companies issuing shares give investors a competitive advantage when it comes to income in the form of an effective dividend.</w:t>
      </w:r>
    </w:p>
    <w:p w14:paraId="1EE44398" w14:textId="1CFA3D95" w:rsidR="0077018B" w:rsidRPr="00D5792F" w:rsidRDefault="0077018B" w:rsidP="00A71FA1">
      <w:pPr>
        <w:spacing w:line="360" w:lineRule="auto"/>
        <w:rPr>
          <w:rFonts w:cstheme="minorHAnsi"/>
        </w:rPr>
      </w:pPr>
      <w:r w:rsidRPr="00D5792F">
        <w:rPr>
          <w:rFonts w:cstheme="minorHAnsi"/>
        </w:rPr>
        <w:t>Starbucks started paying dividends in 2010 and has steadily increased since then. The most current data available as of November 2022 shows that Starbucks paid dividends of 2.00 USD per share during the previous 12 months. This translates to a dividend yield of 2.03% at the stock's current price of 98.66 USD shown to be appropriately valued with a solid 2.4% ahead expected dividend yield (</w:t>
      </w:r>
      <w:proofErr w:type="spellStart"/>
      <w:r w:rsidRPr="00D5792F">
        <w:rPr>
          <w:rFonts w:cstheme="minorHAnsi"/>
        </w:rPr>
        <w:t>DividentStocks</w:t>
      </w:r>
      <w:proofErr w:type="spellEnd"/>
      <w:r w:rsidRPr="00D5792F">
        <w:rPr>
          <w:rFonts w:cstheme="minorHAnsi"/>
        </w:rPr>
        <w:t>, 2022). Appendix 1</w:t>
      </w:r>
      <w:r w:rsidR="00534163" w:rsidRPr="00D5792F">
        <w:rPr>
          <w:rFonts w:cstheme="minorHAnsi"/>
        </w:rPr>
        <w:t>.</w:t>
      </w:r>
      <w:r w:rsidRPr="00D5792F">
        <w:rPr>
          <w:rFonts w:cstheme="minorHAnsi"/>
        </w:rPr>
        <w:t xml:space="preserve"> However, the dividend pay-out level alone does not reveal whether the company is </w:t>
      </w:r>
      <w:r w:rsidR="00C33414" w:rsidRPr="00D5792F">
        <w:rPr>
          <w:rFonts w:cstheme="minorHAnsi"/>
        </w:rPr>
        <w:t xml:space="preserve">correctly </w:t>
      </w:r>
      <w:r w:rsidR="00646AF9" w:rsidRPr="00D5792F">
        <w:rPr>
          <w:rFonts w:cstheme="minorHAnsi"/>
        </w:rPr>
        <w:t>valued</w:t>
      </w:r>
      <w:r w:rsidRPr="00D5792F">
        <w:rPr>
          <w:rFonts w:cstheme="minorHAnsi"/>
        </w:rPr>
        <w:t xml:space="preserve"> or overpriced. Various points of view exist regarding how a firm's value is impacted by its dividend policy</w:t>
      </w:r>
      <w:r w:rsidR="00D21071" w:rsidRPr="00D5792F">
        <w:rPr>
          <w:rFonts w:cstheme="minorHAnsi"/>
          <w:color w:val="222222"/>
          <w:shd w:val="clear" w:color="auto" w:fill="FFFFFF"/>
        </w:rPr>
        <w:t xml:space="preserve"> (</w:t>
      </w:r>
      <w:proofErr w:type="spellStart"/>
      <w:r w:rsidR="00D21071" w:rsidRPr="00D5792F">
        <w:rPr>
          <w:rFonts w:cstheme="minorHAnsi"/>
          <w:color w:val="222222"/>
          <w:shd w:val="clear" w:color="auto" w:fill="FFFFFF"/>
        </w:rPr>
        <w:t>Lumapow</w:t>
      </w:r>
      <w:proofErr w:type="spellEnd"/>
      <w:r w:rsidR="00D21071" w:rsidRPr="00D5792F">
        <w:rPr>
          <w:rFonts w:cstheme="minorHAnsi"/>
          <w:color w:val="222222"/>
          <w:shd w:val="clear" w:color="auto" w:fill="FFFFFF"/>
        </w:rPr>
        <w:t xml:space="preserve"> and </w:t>
      </w:r>
      <w:proofErr w:type="spellStart"/>
      <w:r w:rsidR="00D21071" w:rsidRPr="00D5792F">
        <w:rPr>
          <w:rFonts w:cstheme="minorHAnsi"/>
          <w:color w:val="222222"/>
          <w:shd w:val="clear" w:color="auto" w:fill="FFFFFF"/>
        </w:rPr>
        <w:t>Tumiwa</w:t>
      </w:r>
      <w:proofErr w:type="spellEnd"/>
      <w:r w:rsidR="00D21071" w:rsidRPr="00D5792F">
        <w:rPr>
          <w:rFonts w:cstheme="minorHAnsi"/>
          <w:color w:val="222222"/>
          <w:shd w:val="clear" w:color="auto" w:fill="FFFFFF"/>
        </w:rPr>
        <w:t>, 2017)</w:t>
      </w:r>
      <w:r w:rsidRPr="00D5792F">
        <w:rPr>
          <w:rFonts w:cstheme="minorHAnsi"/>
        </w:rPr>
        <w:t xml:space="preserve">. While some hypothesise contend that dividends enhance shareholders' wealth, others, argue that dividends are irrelevant and </w:t>
      </w:r>
      <w:r w:rsidR="00646AF9" w:rsidRPr="00D5792F">
        <w:rPr>
          <w:rFonts w:cstheme="minorHAnsi"/>
        </w:rPr>
        <w:t>decrease</w:t>
      </w:r>
      <w:r w:rsidRPr="00D5792F">
        <w:rPr>
          <w:rFonts w:cstheme="minorHAnsi"/>
        </w:rPr>
        <w:t xml:space="preserve"> shareholders' value (</w:t>
      </w:r>
      <w:r w:rsidRPr="00D5792F">
        <w:rPr>
          <w:rFonts w:cstheme="minorHAnsi"/>
          <w:color w:val="222222"/>
          <w:shd w:val="clear" w:color="auto" w:fill="FFFFFF"/>
        </w:rPr>
        <w:t>Murtaza</w:t>
      </w:r>
      <w:r w:rsidR="00C46854" w:rsidRPr="00D5792F">
        <w:rPr>
          <w:rFonts w:cstheme="minorHAnsi"/>
          <w:color w:val="222222"/>
          <w:shd w:val="clear" w:color="auto" w:fill="FFFFFF"/>
        </w:rPr>
        <w:t xml:space="preserve"> </w:t>
      </w:r>
      <w:r w:rsidRPr="00D5792F">
        <w:rPr>
          <w:rFonts w:cstheme="minorHAnsi"/>
          <w:color w:val="222222"/>
          <w:shd w:val="clear" w:color="auto" w:fill="FFFFFF"/>
        </w:rPr>
        <w:t>et al. 2018)</w:t>
      </w:r>
      <w:r w:rsidRPr="00D5792F">
        <w:rPr>
          <w:rFonts w:cstheme="minorHAnsi"/>
        </w:rPr>
        <w:t xml:space="preserve">. But because most large </w:t>
      </w:r>
      <w:r w:rsidRPr="00D5792F">
        <w:rPr>
          <w:rFonts w:cstheme="minorHAnsi"/>
        </w:rPr>
        <w:lastRenderedPageBreak/>
        <w:t>corporations in these sectors are "revenue generators", for investors, the dividend policy frequently reveals fosters investor confidence and raises expectations for some long-term stability.</w:t>
      </w:r>
    </w:p>
    <w:p w14:paraId="0583E50B" w14:textId="386D5686" w:rsidR="00C70A6C" w:rsidRPr="00D5792F" w:rsidRDefault="00C70A6C" w:rsidP="00A71FA1">
      <w:pPr>
        <w:pStyle w:val="Heading2"/>
        <w:spacing w:line="360" w:lineRule="auto"/>
      </w:pPr>
      <w:bookmarkStart w:id="3" w:name="_Toc122273612"/>
      <w:r w:rsidRPr="00D5792F">
        <w:t xml:space="preserve">Efficient Market </w:t>
      </w:r>
      <w:r w:rsidR="00646AF9" w:rsidRPr="00D5792F">
        <w:t>hypothesis</w:t>
      </w:r>
      <w:bookmarkEnd w:id="3"/>
    </w:p>
    <w:p w14:paraId="24439F25" w14:textId="64BD63B0" w:rsidR="0077018B" w:rsidRPr="00D5792F" w:rsidRDefault="0077018B" w:rsidP="00A71FA1">
      <w:pPr>
        <w:spacing w:line="360" w:lineRule="auto"/>
        <w:rPr>
          <w:rFonts w:cstheme="minorHAnsi"/>
        </w:rPr>
      </w:pPr>
      <w:r w:rsidRPr="00D5792F">
        <w:rPr>
          <w:rFonts w:cstheme="minorHAnsi"/>
        </w:rPr>
        <w:t xml:space="preserve">The Efficient Market Hypothesis developed by Professor Eugene </w:t>
      </w:r>
      <w:proofErr w:type="spellStart"/>
      <w:r w:rsidRPr="00D5792F">
        <w:rPr>
          <w:rFonts w:cstheme="minorHAnsi"/>
        </w:rPr>
        <w:t>Fama</w:t>
      </w:r>
      <w:proofErr w:type="spellEnd"/>
      <w:r w:rsidRPr="00D5792F">
        <w:rPr>
          <w:rFonts w:cstheme="minorHAnsi"/>
        </w:rPr>
        <w:t xml:space="preserve"> (19</w:t>
      </w:r>
      <w:r w:rsidR="00135DD8" w:rsidRPr="00D5792F">
        <w:rPr>
          <w:rFonts w:cstheme="minorHAnsi"/>
        </w:rPr>
        <w:t>7</w:t>
      </w:r>
      <w:r w:rsidRPr="00D5792F">
        <w:rPr>
          <w:rFonts w:cstheme="minorHAnsi"/>
        </w:rPr>
        <w:t xml:space="preserve">0) generated both support and criticism. According to the efficient hypothesis, the price of traded assets at a given point in time reflects all available information to which investors have access. In addition, according to </w:t>
      </w:r>
      <w:r w:rsidRPr="00D5792F">
        <w:rPr>
          <w:rFonts w:cstheme="minorHAnsi"/>
          <w:color w:val="222222"/>
          <w:shd w:val="clear" w:color="auto" w:fill="FFFFFF"/>
        </w:rPr>
        <w:t>Van Horne and Parker</w:t>
      </w:r>
      <w:r w:rsidRPr="00D5792F">
        <w:rPr>
          <w:rFonts w:cstheme="minorHAnsi"/>
        </w:rPr>
        <w:t xml:space="preserve"> </w:t>
      </w:r>
      <w:r w:rsidRPr="00D5792F">
        <w:rPr>
          <w:rFonts w:cstheme="minorHAnsi"/>
          <w:color w:val="222222"/>
          <w:shd w:val="clear" w:color="auto" w:fill="FFFFFF"/>
        </w:rPr>
        <w:t xml:space="preserve">(1967) </w:t>
      </w:r>
      <w:r w:rsidRPr="00D5792F">
        <w:rPr>
          <w:rFonts w:cstheme="minorHAnsi"/>
        </w:rPr>
        <w:t xml:space="preserve">future share price movements randomly interfere with </w:t>
      </w:r>
      <w:r w:rsidR="00A37395" w:rsidRPr="00D5792F">
        <w:rPr>
          <w:rFonts w:cstheme="minorHAnsi"/>
        </w:rPr>
        <w:t xml:space="preserve">on </w:t>
      </w:r>
      <w:r w:rsidRPr="00D5792F">
        <w:rPr>
          <w:rFonts w:cstheme="minorHAnsi"/>
        </w:rPr>
        <w:t>share prices also known as the random walk model.</w:t>
      </w:r>
      <w:r w:rsidR="009066FD" w:rsidRPr="00D5792F">
        <w:rPr>
          <w:rFonts w:cstheme="minorHAnsi"/>
        </w:rPr>
        <w:t xml:space="preserve"> Conversely</w:t>
      </w:r>
      <w:r w:rsidRPr="00D5792F">
        <w:rPr>
          <w:rFonts w:cstheme="minorHAnsi"/>
        </w:rPr>
        <w:t>, with the information previously available, the only way to outperform the market return is via coincidence</w:t>
      </w:r>
      <w:r w:rsidR="00730E31" w:rsidRPr="00D5792F">
        <w:rPr>
          <w:rFonts w:cstheme="minorHAnsi"/>
          <w:color w:val="222222"/>
          <w:shd w:val="clear" w:color="auto" w:fill="FFFFFF"/>
        </w:rPr>
        <w:t xml:space="preserve"> (</w:t>
      </w:r>
      <w:proofErr w:type="spellStart"/>
      <w:r w:rsidR="00730E31" w:rsidRPr="00D5792F">
        <w:rPr>
          <w:rFonts w:cstheme="minorHAnsi"/>
          <w:color w:val="222222"/>
          <w:shd w:val="clear" w:color="auto" w:fill="FFFFFF"/>
        </w:rPr>
        <w:t>Thorsrud</w:t>
      </w:r>
      <w:proofErr w:type="spellEnd"/>
      <w:r w:rsidR="00730E31" w:rsidRPr="00D5792F">
        <w:rPr>
          <w:rFonts w:cstheme="minorHAnsi"/>
          <w:color w:val="222222"/>
          <w:shd w:val="clear" w:color="auto" w:fill="FFFFFF"/>
        </w:rPr>
        <w:t>, 2020)</w:t>
      </w:r>
      <w:r w:rsidRPr="00D5792F">
        <w:rPr>
          <w:rFonts w:cstheme="minorHAnsi"/>
        </w:rPr>
        <w:t xml:space="preserve">. Perhaps stock prices can vary from their fair market values, and </w:t>
      </w:r>
      <w:r w:rsidR="001C7E8A" w:rsidRPr="00D5792F">
        <w:rPr>
          <w:rFonts w:cstheme="minorHAnsi"/>
        </w:rPr>
        <w:t>even</w:t>
      </w:r>
      <w:r w:rsidR="00216421" w:rsidRPr="00D5792F">
        <w:rPr>
          <w:rFonts w:cstheme="minorHAnsi"/>
        </w:rPr>
        <w:t xml:space="preserve"> </w:t>
      </w:r>
      <w:r w:rsidRPr="00D5792F">
        <w:rPr>
          <w:rFonts w:cstheme="minorHAnsi"/>
        </w:rPr>
        <w:t>it is possible to outperform the market value (</w:t>
      </w:r>
      <w:r w:rsidRPr="00D5792F">
        <w:rPr>
          <w:rFonts w:cstheme="minorHAnsi"/>
          <w:color w:val="222222"/>
          <w:shd w:val="clear" w:color="auto" w:fill="FFFFFF"/>
        </w:rPr>
        <w:t>Ying</w:t>
      </w:r>
      <w:r w:rsidR="001566B3" w:rsidRPr="00D5792F">
        <w:rPr>
          <w:rFonts w:cstheme="minorHAnsi"/>
          <w:color w:val="222222"/>
          <w:shd w:val="clear" w:color="auto" w:fill="FFFFFF"/>
        </w:rPr>
        <w:t xml:space="preserve"> </w:t>
      </w:r>
      <w:r w:rsidRPr="00D5792F">
        <w:rPr>
          <w:rFonts w:cstheme="minorHAnsi"/>
          <w:color w:val="222222"/>
          <w:shd w:val="clear" w:color="auto" w:fill="FFFFFF"/>
        </w:rPr>
        <w:t>et al. 2019)</w:t>
      </w:r>
      <w:r w:rsidRPr="00D5792F">
        <w:rPr>
          <w:rFonts w:cstheme="minorHAnsi"/>
        </w:rPr>
        <w:t xml:space="preserve">. However, </w:t>
      </w:r>
      <w:r w:rsidR="00031917">
        <w:rPr>
          <w:rFonts w:cstheme="minorHAnsi"/>
        </w:rPr>
        <w:t>u</w:t>
      </w:r>
      <w:r w:rsidR="00F2203D" w:rsidRPr="00F2203D">
        <w:rPr>
          <w:rFonts w:cstheme="minorHAnsi"/>
        </w:rPr>
        <w:t>sers must have reasonable expectations and respond appropriately to new information, according to the theory.</w:t>
      </w:r>
      <w:r w:rsidR="00F2203D" w:rsidRPr="00F2203D">
        <w:rPr>
          <w:rFonts w:cstheme="minorHAnsi"/>
        </w:rPr>
        <w:t xml:space="preserve"> </w:t>
      </w:r>
      <w:r w:rsidRPr="00D5792F">
        <w:rPr>
          <w:rFonts w:cstheme="minorHAnsi"/>
        </w:rPr>
        <w:t>The efficient market hypothesis comes in three different forms:</w:t>
      </w:r>
    </w:p>
    <w:p w14:paraId="513D1BB1" w14:textId="0F7F4C03" w:rsidR="0077018B" w:rsidRPr="00D5792F" w:rsidRDefault="0077018B" w:rsidP="00A71FA1">
      <w:pPr>
        <w:pStyle w:val="Heading3"/>
        <w:spacing w:line="360" w:lineRule="auto"/>
      </w:pPr>
      <w:bookmarkStart w:id="4" w:name="_Toc122273613"/>
      <w:r w:rsidRPr="00D5792F">
        <w:t xml:space="preserve">Weak </w:t>
      </w:r>
      <w:r w:rsidR="009066FD" w:rsidRPr="00D5792F">
        <w:t>form</w:t>
      </w:r>
      <w:bookmarkEnd w:id="4"/>
    </w:p>
    <w:p w14:paraId="305C398E" w14:textId="2138215D" w:rsidR="0077018B" w:rsidRPr="00D5792F" w:rsidRDefault="009066FD" w:rsidP="00A71FA1">
      <w:pPr>
        <w:spacing w:line="360" w:lineRule="auto"/>
        <w:rPr>
          <w:rFonts w:cstheme="minorHAnsi"/>
        </w:rPr>
      </w:pPr>
      <w:r w:rsidRPr="00D5792F">
        <w:rPr>
          <w:rFonts w:cstheme="minorHAnsi"/>
        </w:rPr>
        <w:t>I</w:t>
      </w:r>
      <w:r w:rsidR="0077018B" w:rsidRPr="00D5792F">
        <w:rPr>
          <w:rFonts w:cstheme="minorHAnsi"/>
        </w:rPr>
        <w:t>n a weak efficient market, the share prices are assumed to reflect historical information, such as previous fluctuations and all trade history (</w:t>
      </w:r>
      <w:r w:rsidR="0077018B" w:rsidRPr="00D5792F">
        <w:rPr>
          <w:rFonts w:cstheme="minorHAnsi"/>
          <w:color w:val="222222"/>
          <w:shd w:val="clear" w:color="auto" w:fill="FFFFFF"/>
        </w:rPr>
        <w:t xml:space="preserve">Fama,1970). </w:t>
      </w:r>
      <w:r w:rsidRPr="00D5792F">
        <w:rPr>
          <w:rFonts w:cstheme="minorHAnsi"/>
          <w:color w:val="222222"/>
          <w:shd w:val="clear" w:color="auto" w:fill="FFFFFF"/>
        </w:rPr>
        <w:t>Yet</w:t>
      </w:r>
      <w:r w:rsidR="0077018B" w:rsidRPr="00D5792F">
        <w:rPr>
          <w:rFonts w:cstheme="minorHAnsi"/>
        </w:rPr>
        <w:t xml:space="preserve">, </w:t>
      </w:r>
      <w:r w:rsidR="006D54C0" w:rsidRPr="00D5792F">
        <w:rPr>
          <w:rFonts w:cstheme="minorHAnsi"/>
        </w:rPr>
        <w:t>b</w:t>
      </w:r>
      <w:r w:rsidR="0077018B" w:rsidRPr="00D5792F">
        <w:rPr>
          <w:rFonts w:cstheme="minorHAnsi"/>
        </w:rPr>
        <w:t>uilding a model to predict the likely future price movement would have allowed market players to make significant gains with little or no</w:t>
      </w:r>
      <w:r w:rsidR="008E7054" w:rsidRPr="00D5792F">
        <w:rPr>
          <w:rFonts w:cstheme="minorHAnsi"/>
        </w:rPr>
        <w:t xml:space="preserve"> </w:t>
      </w:r>
      <w:r w:rsidR="0077018B" w:rsidRPr="00D5792F">
        <w:rPr>
          <w:rFonts w:cstheme="minorHAnsi"/>
        </w:rPr>
        <w:t>risk</w:t>
      </w:r>
      <w:r w:rsidR="00D673F4" w:rsidRPr="00D5792F">
        <w:rPr>
          <w:rFonts w:cstheme="minorHAnsi"/>
        </w:rPr>
        <w:t>. A growth rate of even big corporate companies like</w:t>
      </w:r>
      <w:r w:rsidR="0077018B" w:rsidRPr="00D5792F">
        <w:rPr>
          <w:rFonts w:cstheme="minorHAnsi"/>
        </w:rPr>
        <w:t xml:space="preserve"> Starbucks would be predicted significantly.</w:t>
      </w:r>
      <w:r w:rsidR="00547B00" w:rsidRPr="00D5792F">
        <w:rPr>
          <w:rFonts w:cstheme="minorHAnsi"/>
        </w:rPr>
        <w:t xml:space="preserve"> Furthermore, it must account for the definition of a market and competitiveness within a sector affected by information and the spread of data.</w:t>
      </w:r>
    </w:p>
    <w:p w14:paraId="5D18D7C6" w14:textId="77777777" w:rsidR="0077018B" w:rsidRPr="00D5792F" w:rsidRDefault="0077018B" w:rsidP="00A71FA1">
      <w:pPr>
        <w:spacing w:line="360" w:lineRule="auto"/>
        <w:rPr>
          <w:rFonts w:cstheme="minorHAnsi"/>
        </w:rPr>
      </w:pPr>
      <w:r w:rsidRPr="00D5792F">
        <w:rPr>
          <w:rFonts w:cstheme="minorHAnsi"/>
          <w:noProof/>
        </w:rPr>
        <w:lastRenderedPageBreak/>
        <w:drawing>
          <wp:inline distT="0" distB="0" distL="0" distR="0" wp14:anchorId="35732075" wp14:editId="1CB0F6A8">
            <wp:extent cx="5731510" cy="3833495"/>
            <wp:effectExtent l="0" t="0" r="2540" b="0"/>
            <wp:docPr id="3" name="Picture 3" descr="Chart, line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 histo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833495"/>
                    </a:xfrm>
                    <a:prstGeom prst="rect">
                      <a:avLst/>
                    </a:prstGeom>
                  </pic:spPr>
                </pic:pic>
              </a:graphicData>
            </a:graphic>
          </wp:inline>
        </w:drawing>
      </w:r>
    </w:p>
    <w:p w14:paraId="6047E227" w14:textId="59C36D03" w:rsidR="0047026B" w:rsidRPr="00D5792F" w:rsidRDefault="0047026B" w:rsidP="00A71FA1">
      <w:pPr>
        <w:spacing w:line="360" w:lineRule="auto"/>
        <w:rPr>
          <w:rFonts w:cstheme="minorHAnsi"/>
        </w:rPr>
      </w:pPr>
      <w:r w:rsidRPr="00D5792F">
        <w:rPr>
          <w:rFonts w:cstheme="minorHAnsi"/>
        </w:rPr>
        <w:t xml:space="preserve">(Chart 3, Source: </w:t>
      </w:r>
      <w:proofErr w:type="spellStart"/>
      <w:r w:rsidR="00A77220" w:rsidRPr="00D5792F">
        <w:rPr>
          <w:rFonts w:cstheme="minorHAnsi"/>
        </w:rPr>
        <w:t>TrendSpider</w:t>
      </w:r>
      <w:proofErr w:type="spellEnd"/>
      <w:r w:rsidRPr="00D5792F">
        <w:rPr>
          <w:rFonts w:cstheme="minorHAnsi"/>
        </w:rPr>
        <w:t xml:space="preserve"> (2022) </w:t>
      </w:r>
      <w:hyperlink r:id="rId14" w:history="1">
        <w:proofErr w:type="spellStart"/>
        <w:r w:rsidR="00A77220" w:rsidRPr="00D5792F">
          <w:rPr>
            <w:rStyle w:val="Hyperlink"/>
            <w:rFonts w:cstheme="minorHAnsi"/>
          </w:rPr>
          <w:t>SBUX,Weekly</w:t>
        </w:r>
        <w:proofErr w:type="spellEnd"/>
        <w:r w:rsidR="00A77220" w:rsidRPr="00D5792F">
          <w:rPr>
            <w:rStyle w:val="Hyperlink"/>
            <w:rFonts w:cstheme="minorHAnsi"/>
          </w:rPr>
          <w:t xml:space="preserve"> Hollow Candles chart published by Bob Lang on </w:t>
        </w:r>
        <w:proofErr w:type="spellStart"/>
        <w:r w:rsidR="00A77220" w:rsidRPr="00D5792F">
          <w:rPr>
            <w:rStyle w:val="Hyperlink"/>
            <w:rFonts w:cstheme="minorHAnsi"/>
          </w:rPr>
          <w:t>TrendSpider</w:t>
        </w:r>
        <w:proofErr w:type="spellEnd"/>
      </w:hyperlink>
      <w:r w:rsidRPr="00D5792F">
        <w:rPr>
          <w:rFonts w:cstheme="minorHAnsi"/>
        </w:rPr>
        <w:t>)</w:t>
      </w:r>
    </w:p>
    <w:p w14:paraId="1D1AA2F2" w14:textId="60AC25E4" w:rsidR="0077018B" w:rsidRPr="00D5792F" w:rsidRDefault="009066FD" w:rsidP="00A71FA1">
      <w:pPr>
        <w:spacing w:line="360" w:lineRule="auto"/>
        <w:rPr>
          <w:rFonts w:cstheme="minorHAnsi"/>
        </w:rPr>
      </w:pPr>
      <w:r w:rsidRPr="00D5792F">
        <w:rPr>
          <w:rFonts w:cstheme="minorHAnsi"/>
        </w:rPr>
        <w:t>Otherwise,</w:t>
      </w:r>
      <w:r w:rsidR="0077018B" w:rsidRPr="00D5792F">
        <w:rPr>
          <w:rFonts w:cstheme="minorHAnsi"/>
        </w:rPr>
        <w:t xml:space="preserve"> </w:t>
      </w:r>
      <w:r w:rsidRPr="00D5792F">
        <w:rPr>
          <w:rFonts w:cstheme="minorHAnsi"/>
        </w:rPr>
        <w:t>using</w:t>
      </w:r>
      <w:r w:rsidR="0077018B" w:rsidRPr="00D5792F">
        <w:rPr>
          <w:rFonts w:cstheme="minorHAnsi"/>
        </w:rPr>
        <w:t xml:space="preserve"> technical analysis often appears to be a fortune-telling element, </w:t>
      </w:r>
      <w:r w:rsidR="0047026B" w:rsidRPr="00D5792F">
        <w:rPr>
          <w:rFonts w:cstheme="minorHAnsi"/>
        </w:rPr>
        <w:t>there</w:t>
      </w:r>
      <w:r w:rsidRPr="00D5792F">
        <w:rPr>
          <w:rFonts w:cstheme="minorHAnsi"/>
        </w:rPr>
        <w:t xml:space="preserve"> </w:t>
      </w:r>
      <w:r w:rsidR="0077018B" w:rsidRPr="00D5792F">
        <w:rPr>
          <w:rFonts w:cstheme="minorHAnsi"/>
        </w:rPr>
        <w:t xml:space="preserve">no denying that it is useful. The finest examples of predicting are not statements like "if this happens, the price will go up 20%," but rather statements like "if this happens, the price may decrease 20%." However, </w:t>
      </w:r>
      <w:r w:rsidRPr="00D5792F">
        <w:rPr>
          <w:rFonts w:cstheme="minorHAnsi"/>
        </w:rPr>
        <w:t>it</w:t>
      </w:r>
      <w:r w:rsidR="0077018B" w:rsidRPr="00D5792F">
        <w:rPr>
          <w:rFonts w:cstheme="minorHAnsi"/>
        </w:rPr>
        <w:t xml:space="preserve"> still </w:t>
      </w:r>
      <w:r w:rsidRPr="00D5792F">
        <w:rPr>
          <w:rFonts w:cstheme="minorHAnsi"/>
        </w:rPr>
        <w:t>gives</w:t>
      </w:r>
      <w:r w:rsidR="0077018B" w:rsidRPr="00D5792F">
        <w:rPr>
          <w:rFonts w:cstheme="minorHAnsi"/>
        </w:rPr>
        <w:t xml:space="preserve"> the investor some context </w:t>
      </w:r>
      <w:r w:rsidRPr="00D5792F">
        <w:rPr>
          <w:rFonts w:cstheme="minorHAnsi"/>
        </w:rPr>
        <w:t>in</w:t>
      </w:r>
      <w:r w:rsidR="0077018B" w:rsidRPr="00D5792F">
        <w:rPr>
          <w:rFonts w:cstheme="minorHAnsi"/>
        </w:rPr>
        <w:t xml:space="preserve"> </w:t>
      </w:r>
      <w:r w:rsidRPr="00D5792F">
        <w:rPr>
          <w:rFonts w:cstheme="minorHAnsi"/>
        </w:rPr>
        <w:t>evaluating</w:t>
      </w:r>
      <w:r w:rsidR="0077018B" w:rsidRPr="00D5792F">
        <w:rPr>
          <w:rFonts w:cstheme="minorHAnsi"/>
        </w:rPr>
        <w:t xml:space="preserve"> his assumptions</w:t>
      </w:r>
      <w:r w:rsidRPr="00D5792F">
        <w:rPr>
          <w:rFonts w:cstheme="minorHAnsi"/>
        </w:rPr>
        <w:t xml:space="preserve"> </w:t>
      </w:r>
      <w:r w:rsidR="0077018B" w:rsidRPr="00D5792F">
        <w:rPr>
          <w:rFonts w:cstheme="minorHAnsi"/>
        </w:rPr>
        <w:t>(</w:t>
      </w:r>
      <w:r w:rsidR="0077018B" w:rsidRPr="00D5792F">
        <w:rPr>
          <w:rFonts w:cstheme="minorHAnsi"/>
          <w:color w:val="222222"/>
          <w:shd w:val="clear" w:color="auto" w:fill="FFFFFF"/>
        </w:rPr>
        <w:t>Hamid</w:t>
      </w:r>
      <w:r w:rsidR="00A510DD" w:rsidRPr="00D5792F">
        <w:rPr>
          <w:rFonts w:cstheme="minorHAnsi"/>
          <w:color w:val="222222"/>
          <w:shd w:val="clear" w:color="auto" w:fill="FFFFFF"/>
        </w:rPr>
        <w:t xml:space="preserve"> </w:t>
      </w:r>
      <w:r w:rsidR="0077018B" w:rsidRPr="00D5792F">
        <w:rPr>
          <w:rFonts w:cstheme="minorHAnsi"/>
          <w:color w:val="222222"/>
          <w:shd w:val="clear" w:color="auto" w:fill="FFFFFF"/>
        </w:rPr>
        <w:t>et al. 2017)</w:t>
      </w:r>
      <w:r w:rsidR="0077018B" w:rsidRPr="00D5792F">
        <w:rPr>
          <w:rFonts w:cstheme="minorHAnsi"/>
        </w:rPr>
        <w:t xml:space="preserve">. It is apparent that past performance had no or minimal impact on </w:t>
      </w:r>
      <w:r w:rsidR="00EB1AAC" w:rsidRPr="00D5792F">
        <w:rPr>
          <w:rFonts w:cstheme="minorHAnsi"/>
        </w:rPr>
        <w:t xml:space="preserve">the </w:t>
      </w:r>
      <w:r w:rsidR="0077018B" w:rsidRPr="00D5792F">
        <w:rPr>
          <w:rFonts w:cstheme="minorHAnsi"/>
        </w:rPr>
        <w:t>future stock prices</w:t>
      </w:r>
      <w:r w:rsidR="00EB1AAC" w:rsidRPr="00D5792F">
        <w:rPr>
          <w:rFonts w:cstheme="minorHAnsi"/>
        </w:rPr>
        <w:t xml:space="preserve"> of Starbucks corporation </w:t>
      </w:r>
      <w:r w:rsidR="006807DE" w:rsidRPr="00D5792F">
        <w:rPr>
          <w:rFonts w:cstheme="minorHAnsi"/>
        </w:rPr>
        <w:t xml:space="preserve">the </w:t>
      </w:r>
      <w:r w:rsidR="00996D05" w:rsidRPr="00D5792F">
        <w:rPr>
          <w:rFonts w:cstheme="minorHAnsi"/>
        </w:rPr>
        <w:t>stock</w:t>
      </w:r>
      <w:r w:rsidR="006807DE" w:rsidRPr="00D5792F">
        <w:rPr>
          <w:rFonts w:cstheme="minorHAnsi"/>
        </w:rPr>
        <w:t xml:space="preserve"> price relay on many </w:t>
      </w:r>
      <w:r w:rsidR="00996D05" w:rsidRPr="00D5792F">
        <w:rPr>
          <w:rFonts w:cstheme="minorHAnsi"/>
        </w:rPr>
        <w:t>future</w:t>
      </w:r>
      <w:r w:rsidR="00F07B31" w:rsidRPr="00D5792F">
        <w:rPr>
          <w:rFonts w:cstheme="minorHAnsi"/>
        </w:rPr>
        <w:t xml:space="preserve"> </w:t>
      </w:r>
      <w:r w:rsidR="007A1D1C" w:rsidRPr="00D5792F">
        <w:rPr>
          <w:rFonts w:cstheme="minorHAnsi"/>
        </w:rPr>
        <w:t>economies</w:t>
      </w:r>
      <w:r w:rsidR="00F07B31" w:rsidRPr="00D5792F">
        <w:rPr>
          <w:rFonts w:cstheme="minorHAnsi"/>
        </w:rPr>
        <w:t xml:space="preserve"> </w:t>
      </w:r>
      <w:r w:rsidR="001E4061" w:rsidRPr="00D5792F">
        <w:rPr>
          <w:rFonts w:cstheme="minorHAnsi"/>
        </w:rPr>
        <w:t xml:space="preserve">and inside organisational factors </w:t>
      </w:r>
      <w:r w:rsidR="00EB1AAC" w:rsidRPr="00D5792F">
        <w:rPr>
          <w:rFonts w:cstheme="minorHAnsi"/>
        </w:rPr>
        <w:t>(Forbes, 2022)</w:t>
      </w:r>
      <w:r w:rsidR="0077018B" w:rsidRPr="00D5792F">
        <w:rPr>
          <w:rFonts w:cstheme="minorHAnsi"/>
        </w:rPr>
        <w:t xml:space="preserve">. According to that, it is difficult for an investor to continually beat the market and generate considerable returns by researching previous share price movements and forecasting future share prices. </w:t>
      </w:r>
    </w:p>
    <w:p w14:paraId="21E9D37D" w14:textId="6D209E6B" w:rsidR="0077018B" w:rsidRPr="00D5792F" w:rsidRDefault="0077018B" w:rsidP="00A71FA1">
      <w:pPr>
        <w:pStyle w:val="Heading3"/>
        <w:spacing w:line="360" w:lineRule="auto"/>
      </w:pPr>
      <w:bookmarkStart w:id="5" w:name="_Toc122273614"/>
      <w:r w:rsidRPr="00D5792F">
        <w:t>Semi-strong</w:t>
      </w:r>
      <w:r w:rsidR="00A07D3D" w:rsidRPr="00D5792F">
        <w:t xml:space="preserve"> form</w:t>
      </w:r>
      <w:bookmarkEnd w:id="5"/>
    </w:p>
    <w:p w14:paraId="22633762" w14:textId="0CFC2A49" w:rsidR="0077018B" w:rsidRPr="00D5792F" w:rsidRDefault="0077018B" w:rsidP="00A71FA1">
      <w:pPr>
        <w:spacing w:line="360" w:lineRule="auto"/>
        <w:rPr>
          <w:rFonts w:cstheme="minorHAnsi"/>
        </w:rPr>
      </w:pPr>
      <w:r w:rsidRPr="00D5792F">
        <w:rPr>
          <w:rFonts w:cstheme="minorHAnsi"/>
        </w:rPr>
        <w:t>Semi-strong efficient hypothesis (</w:t>
      </w:r>
      <w:r w:rsidRPr="00D5792F">
        <w:rPr>
          <w:rFonts w:cstheme="minorHAnsi"/>
          <w:color w:val="222222"/>
          <w:shd w:val="clear" w:color="auto" w:fill="FFFFFF"/>
        </w:rPr>
        <w:t xml:space="preserve">Fama,1970) </w:t>
      </w:r>
      <w:r w:rsidRPr="00D5792F">
        <w:rPr>
          <w:rFonts w:cstheme="minorHAnsi"/>
        </w:rPr>
        <w:t xml:space="preserve">uses all past information, and present announcements as published reports, </w:t>
      </w:r>
      <w:r w:rsidR="00A422EF" w:rsidRPr="00D5792F">
        <w:rPr>
          <w:rFonts w:cstheme="minorHAnsi"/>
        </w:rPr>
        <w:t xml:space="preserve">balance sheets, </w:t>
      </w:r>
      <w:r w:rsidRPr="00D5792F">
        <w:rPr>
          <w:rFonts w:cstheme="minorHAnsi"/>
        </w:rPr>
        <w:t>industry deviations even competitors’ approaches</w:t>
      </w:r>
      <w:r w:rsidR="00F927C0" w:rsidRPr="00D5792F">
        <w:rPr>
          <w:rFonts w:cstheme="minorHAnsi"/>
        </w:rPr>
        <w:t>,</w:t>
      </w:r>
      <w:r w:rsidRPr="00D5792F">
        <w:rPr>
          <w:rFonts w:cstheme="minorHAnsi"/>
        </w:rPr>
        <w:t xml:space="preserve"> etc.</w:t>
      </w:r>
      <w:r w:rsidR="00A422EF" w:rsidRPr="00D5792F">
        <w:rPr>
          <w:rFonts w:cstheme="minorHAnsi"/>
        </w:rPr>
        <w:t xml:space="preserve"> </w:t>
      </w:r>
      <w:r w:rsidRPr="00D5792F">
        <w:rPr>
          <w:rFonts w:cstheme="minorHAnsi"/>
        </w:rPr>
        <w:t xml:space="preserve">and is considered to be more precisely reflected in current share prices because of </w:t>
      </w:r>
      <w:r w:rsidR="00547B00" w:rsidRPr="00D5792F">
        <w:rPr>
          <w:rFonts w:cstheme="minorHAnsi"/>
        </w:rPr>
        <w:t>its</w:t>
      </w:r>
      <w:r w:rsidRPr="00D5792F">
        <w:rPr>
          <w:rFonts w:cstheme="minorHAnsi"/>
        </w:rPr>
        <w:t xml:space="preserve"> consistency. </w:t>
      </w:r>
      <w:r w:rsidR="00425F57" w:rsidRPr="00D5792F">
        <w:rPr>
          <w:rFonts w:cstheme="minorHAnsi"/>
        </w:rPr>
        <w:t xml:space="preserve">For example, when the financial Report of Starbucks company is </w:t>
      </w:r>
      <w:r w:rsidR="0078748E" w:rsidRPr="00D5792F">
        <w:rPr>
          <w:rFonts w:cstheme="minorHAnsi"/>
        </w:rPr>
        <w:t>released,</w:t>
      </w:r>
      <w:r w:rsidR="00425F57" w:rsidRPr="00D5792F">
        <w:rPr>
          <w:rFonts w:cstheme="minorHAnsi"/>
        </w:rPr>
        <w:t xml:space="preserve"> </w:t>
      </w:r>
      <w:r w:rsidR="0056545B" w:rsidRPr="00D5792F">
        <w:rPr>
          <w:rFonts w:cstheme="minorHAnsi"/>
        </w:rPr>
        <w:t>i</w:t>
      </w:r>
      <w:r w:rsidR="00425F57" w:rsidRPr="00D5792F">
        <w:rPr>
          <w:rFonts w:cstheme="minorHAnsi"/>
        </w:rPr>
        <w:t xml:space="preserve">t can </w:t>
      </w:r>
      <w:r w:rsidR="0056545B" w:rsidRPr="00D5792F">
        <w:rPr>
          <w:rFonts w:cstheme="minorHAnsi"/>
        </w:rPr>
        <w:t>see</w:t>
      </w:r>
      <w:r w:rsidR="00425F57" w:rsidRPr="00D5792F">
        <w:rPr>
          <w:rFonts w:cstheme="minorHAnsi"/>
        </w:rPr>
        <w:t xml:space="preserve"> prices rapidly adjusting as the market </w:t>
      </w:r>
      <w:r w:rsidR="0078748E" w:rsidRPr="00D5792F">
        <w:rPr>
          <w:rFonts w:cstheme="minorHAnsi"/>
        </w:rPr>
        <w:t>absorb</w:t>
      </w:r>
      <w:r w:rsidR="00425F57" w:rsidRPr="00D5792F">
        <w:rPr>
          <w:rFonts w:cstheme="minorHAnsi"/>
        </w:rPr>
        <w:t xml:space="preserve"> </w:t>
      </w:r>
      <w:r w:rsidR="0078748E" w:rsidRPr="00D5792F">
        <w:rPr>
          <w:rFonts w:cstheme="minorHAnsi"/>
        </w:rPr>
        <w:t>new information</w:t>
      </w:r>
      <w:r w:rsidR="00425F57" w:rsidRPr="00D5792F">
        <w:rPr>
          <w:rFonts w:cstheme="minorHAnsi"/>
        </w:rPr>
        <w:t>.</w:t>
      </w:r>
      <w:r w:rsidR="00FB524D" w:rsidRPr="00D5792F">
        <w:rPr>
          <w:rFonts w:cstheme="minorHAnsi"/>
        </w:rPr>
        <w:t xml:space="preserve"> </w:t>
      </w:r>
      <w:r w:rsidR="00A07D3D" w:rsidRPr="00D5792F">
        <w:rPr>
          <w:rFonts w:cstheme="minorHAnsi"/>
        </w:rPr>
        <w:t xml:space="preserve">Since the </w:t>
      </w:r>
      <w:r w:rsidR="0078748E" w:rsidRPr="00D5792F">
        <w:rPr>
          <w:rFonts w:cstheme="minorHAnsi"/>
        </w:rPr>
        <w:t>data</w:t>
      </w:r>
      <w:r w:rsidR="00A07D3D" w:rsidRPr="00D5792F">
        <w:rPr>
          <w:rFonts w:cstheme="minorHAnsi"/>
        </w:rPr>
        <w:t xml:space="preserve"> becomes widely available therefore knowledge of such information cannot be exploited fully to generate remarkable gains, </w:t>
      </w:r>
      <w:r w:rsidR="006A6E57" w:rsidRPr="00D5792F">
        <w:rPr>
          <w:rFonts w:cstheme="minorHAnsi"/>
        </w:rPr>
        <w:t xml:space="preserve">even the </w:t>
      </w:r>
      <w:r w:rsidR="00A07D3D" w:rsidRPr="00D5792F">
        <w:rPr>
          <w:rFonts w:cstheme="minorHAnsi"/>
        </w:rPr>
        <w:lastRenderedPageBreak/>
        <w:t>reaction time to new information is minimal (</w:t>
      </w:r>
      <w:r w:rsidR="00A07D3D" w:rsidRPr="00D5792F">
        <w:rPr>
          <w:rFonts w:cstheme="minorHAnsi"/>
          <w:color w:val="222222"/>
          <w:shd w:val="clear" w:color="auto" w:fill="FFFFFF"/>
        </w:rPr>
        <w:t>Mackey and Bacon, 2017)</w:t>
      </w:r>
      <w:r w:rsidR="00A07D3D" w:rsidRPr="00D5792F">
        <w:rPr>
          <w:rFonts w:cstheme="minorHAnsi"/>
        </w:rPr>
        <w:t xml:space="preserve">. </w:t>
      </w:r>
      <w:r w:rsidR="006A6E57" w:rsidRPr="00D5792F">
        <w:rPr>
          <w:rFonts w:cstheme="minorHAnsi"/>
        </w:rPr>
        <w:t>Although</w:t>
      </w:r>
      <w:r w:rsidR="00A07D3D" w:rsidRPr="00D5792F">
        <w:rPr>
          <w:rFonts w:cstheme="minorHAnsi"/>
        </w:rPr>
        <w:t xml:space="preserve"> </w:t>
      </w:r>
      <w:r w:rsidRPr="00D5792F">
        <w:rPr>
          <w:rFonts w:cstheme="minorHAnsi"/>
        </w:rPr>
        <w:t xml:space="preserve">portfolio managers could perceive </w:t>
      </w:r>
      <w:r w:rsidR="003B32B6" w:rsidRPr="00D5792F">
        <w:rPr>
          <w:rFonts w:cstheme="minorHAnsi"/>
        </w:rPr>
        <w:t xml:space="preserve">some </w:t>
      </w:r>
      <w:r w:rsidRPr="00D5792F">
        <w:rPr>
          <w:rFonts w:cstheme="minorHAnsi"/>
        </w:rPr>
        <w:t xml:space="preserve">future information </w:t>
      </w:r>
      <w:r w:rsidR="0039627A" w:rsidRPr="00D5792F">
        <w:rPr>
          <w:rFonts w:cstheme="minorHAnsi"/>
        </w:rPr>
        <w:t xml:space="preserve">using </w:t>
      </w:r>
      <w:r w:rsidR="007E2579" w:rsidRPr="00D5792F">
        <w:rPr>
          <w:rFonts w:cstheme="minorHAnsi"/>
        </w:rPr>
        <w:t xml:space="preserve">fundamental analysis </w:t>
      </w:r>
      <w:r w:rsidRPr="00D5792F">
        <w:rPr>
          <w:rFonts w:cstheme="minorHAnsi"/>
        </w:rPr>
        <w:t>to generate higher returns</w:t>
      </w:r>
      <w:r w:rsidR="00A07D3D" w:rsidRPr="00D5792F">
        <w:rPr>
          <w:rFonts w:cstheme="minorHAnsi"/>
        </w:rPr>
        <w:t xml:space="preserve">, </w:t>
      </w:r>
      <w:r w:rsidRPr="00D5792F">
        <w:rPr>
          <w:rFonts w:cstheme="minorHAnsi"/>
        </w:rPr>
        <w:t xml:space="preserve">the evidence that most actively managed funds fail to beat the market </w:t>
      </w:r>
      <w:r w:rsidR="005C3B9A" w:rsidRPr="00D5792F">
        <w:rPr>
          <w:rFonts w:cstheme="minorHAnsi"/>
        </w:rPr>
        <w:t>on the bottom</w:t>
      </w:r>
      <w:r w:rsidRPr="00D5792F">
        <w:rPr>
          <w:rFonts w:cstheme="minorHAnsi"/>
        </w:rPr>
        <w:t xml:space="preserve"> </w:t>
      </w:r>
      <w:r w:rsidR="000F296B" w:rsidRPr="00D5792F">
        <w:rPr>
          <w:rFonts w:cstheme="minorHAnsi"/>
        </w:rPr>
        <w:t>alarm</w:t>
      </w:r>
      <w:r w:rsidRPr="00D5792F">
        <w:rPr>
          <w:rFonts w:cstheme="minorHAnsi"/>
        </w:rPr>
        <w:t xml:space="preserve"> that this is not the cas</w:t>
      </w:r>
      <w:r w:rsidR="00840AF0" w:rsidRPr="00D5792F">
        <w:rPr>
          <w:rFonts w:cstheme="minorHAnsi"/>
        </w:rPr>
        <w:t>e (</w:t>
      </w:r>
      <w:proofErr w:type="spellStart"/>
      <w:r w:rsidR="00840AF0" w:rsidRPr="00D5792F">
        <w:rPr>
          <w:rFonts w:cstheme="minorHAnsi"/>
          <w:color w:val="222222"/>
          <w:shd w:val="clear" w:color="auto" w:fill="FFFFFF"/>
        </w:rPr>
        <w:t>Rozen</w:t>
      </w:r>
      <w:proofErr w:type="spellEnd"/>
      <w:r w:rsidR="00840AF0" w:rsidRPr="00D5792F">
        <w:rPr>
          <w:rFonts w:cstheme="minorHAnsi"/>
          <w:color w:val="222222"/>
          <w:shd w:val="clear" w:color="auto" w:fill="FFFFFF"/>
        </w:rPr>
        <w:t xml:space="preserve"> and Hertz, 2019)</w:t>
      </w:r>
      <w:r w:rsidR="00840AF0" w:rsidRPr="00D5792F">
        <w:rPr>
          <w:rFonts w:cstheme="minorHAnsi"/>
        </w:rPr>
        <w:t xml:space="preserve">. </w:t>
      </w:r>
      <w:r w:rsidRPr="00D5792F">
        <w:rPr>
          <w:rFonts w:cstheme="minorHAnsi"/>
        </w:rPr>
        <w:t xml:space="preserve">Again, it is not important exactly how these facts or expectations are </w:t>
      </w:r>
      <w:r w:rsidR="00B511BB" w:rsidRPr="00D5792F">
        <w:rPr>
          <w:rFonts w:cstheme="minorHAnsi"/>
        </w:rPr>
        <w:t>reflected</w:t>
      </w:r>
      <w:r w:rsidRPr="00D5792F">
        <w:rPr>
          <w:rFonts w:cstheme="minorHAnsi"/>
        </w:rPr>
        <w:t xml:space="preserve"> </w:t>
      </w:r>
      <w:r w:rsidR="00B511BB" w:rsidRPr="00D5792F">
        <w:rPr>
          <w:rFonts w:cstheme="minorHAnsi"/>
        </w:rPr>
        <w:t>in</w:t>
      </w:r>
      <w:r w:rsidRPr="00D5792F">
        <w:rPr>
          <w:rFonts w:cstheme="minorHAnsi"/>
        </w:rPr>
        <w:t xml:space="preserve"> the price. The point is that the market is less than perfect there </w:t>
      </w:r>
      <w:r w:rsidR="00B8376F" w:rsidRPr="00D5792F">
        <w:rPr>
          <w:rFonts w:cstheme="minorHAnsi"/>
        </w:rPr>
        <w:t>are</w:t>
      </w:r>
      <w:r w:rsidRPr="00D5792F">
        <w:rPr>
          <w:rFonts w:cstheme="minorHAnsi"/>
        </w:rPr>
        <w:t xml:space="preserve"> a lot of changing circumstances affecting long</w:t>
      </w:r>
      <w:r w:rsidR="00B8376F" w:rsidRPr="00D5792F">
        <w:rPr>
          <w:rFonts w:cstheme="minorHAnsi"/>
        </w:rPr>
        <w:t>,</w:t>
      </w:r>
      <w:r w:rsidRPr="00D5792F">
        <w:rPr>
          <w:rFonts w:cstheme="minorHAnsi"/>
        </w:rPr>
        <w:t xml:space="preserve"> but also short-term </w:t>
      </w:r>
      <w:r w:rsidR="00B8376F" w:rsidRPr="00D5792F">
        <w:rPr>
          <w:rFonts w:cstheme="minorHAnsi"/>
        </w:rPr>
        <w:t>ways</w:t>
      </w:r>
      <w:r w:rsidRPr="00D5792F">
        <w:rPr>
          <w:rFonts w:cstheme="minorHAnsi"/>
        </w:rPr>
        <w:t xml:space="preserve"> to profit from form</w:t>
      </w:r>
      <w:r w:rsidR="00B8376F" w:rsidRPr="00D5792F">
        <w:rPr>
          <w:rFonts w:cstheme="minorHAnsi"/>
        </w:rPr>
        <w:t>ing</w:t>
      </w:r>
      <w:r w:rsidRPr="00D5792F">
        <w:rPr>
          <w:rFonts w:cstheme="minorHAnsi"/>
        </w:rPr>
        <w:t xml:space="preserve"> expectations and future unknown facts. </w:t>
      </w:r>
    </w:p>
    <w:p w14:paraId="53505D54" w14:textId="100FBDB8" w:rsidR="0077018B" w:rsidRPr="00D5792F" w:rsidRDefault="0077018B" w:rsidP="00A71FA1">
      <w:pPr>
        <w:pStyle w:val="Heading3"/>
        <w:spacing w:line="360" w:lineRule="auto"/>
      </w:pPr>
      <w:bookmarkStart w:id="6" w:name="_Toc122273615"/>
      <w:r w:rsidRPr="00D5792F">
        <w:t>Strong</w:t>
      </w:r>
      <w:r w:rsidR="00A07D3D" w:rsidRPr="00D5792F">
        <w:t xml:space="preserve"> form</w:t>
      </w:r>
      <w:bookmarkEnd w:id="6"/>
    </w:p>
    <w:p w14:paraId="4D19383B" w14:textId="57EB6AB5" w:rsidR="0077018B" w:rsidRPr="00D5792F" w:rsidRDefault="0077018B" w:rsidP="00A71FA1">
      <w:pPr>
        <w:spacing w:line="360" w:lineRule="auto"/>
        <w:rPr>
          <w:rFonts w:cstheme="minorHAnsi"/>
        </w:rPr>
      </w:pPr>
      <w:r w:rsidRPr="00D5792F">
        <w:rPr>
          <w:rFonts w:cstheme="minorHAnsi"/>
        </w:rPr>
        <w:t xml:space="preserve">The capital market is seen as strong-form efficient when securities prices represent all types of past and present information, including </w:t>
      </w:r>
      <w:r w:rsidR="006E1949" w:rsidRPr="00D5792F">
        <w:rPr>
          <w:rFonts w:cstheme="minorHAnsi"/>
        </w:rPr>
        <w:t>publicly and privately available information</w:t>
      </w:r>
      <w:r w:rsidRPr="00D5792F">
        <w:rPr>
          <w:rFonts w:cstheme="minorHAnsi"/>
        </w:rPr>
        <w:t xml:space="preserve"> (</w:t>
      </w:r>
      <w:r w:rsidRPr="00D5792F">
        <w:rPr>
          <w:rFonts w:cstheme="minorHAnsi"/>
          <w:color w:val="222222"/>
          <w:shd w:val="clear" w:color="auto" w:fill="FFFFFF"/>
        </w:rPr>
        <w:t>Fama,1970)</w:t>
      </w:r>
      <w:r w:rsidR="00EF7016" w:rsidRPr="00D5792F">
        <w:rPr>
          <w:rFonts w:cstheme="minorHAnsi"/>
        </w:rPr>
        <w:t xml:space="preserve"> </w:t>
      </w:r>
      <w:r w:rsidR="00EF7016" w:rsidRPr="00D5792F">
        <w:rPr>
          <w:rFonts w:cstheme="minorHAnsi"/>
          <w:color w:val="222222"/>
          <w:shd w:val="clear" w:color="auto" w:fill="FFFFFF"/>
        </w:rPr>
        <w:t>such as confidential information that a company's CEO is only aware of</w:t>
      </w:r>
      <w:r w:rsidRPr="00D5792F">
        <w:rPr>
          <w:rFonts w:cstheme="minorHAnsi"/>
        </w:rPr>
        <w:t xml:space="preserve">. </w:t>
      </w:r>
      <w:r w:rsidR="006E1949" w:rsidRPr="00D5792F">
        <w:rPr>
          <w:rFonts w:cstheme="minorHAnsi"/>
        </w:rPr>
        <w:t>Before,</w:t>
      </w:r>
      <w:r w:rsidR="00D3125A" w:rsidRPr="00D5792F">
        <w:rPr>
          <w:rFonts w:cstheme="minorHAnsi"/>
        </w:rPr>
        <w:t xml:space="preserve"> assuming that investors in the financial sector have access to all information in such market </w:t>
      </w:r>
      <w:r w:rsidRPr="00D5792F">
        <w:rPr>
          <w:rFonts w:cstheme="minorHAnsi"/>
        </w:rPr>
        <w:t>stocks that were projected to increase would have done so immediately since many investors would have desired to purchase them. Especially for fast-growing corporations such as Starbucks where the appetite for shares is steadily growing (</w:t>
      </w:r>
      <w:r w:rsidRPr="00D5792F">
        <w:rPr>
          <w:rFonts w:cstheme="minorHAnsi"/>
          <w:color w:val="222222"/>
          <w:shd w:val="clear" w:color="auto" w:fill="FFFFFF"/>
        </w:rPr>
        <w:t>Liu, 2022</w:t>
      </w:r>
      <w:r w:rsidRPr="00D5792F">
        <w:rPr>
          <w:rFonts w:cstheme="minorHAnsi"/>
        </w:rPr>
        <w:t xml:space="preserve">). </w:t>
      </w:r>
      <w:r w:rsidR="00D3125A" w:rsidRPr="00D5792F">
        <w:rPr>
          <w:rFonts w:cstheme="minorHAnsi"/>
        </w:rPr>
        <w:t xml:space="preserve">As a result, there may be potential for excessive gains when certain assets are overvalued or undervalued in the market. Besides the fact that markets forbid insider trading (FCA, 2022), the strong hypothesis can be disproved. Therefore, no investor </w:t>
      </w:r>
      <w:r w:rsidR="00750810" w:rsidRPr="00D5792F">
        <w:rPr>
          <w:rFonts w:cstheme="minorHAnsi"/>
        </w:rPr>
        <w:t>can</w:t>
      </w:r>
      <w:r w:rsidR="00D3125A" w:rsidRPr="00D5792F">
        <w:rPr>
          <w:rFonts w:cstheme="minorHAnsi"/>
        </w:rPr>
        <w:t xml:space="preserve"> gain any advantage even if insider information is widely available to them. </w:t>
      </w:r>
    </w:p>
    <w:p w14:paraId="5B8F0BAB" w14:textId="5524B59E" w:rsidR="0077018B" w:rsidRPr="00D5792F" w:rsidRDefault="0077018B" w:rsidP="00A71FA1">
      <w:pPr>
        <w:pStyle w:val="Heading3"/>
        <w:spacing w:line="360" w:lineRule="auto"/>
      </w:pPr>
      <w:bookmarkStart w:id="7" w:name="_Toc122273616"/>
      <w:r w:rsidRPr="00D5792F">
        <w:t>Active vs passive</w:t>
      </w:r>
      <w:r w:rsidR="00CE4E12" w:rsidRPr="00D5792F">
        <w:t xml:space="preserve"> approach</w:t>
      </w:r>
      <w:bookmarkEnd w:id="7"/>
    </w:p>
    <w:p w14:paraId="19BF8FF7" w14:textId="2AAE11D5" w:rsidR="0077018B" w:rsidRPr="00D5792F" w:rsidRDefault="0077018B" w:rsidP="00A71FA1">
      <w:pPr>
        <w:spacing w:line="360" w:lineRule="auto"/>
        <w:rPr>
          <w:rFonts w:cstheme="minorHAnsi"/>
        </w:rPr>
      </w:pPr>
      <w:r w:rsidRPr="00D5792F">
        <w:rPr>
          <w:rFonts w:cstheme="minorHAnsi"/>
        </w:rPr>
        <w:t>The investment approach still heavily influenced the accuracy of the market price as the company's underlying value (</w:t>
      </w:r>
      <w:proofErr w:type="spellStart"/>
      <w:r w:rsidRPr="00D5792F">
        <w:rPr>
          <w:rFonts w:cstheme="minorHAnsi"/>
          <w:color w:val="222222"/>
          <w:shd w:val="clear" w:color="auto" w:fill="FFFFFF"/>
        </w:rPr>
        <w:t>Anadu</w:t>
      </w:r>
      <w:proofErr w:type="spellEnd"/>
      <w:r w:rsidRPr="00D5792F">
        <w:rPr>
          <w:rFonts w:cstheme="minorHAnsi"/>
          <w:color w:val="222222"/>
          <w:shd w:val="clear" w:color="auto" w:fill="FFFFFF"/>
        </w:rPr>
        <w:t xml:space="preserve"> et al. 2020)</w:t>
      </w:r>
      <w:r w:rsidRPr="00D5792F">
        <w:rPr>
          <w:rFonts w:cstheme="minorHAnsi"/>
        </w:rPr>
        <w:t xml:space="preserve">. If we assume that the market is efficient, then there is no need to make a </w:t>
      </w:r>
      <w:r w:rsidR="00035611" w:rsidRPr="00D5792F">
        <w:rPr>
          <w:rFonts w:cstheme="minorHAnsi"/>
        </w:rPr>
        <w:t>deep</w:t>
      </w:r>
      <w:r w:rsidRPr="00D5792F">
        <w:rPr>
          <w:rFonts w:cstheme="minorHAnsi"/>
        </w:rPr>
        <w:t xml:space="preserve"> assessment of the objective value of the company. Adherence to passive valuation through market multiples is quite sufficient to detect temporary deviations. Formerly because prices frequently represent the data that is already accessible, markets are </w:t>
      </w:r>
      <w:r w:rsidR="008F68C4" w:rsidRPr="00D5792F">
        <w:rPr>
          <w:rFonts w:cstheme="minorHAnsi"/>
        </w:rPr>
        <w:t>partly</w:t>
      </w:r>
      <w:r w:rsidRPr="00D5792F">
        <w:rPr>
          <w:rFonts w:cstheme="minorHAnsi"/>
        </w:rPr>
        <w:t xml:space="preserve"> efficient and active management rarely results in a profit. But basically, the market is </w:t>
      </w:r>
      <w:r w:rsidR="00255B43" w:rsidRPr="00D5792F">
        <w:rPr>
          <w:rFonts w:cstheme="minorHAnsi"/>
        </w:rPr>
        <w:t xml:space="preserve">still </w:t>
      </w:r>
      <w:r w:rsidRPr="00D5792F">
        <w:rPr>
          <w:rFonts w:cstheme="minorHAnsi"/>
        </w:rPr>
        <w:t>inefficient enough, to be able to motivate modest active management that seizes opportunities for profit. Considerable differences in competition, financing costs, market dynamics, and the application of human creative skills are just a few of the causes of market inefficiencies (</w:t>
      </w:r>
      <w:r w:rsidRPr="00D5792F">
        <w:rPr>
          <w:rFonts w:cstheme="minorHAnsi"/>
          <w:color w:val="222222"/>
          <w:shd w:val="clear" w:color="auto" w:fill="FFFFFF"/>
        </w:rPr>
        <w:t>Liu, 2022)</w:t>
      </w:r>
      <w:r w:rsidRPr="00D5792F">
        <w:rPr>
          <w:rFonts w:cstheme="minorHAnsi"/>
        </w:rPr>
        <w:t xml:space="preserve">. </w:t>
      </w:r>
      <w:r w:rsidR="00990749" w:rsidRPr="00D5792F">
        <w:rPr>
          <w:rFonts w:cstheme="minorHAnsi"/>
        </w:rPr>
        <w:t>It means that p</w:t>
      </w:r>
      <w:r w:rsidRPr="00D5792F">
        <w:rPr>
          <w:rFonts w:cstheme="minorHAnsi"/>
        </w:rPr>
        <w:t>rices are based on all available data. Expected information is already represented in the price and only unexpected information causes prices to change.</w:t>
      </w:r>
    </w:p>
    <w:p w14:paraId="789CE6B7" w14:textId="2017BBD4" w:rsidR="0077018B" w:rsidRPr="00D5792F" w:rsidRDefault="00646AF9" w:rsidP="00A71FA1">
      <w:pPr>
        <w:pStyle w:val="Heading2"/>
        <w:spacing w:line="360" w:lineRule="auto"/>
      </w:pPr>
      <w:bookmarkStart w:id="8" w:name="_Toc122273617"/>
      <w:r w:rsidRPr="00D5792F">
        <w:t>Investment appraisal techniques</w:t>
      </w:r>
      <w:bookmarkEnd w:id="8"/>
    </w:p>
    <w:p w14:paraId="364BF0CC" w14:textId="4238D4B6" w:rsidR="0077018B" w:rsidRPr="00D5792F" w:rsidRDefault="0077018B" w:rsidP="00A71FA1">
      <w:pPr>
        <w:spacing w:line="360" w:lineRule="auto"/>
        <w:rPr>
          <w:rFonts w:cstheme="minorHAnsi"/>
        </w:rPr>
      </w:pPr>
      <w:r w:rsidRPr="00D5792F">
        <w:rPr>
          <w:rFonts w:cstheme="minorHAnsi"/>
        </w:rPr>
        <w:t xml:space="preserve">Starbucks engages in several investment opportunities as a developing business market. They </w:t>
      </w:r>
      <w:r w:rsidR="00A17F3E" w:rsidRPr="00D5792F">
        <w:rPr>
          <w:rFonts w:cstheme="minorHAnsi"/>
        </w:rPr>
        <w:t>oversee</w:t>
      </w:r>
      <w:r w:rsidRPr="00D5792F">
        <w:rPr>
          <w:rFonts w:cstheme="minorHAnsi"/>
        </w:rPr>
        <w:t xml:space="preserve"> many projects referring to their resource asset, </w:t>
      </w:r>
      <w:r w:rsidR="00420B50" w:rsidRPr="00D5792F">
        <w:rPr>
          <w:rFonts w:cstheme="minorHAnsi"/>
        </w:rPr>
        <w:t xml:space="preserve">the </w:t>
      </w:r>
      <w:r w:rsidRPr="00D5792F">
        <w:rPr>
          <w:rFonts w:cstheme="minorHAnsi"/>
        </w:rPr>
        <w:t xml:space="preserve">environment and </w:t>
      </w:r>
      <w:r w:rsidR="00E04495" w:rsidRPr="00D5792F">
        <w:rPr>
          <w:rFonts w:cstheme="minorHAnsi"/>
        </w:rPr>
        <w:t>adding</w:t>
      </w:r>
      <w:r w:rsidRPr="00D5792F">
        <w:rPr>
          <w:rFonts w:cstheme="minorHAnsi"/>
        </w:rPr>
        <w:t xml:space="preserve"> value for </w:t>
      </w:r>
      <w:r w:rsidRPr="00D5792F">
        <w:rPr>
          <w:rFonts w:cstheme="minorHAnsi"/>
        </w:rPr>
        <w:lastRenderedPageBreak/>
        <w:t xml:space="preserve">people (Starbucks corporation, 2022). Many of these activities involve </w:t>
      </w:r>
      <w:r w:rsidR="00A15600" w:rsidRPr="00D5792F">
        <w:rPr>
          <w:rFonts w:cstheme="minorHAnsi"/>
        </w:rPr>
        <w:t>simultaneously</w:t>
      </w:r>
      <w:r w:rsidRPr="00D5792F">
        <w:rPr>
          <w:rFonts w:cstheme="minorHAnsi"/>
        </w:rPr>
        <w:t xml:space="preserve"> become difficult to be evaluated independently</w:t>
      </w:r>
      <w:r w:rsidR="00420B50" w:rsidRPr="00D5792F">
        <w:rPr>
          <w:rFonts w:cstheme="minorHAnsi"/>
        </w:rPr>
        <w:t>.</w:t>
      </w:r>
      <w:r w:rsidRPr="00D5792F">
        <w:rPr>
          <w:rFonts w:cstheme="minorHAnsi"/>
        </w:rPr>
        <w:t xml:space="preserve"> </w:t>
      </w:r>
      <w:r w:rsidR="00420B50" w:rsidRPr="00D5792F">
        <w:rPr>
          <w:rFonts w:cstheme="minorHAnsi"/>
        </w:rPr>
        <w:t>B</w:t>
      </w:r>
      <w:r w:rsidRPr="00D5792F">
        <w:rPr>
          <w:rFonts w:cstheme="minorHAnsi"/>
        </w:rPr>
        <w:t xml:space="preserve">ut </w:t>
      </w:r>
      <w:r w:rsidR="00E574DF" w:rsidRPr="00D5792F">
        <w:rPr>
          <w:rFonts w:cstheme="minorHAnsi"/>
        </w:rPr>
        <w:t>once the</w:t>
      </w:r>
      <w:r w:rsidRPr="00D5792F">
        <w:rPr>
          <w:rFonts w:cstheme="minorHAnsi"/>
        </w:rPr>
        <w:t xml:space="preserve"> possibilities have arisen management team is involved in determining whether the project is worthwhile over time (</w:t>
      </w:r>
      <w:r w:rsidRPr="00D5792F">
        <w:rPr>
          <w:rFonts w:cstheme="minorHAnsi"/>
          <w:color w:val="333333"/>
          <w:shd w:val="clear" w:color="auto" w:fill="FFFFFF"/>
        </w:rPr>
        <w:t>Bekaert, 2013)</w:t>
      </w:r>
      <w:r w:rsidRPr="00D5792F">
        <w:rPr>
          <w:rFonts w:cstheme="minorHAnsi"/>
        </w:rPr>
        <w:t xml:space="preserve">. </w:t>
      </w:r>
      <w:r w:rsidR="0028205A" w:rsidRPr="00D5792F">
        <w:rPr>
          <w:rFonts w:cstheme="minorHAnsi"/>
        </w:rPr>
        <w:t>Prior to this,</w:t>
      </w:r>
      <w:r w:rsidRPr="00D5792F">
        <w:rPr>
          <w:rFonts w:cstheme="minorHAnsi"/>
        </w:rPr>
        <w:t xml:space="preserve"> when assessing potential investments in the corporate world, there are four popular project appraisal methods: Net Present Value (NPV), Internal Rate of Return (IRR), and Payback Period (PP)</w:t>
      </w:r>
      <w:r w:rsidR="000A0DAA">
        <w:rPr>
          <w:rFonts w:cstheme="minorHAnsi"/>
        </w:rPr>
        <w:t xml:space="preserve"> and</w:t>
      </w:r>
      <w:r w:rsidRPr="00D5792F">
        <w:rPr>
          <w:rFonts w:cstheme="minorHAnsi"/>
        </w:rPr>
        <w:t xml:space="preserve"> </w:t>
      </w:r>
      <w:r w:rsidR="000A0DAA" w:rsidRPr="00D5792F">
        <w:rPr>
          <w:rFonts w:cstheme="minorHAnsi"/>
        </w:rPr>
        <w:t xml:space="preserve">Profitability Index (PI) </w:t>
      </w:r>
      <w:r w:rsidRPr="00D5792F">
        <w:rPr>
          <w:rFonts w:cstheme="minorHAnsi"/>
        </w:rPr>
        <w:t>among the most frequently used (</w:t>
      </w:r>
      <w:proofErr w:type="spellStart"/>
      <w:r w:rsidRPr="00D5792F">
        <w:rPr>
          <w:rFonts w:cstheme="minorHAnsi"/>
          <w:color w:val="222222"/>
          <w:shd w:val="clear" w:color="auto" w:fill="FFFFFF"/>
        </w:rPr>
        <w:t>Markovics</w:t>
      </w:r>
      <w:proofErr w:type="spellEnd"/>
      <w:r w:rsidRPr="00D5792F">
        <w:rPr>
          <w:rFonts w:cstheme="minorHAnsi"/>
          <w:color w:val="222222"/>
          <w:shd w:val="clear" w:color="auto" w:fill="FFFFFF"/>
        </w:rPr>
        <w:t>, 2016).</w:t>
      </w:r>
    </w:p>
    <w:p w14:paraId="1A618553" w14:textId="40E24F7C" w:rsidR="0077018B" w:rsidRPr="00D5792F" w:rsidRDefault="0077018B" w:rsidP="00A71FA1">
      <w:pPr>
        <w:spacing w:line="360" w:lineRule="auto"/>
        <w:rPr>
          <w:rFonts w:cstheme="minorHAnsi"/>
        </w:rPr>
      </w:pPr>
      <w:r w:rsidRPr="00D5792F">
        <w:rPr>
          <w:rFonts w:cstheme="minorHAnsi"/>
        </w:rPr>
        <w:t xml:space="preserve">Whether Starbucks’ future investors measure its profitability, explore the possibility of mergers and </w:t>
      </w:r>
      <w:r w:rsidR="00420B50" w:rsidRPr="00D5792F">
        <w:rPr>
          <w:rFonts w:cstheme="minorHAnsi"/>
        </w:rPr>
        <w:t>acquisitions,</w:t>
      </w:r>
      <w:r w:rsidRPr="00D5792F">
        <w:rPr>
          <w:rFonts w:cstheme="minorHAnsi"/>
        </w:rPr>
        <w:t xml:space="preserve"> or just determine whether to move forward with a project, NPV analysis serves as one of the most straightforward methods accessible (</w:t>
      </w:r>
      <w:proofErr w:type="spellStart"/>
      <w:r w:rsidRPr="00D5792F">
        <w:rPr>
          <w:rFonts w:cstheme="minorHAnsi"/>
        </w:rPr>
        <w:t>Dikov</w:t>
      </w:r>
      <w:proofErr w:type="spellEnd"/>
      <w:r w:rsidRPr="00D5792F">
        <w:rPr>
          <w:rFonts w:cstheme="minorHAnsi"/>
        </w:rPr>
        <w:t xml:space="preserve">, 2020). </w:t>
      </w:r>
      <w:proofErr w:type="gramStart"/>
      <w:r w:rsidR="00420B50" w:rsidRPr="00D5792F">
        <w:rPr>
          <w:rFonts w:cstheme="minorHAnsi"/>
        </w:rPr>
        <w:t>In particular</w:t>
      </w:r>
      <w:r w:rsidR="00DB763E">
        <w:rPr>
          <w:rFonts w:cstheme="minorHAnsi"/>
        </w:rPr>
        <w:t xml:space="preserve">, </w:t>
      </w:r>
      <w:r w:rsidR="00B479A6" w:rsidRPr="00B479A6">
        <w:rPr>
          <w:rFonts w:cstheme="minorHAnsi"/>
        </w:rPr>
        <w:t>cash</w:t>
      </w:r>
      <w:proofErr w:type="gramEnd"/>
      <w:r w:rsidR="00B479A6" w:rsidRPr="00B479A6">
        <w:rPr>
          <w:rFonts w:cstheme="minorHAnsi"/>
        </w:rPr>
        <w:t xml:space="preserve"> inflows less cash outflows expressed as a present value</w:t>
      </w:r>
      <w:r w:rsidRPr="00D5792F">
        <w:rPr>
          <w:rFonts w:cstheme="minorHAnsi"/>
        </w:rPr>
        <w:t xml:space="preserve"> is a straightforward formula for evaluating future projects </w:t>
      </w:r>
      <w:r w:rsidR="00420B50" w:rsidRPr="00D5792F">
        <w:rPr>
          <w:rFonts w:cstheme="minorHAnsi"/>
        </w:rPr>
        <w:t>(</w:t>
      </w:r>
      <w:r w:rsidRPr="00D5792F">
        <w:rPr>
          <w:rFonts w:cstheme="minorHAnsi"/>
        </w:rPr>
        <w:t xml:space="preserve">Bragg, 2022). </w:t>
      </w:r>
      <w:r w:rsidR="0077166F" w:rsidRPr="00D5792F">
        <w:rPr>
          <w:rFonts w:cstheme="minorHAnsi"/>
        </w:rPr>
        <w:t>Whereas, the</w:t>
      </w:r>
      <w:r w:rsidRPr="00D5792F">
        <w:rPr>
          <w:rFonts w:cstheme="minorHAnsi"/>
        </w:rPr>
        <w:t xml:space="preserve"> discount rate is estimated using the projected cost of capital, which indicates the risk profile of the connected opportunity. Therefore, expected investment can be measured to estimate </w:t>
      </w:r>
      <w:r w:rsidR="001064DB" w:rsidRPr="001064DB">
        <w:rPr>
          <w:rFonts w:cstheme="minorHAnsi"/>
        </w:rPr>
        <w:t>the value of the future cash flows that a particular investment can generate today</w:t>
      </w:r>
      <w:r w:rsidRPr="00D5792F">
        <w:rPr>
          <w:rFonts w:cstheme="minorHAnsi"/>
        </w:rPr>
        <w:t xml:space="preserve">. Based on the findings of potential variables these estimates could be highly speculative, their ability to realise the anticipated cash flows used in the value calculations depends on </w:t>
      </w:r>
      <w:r w:rsidR="0059209E" w:rsidRPr="00D5792F">
        <w:rPr>
          <w:rFonts w:cstheme="minorHAnsi"/>
        </w:rPr>
        <w:t xml:space="preserve">many </w:t>
      </w:r>
      <w:r w:rsidRPr="00D5792F">
        <w:rPr>
          <w:rFonts w:cstheme="minorHAnsi"/>
        </w:rPr>
        <w:t>changes</w:t>
      </w:r>
      <w:r w:rsidR="0059209E" w:rsidRPr="00D5792F">
        <w:rPr>
          <w:rFonts w:cstheme="minorHAnsi"/>
        </w:rPr>
        <w:t xml:space="preserve">, </w:t>
      </w:r>
      <w:r w:rsidRPr="00D5792F">
        <w:rPr>
          <w:rFonts w:cstheme="minorHAnsi"/>
        </w:rPr>
        <w:t>including the success of strategic initiatives</w:t>
      </w:r>
      <w:r w:rsidR="0059209E" w:rsidRPr="00D5792F">
        <w:rPr>
          <w:rFonts w:cstheme="minorHAnsi"/>
        </w:rPr>
        <w:t>, the economy</w:t>
      </w:r>
      <w:r w:rsidRPr="00D5792F">
        <w:rPr>
          <w:rFonts w:cstheme="minorHAnsi"/>
        </w:rPr>
        <w:t xml:space="preserve">, changes in performing </w:t>
      </w:r>
      <w:r w:rsidR="00D95625" w:rsidRPr="00D5792F">
        <w:rPr>
          <w:rFonts w:cstheme="minorHAnsi"/>
        </w:rPr>
        <w:t>operations</w:t>
      </w:r>
      <w:r w:rsidRPr="00D5792F">
        <w:rPr>
          <w:rFonts w:cstheme="minorHAnsi"/>
        </w:rPr>
        <w:t xml:space="preserve"> and so on (</w:t>
      </w:r>
      <w:proofErr w:type="spellStart"/>
      <w:r w:rsidRPr="00D5792F">
        <w:rPr>
          <w:rFonts w:cstheme="minorHAnsi"/>
          <w:color w:val="222222"/>
          <w:shd w:val="clear" w:color="auto" w:fill="FFFFFF"/>
        </w:rPr>
        <w:t>Peymankar</w:t>
      </w:r>
      <w:proofErr w:type="spellEnd"/>
      <w:r w:rsidRPr="00D5792F">
        <w:rPr>
          <w:rFonts w:cstheme="minorHAnsi"/>
          <w:color w:val="222222"/>
          <w:shd w:val="clear" w:color="auto" w:fill="FFFFFF"/>
        </w:rPr>
        <w:t xml:space="preserve"> and </w:t>
      </w:r>
      <w:proofErr w:type="spellStart"/>
      <w:r w:rsidRPr="00D5792F">
        <w:rPr>
          <w:rFonts w:cstheme="minorHAnsi"/>
          <w:color w:val="222222"/>
          <w:shd w:val="clear" w:color="auto" w:fill="FFFFFF"/>
        </w:rPr>
        <w:t>Ranjbar</w:t>
      </w:r>
      <w:proofErr w:type="spellEnd"/>
      <w:r w:rsidRPr="00D5792F">
        <w:rPr>
          <w:rFonts w:cstheme="minorHAnsi"/>
          <w:color w:val="222222"/>
          <w:shd w:val="clear" w:color="auto" w:fill="FFFFFF"/>
        </w:rPr>
        <w:t xml:space="preserve">, 2021). Overall, </w:t>
      </w:r>
      <w:r w:rsidRPr="00D5792F">
        <w:rPr>
          <w:rFonts w:cstheme="minorHAnsi"/>
        </w:rPr>
        <w:t xml:space="preserve">to illustrate the NPV calculation as examples more explanations are given in APPENDIX </w:t>
      </w:r>
      <w:r w:rsidR="00406422" w:rsidRPr="00D5792F">
        <w:rPr>
          <w:rFonts w:cstheme="minorHAnsi"/>
        </w:rPr>
        <w:t>2.</w:t>
      </w:r>
    </w:p>
    <w:p w14:paraId="2A447202" w14:textId="1B96A7A0" w:rsidR="0077018B" w:rsidRPr="00D5792F" w:rsidRDefault="0077166F" w:rsidP="00A71FA1">
      <w:pPr>
        <w:spacing w:line="360" w:lineRule="auto"/>
        <w:rPr>
          <w:rFonts w:cstheme="minorHAnsi"/>
        </w:rPr>
      </w:pPr>
      <w:r w:rsidRPr="00D5792F">
        <w:rPr>
          <w:rFonts w:cstheme="minorHAnsi"/>
        </w:rPr>
        <w:t>The strength of such an approach</w:t>
      </w:r>
      <w:r w:rsidRPr="00D5792F">
        <w:rPr>
          <w:rFonts w:cstheme="minorHAnsi"/>
          <w:color w:val="333333"/>
          <w:shd w:val="clear" w:color="auto" w:fill="FFFFFF"/>
        </w:rPr>
        <w:t xml:space="preserve"> is that</w:t>
      </w:r>
      <w:r w:rsidR="0077018B" w:rsidRPr="00D5792F">
        <w:rPr>
          <w:rFonts w:cstheme="minorHAnsi"/>
          <w:color w:val="333333"/>
          <w:shd w:val="clear" w:color="auto" w:fill="FFFFFF"/>
        </w:rPr>
        <w:t xml:space="preserve"> </w:t>
      </w:r>
      <w:r w:rsidR="0077018B" w:rsidRPr="00D5792F">
        <w:rPr>
          <w:rFonts w:cstheme="minorHAnsi"/>
        </w:rPr>
        <w:t xml:space="preserve">NPV as a method to </w:t>
      </w:r>
      <w:r w:rsidRPr="00D5792F">
        <w:rPr>
          <w:rFonts w:cstheme="minorHAnsi"/>
        </w:rPr>
        <w:t>appr</w:t>
      </w:r>
      <w:r w:rsidR="002E346F" w:rsidRPr="00D5792F">
        <w:rPr>
          <w:rFonts w:cstheme="minorHAnsi"/>
        </w:rPr>
        <w:t>a</w:t>
      </w:r>
      <w:r w:rsidRPr="00D5792F">
        <w:rPr>
          <w:rFonts w:cstheme="minorHAnsi"/>
        </w:rPr>
        <w:t>ise</w:t>
      </w:r>
      <w:r w:rsidR="0077018B" w:rsidRPr="00D5792F">
        <w:rPr>
          <w:rFonts w:cstheme="minorHAnsi"/>
        </w:rPr>
        <w:t xml:space="preserve"> projects </w:t>
      </w:r>
      <w:r w:rsidRPr="00D5792F">
        <w:rPr>
          <w:rFonts w:cstheme="minorHAnsi"/>
        </w:rPr>
        <w:t>work</w:t>
      </w:r>
      <w:r w:rsidR="0077018B" w:rsidRPr="00D5792F">
        <w:rPr>
          <w:rFonts w:cstheme="minorHAnsi"/>
        </w:rPr>
        <w:t xml:space="preserve"> best when comparing similar investment options since it is not expressed as a percentage but as an absolute number (Fernando, 2022). Consequently, larger investments would invariably have a higher net present value (NPV) than smaller ones. </w:t>
      </w:r>
      <w:r w:rsidR="00635D55" w:rsidRPr="00D5792F">
        <w:rPr>
          <w:rFonts w:cstheme="minorHAnsi"/>
        </w:rPr>
        <w:t>Like</w:t>
      </w:r>
      <w:r w:rsidR="009A6CAE" w:rsidRPr="00D5792F">
        <w:rPr>
          <w:rFonts w:cstheme="minorHAnsi"/>
        </w:rPr>
        <w:t xml:space="preserve"> </w:t>
      </w:r>
      <w:r w:rsidR="0077018B" w:rsidRPr="00D5792F">
        <w:rPr>
          <w:rFonts w:cstheme="minorHAnsi"/>
        </w:rPr>
        <w:t>the NPV</w:t>
      </w:r>
      <w:r w:rsidR="009A6CAE" w:rsidRPr="00D5792F">
        <w:rPr>
          <w:rFonts w:cstheme="minorHAnsi"/>
        </w:rPr>
        <w:t xml:space="preserve">, </w:t>
      </w:r>
      <w:r w:rsidR="0077018B" w:rsidRPr="00D5792F">
        <w:rPr>
          <w:rFonts w:cstheme="minorHAnsi"/>
        </w:rPr>
        <w:t xml:space="preserve">the IRR </w:t>
      </w:r>
      <w:r w:rsidR="009A6CAE" w:rsidRPr="00D5792F">
        <w:rPr>
          <w:rFonts w:cstheme="minorHAnsi"/>
        </w:rPr>
        <w:t>analysis</w:t>
      </w:r>
      <w:r w:rsidR="00CC0376" w:rsidRPr="00D5792F">
        <w:rPr>
          <w:rFonts w:cstheme="minorHAnsi"/>
        </w:rPr>
        <w:t xml:space="preserve"> also considers</w:t>
      </w:r>
      <w:r w:rsidR="0077018B" w:rsidRPr="00D5792F">
        <w:rPr>
          <w:rFonts w:cstheme="minorHAnsi"/>
        </w:rPr>
        <w:t xml:space="preserve"> the time value of money and has </w:t>
      </w:r>
      <w:r w:rsidR="009A6CAE" w:rsidRPr="00D5792F">
        <w:rPr>
          <w:rFonts w:cstheme="minorHAnsi"/>
        </w:rPr>
        <w:t xml:space="preserve">its </w:t>
      </w:r>
      <w:r w:rsidR="0077018B" w:rsidRPr="00D5792F">
        <w:rPr>
          <w:rFonts w:cstheme="minorHAnsi"/>
        </w:rPr>
        <w:t xml:space="preserve">worthiness in </w:t>
      </w:r>
      <w:r w:rsidR="00F63EE6" w:rsidRPr="00D5792F">
        <w:rPr>
          <w:rFonts w:cstheme="minorHAnsi"/>
        </w:rPr>
        <w:t xml:space="preserve">the </w:t>
      </w:r>
      <w:r w:rsidR="0077018B" w:rsidRPr="00D5792F">
        <w:rPr>
          <w:rFonts w:cstheme="minorHAnsi"/>
        </w:rPr>
        <w:t xml:space="preserve">analysis </w:t>
      </w:r>
      <w:r w:rsidR="00F63EE6" w:rsidRPr="00D5792F">
        <w:rPr>
          <w:rFonts w:cstheme="minorHAnsi"/>
        </w:rPr>
        <w:t>of</w:t>
      </w:r>
      <w:r w:rsidR="0077018B" w:rsidRPr="00D5792F">
        <w:rPr>
          <w:rFonts w:cstheme="minorHAnsi"/>
        </w:rPr>
        <w:t xml:space="preserve"> investment appraisal (</w:t>
      </w:r>
      <w:proofErr w:type="spellStart"/>
      <w:r w:rsidR="0077018B" w:rsidRPr="00D5792F">
        <w:rPr>
          <w:rFonts w:cstheme="minorHAnsi"/>
          <w:color w:val="222222"/>
          <w:shd w:val="clear" w:color="auto" w:fill="FFFFFF"/>
        </w:rPr>
        <w:t>Markovics</w:t>
      </w:r>
      <w:proofErr w:type="spellEnd"/>
      <w:r w:rsidR="0077018B" w:rsidRPr="00D5792F">
        <w:rPr>
          <w:rFonts w:cstheme="minorHAnsi"/>
          <w:color w:val="222222"/>
          <w:shd w:val="clear" w:color="auto" w:fill="FFFFFF"/>
        </w:rPr>
        <w:t>, 2016).</w:t>
      </w:r>
      <w:r w:rsidR="0077018B" w:rsidRPr="00D5792F">
        <w:rPr>
          <w:rFonts w:cstheme="minorHAnsi"/>
        </w:rPr>
        <w:t xml:space="preserve"> However, the findings of the IRR analysis could be imprecise</w:t>
      </w:r>
      <w:r w:rsidR="009A6CAE" w:rsidRPr="00D5792F">
        <w:rPr>
          <w:rFonts w:cstheme="minorHAnsi"/>
        </w:rPr>
        <w:t xml:space="preserve"> i</w:t>
      </w:r>
      <w:r w:rsidR="0077018B" w:rsidRPr="00D5792F">
        <w:rPr>
          <w:rFonts w:cstheme="minorHAnsi"/>
        </w:rPr>
        <w:t>f the cash flows over the period change dramatically, showing positive and negative values at various points across the investment appraisal period. Comparatively utilised among NPV and IRR</w:t>
      </w:r>
      <w:r w:rsidR="009A6CAE" w:rsidRPr="00D5792F">
        <w:rPr>
          <w:rFonts w:cstheme="minorHAnsi"/>
        </w:rPr>
        <w:t xml:space="preserve"> appraisal techniques</w:t>
      </w:r>
      <w:r w:rsidR="0077018B" w:rsidRPr="00D5792F">
        <w:rPr>
          <w:rFonts w:cstheme="minorHAnsi"/>
        </w:rPr>
        <w:t xml:space="preserve">, the PP </w:t>
      </w:r>
      <w:r w:rsidR="009A6CAE" w:rsidRPr="00D5792F">
        <w:rPr>
          <w:rFonts w:cstheme="minorHAnsi"/>
        </w:rPr>
        <w:t xml:space="preserve">analysis </w:t>
      </w:r>
      <w:r w:rsidR="0077018B" w:rsidRPr="00D5792F">
        <w:rPr>
          <w:rFonts w:cstheme="minorHAnsi"/>
        </w:rPr>
        <w:t xml:space="preserve">is used to </w:t>
      </w:r>
      <w:r w:rsidR="00A71CE3" w:rsidRPr="00D5792F">
        <w:rPr>
          <w:rFonts w:cstheme="minorHAnsi"/>
        </w:rPr>
        <w:t>apprise</w:t>
      </w:r>
      <w:r w:rsidR="0077018B" w:rsidRPr="00D5792F">
        <w:rPr>
          <w:rFonts w:cstheme="minorHAnsi"/>
        </w:rPr>
        <w:t xml:space="preserve"> investments due to its simplicity and ease of application. Nonetheless, such a technique might lead to an arbitrary barrier that causes projects and investments with longer lead times before positive cash flows are rejected (</w:t>
      </w:r>
      <w:r w:rsidR="0077018B" w:rsidRPr="00D5792F">
        <w:rPr>
          <w:rFonts w:cstheme="minorHAnsi"/>
          <w:color w:val="222222"/>
          <w:shd w:val="clear" w:color="auto" w:fill="FFFFFF"/>
        </w:rPr>
        <w:t xml:space="preserve">Van </w:t>
      </w:r>
      <w:proofErr w:type="spellStart"/>
      <w:r w:rsidR="0077018B" w:rsidRPr="00D5792F">
        <w:rPr>
          <w:rFonts w:cstheme="minorHAnsi"/>
          <w:color w:val="222222"/>
          <w:shd w:val="clear" w:color="auto" w:fill="FFFFFF"/>
        </w:rPr>
        <w:t>Ginneken</w:t>
      </w:r>
      <w:proofErr w:type="spellEnd"/>
      <w:r w:rsidR="0077018B" w:rsidRPr="00D5792F">
        <w:rPr>
          <w:rFonts w:cstheme="minorHAnsi"/>
          <w:color w:val="222222"/>
          <w:shd w:val="clear" w:color="auto" w:fill="FFFFFF"/>
        </w:rPr>
        <w:t>, 2019)</w:t>
      </w:r>
      <w:r w:rsidR="0077018B" w:rsidRPr="00D5792F">
        <w:rPr>
          <w:rFonts w:cstheme="minorHAnsi"/>
        </w:rPr>
        <w:t xml:space="preserve">. </w:t>
      </w:r>
      <w:r w:rsidR="00085E67" w:rsidRPr="00D5792F">
        <w:rPr>
          <w:rFonts w:cstheme="minorHAnsi"/>
        </w:rPr>
        <w:t>All</w:t>
      </w:r>
      <w:r w:rsidR="0077018B" w:rsidRPr="00D5792F">
        <w:rPr>
          <w:rFonts w:cstheme="minorHAnsi"/>
        </w:rPr>
        <w:t xml:space="preserve"> the techniques have their advantages and disadvantages and considering their characteristics with the estimated project could be useful.</w:t>
      </w:r>
    </w:p>
    <w:p w14:paraId="32A2A293" w14:textId="308D0B73" w:rsidR="0077018B" w:rsidRPr="00D5792F" w:rsidRDefault="0077018B" w:rsidP="00A71FA1">
      <w:pPr>
        <w:pStyle w:val="Heading1"/>
        <w:spacing w:line="360" w:lineRule="auto"/>
      </w:pPr>
      <w:bookmarkStart w:id="9" w:name="_Toc122268901"/>
      <w:bookmarkStart w:id="10" w:name="_Toc122273618"/>
      <w:r w:rsidRPr="00D5792F">
        <w:t>Conclusion</w:t>
      </w:r>
      <w:bookmarkEnd w:id="9"/>
      <w:bookmarkEnd w:id="10"/>
    </w:p>
    <w:p w14:paraId="79E4907C" w14:textId="064221FC" w:rsidR="000D4BD7" w:rsidRDefault="000D4BD7" w:rsidP="00A71FA1">
      <w:pPr>
        <w:spacing w:line="360" w:lineRule="auto"/>
        <w:rPr>
          <w:rFonts w:cstheme="minorHAnsi"/>
        </w:rPr>
      </w:pPr>
      <w:r w:rsidRPr="00D5792F">
        <w:rPr>
          <w:rFonts w:cstheme="minorHAnsi"/>
        </w:rPr>
        <w:t xml:space="preserve">As a result of globalisation, it is crucial and necessary for businesses to manage their </w:t>
      </w:r>
      <w:r w:rsidR="00FF0743" w:rsidRPr="00D5792F">
        <w:rPr>
          <w:rFonts w:cstheme="minorHAnsi"/>
        </w:rPr>
        <w:t>finances</w:t>
      </w:r>
      <w:r w:rsidRPr="00D5792F">
        <w:rPr>
          <w:rFonts w:cstheme="minorHAnsi"/>
        </w:rPr>
        <w:t xml:space="preserve">. Capital management calls for analyses and investments. As part of managing, dividend distribution, </w:t>
      </w:r>
      <w:r w:rsidRPr="00D5792F">
        <w:rPr>
          <w:rFonts w:cstheme="minorHAnsi"/>
        </w:rPr>
        <w:lastRenderedPageBreak/>
        <w:t xml:space="preserve">market efficiency and controlling investment, </w:t>
      </w:r>
      <w:r w:rsidR="00FF5379" w:rsidRPr="00D5792F">
        <w:rPr>
          <w:rFonts w:cstheme="minorHAnsi"/>
        </w:rPr>
        <w:t xml:space="preserve">all </w:t>
      </w:r>
      <w:r w:rsidR="00D97A08" w:rsidRPr="00D5792F">
        <w:rPr>
          <w:rFonts w:cstheme="minorHAnsi"/>
        </w:rPr>
        <w:t xml:space="preserve">are </w:t>
      </w:r>
      <w:r w:rsidR="00FF5379" w:rsidRPr="00D5792F">
        <w:rPr>
          <w:rFonts w:cstheme="minorHAnsi"/>
        </w:rPr>
        <w:t xml:space="preserve">part </w:t>
      </w:r>
      <w:r w:rsidR="00FF0207" w:rsidRPr="00D5792F">
        <w:rPr>
          <w:rFonts w:cstheme="minorHAnsi"/>
        </w:rPr>
        <w:t xml:space="preserve">of </w:t>
      </w:r>
      <w:r w:rsidRPr="00D5792F">
        <w:rPr>
          <w:rFonts w:cstheme="minorHAnsi"/>
        </w:rPr>
        <w:t xml:space="preserve">various financial activities </w:t>
      </w:r>
      <w:r w:rsidR="00FF0207" w:rsidRPr="00D5792F">
        <w:rPr>
          <w:rFonts w:cstheme="minorHAnsi"/>
        </w:rPr>
        <w:t>that should be</w:t>
      </w:r>
      <w:r w:rsidRPr="00D5792F">
        <w:rPr>
          <w:rFonts w:cstheme="minorHAnsi"/>
        </w:rPr>
        <w:t xml:space="preserve"> considered.  When it comes to decision-making, a company's</w:t>
      </w:r>
      <w:r w:rsidR="00D97A08" w:rsidRPr="00D5792F">
        <w:rPr>
          <w:rFonts w:cstheme="minorHAnsi"/>
        </w:rPr>
        <w:t xml:space="preserve"> </w:t>
      </w:r>
      <w:r w:rsidRPr="00D5792F">
        <w:rPr>
          <w:rFonts w:cstheme="minorHAnsi"/>
        </w:rPr>
        <w:t xml:space="preserve">resource management </w:t>
      </w:r>
      <w:r w:rsidR="00D97A08" w:rsidRPr="00D5792F">
        <w:rPr>
          <w:rFonts w:cstheme="minorHAnsi"/>
        </w:rPr>
        <w:t>analyses</w:t>
      </w:r>
      <w:r w:rsidRPr="00D5792F">
        <w:rPr>
          <w:rFonts w:cstheme="minorHAnsi"/>
        </w:rPr>
        <w:t xml:space="preserve"> and </w:t>
      </w:r>
      <w:r w:rsidR="004E4ABA" w:rsidRPr="00D5792F">
        <w:rPr>
          <w:rFonts w:cstheme="minorHAnsi"/>
        </w:rPr>
        <w:t>invests</w:t>
      </w:r>
      <w:r w:rsidRPr="00D5792F">
        <w:rPr>
          <w:rFonts w:cstheme="minorHAnsi"/>
        </w:rPr>
        <w:t xml:space="preserve"> </w:t>
      </w:r>
      <w:r w:rsidR="004F2D93" w:rsidRPr="00D5792F">
        <w:rPr>
          <w:rFonts w:cstheme="minorHAnsi"/>
        </w:rPr>
        <w:t>all</w:t>
      </w:r>
      <w:r w:rsidRPr="00D5792F">
        <w:rPr>
          <w:rFonts w:cstheme="minorHAnsi"/>
        </w:rPr>
        <w:t xml:space="preserve"> the financial resource </w:t>
      </w:r>
      <w:r w:rsidR="001341BF" w:rsidRPr="00D5792F">
        <w:rPr>
          <w:rFonts w:cstheme="minorHAnsi"/>
        </w:rPr>
        <w:t>bases</w:t>
      </w:r>
      <w:r w:rsidR="00E543E2" w:rsidRPr="00D5792F">
        <w:rPr>
          <w:rFonts w:cstheme="minorHAnsi"/>
        </w:rPr>
        <w:t>,</w:t>
      </w:r>
      <w:r w:rsidR="00DA484F" w:rsidRPr="00D5792F">
        <w:rPr>
          <w:rFonts w:cstheme="minorHAnsi"/>
        </w:rPr>
        <w:t xml:space="preserve"> according to </w:t>
      </w:r>
      <w:r w:rsidR="00CB496A" w:rsidRPr="00D5792F">
        <w:rPr>
          <w:rFonts w:cstheme="minorHAnsi"/>
        </w:rPr>
        <w:t xml:space="preserve">the </w:t>
      </w:r>
      <w:r w:rsidR="00DA484F" w:rsidRPr="00D5792F">
        <w:rPr>
          <w:rFonts w:cstheme="minorHAnsi"/>
        </w:rPr>
        <w:t xml:space="preserve">overall </w:t>
      </w:r>
      <w:r w:rsidR="004E3AEB" w:rsidRPr="00D5792F">
        <w:rPr>
          <w:rFonts w:cstheme="minorHAnsi"/>
        </w:rPr>
        <w:t xml:space="preserve">performance </w:t>
      </w:r>
      <w:r w:rsidR="00DA484F" w:rsidRPr="00D5792F">
        <w:rPr>
          <w:rFonts w:cstheme="minorHAnsi"/>
        </w:rPr>
        <w:t>and</w:t>
      </w:r>
      <w:r w:rsidR="004E3AEB" w:rsidRPr="00D5792F">
        <w:rPr>
          <w:rFonts w:cstheme="minorHAnsi"/>
        </w:rPr>
        <w:t xml:space="preserve"> current</w:t>
      </w:r>
      <w:r w:rsidR="00DA484F" w:rsidRPr="00D5792F">
        <w:rPr>
          <w:rFonts w:cstheme="minorHAnsi"/>
        </w:rPr>
        <w:t xml:space="preserve"> industry </w:t>
      </w:r>
      <w:r w:rsidR="004E3AEB" w:rsidRPr="00D5792F">
        <w:rPr>
          <w:rFonts w:cstheme="minorHAnsi"/>
        </w:rPr>
        <w:t>economy factors</w:t>
      </w:r>
      <w:r w:rsidRPr="00D5792F">
        <w:rPr>
          <w:rFonts w:cstheme="minorHAnsi"/>
        </w:rPr>
        <w:t xml:space="preserve">. </w:t>
      </w:r>
      <w:r w:rsidR="00CB496A" w:rsidRPr="00D5792F">
        <w:rPr>
          <w:rFonts w:cstheme="minorHAnsi"/>
        </w:rPr>
        <w:t xml:space="preserve">And </w:t>
      </w:r>
      <w:r w:rsidRPr="00D5792F">
        <w:rPr>
          <w:rFonts w:cstheme="minorHAnsi"/>
        </w:rPr>
        <w:t xml:space="preserve">the reason for this is that </w:t>
      </w:r>
      <w:r w:rsidR="00E258E7" w:rsidRPr="00D5792F">
        <w:rPr>
          <w:rFonts w:cstheme="minorHAnsi"/>
        </w:rPr>
        <w:t>business</w:t>
      </w:r>
      <w:r w:rsidRPr="00D5792F">
        <w:rPr>
          <w:rFonts w:cstheme="minorHAnsi"/>
        </w:rPr>
        <w:t xml:space="preserve"> is influenced by national financial trends</w:t>
      </w:r>
      <w:r w:rsidR="001341BF" w:rsidRPr="00D5792F">
        <w:rPr>
          <w:rFonts w:cstheme="minorHAnsi"/>
        </w:rPr>
        <w:t xml:space="preserve"> and as a multinational company </w:t>
      </w:r>
      <w:r w:rsidR="00471D51" w:rsidRPr="00D5792F">
        <w:rPr>
          <w:rFonts w:cstheme="minorHAnsi"/>
        </w:rPr>
        <w:t>the primary factor is to improve its company wealth.</w:t>
      </w:r>
    </w:p>
    <w:p w14:paraId="537A7F60" w14:textId="12938423" w:rsidR="003E13BA" w:rsidRDefault="003E13BA" w:rsidP="00A71FA1">
      <w:pPr>
        <w:pStyle w:val="Heading1"/>
      </w:pPr>
      <w:bookmarkStart w:id="11" w:name="_Toc122273619"/>
      <w:r>
        <w:t>APPENDIX 1</w:t>
      </w:r>
      <w:bookmarkEnd w:id="11"/>
    </w:p>
    <w:p w14:paraId="295BDBB3" w14:textId="77777777" w:rsidR="003E13BA" w:rsidRDefault="003E13BA" w:rsidP="00A71FA1">
      <w:pPr>
        <w:spacing w:line="360" w:lineRule="auto"/>
        <w:rPr>
          <w:rFonts w:ascii="Calibri" w:hAnsi="Calibri" w:cs="Calibri"/>
        </w:rPr>
      </w:pPr>
      <w:r>
        <w:rPr>
          <w:rFonts w:ascii="Calibri" w:hAnsi="Calibri" w:cs="Calibri"/>
        </w:rPr>
        <w:t>Calculation of Dividend yield:</w:t>
      </w:r>
    </w:p>
    <w:p w14:paraId="44083D11" w14:textId="77777777" w:rsidR="003E13BA" w:rsidRPr="00BF4767" w:rsidRDefault="003E13BA" w:rsidP="00A71FA1">
      <w:pPr>
        <w:spacing w:line="360" w:lineRule="auto"/>
      </w:pPr>
      <w:r w:rsidRPr="002E2029">
        <w:rPr>
          <w:rFonts w:ascii="Calibri" w:hAnsi="Calibri" w:cs="Calibri"/>
        </w:rPr>
        <w:t xml:space="preserve">Starbucks' dividend yield is calculated as follows: </w:t>
      </w:r>
      <w:r>
        <w:rPr>
          <w:rFonts w:ascii="Calibri" w:hAnsi="Calibri" w:cs="Calibri"/>
        </w:rPr>
        <w:t xml:space="preserve">The price of the share multiplied by the current stock price converted in per cent. </w:t>
      </w:r>
      <w:proofErr w:type="spellStart"/>
      <w:r w:rsidRPr="002E2029">
        <w:rPr>
          <w:rFonts w:ascii="Calibri" w:hAnsi="Calibri" w:cs="Calibri"/>
          <w:i/>
          <w:iCs/>
        </w:rPr>
        <w:t>DividentStocks</w:t>
      </w:r>
      <w:proofErr w:type="spellEnd"/>
      <w:r w:rsidRPr="002E2029">
        <w:rPr>
          <w:rFonts w:ascii="Calibri" w:hAnsi="Calibri" w:cs="Calibri"/>
        </w:rPr>
        <w:t> (2022).</w:t>
      </w:r>
    </w:p>
    <w:p w14:paraId="080E583D" w14:textId="5CBC9192" w:rsidR="003E13BA" w:rsidRPr="003E13BA" w:rsidRDefault="003E13BA" w:rsidP="00A71FA1">
      <w:pPr>
        <w:spacing w:line="360" w:lineRule="auto"/>
        <w:rPr>
          <w:rFonts w:ascii="Calibri" w:hAnsi="Calibri" w:cs="Calibri"/>
        </w:rPr>
      </w:pPr>
      <w:r w:rsidRPr="002E2029">
        <w:rPr>
          <w:rFonts w:ascii="Calibri" w:hAnsi="Calibri" w:cs="Calibri"/>
        </w:rPr>
        <w:t xml:space="preserve">2.00 USD </w:t>
      </w:r>
      <w:r>
        <w:rPr>
          <w:rFonts w:ascii="Calibri" w:hAnsi="Calibri" w:cs="Calibri"/>
        </w:rPr>
        <w:t xml:space="preserve">x </w:t>
      </w:r>
      <w:r w:rsidRPr="002E2029">
        <w:rPr>
          <w:rFonts w:ascii="Calibri" w:hAnsi="Calibri" w:cs="Calibri"/>
        </w:rPr>
        <w:t xml:space="preserve">98.66 USD </w:t>
      </w:r>
      <w:r>
        <w:rPr>
          <w:rFonts w:ascii="Calibri" w:hAnsi="Calibri" w:cs="Calibri"/>
        </w:rPr>
        <w:t>x</w:t>
      </w:r>
      <w:r w:rsidRPr="002E2029">
        <w:rPr>
          <w:rFonts w:ascii="Calibri" w:hAnsi="Calibri" w:cs="Calibri"/>
        </w:rPr>
        <w:t xml:space="preserve"> 100 = 2.03% </w:t>
      </w:r>
    </w:p>
    <w:p w14:paraId="6DF9F3F7" w14:textId="5735AE1E" w:rsidR="003E13BA" w:rsidRDefault="003E13BA" w:rsidP="00A71FA1">
      <w:pPr>
        <w:pStyle w:val="Heading1"/>
      </w:pPr>
      <w:bookmarkStart w:id="12" w:name="_Toc122273620"/>
      <w:r>
        <w:t>APPENDIX 2</w:t>
      </w:r>
      <w:bookmarkEnd w:id="12"/>
    </w:p>
    <w:p w14:paraId="08976967" w14:textId="77777777" w:rsidR="00A71FA1" w:rsidRPr="000B29B4" w:rsidRDefault="00A71FA1" w:rsidP="00A71FA1">
      <w:pPr>
        <w:spacing w:line="360" w:lineRule="auto"/>
        <w:rPr>
          <w:rFonts w:cstheme="minorHAnsi"/>
        </w:rPr>
      </w:pPr>
      <w:r w:rsidRPr="000B29B4">
        <w:rPr>
          <w:rFonts w:cstheme="minorHAnsi"/>
        </w:rPr>
        <w:t>The concept for Project Valuation</w:t>
      </w:r>
    </w:p>
    <w:p w14:paraId="33B34B91" w14:textId="57052815" w:rsidR="00A71FA1" w:rsidRPr="000B29B4" w:rsidRDefault="00A71FA1" w:rsidP="00A71FA1">
      <w:pPr>
        <w:spacing w:line="360" w:lineRule="auto"/>
        <w:rPr>
          <w:rFonts w:cstheme="minorHAnsi"/>
        </w:rPr>
      </w:pPr>
      <w:r w:rsidRPr="000B29B4">
        <w:rPr>
          <w:rFonts w:cstheme="minorHAnsi"/>
        </w:rPr>
        <w:t xml:space="preserve">Before moving on to the NPV calculation it is appropriate first to explain how to choose an acceptable discount rate. As various levels of risk are associated with various investment opportunities, </w:t>
      </w:r>
      <w:r w:rsidR="00443009">
        <w:rPr>
          <w:rFonts w:cstheme="minorHAnsi"/>
        </w:rPr>
        <w:t>t</w:t>
      </w:r>
      <w:r w:rsidR="00443009" w:rsidRPr="00443009">
        <w:rPr>
          <w:rFonts w:cstheme="minorHAnsi"/>
        </w:rPr>
        <w:t>he time worth of money must be taken into consideration</w:t>
      </w:r>
      <w:r w:rsidR="00E928FC">
        <w:rPr>
          <w:rFonts w:cstheme="minorHAnsi"/>
        </w:rPr>
        <w:t>,</w:t>
      </w:r>
      <w:r w:rsidR="00443009" w:rsidRPr="00443009">
        <w:rPr>
          <w:rFonts w:cstheme="minorHAnsi"/>
        </w:rPr>
        <w:t xml:space="preserve"> </w:t>
      </w:r>
      <w:r w:rsidRPr="000B29B4">
        <w:rPr>
          <w:rFonts w:cstheme="minorHAnsi"/>
        </w:rPr>
        <w:t xml:space="preserve">which indicates the decreasing difference in their value over years and to adjust for any hazards related to the investment opportunity (Bekaert, 2013). For instance, the discount rates Starbucks uses to receive cash flows from different investments will undoubtedly differ according to the associated risk. However, using Starbucks's particular discount rate would be preferable as it is more accurate and </w:t>
      </w:r>
      <w:proofErr w:type="gramStart"/>
      <w:r w:rsidRPr="000B29B4">
        <w:rPr>
          <w:rFonts w:cstheme="minorHAnsi"/>
        </w:rPr>
        <w:t>take into account</w:t>
      </w:r>
      <w:proofErr w:type="gramEnd"/>
      <w:r w:rsidRPr="000B29B4">
        <w:rPr>
          <w:rFonts w:cstheme="minorHAnsi"/>
        </w:rPr>
        <w:t xml:space="preserve"> future possible downturns in terms of how the company is secured or how future project will bring value. In our case, we will choose a discount rate on a basis of Starbuck’s cost of equity estimated by Alpha Spread Limited (2022).</w:t>
      </w:r>
    </w:p>
    <w:p w14:paraId="0066C788" w14:textId="77777777" w:rsidR="00A71FA1" w:rsidRPr="000B29B4" w:rsidRDefault="00A71FA1" w:rsidP="00A71FA1">
      <w:pPr>
        <w:spacing w:line="360" w:lineRule="auto"/>
        <w:rPr>
          <w:rFonts w:cstheme="minorHAnsi"/>
        </w:rPr>
      </w:pPr>
      <w:r w:rsidRPr="000B29B4">
        <w:rPr>
          <w:rFonts w:cstheme="minorHAnsi"/>
        </w:rPr>
        <w:t>By calculating the discounted cash flows and subtracting the project’s present initial costs from future inflows accordingly denominated with a discount rate for every relevant year the NPV is calculated. The example below will help understand it better.</w:t>
      </w:r>
    </w:p>
    <w:p w14:paraId="02015552" w14:textId="77777777" w:rsidR="00A71FA1" w:rsidRPr="000B29B4" w:rsidRDefault="00A71FA1" w:rsidP="00A71FA1">
      <w:pPr>
        <w:spacing w:line="360" w:lineRule="auto"/>
        <w:rPr>
          <w:rFonts w:cstheme="minorHAnsi"/>
        </w:rPr>
      </w:pPr>
      <w:r w:rsidRPr="000B29B4">
        <w:rPr>
          <w:rFonts w:cstheme="minorHAnsi"/>
        </w:rPr>
        <w:t>Explanation and Calculation</w:t>
      </w:r>
    </w:p>
    <w:p w14:paraId="0832E503" w14:textId="6B9BC017" w:rsidR="00A71FA1" w:rsidRPr="000B29B4" w:rsidRDefault="00A71FA1" w:rsidP="00A71FA1">
      <w:pPr>
        <w:spacing w:line="360" w:lineRule="auto"/>
        <w:rPr>
          <w:rFonts w:cstheme="minorHAnsi"/>
        </w:rPr>
      </w:pPr>
      <w:r w:rsidRPr="000B29B4">
        <w:rPr>
          <w:rFonts w:cstheme="minorHAnsi"/>
        </w:rPr>
        <w:t xml:space="preserve">The table demonstrates the example of future projects of Starbucks to upgrade the current café machine, a project that will initially cost them $450 million but could allow them to considerably reduce the time it takes to create some beverages (Lucas, 2022). While there will be assumed $450 million invested costs from the updated machine in years 1, 2, and 3, there will also be increases in income of $180 million, $210 million, and $165 million in the three consequent years. A discount </w:t>
      </w:r>
      <w:r w:rsidRPr="000B29B4">
        <w:rPr>
          <w:rFonts w:cstheme="minorHAnsi"/>
        </w:rPr>
        <w:lastRenderedPageBreak/>
        <w:t xml:space="preserve">rate of 8.84% could be used according to Starbuck’s cost of equity(Alpha Spread Limited,  2022) </w:t>
      </w:r>
      <w:r w:rsidR="00A83ADE" w:rsidRPr="00A83ADE">
        <w:rPr>
          <w:rFonts w:cstheme="minorHAnsi"/>
        </w:rPr>
        <w:t>The discounted cash flows are then calculated for three consequent years by multiplying the total anticipated cash flows by the applicable discount rate.</w:t>
      </w:r>
      <w:r w:rsidR="00A83ADE" w:rsidRPr="00A83ADE">
        <w:rPr>
          <w:rFonts w:cstheme="minorHAnsi"/>
        </w:rPr>
        <w:t xml:space="preserve"> </w:t>
      </w:r>
      <w:r w:rsidRPr="000B29B4">
        <w:rPr>
          <w:rFonts w:cstheme="minorHAnsi"/>
        </w:rPr>
        <w:t xml:space="preserve">((1+discount rate) </w:t>
      </w:r>
      <w:proofErr w:type="gramStart"/>
      <w:r w:rsidRPr="000B29B4">
        <w:rPr>
          <w:rFonts w:cstheme="minorHAnsi"/>
        </w:rPr>
        <w:t>time period</w:t>
      </w:r>
      <w:proofErr w:type="gramEnd"/>
      <w:r w:rsidRPr="000B29B4">
        <w:rPr>
          <w:rFonts w:cstheme="minorHAnsi"/>
        </w:rPr>
        <w:t>]). Finally, the present value of cash outflows is subtracted from the present value of cash inflows to illustrate the value of a future project. As a result, the NPV is estimated as $20.60 million (Table 1) which is favourable and suggests moving on with the concept of improving the current work.</w:t>
      </w:r>
    </w:p>
    <w:tbl>
      <w:tblPr>
        <w:tblW w:w="6980" w:type="dxa"/>
        <w:tblLook w:val="04A0" w:firstRow="1" w:lastRow="0" w:firstColumn="1" w:lastColumn="0" w:noHBand="0" w:noVBand="1"/>
      </w:tblPr>
      <w:tblGrid>
        <w:gridCol w:w="2325"/>
        <w:gridCol w:w="1179"/>
        <w:gridCol w:w="1118"/>
        <w:gridCol w:w="1179"/>
        <w:gridCol w:w="1179"/>
      </w:tblGrid>
      <w:tr w:rsidR="00A71FA1" w:rsidRPr="000B29B4" w14:paraId="4381F29E" w14:textId="77777777" w:rsidTr="004756C1">
        <w:trPr>
          <w:trHeight w:val="310"/>
        </w:trPr>
        <w:tc>
          <w:tcPr>
            <w:tcW w:w="6980" w:type="dxa"/>
            <w:gridSpan w:val="5"/>
            <w:tcBorders>
              <w:top w:val="single" w:sz="8" w:space="0" w:color="auto"/>
              <w:left w:val="single" w:sz="8" w:space="0" w:color="auto"/>
              <w:bottom w:val="single" w:sz="4" w:space="0" w:color="auto"/>
              <w:right w:val="single" w:sz="8" w:space="0" w:color="000000"/>
            </w:tcBorders>
            <w:shd w:val="clear" w:color="000000" w:fill="FFFFFF"/>
            <w:vAlign w:val="center"/>
            <w:hideMark/>
          </w:tcPr>
          <w:p w14:paraId="23886B1D" w14:textId="10E861DE" w:rsidR="00A71FA1" w:rsidRPr="000B29B4" w:rsidRDefault="00F12ABA" w:rsidP="004756C1">
            <w:pPr>
              <w:spacing w:after="0" w:line="360" w:lineRule="auto"/>
              <w:jc w:val="center"/>
              <w:rPr>
                <w:rFonts w:eastAsia="Times New Roman" w:cstheme="minorHAnsi"/>
                <w:b/>
                <w:bCs/>
                <w:color w:val="212529"/>
                <w:lang w:eastAsia="en-GB"/>
              </w:rPr>
            </w:pPr>
            <w:r w:rsidRPr="00F12ABA">
              <w:rPr>
                <w:rFonts w:eastAsia="Times New Roman" w:cstheme="minorHAnsi"/>
                <w:b/>
                <w:bCs/>
                <w:color w:val="212529"/>
                <w:lang w:eastAsia="en-GB"/>
              </w:rPr>
              <w:t>Modernizing an existing machine</w:t>
            </w:r>
          </w:p>
        </w:tc>
      </w:tr>
      <w:tr w:rsidR="00A71FA1" w:rsidRPr="000B29B4" w14:paraId="1F06CFF0" w14:textId="77777777" w:rsidTr="004756C1">
        <w:trPr>
          <w:trHeight w:val="310"/>
        </w:trPr>
        <w:tc>
          <w:tcPr>
            <w:tcW w:w="2325" w:type="dxa"/>
            <w:tcBorders>
              <w:top w:val="nil"/>
              <w:left w:val="single" w:sz="8" w:space="0" w:color="auto"/>
              <w:bottom w:val="single" w:sz="4" w:space="0" w:color="auto"/>
              <w:right w:val="single" w:sz="4" w:space="0" w:color="auto"/>
            </w:tcBorders>
            <w:shd w:val="clear" w:color="000000" w:fill="FFFFFF"/>
            <w:vAlign w:val="center"/>
            <w:hideMark/>
          </w:tcPr>
          <w:p w14:paraId="6B4566A2" w14:textId="77777777" w:rsidR="00A71FA1" w:rsidRPr="000B29B4" w:rsidRDefault="00A71FA1" w:rsidP="004756C1">
            <w:pPr>
              <w:spacing w:after="0" w:line="360" w:lineRule="auto"/>
              <w:jc w:val="center"/>
              <w:rPr>
                <w:rFonts w:eastAsia="Times New Roman" w:cstheme="minorHAnsi"/>
                <w:b/>
                <w:bCs/>
                <w:color w:val="212529"/>
                <w:lang w:eastAsia="en-GB"/>
              </w:rPr>
            </w:pPr>
            <w:r w:rsidRPr="000B29B4">
              <w:rPr>
                <w:rFonts w:eastAsia="Times New Roman" w:cstheme="minorHAnsi"/>
                <w:b/>
                <w:bCs/>
                <w:color w:val="212529"/>
                <w:lang w:eastAsia="en-GB"/>
              </w:rPr>
              <w:t>Year</w:t>
            </w:r>
          </w:p>
        </w:tc>
        <w:tc>
          <w:tcPr>
            <w:tcW w:w="1179" w:type="dxa"/>
            <w:tcBorders>
              <w:top w:val="nil"/>
              <w:left w:val="nil"/>
              <w:bottom w:val="single" w:sz="4" w:space="0" w:color="auto"/>
              <w:right w:val="single" w:sz="4" w:space="0" w:color="auto"/>
            </w:tcBorders>
            <w:shd w:val="clear" w:color="auto" w:fill="auto"/>
            <w:noWrap/>
            <w:vAlign w:val="bottom"/>
            <w:hideMark/>
          </w:tcPr>
          <w:p w14:paraId="607F4518"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0</w:t>
            </w:r>
          </w:p>
        </w:tc>
        <w:tc>
          <w:tcPr>
            <w:tcW w:w="1118" w:type="dxa"/>
            <w:tcBorders>
              <w:top w:val="nil"/>
              <w:left w:val="nil"/>
              <w:bottom w:val="single" w:sz="4" w:space="0" w:color="auto"/>
              <w:right w:val="single" w:sz="4" w:space="0" w:color="auto"/>
            </w:tcBorders>
            <w:shd w:val="clear" w:color="auto" w:fill="auto"/>
            <w:noWrap/>
            <w:vAlign w:val="bottom"/>
            <w:hideMark/>
          </w:tcPr>
          <w:p w14:paraId="0D8A8775"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1</w:t>
            </w:r>
          </w:p>
        </w:tc>
        <w:tc>
          <w:tcPr>
            <w:tcW w:w="1179" w:type="dxa"/>
            <w:tcBorders>
              <w:top w:val="nil"/>
              <w:left w:val="nil"/>
              <w:bottom w:val="single" w:sz="4" w:space="0" w:color="auto"/>
              <w:right w:val="single" w:sz="4" w:space="0" w:color="auto"/>
            </w:tcBorders>
            <w:shd w:val="clear" w:color="auto" w:fill="auto"/>
            <w:noWrap/>
            <w:vAlign w:val="bottom"/>
            <w:hideMark/>
          </w:tcPr>
          <w:p w14:paraId="167B4FE6"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2</w:t>
            </w:r>
          </w:p>
        </w:tc>
        <w:tc>
          <w:tcPr>
            <w:tcW w:w="1179" w:type="dxa"/>
            <w:tcBorders>
              <w:top w:val="nil"/>
              <w:left w:val="nil"/>
              <w:bottom w:val="single" w:sz="4" w:space="0" w:color="auto"/>
              <w:right w:val="single" w:sz="8" w:space="0" w:color="auto"/>
            </w:tcBorders>
            <w:shd w:val="clear" w:color="auto" w:fill="auto"/>
            <w:noWrap/>
            <w:vAlign w:val="bottom"/>
            <w:hideMark/>
          </w:tcPr>
          <w:p w14:paraId="13B4ED78"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3</w:t>
            </w:r>
          </w:p>
        </w:tc>
      </w:tr>
      <w:tr w:rsidR="00A71FA1" w:rsidRPr="000B29B4" w14:paraId="7AE80238" w14:textId="77777777" w:rsidTr="004756C1">
        <w:trPr>
          <w:trHeight w:val="310"/>
        </w:trPr>
        <w:tc>
          <w:tcPr>
            <w:tcW w:w="2325" w:type="dxa"/>
            <w:tcBorders>
              <w:top w:val="nil"/>
              <w:left w:val="single" w:sz="8" w:space="0" w:color="auto"/>
              <w:bottom w:val="single" w:sz="4" w:space="0" w:color="auto"/>
              <w:right w:val="single" w:sz="4" w:space="0" w:color="auto"/>
            </w:tcBorders>
            <w:shd w:val="clear" w:color="000000" w:fill="FFFFFF"/>
            <w:vAlign w:val="center"/>
            <w:hideMark/>
          </w:tcPr>
          <w:p w14:paraId="6363FEA1" w14:textId="244FE617" w:rsidR="00A71FA1" w:rsidRPr="000B29B4" w:rsidRDefault="00A71FA1" w:rsidP="004756C1">
            <w:pPr>
              <w:spacing w:after="0" w:line="360" w:lineRule="auto"/>
              <w:jc w:val="center"/>
              <w:rPr>
                <w:rFonts w:eastAsia="Times New Roman" w:cstheme="minorHAnsi"/>
                <w:b/>
                <w:bCs/>
                <w:color w:val="212529"/>
                <w:lang w:eastAsia="en-GB"/>
              </w:rPr>
            </w:pPr>
            <w:r w:rsidRPr="000B29B4">
              <w:rPr>
                <w:rFonts w:eastAsia="Times New Roman" w:cstheme="minorHAnsi"/>
                <w:b/>
                <w:bCs/>
                <w:color w:val="212529"/>
                <w:lang w:eastAsia="en-GB"/>
              </w:rPr>
              <w:t xml:space="preserve">Initial </w:t>
            </w:r>
            <w:r w:rsidR="00F12ABA">
              <w:rPr>
                <w:rFonts w:eastAsia="Times New Roman" w:cstheme="minorHAnsi"/>
                <w:b/>
                <w:bCs/>
                <w:color w:val="212529"/>
                <w:lang w:eastAsia="en-GB"/>
              </w:rPr>
              <w:t>investment</w:t>
            </w:r>
          </w:p>
        </w:tc>
        <w:tc>
          <w:tcPr>
            <w:tcW w:w="1179" w:type="dxa"/>
            <w:tcBorders>
              <w:top w:val="nil"/>
              <w:left w:val="nil"/>
              <w:bottom w:val="single" w:sz="4" w:space="0" w:color="auto"/>
              <w:right w:val="single" w:sz="4" w:space="0" w:color="auto"/>
            </w:tcBorders>
            <w:shd w:val="clear" w:color="auto" w:fill="auto"/>
            <w:noWrap/>
            <w:vAlign w:val="bottom"/>
            <w:hideMark/>
          </w:tcPr>
          <w:p w14:paraId="0E2C5B88"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-450</w:t>
            </w:r>
          </w:p>
        </w:tc>
        <w:tc>
          <w:tcPr>
            <w:tcW w:w="1118" w:type="dxa"/>
            <w:tcBorders>
              <w:top w:val="nil"/>
              <w:left w:val="nil"/>
              <w:bottom w:val="single" w:sz="4" w:space="0" w:color="auto"/>
              <w:right w:val="single" w:sz="4" w:space="0" w:color="auto"/>
            </w:tcBorders>
            <w:shd w:val="clear" w:color="auto" w:fill="auto"/>
            <w:noWrap/>
            <w:vAlign w:val="bottom"/>
            <w:hideMark/>
          </w:tcPr>
          <w:p w14:paraId="56C0193E" w14:textId="77777777" w:rsidR="00A71FA1" w:rsidRPr="000B29B4" w:rsidRDefault="00A71FA1" w:rsidP="004756C1">
            <w:pPr>
              <w:spacing w:after="0" w:line="360" w:lineRule="auto"/>
              <w:rPr>
                <w:rFonts w:eastAsia="Times New Roman" w:cstheme="minorHAnsi"/>
                <w:color w:val="000000"/>
                <w:lang w:eastAsia="en-GB"/>
              </w:rPr>
            </w:pPr>
            <w:r w:rsidRPr="000B29B4">
              <w:rPr>
                <w:rFonts w:eastAsia="Times New Roman" w:cstheme="minorHAnsi"/>
                <w:color w:val="000000"/>
                <w:lang w:eastAsia="en-GB"/>
              </w:rPr>
              <w:t> </w:t>
            </w:r>
          </w:p>
        </w:tc>
        <w:tc>
          <w:tcPr>
            <w:tcW w:w="1179" w:type="dxa"/>
            <w:tcBorders>
              <w:top w:val="nil"/>
              <w:left w:val="nil"/>
              <w:bottom w:val="single" w:sz="4" w:space="0" w:color="auto"/>
              <w:right w:val="single" w:sz="4" w:space="0" w:color="auto"/>
            </w:tcBorders>
            <w:shd w:val="clear" w:color="auto" w:fill="auto"/>
            <w:noWrap/>
            <w:vAlign w:val="bottom"/>
            <w:hideMark/>
          </w:tcPr>
          <w:p w14:paraId="22953924" w14:textId="77777777" w:rsidR="00A71FA1" w:rsidRPr="000B29B4" w:rsidRDefault="00A71FA1" w:rsidP="004756C1">
            <w:pPr>
              <w:spacing w:after="0" w:line="360" w:lineRule="auto"/>
              <w:rPr>
                <w:rFonts w:eastAsia="Times New Roman" w:cstheme="minorHAnsi"/>
                <w:color w:val="000000"/>
                <w:lang w:eastAsia="en-GB"/>
              </w:rPr>
            </w:pPr>
            <w:r w:rsidRPr="000B29B4">
              <w:rPr>
                <w:rFonts w:eastAsia="Times New Roman" w:cstheme="minorHAnsi"/>
                <w:color w:val="000000"/>
                <w:lang w:eastAsia="en-GB"/>
              </w:rPr>
              <w:t> </w:t>
            </w:r>
          </w:p>
        </w:tc>
        <w:tc>
          <w:tcPr>
            <w:tcW w:w="1179" w:type="dxa"/>
            <w:tcBorders>
              <w:top w:val="nil"/>
              <w:left w:val="nil"/>
              <w:bottom w:val="single" w:sz="4" w:space="0" w:color="auto"/>
              <w:right w:val="single" w:sz="8" w:space="0" w:color="auto"/>
            </w:tcBorders>
            <w:shd w:val="clear" w:color="auto" w:fill="auto"/>
            <w:noWrap/>
            <w:vAlign w:val="bottom"/>
            <w:hideMark/>
          </w:tcPr>
          <w:p w14:paraId="51BDD6D8" w14:textId="77777777" w:rsidR="00A71FA1" w:rsidRPr="000B29B4" w:rsidRDefault="00A71FA1" w:rsidP="004756C1">
            <w:pPr>
              <w:spacing w:after="0" w:line="360" w:lineRule="auto"/>
              <w:rPr>
                <w:rFonts w:eastAsia="Times New Roman" w:cstheme="minorHAnsi"/>
                <w:color w:val="000000"/>
                <w:lang w:eastAsia="en-GB"/>
              </w:rPr>
            </w:pPr>
            <w:r w:rsidRPr="000B29B4">
              <w:rPr>
                <w:rFonts w:eastAsia="Times New Roman" w:cstheme="minorHAnsi"/>
                <w:color w:val="000000"/>
                <w:lang w:eastAsia="en-GB"/>
              </w:rPr>
              <w:t> </w:t>
            </w:r>
          </w:p>
        </w:tc>
      </w:tr>
      <w:tr w:rsidR="00A71FA1" w:rsidRPr="000B29B4" w14:paraId="082975E4" w14:textId="77777777" w:rsidTr="004756C1">
        <w:trPr>
          <w:trHeight w:val="310"/>
        </w:trPr>
        <w:tc>
          <w:tcPr>
            <w:tcW w:w="2325" w:type="dxa"/>
            <w:tcBorders>
              <w:top w:val="nil"/>
              <w:left w:val="single" w:sz="8" w:space="0" w:color="auto"/>
              <w:bottom w:val="single" w:sz="4" w:space="0" w:color="auto"/>
              <w:right w:val="single" w:sz="4" w:space="0" w:color="auto"/>
            </w:tcBorders>
            <w:shd w:val="clear" w:color="000000" w:fill="FFFFFF"/>
            <w:vAlign w:val="center"/>
            <w:hideMark/>
          </w:tcPr>
          <w:p w14:paraId="31AA11CF" w14:textId="77777777" w:rsidR="00A71FA1" w:rsidRPr="000B29B4" w:rsidRDefault="00A71FA1" w:rsidP="004756C1">
            <w:pPr>
              <w:spacing w:after="0" w:line="360" w:lineRule="auto"/>
              <w:jc w:val="center"/>
              <w:rPr>
                <w:rFonts w:eastAsia="Times New Roman" w:cstheme="minorHAnsi"/>
                <w:b/>
                <w:bCs/>
                <w:color w:val="212529"/>
                <w:lang w:eastAsia="en-GB"/>
              </w:rPr>
            </w:pPr>
            <w:r w:rsidRPr="000B29B4">
              <w:rPr>
                <w:rFonts w:eastAsia="Times New Roman" w:cstheme="minorHAnsi"/>
                <w:b/>
                <w:bCs/>
                <w:color w:val="212529"/>
                <w:lang w:eastAsia="en-GB"/>
              </w:rPr>
              <w:t xml:space="preserve">Expected Flows </w:t>
            </w:r>
          </w:p>
        </w:tc>
        <w:tc>
          <w:tcPr>
            <w:tcW w:w="1179" w:type="dxa"/>
            <w:tcBorders>
              <w:top w:val="nil"/>
              <w:left w:val="nil"/>
              <w:bottom w:val="single" w:sz="4" w:space="0" w:color="auto"/>
              <w:right w:val="single" w:sz="4" w:space="0" w:color="auto"/>
            </w:tcBorders>
            <w:shd w:val="clear" w:color="auto" w:fill="auto"/>
            <w:noWrap/>
            <w:vAlign w:val="bottom"/>
            <w:hideMark/>
          </w:tcPr>
          <w:p w14:paraId="647A0897" w14:textId="77777777" w:rsidR="00A71FA1" w:rsidRPr="000B29B4" w:rsidRDefault="00A71FA1" w:rsidP="004756C1">
            <w:pPr>
              <w:spacing w:after="0" w:line="360" w:lineRule="auto"/>
              <w:rPr>
                <w:rFonts w:eastAsia="Times New Roman" w:cstheme="minorHAnsi"/>
                <w:color w:val="000000"/>
                <w:lang w:eastAsia="en-GB"/>
              </w:rPr>
            </w:pPr>
            <w:r w:rsidRPr="000B29B4">
              <w:rPr>
                <w:rFonts w:eastAsia="Times New Roman" w:cstheme="minorHAnsi"/>
                <w:color w:val="000000"/>
                <w:lang w:eastAsia="en-GB"/>
              </w:rPr>
              <w:t> </w:t>
            </w:r>
          </w:p>
        </w:tc>
        <w:tc>
          <w:tcPr>
            <w:tcW w:w="1118" w:type="dxa"/>
            <w:tcBorders>
              <w:top w:val="nil"/>
              <w:left w:val="nil"/>
              <w:bottom w:val="single" w:sz="4" w:space="0" w:color="auto"/>
              <w:right w:val="single" w:sz="4" w:space="0" w:color="auto"/>
            </w:tcBorders>
            <w:shd w:val="clear" w:color="auto" w:fill="auto"/>
            <w:noWrap/>
            <w:vAlign w:val="bottom"/>
            <w:hideMark/>
          </w:tcPr>
          <w:p w14:paraId="38A87341"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180</w:t>
            </w:r>
          </w:p>
        </w:tc>
        <w:tc>
          <w:tcPr>
            <w:tcW w:w="1179" w:type="dxa"/>
            <w:tcBorders>
              <w:top w:val="nil"/>
              <w:left w:val="nil"/>
              <w:bottom w:val="single" w:sz="4" w:space="0" w:color="auto"/>
              <w:right w:val="single" w:sz="4" w:space="0" w:color="auto"/>
            </w:tcBorders>
            <w:shd w:val="clear" w:color="auto" w:fill="auto"/>
            <w:noWrap/>
            <w:vAlign w:val="bottom"/>
            <w:hideMark/>
          </w:tcPr>
          <w:p w14:paraId="315A5BC2"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210</w:t>
            </w:r>
          </w:p>
        </w:tc>
        <w:tc>
          <w:tcPr>
            <w:tcW w:w="1179" w:type="dxa"/>
            <w:tcBorders>
              <w:top w:val="nil"/>
              <w:left w:val="nil"/>
              <w:bottom w:val="single" w:sz="4" w:space="0" w:color="auto"/>
              <w:right w:val="single" w:sz="8" w:space="0" w:color="auto"/>
            </w:tcBorders>
            <w:shd w:val="clear" w:color="auto" w:fill="auto"/>
            <w:noWrap/>
            <w:vAlign w:val="bottom"/>
            <w:hideMark/>
          </w:tcPr>
          <w:p w14:paraId="727EDE77"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165</w:t>
            </w:r>
          </w:p>
        </w:tc>
      </w:tr>
      <w:tr w:rsidR="00A71FA1" w:rsidRPr="000B29B4" w14:paraId="753BFD8F" w14:textId="77777777" w:rsidTr="004756C1">
        <w:trPr>
          <w:trHeight w:val="310"/>
        </w:trPr>
        <w:tc>
          <w:tcPr>
            <w:tcW w:w="2325" w:type="dxa"/>
            <w:tcBorders>
              <w:top w:val="nil"/>
              <w:left w:val="single" w:sz="8" w:space="0" w:color="auto"/>
              <w:bottom w:val="single" w:sz="4" w:space="0" w:color="auto"/>
              <w:right w:val="single" w:sz="4" w:space="0" w:color="auto"/>
            </w:tcBorders>
            <w:shd w:val="clear" w:color="000000" w:fill="FFFFFF"/>
            <w:vAlign w:val="center"/>
            <w:hideMark/>
          </w:tcPr>
          <w:p w14:paraId="399C6CA4" w14:textId="77777777" w:rsidR="00A71FA1" w:rsidRPr="000B29B4" w:rsidRDefault="00A71FA1" w:rsidP="004756C1">
            <w:pPr>
              <w:spacing w:after="0" w:line="360" w:lineRule="auto"/>
              <w:jc w:val="center"/>
              <w:rPr>
                <w:rFonts w:eastAsia="Times New Roman" w:cstheme="minorHAnsi"/>
                <w:b/>
                <w:bCs/>
                <w:color w:val="212529"/>
                <w:lang w:eastAsia="en-GB"/>
              </w:rPr>
            </w:pPr>
            <w:r w:rsidRPr="000B29B4">
              <w:rPr>
                <w:rFonts w:eastAsia="Times New Roman" w:cstheme="minorHAnsi"/>
                <w:b/>
                <w:bCs/>
                <w:color w:val="212529"/>
                <w:lang w:eastAsia="en-GB"/>
              </w:rPr>
              <w:t xml:space="preserve">Discounted </w:t>
            </w:r>
            <w:proofErr w:type="spellStart"/>
            <w:r w:rsidRPr="000B29B4">
              <w:rPr>
                <w:rFonts w:eastAsia="Times New Roman" w:cstheme="minorHAnsi"/>
                <w:b/>
                <w:bCs/>
                <w:color w:val="212529"/>
                <w:lang w:eastAsia="en-GB"/>
              </w:rPr>
              <w:t>reate</w:t>
            </w:r>
            <w:proofErr w:type="spellEnd"/>
          </w:p>
        </w:tc>
        <w:tc>
          <w:tcPr>
            <w:tcW w:w="1179" w:type="dxa"/>
            <w:tcBorders>
              <w:top w:val="nil"/>
              <w:left w:val="nil"/>
              <w:bottom w:val="single" w:sz="4" w:space="0" w:color="auto"/>
              <w:right w:val="single" w:sz="4" w:space="0" w:color="auto"/>
            </w:tcBorders>
            <w:shd w:val="clear" w:color="auto" w:fill="auto"/>
            <w:noWrap/>
            <w:vAlign w:val="bottom"/>
            <w:hideMark/>
          </w:tcPr>
          <w:p w14:paraId="4100ADFD"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8.84%</w:t>
            </w:r>
          </w:p>
        </w:tc>
        <w:tc>
          <w:tcPr>
            <w:tcW w:w="1118" w:type="dxa"/>
            <w:tcBorders>
              <w:top w:val="nil"/>
              <w:left w:val="nil"/>
              <w:bottom w:val="single" w:sz="4" w:space="0" w:color="auto"/>
              <w:right w:val="single" w:sz="4" w:space="0" w:color="auto"/>
            </w:tcBorders>
            <w:shd w:val="clear" w:color="auto" w:fill="auto"/>
            <w:noWrap/>
            <w:vAlign w:val="bottom"/>
            <w:hideMark/>
          </w:tcPr>
          <w:p w14:paraId="521F97A7"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0.9187</w:t>
            </w:r>
          </w:p>
        </w:tc>
        <w:tc>
          <w:tcPr>
            <w:tcW w:w="1179" w:type="dxa"/>
            <w:tcBorders>
              <w:top w:val="nil"/>
              <w:left w:val="nil"/>
              <w:bottom w:val="single" w:sz="4" w:space="0" w:color="auto"/>
              <w:right w:val="single" w:sz="4" w:space="0" w:color="auto"/>
            </w:tcBorders>
            <w:shd w:val="clear" w:color="auto" w:fill="auto"/>
            <w:noWrap/>
            <w:vAlign w:val="bottom"/>
            <w:hideMark/>
          </w:tcPr>
          <w:p w14:paraId="2109CC38"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0.8441</w:t>
            </w:r>
          </w:p>
        </w:tc>
        <w:tc>
          <w:tcPr>
            <w:tcW w:w="1179" w:type="dxa"/>
            <w:tcBorders>
              <w:top w:val="nil"/>
              <w:left w:val="nil"/>
              <w:bottom w:val="single" w:sz="4" w:space="0" w:color="auto"/>
              <w:right w:val="single" w:sz="8" w:space="0" w:color="auto"/>
            </w:tcBorders>
            <w:shd w:val="clear" w:color="auto" w:fill="auto"/>
            <w:noWrap/>
            <w:vAlign w:val="bottom"/>
            <w:hideMark/>
          </w:tcPr>
          <w:p w14:paraId="0FEC3F10"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0.7756</w:t>
            </w:r>
          </w:p>
        </w:tc>
      </w:tr>
      <w:tr w:rsidR="00A71FA1" w:rsidRPr="000B29B4" w14:paraId="191E6578" w14:textId="77777777" w:rsidTr="004756C1">
        <w:trPr>
          <w:trHeight w:val="620"/>
        </w:trPr>
        <w:tc>
          <w:tcPr>
            <w:tcW w:w="2325" w:type="dxa"/>
            <w:tcBorders>
              <w:top w:val="nil"/>
              <w:left w:val="single" w:sz="8" w:space="0" w:color="auto"/>
              <w:bottom w:val="single" w:sz="4" w:space="0" w:color="auto"/>
              <w:right w:val="single" w:sz="4" w:space="0" w:color="auto"/>
            </w:tcBorders>
            <w:shd w:val="clear" w:color="000000" w:fill="FFFFFF"/>
            <w:vAlign w:val="center"/>
            <w:hideMark/>
          </w:tcPr>
          <w:p w14:paraId="197B525C" w14:textId="77777777" w:rsidR="00A71FA1" w:rsidRPr="000B29B4" w:rsidRDefault="00A71FA1" w:rsidP="004756C1">
            <w:pPr>
              <w:spacing w:after="0" w:line="360" w:lineRule="auto"/>
              <w:jc w:val="center"/>
              <w:rPr>
                <w:rFonts w:eastAsia="Times New Roman" w:cstheme="minorHAnsi"/>
                <w:b/>
                <w:bCs/>
                <w:color w:val="212529"/>
                <w:lang w:eastAsia="en-GB"/>
              </w:rPr>
            </w:pPr>
            <w:r w:rsidRPr="000B29B4">
              <w:rPr>
                <w:rFonts w:eastAsia="Times New Roman" w:cstheme="minorHAnsi"/>
                <w:b/>
                <w:bCs/>
                <w:color w:val="212529"/>
                <w:lang w:eastAsia="en-GB"/>
              </w:rPr>
              <w:t>PV of future cash inflow</w:t>
            </w:r>
          </w:p>
        </w:tc>
        <w:tc>
          <w:tcPr>
            <w:tcW w:w="1179" w:type="dxa"/>
            <w:tcBorders>
              <w:top w:val="nil"/>
              <w:left w:val="nil"/>
              <w:bottom w:val="single" w:sz="4" w:space="0" w:color="auto"/>
              <w:right w:val="single" w:sz="4" w:space="0" w:color="auto"/>
            </w:tcBorders>
            <w:shd w:val="clear" w:color="auto" w:fill="auto"/>
            <w:noWrap/>
            <w:vAlign w:val="bottom"/>
            <w:hideMark/>
          </w:tcPr>
          <w:p w14:paraId="2B134D31" w14:textId="77777777" w:rsidR="00A71FA1" w:rsidRPr="000B29B4" w:rsidRDefault="00A71FA1" w:rsidP="004756C1">
            <w:pPr>
              <w:spacing w:after="0" w:line="360" w:lineRule="auto"/>
              <w:rPr>
                <w:rFonts w:eastAsia="Times New Roman" w:cstheme="minorHAnsi"/>
                <w:color w:val="000000"/>
                <w:lang w:eastAsia="en-GB"/>
              </w:rPr>
            </w:pPr>
            <w:r w:rsidRPr="000B29B4">
              <w:rPr>
                <w:rFonts w:eastAsia="Times New Roman" w:cstheme="minorHAnsi"/>
                <w:color w:val="000000"/>
                <w:lang w:eastAsia="en-GB"/>
              </w:rPr>
              <w:t> </w:t>
            </w:r>
          </w:p>
        </w:tc>
        <w:tc>
          <w:tcPr>
            <w:tcW w:w="1118" w:type="dxa"/>
            <w:tcBorders>
              <w:top w:val="nil"/>
              <w:left w:val="nil"/>
              <w:bottom w:val="single" w:sz="4" w:space="0" w:color="auto"/>
              <w:right w:val="single" w:sz="4" w:space="0" w:color="auto"/>
            </w:tcBorders>
            <w:shd w:val="clear" w:color="auto" w:fill="auto"/>
            <w:noWrap/>
            <w:vAlign w:val="bottom"/>
            <w:hideMark/>
          </w:tcPr>
          <w:p w14:paraId="1E852C5E"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165.37</w:t>
            </w:r>
          </w:p>
        </w:tc>
        <w:tc>
          <w:tcPr>
            <w:tcW w:w="1179" w:type="dxa"/>
            <w:tcBorders>
              <w:top w:val="nil"/>
              <w:left w:val="nil"/>
              <w:bottom w:val="single" w:sz="4" w:space="0" w:color="auto"/>
              <w:right w:val="single" w:sz="4" w:space="0" w:color="auto"/>
            </w:tcBorders>
            <w:shd w:val="clear" w:color="auto" w:fill="auto"/>
            <w:noWrap/>
            <w:vAlign w:val="bottom"/>
            <w:hideMark/>
          </w:tcPr>
          <w:p w14:paraId="7603C446"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177.26</w:t>
            </w:r>
          </w:p>
        </w:tc>
        <w:tc>
          <w:tcPr>
            <w:tcW w:w="1179" w:type="dxa"/>
            <w:tcBorders>
              <w:top w:val="nil"/>
              <w:left w:val="nil"/>
              <w:bottom w:val="single" w:sz="4" w:space="0" w:color="auto"/>
              <w:right w:val="single" w:sz="8" w:space="0" w:color="auto"/>
            </w:tcBorders>
            <w:shd w:val="clear" w:color="auto" w:fill="auto"/>
            <w:noWrap/>
            <w:vAlign w:val="bottom"/>
            <w:hideMark/>
          </w:tcPr>
          <w:p w14:paraId="098D9F21"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127.97</w:t>
            </w:r>
          </w:p>
        </w:tc>
      </w:tr>
      <w:tr w:rsidR="00A71FA1" w:rsidRPr="000B29B4" w14:paraId="3340E5B1" w14:textId="77777777" w:rsidTr="004756C1">
        <w:trPr>
          <w:trHeight w:val="620"/>
        </w:trPr>
        <w:tc>
          <w:tcPr>
            <w:tcW w:w="2325" w:type="dxa"/>
            <w:tcBorders>
              <w:top w:val="nil"/>
              <w:left w:val="single" w:sz="8" w:space="0" w:color="auto"/>
              <w:bottom w:val="single" w:sz="4" w:space="0" w:color="auto"/>
              <w:right w:val="single" w:sz="4" w:space="0" w:color="auto"/>
            </w:tcBorders>
            <w:shd w:val="clear" w:color="000000" w:fill="FFFFFF"/>
            <w:vAlign w:val="center"/>
            <w:hideMark/>
          </w:tcPr>
          <w:p w14:paraId="3E277413" w14:textId="77777777" w:rsidR="00A71FA1" w:rsidRPr="000B29B4" w:rsidRDefault="00A71FA1" w:rsidP="004756C1">
            <w:pPr>
              <w:spacing w:after="0" w:line="360" w:lineRule="auto"/>
              <w:jc w:val="center"/>
              <w:rPr>
                <w:rFonts w:eastAsia="Times New Roman" w:cstheme="minorHAnsi"/>
                <w:b/>
                <w:bCs/>
                <w:color w:val="212529"/>
                <w:lang w:eastAsia="en-GB"/>
              </w:rPr>
            </w:pPr>
            <w:r w:rsidRPr="000B29B4">
              <w:rPr>
                <w:rFonts w:eastAsia="Times New Roman" w:cstheme="minorHAnsi"/>
                <w:b/>
                <w:bCs/>
                <w:color w:val="212529"/>
                <w:lang w:eastAsia="en-GB"/>
              </w:rPr>
              <w:t>Total Expected Cash Flows</w:t>
            </w:r>
          </w:p>
        </w:tc>
        <w:tc>
          <w:tcPr>
            <w:tcW w:w="1179" w:type="dxa"/>
            <w:tcBorders>
              <w:top w:val="nil"/>
              <w:left w:val="nil"/>
              <w:bottom w:val="single" w:sz="4" w:space="0" w:color="auto"/>
              <w:right w:val="single" w:sz="4" w:space="0" w:color="auto"/>
            </w:tcBorders>
            <w:shd w:val="clear" w:color="auto" w:fill="auto"/>
            <w:noWrap/>
            <w:vAlign w:val="bottom"/>
            <w:hideMark/>
          </w:tcPr>
          <w:p w14:paraId="0A9CE1AF"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-450</w:t>
            </w:r>
          </w:p>
        </w:tc>
        <w:tc>
          <w:tcPr>
            <w:tcW w:w="1118" w:type="dxa"/>
            <w:tcBorders>
              <w:top w:val="nil"/>
              <w:left w:val="nil"/>
              <w:bottom w:val="single" w:sz="4" w:space="0" w:color="auto"/>
              <w:right w:val="single" w:sz="4" w:space="0" w:color="auto"/>
            </w:tcBorders>
            <w:shd w:val="clear" w:color="auto" w:fill="auto"/>
            <w:noWrap/>
            <w:vAlign w:val="bottom"/>
            <w:hideMark/>
          </w:tcPr>
          <w:p w14:paraId="3F8AB5D0"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-284.63</w:t>
            </w:r>
          </w:p>
        </w:tc>
        <w:tc>
          <w:tcPr>
            <w:tcW w:w="1179" w:type="dxa"/>
            <w:tcBorders>
              <w:top w:val="nil"/>
              <w:left w:val="nil"/>
              <w:bottom w:val="single" w:sz="4" w:space="0" w:color="auto"/>
              <w:right w:val="single" w:sz="4" w:space="0" w:color="auto"/>
            </w:tcBorders>
            <w:shd w:val="clear" w:color="auto" w:fill="auto"/>
            <w:noWrap/>
            <w:vAlign w:val="bottom"/>
            <w:hideMark/>
          </w:tcPr>
          <w:p w14:paraId="476DD217"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-107.37</w:t>
            </w:r>
          </w:p>
        </w:tc>
        <w:tc>
          <w:tcPr>
            <w:tcW w:w="1179" w:type="dxa"/>
            <w:tcBorders>
              <w:top w:val="nil"/>
              <w:left w:val="nil"/>
              <w:bottom w:val="single" w:sz="4" w:space="0" w:color="auto"/>
              <w:right w:val="single" w:sz="8" w:space="0" w:color="auto"/>
            </w:tcBorders>
            <w:shd w:val="clear" w:color="auto" w:fill="auto"/>
            <w:noWrap/>
            <w:vAlign w:val="bottom"/>
            <w:hideMark/>
          </w:tcPr>
          <w:p w14:paraId="5B219AEA"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20.6</w:t>
            </w:r>
          </w:p>
        </w:tc>
      </w:tr>
      <w:tr w:rsidR="00A71FA1" w:rsidRPr="000B29B4" w14:paraId="44E67BAA" w14:textId="77777777" w:rsidTr="004756C1">
        <w:trPr>
          <w:trHeight w:val="320"/>
        </w:trPr>
        <w:tc>
          <w:tcPr>
            <w:tcW w:w="2325" w:type="dxa"/>
            <w:tcBorders>
              <w:top w:val="nil"/>
              <w:left w:val="single" w:sz="8" w:space="0" w:color="auto"/>
              <w:bottom w:val="single" w:sz="8" w:space="0" w:color="auto"/>
              <w:right w:val="single" w:sz="4" w:space="0" w:color="auto"/>
            </w:tcBorders>
            <w:shd w:val="clear" w:color="auto" w:fill="auto"/>
            <w:noWrap/>
            <w:vAlign w:val="bottom"/>
            <w:hideMark/>
          </w:tcPr>
          <w:p w14:paraId="5BB8733E" w14:textId="77777777" w:rsidR="00A71FA1" w:rsidRPr="000B29B4" w:rsidRDefault="00A71FA1" w:rsidP="004756C1">
            <w:pPr>
              <w:spacing w:after="0" w:line="360" w:lineRule="auto"/>
              <w:rPr>
                <w:rFonts w:eastAsia="Times New Roman" w:cstheme="minorHAnsi"/>
                <w:b/>
                <w:bCs/>
                <w:color w:val="000000"/>
                <w:lang w:eastAsia="en-GB"/>
              </w:rPr>
            </w:pPr>
            <w:r w:rsidRPr="000B29B4">
              <w:rPr>
                <w:rFonts w:eastAsia="Times New Roman" w:cstheme="minorHAnsi"/>
                <w:b/>
                <w:bCs/>
                <w:color w:val="000000"/>
                <w:lang w:eastAsia="en-GB"/>
              </w:rPr>
              <w:t>NPV</w:t>
            </w:r>
          </w:p>
        </w:tc>
        <w:tc>
          <w:tcPr>
            <w:tcW w:w="1179" w:type="dxa"/>
            <w:tcBorders>
              <w:top w:val="nil"/>
              <w:left w:val="nil"/>
              <w:bottom w:val="single" w:sz="8" w:space="0" w:color="auto"/>
              <w:right w:val="single" w:sz="4" w:space="0" w:color="auto"/>
            </w:tcBorders>
            <w:shd w:val="clear" w:color="auto" w:fill="auto"/>
            <w:noWrap/>
            <w:vAlign w:val="bottom"/>
            <w:hideMark/>
          </w:tcPr>
          <w:p w14:paraId="4E29F75A" w14:textId="77777777" w:rsidR="00A71FA1" w:rsidRPr="000B29B4" w:rsidRDefault="00A71FA1" w:rsidP="004756C1">
            <w:pPr>
              <w:spacing w:after="0" w:line="360" w:lineRule="auto"/>
              <w:jc w:val="right"/>
              <w:rPr>
                <w:rFonts w:eastAsia="Times New Roman" w:cstheme="minorHAnsi"/>
                <w:color w:val="000000"/>
                <w:lang w:eastAsia="en-GB"/>
              </w:rPr>
            </w:pPr>
            <w:r w:rsidRPr="000B29B4">
              <w:rPr>
                <w:rFonts w:eastAsia="Times New Roman" w:cstheme="minorHAnsi"/>
                <w:color w:val="000000"/>
                <w:lang w:eastAsia="en-GB"/>
              </w:rPr>
              <w:t>20.6</w:t>
            </w:r>
          </w:p>
        </w:tc>
        <w:tc>
          <w:tcPr>
            <w:tcW w:w="1118" w:type="dxa"/>
            <w:tcBorders>
              <w:top w:val="nil"/>
              <w:left w:val="nil"/>
              <w:bottom w:val="single" w:sz="8" w:space="0" w:color="auto"/>
              <w:right w:val="single" w:sz="4" w:space="0" w:color="auto"/>
            </w:tcBorders>
            <w:shd w:val="clear" w:color="auto" w:fill="auto"/>
            <w:noWrap/>
            <w:vAlign w:val="bottom"/>
            <w:hideMark/>
          </w:tcPr>
          <w:p w14:paraId="3B030BC4" w14:textId="77777777" w:rsidR="00A71FA1" w:rsidRPr="000B29B4" w:rsidRDefault="00A71FA1" w:rsidP="004756C1">
            <w:pPr>
              <w:spacing w:after="0" w:line="360" w:lineRule="auto"/>
              <w:rPr>
                <w:rFonts w:eastAsia="Times New Roman" w:cstheme="minorHAnsi"/>
                <w:color w:val="000000"/>
                <w:lang w:eastAsia="en-GB"/>
              </w:rPr>
            </w:pPr>
            <w:r w:rsidRPr="000B29B4">
              <w:rPr>
                <w:rFonts w:eastAsia="Times New Roman" w:cstheme="minorHAnsi"/>
                <w:color w:val="000000"/>
                <w:lang w:eastAsia="en-GB"/>
              </w:rPr>
              <w:t> </w:t>
            </w:r>
          </w:p>
        </w:tc>
        <w:tc>
          <w:tcPr>
            <w:tcW w:w="1179" w:type="dxa"/>
            <w:tcBorders>
              <w:top w:val="nil"/>
              <w:left w:val="nil"/>
              <w:bottom w:val="single" w:sz="8" w:space="0" w:color="auto"/>
              <w:right w:val="single" w:sz="4" w:space="0" w:color="auto"/>
            </w:tcBorders>
            <w:shd w:val="clear" w:color="auto" w:fill="auto"/>
            <w:noWrap/>
            <w:vAlign w:val="bottom"/>
            <w:hideMark/>
          </w:tcPr>
          <w:p w14:paraId="7EE73065" w14:textId="77777777" w:rsidR="00A71FA1" w:rsidRPr="000B29B4" w:rsidRDefault="00A71FA1" w:rsidP="004756C1">
            <w:pPr>
              <w:spacing w:after="0" w:line="360" w:lineRule="auto"/>
              <w:rPr>
                <w:rFonts w:eastAsia="Times New Roman" w:cstheme="minorHAnsi"/>
                <w:color w:val="000000"/>
                <w:lang w:eastAsia="en-GB"/>
              </w:rPr>
            </w:pPr>
            <w:r w:rsidRPr="000B29B4">
              <w:rPr>
                <w:rFonts w:eastAsia="Times New Roman" w:cstheme="minorHAnsi"/>
                <w:color w:val="000000"/>
                <w:lang w:eastAsia="en-GB"/>
              </w:rPr>
              <w:t> </w:t>
            </w:r>
          </w:p>
        </w:tc>
        <w:tc>
          <w:tcPr>
            <w:tcW w:w="1179" w:type="dxa"/>
            <w:tcBorders>
              <w:top w:val="nil"/>
              <w:left w:val="nil"/>
              <w:bottom w:val="single" w:sz="8" w:space="0" w:color="auto"/>
              <w:right w:val="single" w:sz="8" w:space="0" w:color="auto"/>
            </w:tcBorders>
            <w:shd w:val="clear" w:color="auto" w:fill="auto"/>
            <w:noWrap/>
            <w:vAlign w:val="bottom"/>
            <w:hideMark/>
          </w:tcPr>
          <w:p w14:paraId="06389CDD" w14:textId="77777777" w:rsidR="00A71FA1" w:rsidRPr="000B29B4" w:rsidRDefault="00A71FA1" w:rsidP="004756C1">
            <w:pPr>
              <w:spacing w:after="0" w:line="360" w:lineRule="auto"/>
              <w:rPr>
                <w:rFonts w:eastAsia="Times New Roman" w:cstheme="minorHAnsi"/>
                <w:color w:val="000000"/>
                <w:lang w:eastAsia="en-GB"/>
              </w:rPr>
            </w:pPr>
            <w:r w:rsidRPr="000B29B4">
              <w:rPr>
                <w:rFonts w:eastAsia="Times New Roman" w:cstheme="minorHAnsi"/>
                <w:color w:val="000000"/>
                <w:lang w:eastAsia="en-GB"/>
              </w:rPr>
              <w:t> </w:t>
            </w:r>
          </w:p>
        </w:tc>
      </w:tr>
    </w:tbl>
    <w:p w14:paraId="5922F722" w14:textId="77777777" w:rsidR="00A71FA1" w:rsidRPr="000B29B4" w:rsidRDefault="00A71FA1" w:rsidP="00A71FA1">
      <w:pPr>
        <w:spacing w:line="360" w:lineRule="auto"/>
        <w:rPr>
          <w:rFonts w:cstheme="minorHAnsi"/>
        </w:rPr>
      </w:pPr>
    </w:p>
    <w:p w14:paraId="2D6FAD0B" w14:textId="77777777" w:rsidR="00A71FA1" w:rsidRPr="000B29B4" w:rsidRDefault="00A71FA1" w:rsidP="00A71FA1">
      <w:pPr>
        <w:spacing w:line="360" w:lineRule="auto"/>
        <w:rPr>
          <w:rFonts w:cstheme="minorHAnsi"/>
        </w:rPr>
      </w:pPr>
      <w:r w:rsidRPr="000B29B4">
        <w:rPr>
          <w:rFonts w:cstheme="minorHAnsi"/>
        </w:rPr>
        <w:t>(Table 1, Calculating NPV. Numbers in million dollars)</w:t>
      </w:r>
    </w:p>
    <w:p w14:paraId="11B9450D" w14:textId="77777777" w:rsidR="000A5BF5" w:rsidRPr="00D5792F" w:rsidRDefault="000A5BF5" w:rsidP="0077018B">
      <w:pPr>
        <w:rPr>
          <w:rFonts w:cstheme="minorHAnsi"/>
        </w:rPr>
      </w:pPr>
    </w:p>
    <w:p w14:paraId="2DFD07A8" w14:textId="30B8CBD3" w:rsidR="0077018B" w:rsidRDefault="0077018B" w:rsidP="00D5792F">
      <w:pPr>
        <w:pStyle w:val="Heading1"/>
      </w:pPr>
      <w:bookmarkStart w:id="13" w:name="_Toc122273621"/>
      <w:r w:rsidRPr="00D5792F">
        <w:t>References</w:t>
      </w:r>
      <w:bookmarkEnd w:id="13"/>
    </w:p>
    <w:p w14:paraId="143984C8" w14:textId="77777777" w:rsidR="003E13BA" w:rsidRPr="00B52EF8" w:rsidRDefault="003E13BA" w:rsidP="003E13BA">
      <w:pPr>
        <w:pStyle w:val="NormalWeb"/>
        <w:numPr>
          <w:ilvl w:val="0"/>
          <w:numId w:val="1"/>
        </w:numPr>
        <w:spacing w:after="240" w:afterAutospacing="0"/>
        <w:rPr>
          <w:rFonts w:ascii="Calibri" w:hAnsi="Calibri" w:cs="Calibri"/>
          <w:sz w:val="22"/>
          <w:szCs w:val="22"/>
        </w:rPr>
      </w:pPr>
      <w:r w:rsidRPr="00277BBA">
        <w:rPr>
          <w:rFonts w:ascii="Calibri" w:hAnsi="Calibri" w:cs="Calibri"/>
          <w:sz w:val="22"/>
          <w:szCs w:val="22"/>
        </w:rPr>
        <w:t xml:space="preserve">Alpha Spread Limited (2022) </w:t>
      </w:r>
      <w:r w:rsidRPr="00277BBA">
        <w:rPr>
          <w:rFonts w:ascii="Calibri" w:hAnsi="Calibri" w:cs="Calibri"/>
          <w:i/>
          <w:iCs/>
          <w:sz w:val="22"/>
          <w:szCs w:val="22"/>
        </w:rPr>
        <w:t>SBUX current discount rate</w:t>
      </w:r>
      <w:r w:rsidRPr="00277BBA">
        <w:rPr>
          <w:rFonts w:ascii="Calibri" w:hAnsi="Calibri" w:cs="Calibri"/>
          <w:sz w:val="22"/>
          <w:szCs w:val="22"/>
        </w:rPr>
        <w:t>. Available at: https://www.alphaspread.com/security/nasdaq/sbux/discount-rate (Accessed: December 18, 2022)</w:t>
      </w:r>
      <w:r w:rsidRPr="00B208CE">
        <w:rPr>
          <w:shd w:val="clear" w:color="auto" w:fill="FFFFFF"/>
        </w:rPr>
        <w:t>.</w:t>
      </w:r>
    </w:p>
    <w:p w14:paraId="7DA79783" w14:textId="77777777" w:rsidR="003E13BA" w:rsidRPr="002821E3" w:rsidRDefault="003E13BA" w:rsidP="003E13BA">
      <w:pPr>
        <w:pStyle w:val="NoSpacing"/>
        <w:numPr>
          <w:ilvl w:val="0"/>
          <w:numId w:val="1"/>
        </w:numPr>
      </w:pPr>
      <w:proofErr w:type="spellStart"/>
      <w:r w:rsidRPr="00281153">
        <w:rPr>
          <w:shd w:val="clear" w:color="auto" w:fill="FFFFFF"/>
        </w:rPr>
        <w:t>Anadu</w:t>
      </w:r>
      <w:proofErr w:type="spellEnd"/>
      <w:r w:rsidRPr="00281153">
        <w:rPr>
          <w:shd w:val="clear" w:color="auto" w:fill="FFFFFF"/>
        </w:rPr>
        <w:t>, K. et al. (2020) ‘The shift from active to passive investing: Risks to financial stability?’. </w:t>
      </w:r>
      <w:r w:rsidRPr="00281153">
        <w:rPr>
          <w:i/>
          <w:iCs/>
          <w:shd w:val="clear" w:color="auto" w:fill="FFFFFF"/>
        </w:rPr>
        <w:t>Financial Analysts Journal</w:t>
      </w:r>
      <w:r w:rsidRPr="00281153">
        <w:rPr>
          <w:shd w:val="clear" w:color="auto" w:fill="FFFFFF"/>
        </w:rPr>
        <w:t>, </w:t>
      </w:r>
      <w:r w:rsidRPr="00281153">
        <w:rPr>
          <w:i/>
          <w:iCs/>
          <w:shd w:val="clear" w:color="auto" w:fill="FFFFFF"/>
        </w:rPr>
        <w:t>76</w:t>
      </w:r>
      <w:r w:rsidRPr="00281153">
        <w:rPr>
          <w:shd w:val="clear" w:color="auto" w:fill="FFFFFF"/>
        </w:rPr>
        <w:t>(4), pp.23-39.</w:t>
      </w:r>
    </w:p>
    <w:p w14:paraId="216C78E6" w14:textId="77777777" w:rsidR="003E13BA" w:rsidRPr="00A931BC" w:rsidRDefault="003E13BA" w:rsidP="003E13BA">
      <w:pPr>
        <w:pStyle w:val="NoSpacing"/>
      </w:pPr>
    </w:p>
    <w:p w14:paraId="5966D037" w14:textId="77777777" w:rsidR="003E13BA" w:rsidRPr="002821E3" w:rsidRDefault="003E13BA" w:rsidP="003E13BA">
      <w:pPr>
        <w:pStyle w:val="NoSpacing"/>
        <w:numPr>
          <w:ilvl w:val="0"/>
          <w:numId w:val="1"/>
        </w:numPr>
      </w:pPr>
      <w:r w:rsidRPr="00A931BC">
        <w:rPr>
          <w:color w:val="333333"/>
          <w:shd w:val="clear" w:color="auto" w:fill="FFFFFF"/>
        </w:rPr>
        <w:t>Bekaert, G.J. (2013) </w:t>
      </w:r>
      <w:r w:rsidRPr="00A931BC">
        <w:rPr>
          <w:i/>
          <w:iCs/>
          <w:color w:val="333333"/>
          <w:shd w:val="clear" w:color="auto" w:fill="FFFFFF"/>
        </w:rPr>
        <w:t>International financial management </w:t>
      </w:r>
      <w:r w:rsidRPr="00A931BC">
        <w:rPr>
          <w:color w:val="333333"/>
          <w:shd w:val="clear" w:color="auto" w:fill="FFFFFF"/>
        </w:rPr>
        <w:t>. 2nd ed., international ed. Harlow : $b Pearson, $c 2013., Harlow : $b Pearson, $c 2013</w:t>
      </w:r>
      <w:r>
        <w:rPr>
          <w:color w:val="333333"/>
          <w:shd w:val="clear" w:color="auto" w:fill="FFFFFF"/>
        </w:rPr>
        <w:t>.</w:t>
      </w:r>
    </w:p>
    <w:p w14:paraId="584EC4D1" w14:textId="77777777" w:rsidR="003E13BA" w:rsidRPr="00A931BC" w:rsidRDefault="003E13BA" w:rsidP="003E13BA">
      <w:pPr>
        <w:pStyle w:val="NoSpacing"/>
      </w:pPr>
    </w:p>
    <w:p w14:paraId="60E162E9" w14:textId="77777777" w:rsidR="003E13BA" w:rsidRDefault="003E13BA" w:rsidP="003E13BA">
      <w:pPr>
        <w:pStyle w:val="NoSpacing"/>
        <w:numPr>
          <w:ilvl w:val="0"/>
          <w:numId w:val="1"/>
        </w:numPr>
      </w:pPr>
      <w:r w:rsidRPr="00A931BC">
        <w:t>Bragg, S. (2022) </w:t>
      </w:r>
      <w:r w:rsidRPr="00A931BC">
        <w:rPr>
          <w:i/>
          <w:iCs/>
        </w:rPr>
        <w:t>Net present value analysis —</w:t>
      </w:r>
      <w:r w:rsidRPr="00A931BC">
        <w:t>, </w:t>
      </w:r>
      <w:r w:rsidRPr="00A931BC">
        <w:rPr>
          <w:i/>
          <w:iCs/>
        </w:rPr>
        <w:t>Accounting Tools</w:t>
      </w:r>
      <w:r w:rsidRPr="00A931BC">
        <w:t>. Available at: https://www.accountingtools.com/articles/net-present-value-analysis (Accessed: November 29, 2022).</w:t>
      </w:r>
    </w:p>
    <w:p w14:paraId="419C6E72" w14:textId="77777777" w:rsidR="003E13BA" w:rsidRPr="00A931BC" w:rsidRDefault="003E13BA" w:rsidP="003E13BA">
      <w:pPr>
        <w:pStyle w:val="NoSpacing"/>
      </w:pPr>
    </w:p>
    <w:p w14:paraId="2945D12D" w14:textId="77777777" w:rsidR="003E13BA" w:rsidRDefault="003E13BA" w:rsidP="003E13BA">
      <w:pPr>
        <w:pStyle w:val="NoSpacing"/>
        <w:numPr>
          <w:ilvl w:val="0"/>
          <w:numId w:val="1"/>
        </w:numPr>
        <w:rPr>
          <w:shd w:val="clear" w:color="auto" w:fill="FFFFFF"/>
        </w:rPr>
      </w:pPr>
      <w:r w:rsidRPr="00281153">
        <w:rPr>
          <w:shd w:val="clear" w:color="auto" w:fill="FFFFFF"/>
        </w:rPr>
        <w:t>Chen, K., Li, M. and Tang, Z. (2021) ‘Analysis of Firms’ Share Repurchases ‘Causation: A Case Study of Starbucks’. In </w:t>
      </w:r>
      <w:r w:rsidRPr="00281153">
        <w:rPr>
          <w:i/>
          <w:iCs/>
          <w:shd w:val="clear" w:color="auto" w:fill="FFFFFF"/>
        </w:rPr>
        <w:t>2021 3rd International Conference on Economic Management and Cultural Industry (ICEMCI 2021)</w:t>
      </w:r>
      <w:r w:rsidRPr="00281153">
        <w:rPr>
          <w:shd w:val="clear" w:color="auto" w:fill="FFFFFF"/>
        </w:rPr>
        <w:t> (pp. 142-151). Atlantis Press.</w:t>
      </w:r>
    </w:p>
    <w:p w14:paraId="767662F1" w14:textId="77777777" w:rsidR="003E13BA" w:rsidRDefault="003E13BA" w:rsidP="003E13BA">
      <w:pPr>
        <w:pStyle w:val="NoSpacing"/>
        <w:rPr>
          <w:shd w:val="clear" w:color="auto" w:fill="FFFFFF"/>
        </w:rPr>
      </w:pPr>
    </w:p>
    <w:p w14:paraId="36BEAF36" w14:textId="77777777" w:rsidR="003E13BA" w:rsidRPr="002821E3" w:rsidRDefault="003E13BA" w:rsidP="003E13BA">
      <w:pPr>
        <w:pStyle w:val="NoSpacing"/>
        <w:numPr>
          <w:ilvl w:val="0"/>
          <w:numId w:val="1"/>
        </w:numPr>
        <w:rPr>
          <w:shd w:val="clear" w:color="auto" w:fill="FFFFFF"/>
        </w:rPr>
      </w:pPr>
      <w:proofErr w:type="spellStart"/>
      <w:r w:rsidRPr="00A931BC">
        <w:lastRenderedPageBreak/>
        <w:t>Dikov</w:t>
      </w:r>
      <w:proofErr w:type="spellEnd"/>
      <w:r w:rsidRPr="00A931BC">
        <w:t>, D. (2020) </w:t>
      </w:r>
      <w:r w:rsidRPr="00A931BC">
        <w:rPr>
          <w:i/>
          <w:iCs/>
        </w:rPr>
        <w:t>Using the Net Present Value (NPV) in financial analysis</w:t>
      </w:r>
      <w:r w:rsidRPr="00A931BC">
        <w:t>, </w:t>
      </w:r>
      <w:proofErr w:type="spellStart"/>
      <w:r w:rsidRPr="00A931BC">
        <w:rPr>
          <w:i/>
          <w:iCs/>
        </w:rPr>
        <w:t>Magnimetrics</w:t>
      </w:r>
      <w:proofErr w:type="spellEnd"/>
      <w:r w:rsidRPr="00A931BC">
        <w:t>. Available at: https://medium.com/magnimetrics/using-the-net-present-value-npv-in-financial-analysis-68bfe71bc2 (Accessed: November 29, 2022).</w:t>
      </w:r>
    </w:p>
    <w:p w14:paraId="4C54879A" w14:textId="77777777" w:rsidR="003E13BA" w:rsidRPr="00A931BC" w:rsidRDefault="003E13BA" w:rsidP="003E13BA">
      <w:pPr>
        <w:pStyle w:val="NoSpacing"/>
        <w:rPr>
          <w:shd w:val="clear" w:color="auto" w:fill="FFFFFF"/>
        </w:rPr>
      </w:pPr>
    </w:p>
    <w:p w14:paraId="61E308BE" w14:textId="77777777" w:rsidR="003E13BA" w:rsidRPr="00F4452B" w:rsidRDefault="003E13BA" w:rsidP="003E13BA">
      <w:pPr>
        <w:pStyle w:val="NoSpacing"/>
        <w:numPr>
          <w:ilvl w:val="0"/>
          <w:numId w:val="1"/>
        </w:numPr>
        <w:rPr>
          <w:shd w:val="clear" w:color="auto" w:fill="FFFFFF"/>
        </w:rPr>
      </w:pPr>
      <w:proofErr w:type="spellStart"/>
      <w:r w:rsidRPr="00A931BC">
        <w:t>Dividendmax</w:t>
      </w:r>
      <w:proofErr w:type="spellEnd"/>
      <w:r w:rsidRPr="00A931BC">
        <w:t xml:space="preserve"> (2022) </w:t>
      </w:r>
      <w:r w:rsidRPr="00A931BC">
        <w:rPr>
          <w:i/>
          <w:iCs/>
        </w:rPr>
        <w:t>Starbucks Corp. (SBUX)</w:t>
      </w:r>
      <w:r w:rsidRPr="00A931BC">
        <w:t>. Available at: https://www.dividendmax.com/united-states/nasdaq/food-and-drug-retailers/starbucks-corp/dividends (Accessed: December 7, 2022).</w:t>
      </w:r>
    </w:p>
    <w:p w14:paraId="5DD34D25" w14:textId="77777777" w:rsidR="003E13BA" w:rsidRPr="00F4452B" w:rsidRDefault="003E13BA" w:rsidP="003E13BA">
      <w:pPr>
        <w:pStyle w:val="NoSpacing"/>
      </w:pPr>
    </w:p>
    <w:p w14:paraId="0E436268" w14:textId="77777777" w:rsidR="003E13BA" w:rsidRPr="003E6544" w:rsidRDefault="003E13BA" w:rsidP="003E13BA">
      <w:pPr>
        <w:pStyle w:val="NoSpacing"/>
        <w:numPr>
          <w:ilvl w:val="0"/>
          <w:numId w:val="1"/>
        </w:numPr>
        <w:rPr>
          <w:shd w:val="clear" w:color="auto" w:fill="FFFFFF"/>
        </w:rPr>
      </w:pPr>
      <w:r w:rsidRPr="00F4452B">
        <w:t>Dow Jones and Company (2022)</w:t>
      </w:r>
      <w:r w:rsidRPr="00F4452B">
        <w:rPr>
          <w:i/>
          <w:iCs/>
        </w:rPr>
        <w:t> SBUX. Wall Street Journal.</w:t>
      </w:r>
      <w:r w:rsidRPr="00F4452B">
        <w:t xml:space="preserve"> Available at: https://www.wsj.com/market-data/quotes/SBUX/financials/annual/balance-sheet (Accessed: November 30, 2022).</w:t>
      </w:r>
    </w:p>
    <w:p w14:paraId="4A22DAB7" w14:textId="77777777" w:rsidR="003E13BA" w:rsidRPr="00F4452B" w:rsidRDefault="003E13BA" w:rsidP="003E13BA">
      <w:pPr>
        <w:pStyle w:val="NoSpacing"/>
        <w:rPr>
          <w:shd w:val="clear" w:color="auto" w:fill="FFFFFF"/>
        </w:rPr>
      </w:pPr>
    </w:p>
    <w:p w14:paraId="362D7B64" w14:textId="77777777" w:rsidR="003E13BA" w:rsidRPr="003E6544" w:rsidRDefault="003E13BA" w:rsidP="003E13BA">
      <w:pPr>
        <w:pStyle w:val="NoSpacing"/>
        <w:numPr>
          <w:ilvl w:val="0"/>
          <w:numId w:val="1"/>
        </w:numPr>
      </w:pPr>
      <w:proofErr w:type="spellStart"/>
      <w:r w:rsidRPr="00EB3C54">
        <w:rPr>
          <w:shd w:val="clear" w:color="auto" w:fill="FFFFFF"/>
        </w:rPr>
        <w:t>Fama</w:t>
      </w:r>
      <w:proofErr w:type="spellEnd"/>
      <w:r w:rsidRPr="00EB3C54">
        <w:rPr>
          <w:shd w:val="clear" w:color="auto" w:fill="FFFFFF"/>
        </w:rPr>
        <w:t>, E.F. (1970) ‘Efficient capital markets: A review of theory and empirical work’. </w:t>
      </w:r>
      <w:r w:rsidRPr="00EB3C54">
        <w:rPr>
          <w:i/>
          <w:iCs/>
          <w:shd w:val="clear" w:color="auto" w:fill="FFFFFF"/>
        </w:rPr>
        <w:t>The journal of Finance</w:t>
      </w:r>
      <w:r w:rsidRPr="00EB3C54">
        <w:rPr>
          <w:shd w:val="clear" w:color="auto" w:fill="FFFFFF"/>
        </w:rPr>
        <w:t>, </w:t>
      </w:r>
      <w:r w:rsidRPr="00EB3C54">
        <w:rPr>
          <w:i/>
          <w:iCs/>
          <w:shd w:val="clear" w:color="auto" w:fill="FFFFFF"/>
        </w:rPr>
        <w:t>25</w:t>
      </w:r>
      <w:r w:rsidRPr="00EB3C54">
        <w:rPr>
          <w:shd w:val="clear" w:color="auto" w:fill="FFFFFF"/>
        </w:rPr>
        <w:t>(2), pp.383-417.</w:t>
      </w:r>
    </w:p>
    <w:p w14:paraId="09E38E2A" w14:textId="77777777" w:rsidR="003E13BA" w:rsidRPr="00F4452B" w:rsidRDefault="003E13BA" w:rsidP="003E13BA">
      <w:pPr>
        <w:pStyle w:val="NoSpacing"/>
      </w:pPr>
    </w:p>
    <w:p w14:paraId="79D184C5" w14:textId="77777777" w:rsidR="003E13BA" w:rsidRDefault="003E13BA" w:rsidP="003E13BA">
      <w:pPr>
        <w:pStyle w:val="NoSpacing"/>
        <w:numPr>
          <w:ilvl w:val="0"/>
          <w:numId w:val="1"/>
        </w:numPr>
      </w:pPr>
      <w:r w:rsidRPr="00337722">
        <w:rPr>
          <w:shd w:val="clear" w:color="auto" w:fill="FFFFFF"/>
        </w:rPr>
        <w:t xml:space="preserve">FCA (2022) </w:t>
      </w:r>
      <w:r w:rsidRPr="00337722">
        <w:rPr>
          <w:i/>
          <w:iCs/>
        </w:rPr>
        <w:t>MAR 1.3 Insider dealing - FCA Handbook</w:t>
      </w:r>
      <w:r w:rsidRPr="00337722">
        <w:t> (no date) </w:t>
      </w:r>
      <w:r w:rsidRPr="00337722">
        <w:rPr>
          <w:i/>
          <w:iCs/>
        </w:rPr>
        <w:t>Org.uk</w:t>
      </w:r>
      <w:r w:rsidRPr="00337722">
        <w:t>. Available at: https://www.handbook.fca.org.uk/handbook/MAR/1/3.html (Accessed: December 7, 2022).</w:t>
      </w:r>
    </w:p>
    <w:p w14:paraId="75DF7D83" w14:textId="77777777" w:rsidR="003E13BA" w:rsidRPr="00337722" w:rsidRDefault="003E13BA" w:rsidP="003E13BA">
      <w:pPr>
        <w:pStyle w:val="NoSpacing"/>
      </w:pPr>
    </w:p>
    <w:p w14:paraId="19DF05D9" w14:textId="77777777" w:rsidR="003E13BA" w:rsidRDefault="003E13BA" w:rsidP="003E13BA">
      <w:pPr>
        <w:pStyle w:val="NoSpacing"/>
        <w:numPr>
          <w:ilvl w:val="0"/>
          <w:numId w:val="1"/>
        </w:numPr>
      </w:pPr>
      <w:r w:rsidRPr="00337722">
        <w:t>Fernando, J. (2022) </w:t>
      </w:r>
      <w:r w:rsidRPr="00337722">
        <w:rPr>
          <w:i/>
          <w:iCs/>
        </w:rPr>
        <w:t>Net present value (NPV): What it means and steps to calculate it</w:t>
      </w:r>
      <w:r w:rsidRPr="00337722">
        <w:t>, </w:t>
      </w:r>
      <w:r w:rsidRPr="00337722">
        <w:rPr>
          <w:i/>
          <w:iCs/>
        </w:rPr>
        <w:t>Investopedia</w:t>
      </w:r>
      <w:r w:rsidRPr="00337722">
        <w:t>. Available at: https://www.investopedia.com/terms/n/npv.asp (Accessed: November 29, 2022).</w:t>
      </w:r>
    </w:p>
    <w:p w14:paraId="1BF02808" w14:textId="77777777" w:rsidR="003E13BA" w:rsidRPr="00337722" w:rsidRDefault="003E13BA" w:rsidP="003E13BA">
      <w:pPr>
        <w:pStyle w:val="NoSpacing"/>
      </w:pPr>
    </w:p>
    <w:p w14:paraId="57E3BEC8" w14:textId="3A1E6D75" w:rsidR="003E13BA" w:rsidRDefault="003E13BA" w:rsidP="003E13BA">
      <w:pPr>
        <w:pStyle w:val="NoSpacing"/>
        <w:numPr>
          <w:ilvl w:val="0"/>
          <w:numId w:val="1"/>
        </w:numPr>
      </w:pPr>
      <w:r w:rsidRPr="00337722">
        <w:t xml:space="preserve">Forbes (2022) </w:t>
      </w:r>
      <w:r w:rsidRPr="00337722">
        <w:rPr>
          <w:i/>
          <w:iCs/>
        </w:rPr>
        <w:t>What’s happening with Starbucks stock?</w:t>
      </w:r>
      <w:r w:rsidRPr="00337722">
        <w:t xml:space="preserve"> Available at: https://www.forbes.com/sites/greatspeculations/2022/09/23/whats-happening-with-starbucks-stock/ (Accessed: December 7, 2022).</w:t>
      </w:r>
    </w:p>
    <w:p w14:paraId="571AE049" w14:textId="77777777" w:rsidR="003E13BA" w:rsidRPr="00337722" w:rsidRDefault="003E13BA" w:rsidP="003E13BA">
      <w:pPr>
        <w:pStyle w:val="NoSpacing"/>
      </w:pPr>
    </w:p>
    <w:p w14:paraId="3D1B445C" w14:textId="77777777" w:rsidR="003E13BA" w:rsidRPr="00B52EF8" w:rsidRDefault="003E13BA" w:rsidP="003E13BA">
      <w:pPr>
        <w:pStyle w:val="NoSpacing"/>
        <w:numPr>
          <w:ilvl w:val="0"/>
          <w:numId w:val="1"/>
        </w:numPr>
        <w:rPr>
          <w:shd w:val="clear" w:color="auto" w:fill="FFFFFF"/>
        </w:rPr>
      </w:pPr>
      <w:r w:rsidRPr="00337722">
        <w:rPr>
          <w:shd w:val="clear" w:color="auto" w:fill="FFFFFF"/>
        </w:rPr>
        <w:t xml:space="preserve">Hamid, K. et al. (2017) </w:t>
      </w:r>
      <w:r>
        <w:rPr>
          <w:shd w:val="clear" w:color="auto" w:fill="FFFFFF"/>
        </w:rPr>
        <w:t>‘</w:t>
      </w:r>
      <w:r w:rsidRPr="00337722">
        <w:rPr>
          <w:shd w:val="clear" w:color="auto" w:fill="FFFFFF"/>
        </w:rPr>
        <w:t xml:space="preserve">Testing the weak form of efficient market hypothesis: Empirical evidence from Asia-Pacific </w:t>
      </w:r>
      <w:proofErr w:type="gramStart"/>
      <w:r w:rsidRPr="00337722">
        <w:rPr>
          <w:shd w:val="clear" w:color="auto" w:fill="FFFFFF"/>
        </w:rPr>
        <w:t>markets</w:t>
      </w:r>
      <w:r>
        <w:rPr>
          <w:shd w:val="clear" w:color="auto" w:fill="FFFFFF"/>
        </w:rPr>
        <w:t>’</w:t>
      </w:r>
      <w:proofErr w:type="gramEnd"/>
      <w:r w:rsidRPr="00337722">
        <w:rPr>
          <w:shd w:val="clear" w:color="auto" w:fill="FFFFFF"/>
        </w:rPr>
        <w:t>. </w:t>
      </w:r>
      <w:r w:rsidRPr="00337722">
        <w:rPr>
          <w:i/>
          <w:iCs/>
          <w:shd w:val="clear" w:color="auto" w:fill="FFFFFF"/>
        </w:rPr>
        <w:t>Available at SSRN 2912908</w:t>
      </w:r>
      <w:r w:rsidRPr="00337722">
        <w:rPr>
          <w:shd w:val="clear" w:color="auto" w:fill="FFFFFF"/>
        </w:rPr>
        <w:t>.</w:t>
      </w:r>
    </w:p>
    <w:p w14:paraId="5A1A5037" w14:textId="77777777" w:rsidR="003E13BA" w:rsidRPr="00B52EF8" w:rsidRDefault="003E13BA" w:rsidP="003E13BA">
      <w:pPr>
        <w:pStyle w:val="NoSpacing"/>
        <w:numPr>
          <w:ilvl w:val="0"/>
          <w:numId w:val="1"/>
        </w:numPr>
        <w:spacing w:before="240" w:after="240"/>
        <w:rPr>
          <w:shd w:val="clear" w:color="auto" w:fill="FFFFFF"/>
        </w:rPr>
      </w:pPr>
      <w:r w:rsidRPr="00281153">
        <w:rPr>
          <w:shd w:val="clear" w:color="auto" w:fill="FFFFFF"/>
        </w:rPr>
        <w:t>Liu, X. (2022) ‘Exploring the Future Value of Starbucks’. In </w:t>
      </w:r>
      <w:r w:rsidRPr="00281153">
        <w:rPr>
          <w:i/>
          <w:iCs/>
          <w:shd w:val="clear" w:color="auto" w:fill="FFFFFF"/>
        </w:rPr>
        <w:t>2022 2nd International Conference on Enterprise Management and Economic Development (ICEMED 2022)</w:t>
      </w:r>
      <w:r w:rsidRPr="00281153">
        <w:rPr>
          <w:shd w:val="clear" w:color="auto" w:fill="FFFFFF"/>
        </w:rPr>
        <w:t> (pp. 793-800). Atlantis Press.</w:t>
      </w:r>
    </w:p>
    <w:p w14:paraId="3E84432B" w14:textId="77777777" w:rsidR="003E13BA" w:rsidRPr="00B52EF8" w:rsidRDefault="003E13BA" w:rsidP="003E13BA">
      <w:pPr>
        <w:pStyle w:val="NoSpacing"/>
        <w:numPr>
          <w:ilvl w:val="0"/>
          <w:numId w:val="1"/>
        </w:numPr>
        <w:spacing w:after="240"/>
        <w:rPr>
          <w:shd w:val="clear" w:color="auto" w:fill="FFFFFF"/>
        </w:rPr>
      </w:pPr>
      <w:r w:rsidRPr="00E22820">
        <w:rPr>
          <w:rFonts w:ascii="Calibri" w:hAnsi="Calibri" w:cs="Calibri"/>
        </w:rPr>
        <w:t>Lucas, A. (2022) </w:t>
      </w:r>
      <w:r w:rsidRPr="00E22820">
        <w:rPr>
          <w:rFonts w:ascii="Calibri" w:hAnsi="Calibri" w:cs="Calibri"/>
          <w:i/>
          <w:iCs/>
        </w:rPr>
        <w:t>Starbucks hikes long-term financial forecast as it unveils reinvention plan</w:t>
      </w:r>
      <w:r w:rsidRPr="00E22820">
        <w:rPr>
          <w:rFonts w:ascii="Calibri" w:hAnsi="Calibri" w:cs="Calibri"/>
        </w:rPr>
        <w:t>, </w:t>
      </w:r>
      <w:r w:rsidRPr="00E22820">
        <w:rPr>
          <w:rFonts w:ascii="Calibri" w:hAnsi="Calibri" w:cs="Calibri"/>
          <w:i/>
          <w:iCs/>
        </w:rPr>
        <w:t>CNBC</w:t>
      </w:r>
      <w:r w:rsidRPr="00E22820">
        <w:rPr>
          <w:rFonts w:ascii="Calibri" w:hAnsi="Calibri" w:cs="Calibri"/>
        </w:rPr>
        <w:t>. Available at: https://www.cnbc.com/2022/09/13/starbucks-projects-long-term-earnings-revenue-growth-in-double-digits-as-it-implements-new-strategy.html (Accessed: November 29, 2022).</w:t>
      </w:r>
    </w:p>
    <w:p w14:paraId="7311A5C1" w14:textId="77777777" w:rsidR="003E13BA" w:rsidRPr="00E22820" w:rsidRDefault="003E13BA" w:rsidP="003E13BA">
      <w:pPr>
        <w:pStyle w:val="NoSpacing"/>
        <w:numPr>
          <w:ilvl w:val="0"/>
          <w:numId w:val="1"/>
        </w:numPr>
        <w:rPr>
          <w:shd w:val="clear" w:color="auto" w:fill="FFFFFF"/>
        </w:rPr>
      </w:pPr>
      <w:proofErr w:type="spellStart"/>
      <w:r w:rsidRPr="00E22820">
        <w:rPr>
          <w:shd w:val="clear" w:color="auto" w:fill="FFFFFF"/>
        </w:rPr>
        <w:t>Lumapow</w:t>
      </w:r>
      <w:proofErr w:type="spellEnd"/>
      <w:r w:rsidRPr="00E22820">
        <w:rPr>
          <w:shd w:val="clear" w:color="auto" w:fill="FFFFFF"/>
        </w:rPr>
        <w:t xml:space="preserve">, L.S. and </w:t>
      </w:r>
      <w:proofErr w:type="spellStart"/>
      <w:r w:rsidRPr="00E22820">
        <w:rPr>
          <w:shd w:val="clear" w:color="auto" w:fill="FFFFFF"/>
        </w:rPr>
        <w:t>Tumiwa</w:t>
      </w:r>
      <w:proofErr w:type="spellEnd"/>
      <w:r w:rsidRPr="00E22820">
        <w:rPr>
          <w:shd w:val="clear" w:color="auto" w:fill="FFFFFF"/>
        </w:rPr>
        <w:t xml:space="preserve">, R.A.F. (2017) </w:t>
      </w:r>
      <w:r>
        <w:rPr>
          <w:shd w:val="clear" w:color="auto" w:fill="FFFFFF"/>
        </w:rPr>
        <w:t>‘</w:t>
      </w:r>
      <w:r w:rsidRPr="00E22820">
        <w:rPr>
          <w:shd w:val="clear" w:color="auto" w:fill="FFFFFF"/>
        </w:rPr>
        <w:t>The effect of dividend policy, firm size, and productivity to the firm value’. </w:t>
      </w:r>
      <w:r w:rsidRPr="00E22820">
        <w:rPr>
          <w:i/>
          <w:iCs/>
          <w:shd w:val="clear" w:color="auto" w:fill="FFFFFF"/>
        </w:rPr>
        <w:t>Research Journal of Finance and Accounting</w:t>
      </w:r>
      <w:r w:rsidRPr="00E22820">
        <w:rPr>
          <w:shd w:val="clear" w:color="auto" w:fill="FFFFFF"/>
        </w:rPr>
        <w:t>, </w:t>
      </w:r>
      <w:r w:rsidRPr="00E22820">
        <w:rPr>
          <w:i/>
          <w:iCs/>
          <w:shd w:val="clear" w:color="auto" w:fill="FFFFFF"/>
        </w:rPr>
        <w:t>8</w:t>
      </w:r>
      <w:r w:rsidRPr="00E22820">
        <w:rPr>
          <w:shd w:val="clear" w:color="auto" w:fill="FFFFFF"/>
        </w:rPr>
        <w:t>(22), pp.20-24.</w:t>
      </w:r>
    </w:p>
    <w:p w14:paraId="0710D4DA" w14:textId="77777777" w:rsidR="003E13BA" w:rsidRPr="00337722" w:rsidRDefault="003E13BA" w:rsidP="003E13BA">
      <w:pPr>
        <w:pStyle w:val="NoSpacing"/>
        <w:ind w:left="720"/>
      </w:pPr>
    </w:p>
    <w:p w14:paraId="2BC26CDD" w14:textId="77777777" w:rsidR="003E13BA" w:rsidRDefault="003E13BA" w:rsidP="003E13BA">
      <w:pPr>
        <w:pStyle w:val="NoSpacing"/>
        <w:numPr>
          <w:ilvl w:val="0"/>
          <w:numId w:val="1"/>
        </w:numPr>
        <w:rPr>
          <w:shd w:val="clear" w:color="auto" w:fill="FFFFFF"/>
        </w:rPr>
      </w:pPr>
      <w:r w:rsidRPr="00337722">
        <w:rPr>
          <w:shd w:val="clear" w:color="auto" w:fill="FFFFFF"/>
        </w:rPr>
        <w:t xml:space="preserve">Mackey, </w:t>
      </w:r>
      <w:proofErr w:type="gramStart"/>
      <w:r w:rsidRPr="00337722">
        <w:rPr>
          <w:shd w:val="clear" w:color="auto" w:fill="FFFFFF"/>
        </w:rPr>
        <w:t>A.M.</w:t>
      </w:r>
      <w:proofErr w:type="gramEnd"/>
      <w:r w:rsidRPr="00337722">
        <w:rPr>
          <w:shd w:val="clear" w:color="auto" w:fill="FFFFFF"/>
        </w:rPr>
        <w:t xml:space="preserve"> and Bacon, F.W. (2017) </w:t>
      </w:r>
      <w:r>
        <w:rPr>
          <w:shd w:val="clear" w:color="auto" w:fill="FFFFFF"/>
        </w:rPr>
        <w:t>‘</w:t>
      </w:r>
      <w:r w:rsidRPr="00337722">
        <w:rPr>
          <w:shd w:val="clear" w:color="auto" w:fill="FFFFFF"/>
        </w:rPr>
        <w:t>Signalling with stock issues and repurchases: A test of semi-strong form market efficiency</w:t>
      </w:r>
      <w:r>
        <w:rPr>
          <w:shd w:val="clear" w:color="auto" w:fill="FFFFFF"/>
        </w:rPr>
        <w:t>’</w:t>
      </w:r>
      <w:r w:rsidRPr="00337722">
        <w:rPr>
          <w:shd w:val="clear" w:color="auto" w:fill="FFFFFF"/>
        </w:rPr>
        <w:t>. </w:t>
      </w:r>
      <w:r w:rsidRPr="00337722">
        <w:rPr>
          <w:i/>
          <w:iCs/>
          <w:shd w:val="clear" w:color="auto" w:fill="FFFFFF"/>
        </w:rPr>
        <w:t xml:space="preserve">Journal of Business and </w:t>
      </w:r>
      <w:proofErr w:type="spellStart"/>
      <w:r w:rsidRPr="00337722">
        <w:rPr>
          <w:i/>
          <w:iCs/>
          <w:shd w:val="clear" w:color="auto" w:fill="FFFFFF"/>
        </w:rPr>
        <w:t>Behavioral</w:t>
      </w:r>
      <w:proofErr w:type="spellEnd"/>
      <w:r w:rsidRPr="00337722">
        <w:rPr>
          <w:i/>
          <w:iCs/>
          <w:shd w:val="clear" w:color="auto" w:fill="FFFFFF"/>
        </w:rPr>
        <w:t xml:space="preserve"> Sciences</w:t>
      </w:r>
      <w:r w:rsidRPr="00337722">
        <w:rPr>
          <w:shd w:val="clear" w:color="auto" w:fill="FFFFFF"/>
        </w:rPr>
        <w:t>, </w:t>
      </w:r>
      <w:r w:rsidRPr="00337722">
        <w:rPr>
          <w:i/>
          <w:iCs/>
          <w:shd w:val="clear" w:color="auto" w:fill="FFFFFF"/>
        </w:rPr>
        <w:t>29</w:t>
      </w:r>
      <w:r w:rsidRPr="00337722">
        <w:rPr>
          <w:shd w:val="clear" w:color="auto" w:fill="FFFFFF"/>
        </w:rPr>
        <w:t>(1), p.34.</w:t>
      </w:r>
    </w:p>
    <w:p w14:paraId="5CD72091" w14:textId="77777777" w:rsidR="003E13BA" w:rsidRPr="00337722" w:rsidRDefault="003E13BA" w:rsidP="003E13BA">
      <w:pPr>
        <w:pStyle w:val="NoSpacing"/>
        <w:rPr>
          <w:shd w:val="clear" w:color="auto" w:fill="FFFFFF"/>
        </w:rPr>
      </w:pPr>
    </w:p>
    <w:p w14:paraId="4409430D" w14:textId="77777777" w:rsidR="003E13BA" w:rsidRPr="0055048C" w:rsidRDefault="003E13BA" w:rsidP="003E13BA">
      <w:pPr>
        <w:pStyle w:val="NoSpacing"/>
        <w:numPr>
          <w:ilvl w:val="0"/>
          <w:numId w:val="1"/>
        </w:numPr>
      </w:pPr>
      <w:proofErr w:type="spellStart"/>
      <w:r w:rsidRPr="00337722">
        <w:rPr>
          <w:shd w:val="clear" w:color="auto" w:fill="FFFFFF"/>
        </w:rPr>
        <w:t>Markovics</w:t>
      </w:r>
      <w:proofErr w:type="spellEnd"/>
      <w:r w:rsidRPr="00337722">
        <w:rPr>
          <w:shd w:val="clear" w:color="auto" w:fill="FFFFFF"/>
        </w:rPr>
        <w:t xml:space="preserve">, S. K. (2016) </w:t>
      </w:r>
      <w:r>
        <w:rPr>
          <w:shd w:val="clear" w:color="auto" w:fill="FFFFFF"/>
        </w:rPr>
        <w:t>‘</w:t>
      </w:r>
      <w:r w:rsidRPr="00337722">
        <w:rPr>
          <w:shd w:val="clear" w:color="auto" w:fill="FFFFFF"/>
        </w:rPr>
        <w:t>Capital budgeting methods used in some European countries and in the United States</w:t>
      </w:r>
      <w:r>
        <w:rPr>
          <w:shd w:val="clear" w:color="auto" w:fill="FFFFFF"/>
        </w:rPr>
        <w:t>’</w:t>
      </w:r>
      <w:r w:rsidRPr="00337722">
        <w:rPr>
          <w:shd w:val="clear" w:color="auto" w:fill="FFFFFF"/>
        </w:rPr>
        <w:t>. </w:t>
      </w:r>
      <w:r w:rsidRPr="00337722">
        <w:rPr>
          <w:i/>
          <w:iCs/>
          <w:shd w:val="clear" w:color="auto" w:fill="FFFFFF"/>
        </w:rPr>
        <w:t>Universal Journal of Management</w:t>
      </w:r>
      <w:r w:rsidRPr="00337722">
        <w:rPr>
          <w:shd w:val="clear" w:color="auto" w:fill="FFFFFF"/>
        </w:rPr>
        <w:t>, </w:t>
      </w:r>
      <w:r w:rsidRPr="00337722">
        <w:rPr>
          <w:i/>
          <w:iCs/>
          <w:shd w:val="clear" w:color="auto" w:fill="FFFFFF"/>
        </w:rPr>
        <w:t>4</w:t>
      </w:r>
      <w:r w:rsidRPr="00337722">
        <w:rPr>
          <w:shd w:val="clear" w:color="auto" w:fill="FFFFFF"/>
        </w:rPr>
        <w:t>(6), 348-360.</w:t>
      </w:r>
    </w:p>
    <w:p w14:paraId="325E2489" w14:textId="77777777" w:rsidR="003E13BA" w:rsidRPr="00337722" w:rsidRDefault="003E13BA" w:rsidP="003E13BA">
      <w:pPr>
        <w:pStyle w:val="NoSpacing"/>
      </w:pPr>
    </w:p>
    <w:p w14:paraId="60AC7B4D" w14:textId="77777777" w:rsidR="003E13BA" w:rsidRDefault="003E13BA" w:rsidP="003E13BA">
      <w:pPr>
        <w:pStyle w:val="NoSpacing"/>
        <w:numPr>
          <w:ilvl w:val="0"/>
          <w:numId w:val="1"/>
        </w:numPr>
        <w:rPr>
          <w:shd w:val="clear" w:color="auto" w:fill="FFFFFF"/>
        </w:rPr>
      </w:pPr>
      <w:r w:rsidRPr="00337722">
        <w:rPr>
          <w:shd w:val="clear" w:color="auto" w:fill="FFFFFF"/>
        </w:rPr>
        <w:t xml:space="preserve">Murtaza, M., et al. (2018) </w:t>
      </w:r>
      <w:r>
        <w:rPr>
          <w:shd w:val="clear" w:color="auto" w:fill="FFFFFF"/>
        </w:rPr>
        <w:t>‘</w:t>
      </w:r>
      <w:r w:rsidRPr="00337722">
        <w:rPr>
          <w:shd w:val="clear" w:color="auto" w:fill="FFFFFF"/>
        </w:rPr>
        <w:t xml:space="preserve">An analytical review of dividend policy </w:t>
      </w:r>
      <w:proofErr w:type="gramStart"/>
      <w:r w:rsidRPr="00337722">
        <w:rPr>
          <w:shd w:val="clear" w:color="auto" w:fill="FFFFFF"/>
        </w:rPr>
        <w:t>theories</w:t>
      </w:r>
      <w:r>
        <w:rPr>
          <w:shd w:val="clear" w:color="auto" w:fill="FFFFFF"/>
        </w:rPr>
        <w:t>’</w:t>
      </w:r>
      <w:proofErr w:type="gramEnd"/>
      <w:r w:rsidRPr="00337722">
        <w:rPr>
          <w:shd w:val="clear" w:color="auto" w:fill="FFFFFF"/>
        </w:rPr>
        <w:t>. </w:t>
      </w:r>
      <w:r w:rsidRPr="00337722">
        <w:rPr>
          <w:i/>
          <w:iCs/>
          <w:shd w:val="clear" w:color="auto" w:fill="FFFFFF"/>
        </w:rPr>
        <w:t>Journal of Advanced Research in Business and Management Studies</w:t>
      </w:r>
      <w:r w:rsidRPr="00337722">
        <w:rPr>
          <w:shd w:val="clear" w:color="auto" w:fill="FFFFFF"/>
        </w:rPr>
        <w:t>, </w:t>
      </w:r>
      <w:r w:rsidRPr="00337722">
        <w:rPr>
          <w:i/>
          <w:iCs/>
          <w:shd w:val="clear" w:color="auto" w:fill="FFFFFF"/>
        </w:rPr>
        <w:t>11</w:t>
      </w:r>
      <w:r w:rsidRPr="00337722">
        <w:rPr>
          <w:shd w:val="clear" w:color="auto" w:fill="FFFFFF"/>
        </w:rPr>
        <w:t>(1), pp.62-76.</w:t>
      </w:r>
    </w:p>
    <w:p w14:paraId="54032984" w14:textId="77777777" w:rsidR="003E13BA" w:rsidRPr="00337722" w:rsidRDefault="003E13BA" w:rsidP="003E13BA">
      <w:pPr>
        <w:pStyle w:val="NoSpacing"/>
        <w:rPr>
          <w:shd w:val="clear" w:color="auto" w:fill="FFFFFF"/>
        </w:rPr>
      </w:pPr>
    </w:p>
    <w:p w14:paraId="185C800D" w14:textId="77777777" w:rsidR="003E13BA" w:rsidRDefault="003E13BA" w:rsidP="003E13BA">
      <w:pPr>
        <w:pStyle w:val="NoSpacing"/>
        <w:numPr>
          <w:ilvl w:val="0"/>
          <w:numId w:val="1"/>
        </w:numPr>
      </w:pPr>
      <w:r w:rsidRPr="00337722">
        <w:lastRenderedPageBreak/>
        <w:t xml:space="preserve">Nasdaq (2022) </w:t>
      </w:r>
      <w:r w:rsidRPr="00337722">
        <w:rPr>
          <w:i/>
          <w:iCs/>
        </w:rPr>
        <w:t>SBUX Advanced chart</w:t>
      </w:r>
      <w:r w:rsidRPr="00337722">
        <w:t>. Available at: https://www.dividendmax.com/united-states/nasdaq/food-and-drug-retailers/starbucks-corp/dividends (Accessed: December 7, 2022).</w:t>
      </w:r>
    </w:p>
    <w:p w14:paraId="2FA9370F" w14:textId="77777777" w:rsidR="003E13BA" w:rsidRPr="00337722" w:rsidRDefault="003E13BA" w:rsidP="003E13BA">
      <w:pPr>
        <w:pStyle w:val="NoSpacing"/>
      </w:pPr>
    </w:p>
    <w:p w14:paraId="09B2071B" w14:textId="77777777" w:rsidR="003E13BA" w:rsidRDefault="003E13BA" w:rsidP="003E13BA">
      <w:pPr>
        <w:pStyle w:val="NoSpacing"/>
        <w:numPr>
          <w:ilvl w:val="0"/>
          <w:numId w:val="1"/>
        </w:numPr>
        <w:rPr>
          <w:shd w:val="clear" w:color="auto" w:fill="FFFFFF"/>
        </w:rPr>
      </w:pPr>
      <w:r w:rsidRPr="00281153">
        <w:rPr>
          <w:shd w:val="clear" w:color="auto" w:fill="FFFFFF"/>
        </w:rPr>
        <w:t>Nguyen, H. T. H. (2017) ‘Stock Market Liquidity: Financially Constrained Firms and Share Repurchase’. </w:t>
      </w:r>
      <w:r w:rsidRPr="00281153">
        <w:rPr>
          <w:i/>
          <w:iCs/>
          <w:shd w:val="clear" w:color="auto" w:fill="FFFFFF"/>
        </w:rPr>
        <w:t>Accounting and Finance Research</w:t>
      </w:r>
      <w:r w:rsidRPr="00281153">
        <w:rPr>
          <w:shd w:val="clear" w:color="auto" w:fill="FFFFFF"/>
        </w:rPr>
        <w:t>, </w:t>
      </w:r>
      <w:r w:rsidRPr="00281153">
        <w:rPr>
          <w:i/>
          <w:iCs/>
          <w:shd w:val="clear" w:color="auto" w:fill="FFFFFF"/>
        </w:rPr>
        <w:t>6</w:t>
      </w:r>
      <w:r w:rsidRPr="00281153">
        <w:rPr>
          <w:shd w:val="clear" w:color="auto" w:fill="FFFFFF"/>
        </w:rPr>
        <w:t>(4), 130-154.</w:t>
      </w:r>
    </w:p>
    <w:p w14:paraId="0DC74352" w14:textId="77777777" w:rsidR="003E13BA" w:rsidRPr="00281153" w:rsidRDefault="003E13BA" w:rsidP="003E13BA">
      <w:pPr>
        <w:pStyle w:val="NoSpacing"/>
        <w:rPr>
          <w:shd w:val="clear" w:color="auto" w:fill="FFFFFF"/>
        </w:rPr>
      </w:pPr>
    </w:p>
    <w:p w14:paraId="306E5038" w14:textId="77777777" w:rsidR="003E13BA" w:rsidRPr="0055048C" w:rsidRDefault="003E13BA" w:rsidP="003E13BA">
      <w:pPr>
        <w:pStyle w:val="NoSpacing"/>
        <w:numPr>
          <w:ilvl w:val="0"/>
          <w:numId w:val="1"/>
        </w:numPr>
        <w:rPr>
          <w:noProof/>
        </w:rPr>
      </w:pPr>
      <w:proofErr w:type="spellStart"/>
      <w:r w:rsidRPr="0055048C">
        <w:rPr>
          <w:shd w:val="clear" w:color="auto" w:fill="FFFFFF"/>
        </w:rPr>
        <w:t>Peymankar</w:t>
      </w:r>
      <w:proofErr w:type="spellEnd"/>
      <w:r w:rsidRPr="0055048C">
        <w:rPr>
          <w:shd w:val="clear" w:color="auto" w:fill="FFFFFF"/>
        </w:rPr>
        <w:t xml:space="preserve">, M. and </w:t>
      </w:r>
      <w:proofErr w:type="spellStart"/>
      <w:r w:rsidRPr="0055048C">
        <w:rPr>
          <w:shd w:val="clear" w:color="auto" w:fill="FFFFFF"/>
        </w:rPr>
        <w:t>Ranjbar</w:t>
      </w:r>
      <w:proofErr w:type="spellEnd"/>
      <w:r w:rsidRPr="0055048C">
        <w:rPr>
          <w:shd w:val="clear" w:color="auto" w:fill="FFFFFF"/>
        </w:rPr>
        <w:t>, M. (2021) ‘Maximizing the Net Present Value in Project Scheduling Under Periodic Inflation’. </w:t>
      </w:r>
      <w:r w:rsidRPr="0055048C">
        <w:rPr>
          <w:i/>
          <w:iCs/>
          <w:shd w:val="clear" w:color="auto" w:fill="FFFFFF"/>
        </w:rPr>
        <w:t>Asia-Pacific Journal of Operational Research</w:t>
      </w:r>
      <w:r w:rsidRPr="0055048C">
        <w:rPr>
          <w:shd w:val="clear" w:color="auto" w:fill="FFFFFF"/>
        </w:rPr>
        <w:t>, </w:t>
      </w:r>
      <w:r w:rsidRPr="0055048C">
        <w:rPr>
          <w:i/>
          <w:iCs/>
          <w:shd w:val="clear" w:color="auto" w:fill="FFFFFF"/>
        </w:rPr>
        <w:t>38</w:t>
      </w:r>
      <w:r w:rsidRPr="0055048C">
        <w:rPr>
          <w:shd w:val="clear" w:color="auto" w:fill="FFFFFF"/>
        </w:rPr>
        <w:t>(04), p.2050057.</w:t>
      </w:r>
    </w:p>
    <w:p w14:paraId="13084D5D" w14:textId="77777777" w:rsidR="003E13BA" w:rsidRPr="00281153" w:rsidRDefault="003E13BA" w:rsidP="003E13BA">
      <w:pPr>
        <w:pStyle w:val="NoSpacing"/>
        <w:rPr>
          <w:noProof/>
        </w:rPr>
      </w:pPr>
    </w:p>
    <w:p w14:paraId="408C942B" w14:textId="77777777" w:rsidR="003E13BA" w:rsidRDefault="003E13BA" w:rsidP="003E13BA">
      <w:pPr>
        <w:pStyle w:val="NoSpacing"/>
        <w:numPr>
          <w:ilvl w:val="0"/>
          <w:numId w:val="1"/>
        </w:numPr>
        <w:rPr>
          <w:shd w:val="clear" w:color="auto" w:fill="FFFFFF"/>
        </w:rPr>
      </w:pPr>
      <w:proofErr w:type="spellStart"/>
      <w:r w:rsidRPr="00281153">
        <w:rPr>
          <w:shd w:val="clear" w:color="auto" w:fill="FFFFFF"/>
        </w:rPr>
        <w:t>Rozen</w:t>
      </w:r>
      <w:proofErr w:type="spellEnd"/>
      <w:r w:rsidRPr="00281153">
        <w:rPr>
          <w:shd w:val="clear" w:color="auto" w:fill="FFFFFF"/>
        </w:rPr>
        <w:t>, H. and Hertz, S. (2019) ‘A Test of Managerial Discretion and Market Efficiency in the Public Venture Capital Industry’. </w:t>
      </w:r>
      <w:r w:rsidRPr="00281153">
        <w:rPr>
          <w:i/>
          <w:iCs/>
          <w:shd w:val="clear" w:color="auto" w:fill="FFFFFF"/>
        </w:rPr>
        <w:t>Journal of Applied Business &amp; Economics</w:t>
      </w:r>
      <w:r w:rsidRPr="00281153">
        <w:rPr>
          <w:shd w:val="clear" w:color="auto" w:fill="FFFFFF"/>
        </w:rPr>
        <w:t>, </w:t>
      </w:r>
      <w:r w:rsidRPr="00281153">
        <w:rPr>
          <w:i/>
          <w:iCs/>
          <w:shd w:val="clear" w:color="auto" w:fill="FFFFFF"/>
        </w:rPr>
        <w:t>21</w:t>
      </w:r>
      <w:r w:rsidRPr="00281153">
        <w:rPr>
          <w:shd w:val="clear" w:color="auto" w:fill="FFFFFF"/>
        </w:rPr>
        <w:t>(3).</w:t>
      </w:r>
    </w:p>
    <w:p w14:paraId="6C1D15FA" w14:textId="77777777" w:rsidR="003E13BA" w:rsidRPr="00281153" w:rsidRDefault="003E13BA" w:rsidP="003E13BA">
      <w:pPr>
        <w:pStyle w:val="NoSpacing"/>
        <w:rPr>
          <w:shd w:val="clear" w:color="auto" w:fill="FFFFFF"/>
        </w:rPr>
      </w:pPr>
    </w:p>
    <w:p w14:paraId="32E1084A" w14:textId="77777777" w:rsidR="003E13BA" w:rsidRDefault="003E13BA" w:rsidP="003E13BA">
      <w:pPr>
        <w:pStyle w:val="NoSpacing"/>
        <w:numPr>
          <w:ilvl w:val="0"/>
          <w:numId w:val="1"/>
        </w:numPr>
        <w:rPr>
          <w:shd w:val="clear" w:color="auto" w:fill="FFFFFF"/>
        </w:rPr>
      </w:pPr>
      <w:r w:rsidRPr="00337722">
        <w:rPr>
          <w:shd w:val="clear" w:color="auto" w:fill="FFFFFF"/>
        </w:rPr>
        <w:t xml:space="preserve">Shankar Singh, U. (2021) </w:t>
      </w:r>
      <w:r>
        <w:rPr>
          <w:shd w:val="clear" w:color="auto" w:fill="FFFFFF"/>
        </w:rPr>
        <w:t>‘</w:t>
      </w:r>
      <w:proofErr w:type="spellStart"/>
      <w:r w:rsidRPr="00337722">
        <w:rPr>
          <w:shd w:val="clear" w:color="auto" w:fill="FFFFFF"/>
        </w:rPr>
        <w:t>Modeling</w:t>
      </w:r>
      <w:proofErr w:type="spellEnd"/>
      <w:r w:rsidRPr="00337722">
        <w:rPr>
          <w:shd w:val="clear" w:color="auto" w:fill="FFFFFF"/>
        </w:rPr>
        <w:t xml:space="preserve"> of dividend </w:t>
      </w:r>
      <w:proofErr w:type="spellStart"/>
      <w:r w:rsidRPr="00337722">
        <w:rPr>
          <w:shd w:val="clear" w:color="auto" w:fill="FFFFFF"/>
        </w:rPr>
        <w:t>payout</w:t>
      </w:r>
      <w:proofErr w:type="spellEnd"/>
      <w:r w:rsidRPr="00337722">
        <w:rPr>
          <w:shd w:val="clear" w:color="auto" w:fill="FFFFFF"/>
        </w:rPr>
        <w:t>, retention, yield, capital gains and irrelevance and its impact on value of the firm</w:t>
      </w:r>
      <w:r>
        <w:rPr>
          <w:shd w:val="clear" w:color="auto" w:fill="FFFFFF"/>
        </w:rPr>
        <w:t>’</w:t>
      </w:r>
      <w:r w:rsidRPr="00337722">
        <w:rPr>
          <w:shd w:val="clear" w:color="auto" w:fill="FFFFFF"/>
        </w:rPr>
        <w:t>. </w:t>
      </w:r>
      <w:r w:rsidRPr="00337722">
        <w:rPr>
          <w:i/>
          <w:iCs/>
          <w:shd w:val="clear" w:color="auto" w:fill="FFFFFF"/>
        </w:rPr>
        <w:t>Journal of Contemporary Issues in Business and Government</w:t>
      </w:r>
      <w:r w:rsidRPr="00337722">
        <w:rPr>
          <w:shd w:val="clear" w:color="auto" w:fill="FFFFFF"/>
        </w:rPr>
        <w:t>, </w:t>
      </w:r>
      <w:r w:rsidRPr="00337722">
        <w:rPr>
          <w:i/>
          <w:iCs/>
          <w:shd w:val="clear" w:color="auto" w:fill="FFFFFF"/>
        </w:rPr>
        <w:t>27</w:t>
      </w:r>
      <w:r w:rsidRPr="00337722">
        <w:rPr>
          <w:shd w:val="clear" w:color="auto" w:fill="FFFFFF"/>
        </w:rPr>
        <w:t>(2), pp.5166-5178.</w:t>
      </w:r>
    </w:p>
    <w:p w14:paraId="7E07CB15" w14:textId="77777777" w:rsidR="003E13BA" w:rsidRPr="00337722" w:rsidRDefault="003E13BA" w:rsidP="003E13BA">
      <w:pPr>
        <w:pStyle w:val="NoSpacing"/>
        <w:rPr>
          <w:shd w:val="clear" w:color="auto" w:fill="FFFFFF"/>
        </w:rPr>
      </w:pPr>
    </w:p>
    <w:p w14:paraId="0C06DA6B" w14:textId="77777777" w:rsidR="003E13BA" w:rsidRDefault="003E13BA" w:rsidP="003E13BA">
      <w:pPr>
        <w:pStyle w:val="NoSpacing"/>
        <w:numPr>
          <w:ilvl w:val="0"/>
          <w:numId w:val="1"/>
        </w:numPr>
        <w:rPr>
          <w:color w:val="37393C"/>
          <w:shd w:val="clear" w:color="auto" w:fill="FFFFFF"/>
        </w:rPr>
      </w:pPr>
      <w:r w:rsidRPr="00281153">
        <w:t>Starbucks corporation (2022</w:t>
      </w:r>
      <w:r w:rsidRPr="00281153">
        <w:rPr>
          <w:i/>
          <w:iCs/>
        </w:rPr>
        <w:t>) Global Environmental &amp; Social Impact</w:t>
      </w:r>
      <w:r w:rsidRPr="00281153">
        <w:t xml:space="preserve"> Report</w:t>
      </w:r>
      <w:r w:rsidRPr="00281153">
        <w:rPr>
          <w:color w:val="37393C"/>
          <w:shd w:val="clear" w:color="auto" w:fill="FFFFFF"/>
        </w:rPr>
        <w:t xml:space="preserve"> Available at: https://stories.starbucks.com/uploads/2021/04/Starbucks-2020-Global-Environmental-and-Social-Impact-Report.pdf (Accessed: November 8, 2022).</w:t>
      </w:r>
    </w:p>
    <w:p w14:paraId="7DF60306" w14:textId="77777777" w:rsidR="003E13BA" w:rsidRDefault="003E13BA" w:rsidP="003E13BA">
      <w:pPr>
        <w:pStyle w:val="NoSpacing"/>
        <w:rPr>
          <w:color w:val="37393C"/>
          <w:shd w:val="clear" w:color="auto" w:fill="FFFFFF"/>
        </w:rPr>
      </w:pPr>
    </w:p>
    <w:p w14:paraId="61DEFA4F" w14:textId="77777777" w:rsidR="003E13BA" w:rsidRPr="0055048C" w:rsidRDefault="003E13BA" w:rsidP="003E13BA">
      <w:pPr>
        <w:pStyle w:val="NoSpacing"/>
        <w:numPr>
          <w:ilvl w:val="0"/>
          <w:numId w:val="1"/>
        </w:numPr>
        <w:rPr>
          <w:color w:val="37393C"/>
          <w:shd w:val="clear" w:color="auto" w:fill="FFFFFF"/>
        </w:rPr>
      </w:pPr>
      <w:proofErr w:type="spellStart"/>
      <w:r w:rsidRPr="0055048C">
        <w:rPr>
          <w:shd w:val="clear" w:color="auto" w:fill="FFFFFF"/>
        </w:rPr>
        <w:t>Thorsrud</w:t>
      </w:r>
      <w:proofErr w:type="spellEnd"/>
      <w:r w:rsidRPr="0055048C">
        <w:rPr>
          <w:shd w:val="clear" w:color="auto" w:fill="FFFFFF"/>
        </w:rPr>
        <w:t>, L.A. (2020) ‘Words are the new numbers: A newsy coincident index of the business cycle’. </w:t>
      </w:r>
      <w:r w:rsidRPr="0055048C">
        <w:rPr>
          <w:i/>
          <w:iCs/>
          <w:shd w:val="clear" w:color="auto" w:fill="FFFFFF"/>
        </w:rPr>
        <w:t>Journal of Business &amp; Economic Statistics</w:t>
      </w:r>
      <w:r w:rsidRPr="0055048C">
        <w:rPr>
          <w:shd w:val="clear" w:color="auto" w:fill="FFFFFF"/>
        </w:rPr>
        <w:t>, </w:t>
      </w:r>
      <w:r w:rsidRPr="0055048C">
        <w:rPr>
          <w:i/>
          <w:iCs/>
          <w:shd w:val="clear" w:color="auto" w:fill="FFFFFF"/>
        </w:rPr>
        <w:t>38</w:t>
      </w:r>
      <w:r w:rsidRPr="0055048C">
        <w:rPr>
          <w:shd w:val="clear" w:color="auto" w:fill="FFFFFF"/>
        </w:rPr>
        <w:t>(2), pp.393-409.</w:t>
      </w:r>
    </w:p>
    <w:p w14:paraId="42358FBA" w14:textId="77777777" w:rsidR="003E13BA" w:rsidRPr="0055048C" w:rsidRDefault="003E13BA" w:rsidP="003E13BA">
      <w:pPr>
        <w:pStyle w:val="NoSpacing"/>
        <w:rPr>
          <w:color w:val="37393C"/>
          <w:shd w:val="clear" w:color="auto" w:fill="FFFFFF"/>
        </w:rPr>
      </w:pPr>
    </w:p>
    <w:p w14:paraId="1BD7A30C" w14:textId="77777777" w:rsidR="003E13BA" w:rsidRDefault="003E13BA" w:rsidP="003E13BA">
      <w:pPr>
        <w:pStyle w:val="NoSpacing"/>
        <w:numPr>
          <w:ilvl w:val="0"/>
          <w:numId w:val="1"/>
        </w:numPr>
      </w:pPr>
      <w:proofErr w:type="spellStart"/>
      <w:r w:rsidRPr="00337722">
        <w:t>TrendSpider</w:t>
      </w:r>
      <w:proofErr w:type="spellEnd"/>
      <w:r w:rsidRPr="00337722">
        <w:t xml:space="preserve"> (2022)</w:t>
      </w:r>
      <w:r w:rsidRPr="00337722">
        <w:rPr>
          <w:i/>
          <w:iCs/>
        </w:rPr>
        <w:t xml:space="preserve"> Weekly Hollow Candles chart of Starbucks Corporation. </w:t>
      </w:r>
      <w:r w:rsidRPr="00337722">
        <w:t>Available at: https://share.trendspider.com/chart/SBUX/4669r00fx4 (Accessed: December 7, 2022).</w:t>
      </w:r>
    </w:p>
    <w:p w14:paraId="3A96B9FC" w14:textId="77777777" w:rsidR="003E13BA" w:rsidRPr="00F4452B" w:rsidRDefault="003E13BA" w:rsidP="003E13BA">
      <w:pPr>
        <w:pStyle w:val="NoSpacing"/>
      </w:pPr>
    </w:p>
    <w:p w14:paraId="4369BBFC" w14:textId="77777777" w:rsidR="003E13BA" w:rsidRPr="0032492F" w:rsidRDefault="003E13BA" w:rsidP="003E13BA">
      <w:pPr>
        <w:pStyle w:val="NoSpacing"/>
        <w:numPr>
          <w:ilvl w:val="0"/>
          <w:numId w:val="1"/>
        </w:numPr>
        <w:rPr>
          <w:noProof/>
        </w:rPr>
      </w:pPr>
      <w:r w:rsidRPr="00281153">
        <w:rPr>
          <w:shd w:val="clear" w:color="auto" w:fill="FFFFFF"/>
        </w:rPr>
        <w:t xml:space="preserve">Van </w:t>
      </w:r>
      <w:proofErr w:type="spellStart"/>
      <w:r w:rsidRPr="00281153">
        <w:rPr>
          <w:shd w:val="clear" w:color="auto" w:fill="FFFFFF"/>
        </w:rPr>
        <w:t>Ginneken</w:t>
      </w:r>
      <w:proofErr w:type="spellEnd"/>
      <w:r w:rsidRPr="00281153">
        <w:rPr>
          <w:shd w:val="clear" w:color="auto" w:fill="FFFFFF"/>
        </w:rPr>
        <w:t>, R. (2019) ‘Capital budgeting: Planning for long-term asset expenditure’. In </w:t>
      </w:r>
      <w:r w:rsidRPr="00281153">
        <w:rPr>
          <w:i/>
          <w:iCs/>
          <w:shd w:val="clear" w:color="auto" w:fill="FFFFFF"/>
        </w:rPr>
        <w:t>Hospitality Finance and Accounting</w:t>
      </w:r>
      <w:r w:rsidRPr="00281153">
        <w:rPr>
          <w:shd w:val="clear" w:color="auto" w:fill="FFFFFF"/>
        </w:rPr>
        <w:t> (pp. 110-134). Routledge.</w:t>
      </w:r>
    </w:p>
    <w:p w14:paraId="4A5D784E" w14:textId="77777777" w:rsidR="003E13BA" w:rsidRPr="00281153" w:rsidRDefault="003E13BA" w:rsidP="003E13BA">
      <w:pPr>
        <w:pStyle w:val="NoSpacing"/>
        <w:rPr>
          <w:noProof/>
        </w:rPr>
      </w:pPr>
    </w:p>
    <w:p w14:paraId="7EDD264B" w14:textId="77777777" w:rsidR="003E13BA" w:rsidRDefault="003E13BA" w:rsidP="003E13BA">
      <w:pPr>
        <w:pStyle w:val="NoSpacing"/>
        <w:numPr>
          <w:ilvl w:val="0"/>
          <w:numId w:val="1"/>
        </w:numPr>
        <w:rPr>
          <w:shd w:val="clear" w:color="auto" w:fill="FFFFFF"/>
        </w:rPr>
      </w:pPr>
      <w:r w:rsidRPr="00281153">
        <w:rPr>
          <w:shd w:val="clear" w:color="auto" w:fill="FFFFFF"/>
        </w:rPr>
        <w:t xml:space="preserve">Van Horne, </w:t>
      </w:r>
      <w:proofErr w:type="gramStart"/>
      <w:r w:rsidRPr="00281153">
        <w:rPr>
          <w:shd w:val="clear" w:color="auto" w:fill="FFFFFF"/>
        </w:rPr>
        <w:t>J.C.</w:t>
      </w:r>
      <w:proofErr w:type="gramEnd"/>
      <w:r w:rsidRPr="00281153">
        <w:rPr>
          <w:shd w:val="clear" w:color="auto" w:fill="FFFFFF"/>
        </w:rPr>
        <w:t xml:space="preserve"> and Parker, G.G. (1967) ‘The random-walk theory: an empirical test’. </w:t>
      </w:r>
      <w:r w:rsidRPr="00281153">
        <w:rPr>
          <w:i/>
          <w:iCs/>
          <w:shd w:val="clear" w:color="auto" w:fill="FFFFFF"/>
        </w:rPr>
        <w:t>Financial analysts journal</w:t>
      </w:r>
      <w:r w:rsidRPr="00281153">
        <w:rPr>
          <w:shd w:val="clear" w:color="auto" w:fill="FFFFFF"/>
        </w:rPr>
        <w:t>, </w:t>
      </w:r>
      <w:r w:rsidRPr="00281153">
        <w:rPr>
          <w:i/>
          <w:iCs/>
          <w:shd w:val="clear" w:color="auto" w:fill="FFFFFF"/>
        </w:rPr>
        <w:t>23</w:t>
      </w:r>
      <w:r w:rsidRPr="00281153">
        <w:rPr>
          <w:shd w:val="clear" w:color="auto" w:fill="FFFFFF"/>
        </w:rPr>
        <w:t>(6), pp.87-92.</w:t>
      </w:r>
    </w:p>
    <w:p w14:paraId="051302E9" w14:textId="77777777" w:rsidR="003E13BA" w:rsidRDefault="003E13BA" w:rsidP="003E13BA">
      <w:pPr>
        <w:pStyle w:val="NoSpacing"/>
        <w:rPr>
          <w:shd w:val="clear" w:color="auto" w:fill="FFFFFF"/>
        </w:rPr>
      </w:pPr>
    </w:p>
    <w:p w14:paraId="45635B44" w14:textId="77777777" w:rsidR="003E13BA" w:rsidRDefault="003E13BA" w:rsidP="003E13BA">
      <w:pPr>
        <w:pStyle w:val="NoSpacing"/>
        <w:numPr>
          <w:ilvl w:val="0"/>
          <w:numId w:val="1"/>
        </w:numPr>
        <w:rPr>
          <w:shd w:val="clear" w:color="auto" w:fill="FFFFFF"/>
        </w:rPr>
      </w:pPr>
      <w:r w:rsidRPr="00A931BC">
        <w:rPr>
          <w:shd w:val="clear" w:color="auto" w:fill="FFFFFF"/>
        </w:rPr>
        <w:t>Ying, Q., et al. (2019) ‘Stock investment and excess returns: a critical review in the light of the efficient market hypotheses.</w:t>
      </w:r>
      <w:r>
        <w:rPr>
          <w:shd w:val="clear" w:color="auto" w:fill="FFFFFF"/>
        </w:rPr>
        <w:t>’</w:t>
      </w:r>
      <w:r w:rsidRPr="00A931BC">
        <w:rPr>
          <w:shd w:val="clear" w:color="auto" w:fill="FFFFFF"/>
        </w:rPr>
        <w:t> </w:t>
      </w:r>
      <w:r w:rsidRPr="00A931BC">
        <w:rPr>
          <w:i/>
          <w:iCs/>
          <w:shd w:val="clear" w:color="auto" w:fill="FFFFFF"/>
        </w:rPr>
        <w:t>Journal of risk and financial management</w:t>
      </w:r>
      <w:r w:rsidRPr="00A931BC">
        <w:rPr>
          <w:shd w:val="clear" w:color="auto" w:fill="FFFFFF"/>
        </w:rPr>
        <w:t>, </w:t>
      </w:r>
      <w:r w:rsidRPr="00A931BC">
        <w:rPr>
          <w:i/>
          <w:iCs/>
          <w:shd w:val="clear" w:color="auto" w:fill="FFFFFF"/>
        </w:rPr>
        <w:t>12</w:t>
      </w:r>
      <w:r w:rsidRPr="00A931BC">
        <w:rPr>
          <w:shd w:val="clear" w:color="auto" w:fill="FFFFFF"/>
        </w:rPr>
        <w:t>(2), p.97.</w:t>
      </w:r>
    </w:p>
    <w:p w14:paraId="0FB12981" w14:textId="77777777" w:rsidR="003E13BA" w:rsidRDefault="003E13BA" w:rsidP="003E13BA">
      <w:pPr>
        <w:pStyle w:val="NoSpacing"/>
        <w:rPr>
          <w:shd w:val="clear" w:color="auto" w:fill="FFFFFF"/>
        </w:rPr>
      </w:pPr>
    </w:p>
    <w:p w14:paraId="1A91FFA0" w14:textId="77777777" w:rsidR="003E13BA" w:rsidRPr="00A931BC" w:rsidRDefault="003E13BA" w:rsidP="003E13BA">
      <w:pPr>
        <w:pStyle w:val="NoSpacing"/>
        <w:numPr>
          <w:ilvl w:val="0"/>
          <w:numId w:val="1"/>
        </w:numPr>
        <w:rPr>
          <w:shd w:val="clear" w:color="auto" w:fill="FFFFFF"/>
        </w:rPr>
      </w:pPr>
      <w:r w:rsidRPr="00A931BC">
        <w:t>Yu, J. (2021) </w:t>
      </w:r>
      <w:r w:rsidRPr="00A931BC">
        <w:rPr>
          <w:i/>
          <w:iCs/>
        </w:rPr>
        <w:t>Starbucks stock: A financial analysis</w:t>
      </w:r>
      <w:r w:rsidRPr="00A931BC">
        <w:t>, </w:t>
      </w:r>
      <w:r w:rsidRPr="00A931BC">
        <w:rPr>
          <w:i/>
          <w:iCs/>
        </w:rPr>
        <w:t>Investopedia</w:t>
      </w:r>
      <w:r w:rsidRPr="00A931BC">
        <w:t>. Available at: https://www.investopedia.com/articles/markets/050616/starbucks-stock-capital-structure-analysis.asp (Accessed: November 30, 2022).</w:t>
      </w:r>
    </w:p>
    <w:p w14:paraId="3C702309" w14:textId="77777777" w:rsidR="003467C4" w:rsidRDefault="003467C4" w:rsidP="003467C4"/>
    <w:p w14:paraId="3A359726" w14:textId="77777777" w:rsidR="00D70D71" w:rsidRPr="003467C4" w:rsidRDefault="00D70D71" w:rsidP="003467C4"/>
    <w:sectPr w:rsidR="00D70D71" w:rsidRPr="003467C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FC2585" w14:textId="77777777" w:rsidR="00AE53C1" w:rsidRDefault="00AE53C1" w:rsidP="006B3043">
      <w:pPr>
        <w:spacing w:after="0" w:line="240" w:lineRule="auto"/>
      </w:pPr>
      <w:r>
        <w:separator/>
      </w:r>
    </w:p>
  </w:endnote>
  <w:endnote w:type="continuationSeparator" w:id="0">
    <w:p w14:paraId="51AE567A" w14:textId="77777777" w:rsidR="00AE53C1" w:rsidRDefault="00AE53C1" w:rsidP="006B30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0724463"/>
      <w:docPartObj>
        <w:docPartGallery w:val="Page Numbers (Bottom of Page)"/>
        <w:docPartUnique/>
      </w:docPartObj>
    </w:sdtPr>
    <w:sdtEndPr>
      <w:rPr>
        <w:noProof/>
      </w:rPr>
    </w:sdtEndPr>
    <w:sdtContent>
      <w:p w14:paraId="3ACAC197" w14:textId="677C9573" w:rsidR="006B3043" w:rsidRDefault="006B30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5D527A" w14:textId="77777777" w:rsidR="006B3043" w:rsidRDefault="006B30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2B4B1C" w14:textId="77777777" w:rsidR="00AE53C1" w:rsidRDefault="00AE53C1" w:rsidP="006B3043">
      <w:pPr>
        <w:spacing w:after="0" w:line="240" w:lineRule="auto"/>
      </w:pPr>
      <w:r>
        <w:separator/>
      </w:r>
    </w:p>
  </w:footnote>
  <w:footnote w:type="continuationSeparator" w:id="0">
    <w:p w14:paraId="7C4E5F9B" w14:textId="77777777" w:rsidR="00AE53C1" w:rsidRDefault="00AE53C1" w:rsidP="006B30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134F1B"/>
    <w:multiLevelType w:val="hybridMultilevel"/>
    <w:tmpl w:val="E294F3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8854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18B"/>
    <w:rsid w:val="0002292A"/>
    <w:rsid w:val="0002426D"/>
    <w:rsid w:val="00031917"/>
    <w:rsid w:val="00035611"/>
    <w:rsid w:val="00047A0F"/>
    <w:rsid w:val="00064830"/>
    <w:rsid w:val="00081361"/>
    <w:rsid w:val="00085E67"/>
    <w:rsid w:val="000A0DAA"/>
    <w:rsid w:val="000A5BF5"/>
    <w:rsid w:val="000D4BD7"/>
    <w:rsid w:val="000E7B6E"/>
    <w:rsid w:val="000F296B"/>
    <w:rsid w:val="0010074F"/>
    <w:rsid w:val="001064DB"/>
    <w:rsid w:val="00115F9C"/>
    <w:rsid w:val="001341BF"/>
    <w:rsid w:val="00135DD8"/>
    <w:rsid w:val="001566B3"/>
    <w:rsid w:val="00177B91"/>
    <w:rsid w:val="00180916"/>
    <w:rsid w:val="001A7CB5"/>
    <w:rsid w:val="001C7E8A"/>
    <w:rsid w:val="001D134C"/>
    <w:rsid w:val="001E4061"/>
    <w:rsid w:val="00216421"/>
    <w:rsid w:val="00230EF6"/>
    <w:rsid w:val="00254CC2"/>
    <w:rsid w:val="00255B43"/>
    <w:rsid w:val="0026632E"/>
    <w:rsid w:val="0028205A"/>
    <w:rsid w:val="00287A93"/>
    <w:rsid w:val="002A015A"/>
    <w:rsid w:val="002A0691"/>
    <w:rsid w:val="002C2F52"/>
    <w:rsid w:val="002D09FE"/>
    <w:rsid w:val="002E346F"/>
    <w:rsid w:val="00313E6C"/>
    <w:rsid w:val="003213FA"/>
    <w:rsid w:val="003467C4"/>
    <w:rsid w:val="00390860"/>
    <w:rsid w:val="0039627A"/>
    <w:rsid w:val="003A3420"/>
    <w:rsid w:val="003B32B6"/>
    <w:rsid w:val="003E13BA"/>
    <w:rsid w:val="003E6953"/>
    <w:rsid w:val="00406422"/>
    <w:rsid w:val="00420B50"/>
    <w:rsid w:val="00425F57"/>
    <w:rsid w:val="0043436E"/>
    <w:rsid w:val="00443009"/>
    <w:rsid w:val="0045047C"/>
    <w:rsid w:val="0047026B"/>
    <w:rsid w:val="0047081A"/>
    <w:rsid w:val="0047184F"/>
    <w:rsid w:val="00471D51"/>
    <w:rsid w:val="00475DD2"/>
    <w:rsid w:val="00490938"/>
    <w:rsid w:val="00490BD2"/>
    <w:rsid w:val="004A2589"/>
    <w:rsid w:val="004D48D6"/>
    <w:rsid w:val="004E3AEB"/>
    <w:rsid w:val="004E4300"/>
    <w:rsid w:val="004E4ABA"/>
    <w:rsid w:val="004F2D93"/>
    <w:rsid w:val="00502884"/>
    <w:rsid w:val="005138BD"/>
    <w:rsid w:val="00534163"/>
    <w:rsid w:val="00547B00"/>
    <w:rsid w:val="0056545B"/>
    <w:rsid w:val="0059209E"/>
    <w:rsid w:val="005922CA"/>
    <w:rsid w:val="005A3AF8"/>
    <w:rsid w:val="005C3B9A"/>
    <w:rsid w:val="00604AE1"/>
    <w:rsid w:val="00611244"/>
    <w:rsid w:val="00635D55"/>
    <w:rsid w:val="00646AF9"/>
    <w:rsid w:val="00676428"/>
    <w:rsid w:val="006807DE"/>
    <w:rsid w:val="006A6E57"/>
    <w:rsid w:val="006B3043"/>
    <w:rsid w:val="006B34E9"/>
    <w:rsid w:val="006C3594"/>
    <w:rsid w:val="006D54C0"/>
    <w:rsid w:val="006E1949"/>
    <w:rsid w:val="006F6D24"/>
    <w:rsid w:val="00707710"/>
    <w:rsid w:val="0072239E"/>
    <w:rsid w:val="00730E31"/>
    <w:rsid w:val="00744C25"/>
    <w:rsid w:val="00746213"/>
    <w:rsid w:val="00750740"/>
    <w:rsid w:val="00750810"/>
    <w:rsid w:val="0077018B"/>
    <w:rsid w:val="0077166F"/>
    <w:rsid w:val="0078748E"/>
    <w:rsid w:val="007A1D1C"/>
    <w:rsid w:val="007C341B"/>
    <w:rsid w:val="007E2579"/>
    <w:rsid w:val="007F0405"/>
    <w:rsid w:val="00840AF0"/>
    <w:rsid w:val="008B06FC"/>
    <w:rsid w:val="008B4837"/>
    <w:rsid w:val="008E326E"/>
    <w:rsid w:val="008E7054"/>
    <w:rsid w:val="008F68C4"/>
    <w:rsid w:val="009066FD"/>
    <w:rsid w:val="00927943"/>
    <w:rsid w:val="00990749"/>
    <w:rsid w:val="00996D05"/>
    <w:rsid w:val="009A6CAE"/>
    <w:rsid w:val="009D7079"/>
    <w:rsid w:val="009F412A"/>
    <w:rsid w:val="00A07D3D"/>
    <w:rsid w:val="00A15600"/>
    <w:rsid w:val="00A16866"/>
    <w:rsid w:val="00A17F3E"/>
    <w:rsid w:val="00A37395"/>
    <w:rsid w:val="00A422EF"/>
    <w:rsid w:val="00A510DD"/>
    <w:rsid w:val="00A55DDA"/>
    <w:rsid w:val="00A71CE3"/>
    <w:rsid w:val="00A71FA1"/>
    <w:rsid w:val="00A77220"/>
    <w:rsid w:val="00A83ADE"/>
    <w:rsid w:val="00A876FB"/>
    <w:rsid w:val="00AD7FB4"/>
    <w:rsid w:val="00AE53C1"/>
    <w:rsid w:val="00B10B43"/>
    <w:rsid w:val="00B135A6"/>
    <w:rsid w:val="00B20D0F"/>
    <w:rsid w:val="00B467FF"/>
    <w:rsid w:val="00B479A6"/>
    <w:rsid w:val="00B511BB"/>
    <w:rsid w:val="00B73590"/>
    <w:rsid w:val="00B8376F"/>
    <w:rsid w:val="00BC218A"/>
    <w:rsid w:val="00BC5993"/>
    <w:rsid w:val="00BD1071"/>
    <w:rsid w:val="00BF4767"/>
    <w:rsid w:val="00C11E54"/>
    <w:rsid w:val="00C33414"/>
    <w:rsid w:val="00C46854"/>
    <w:rsid w:val="00C551D9"/>
    <w:rsid w:val="00C56EE0"/>
    <w:rsid w:val="00C70A6C"/>
    <w:rsid w:val="00CB1EAD"/>
    <w:rsid w:val="00CB496A"/>
    <w:rsid w:val="00CC0376"/>
    <w:rsid w:val="00CE4E12"/>
    <w:rsid w:val="00D21071"/>
    <w:rsid w:val="00D3125A"/>
    <w:rsid w:val="00D333C8"/>
    <w:rsid w:val="00D33CBE"/>
    <w:rsid w:val="00D36542"/>
    <w:rsid w:val="00D5792F"/>
    <w:rsid w:val="00D673F4"/>
    <w:rsid w:val="00D70D71"/>
    <w:rsid w:val="00D95625"/>
    <w:rsid w:val="00D97A08"/>
    <w:rsid w:val="00DA484F"/>
    <w:rsid w:val="00DB763E"/>
    <w:rsid w:val="00E04495"/>
    <w:rsid w:val="00E0772D"/>
    <w:rsid w:val="00E14992"/>
    <w:rsid w:val="00E258E7"/>
    <w:rsid w:val="00E3659A"/>
    <w:rsid w:val="00E543E2"/>
    <w:rsid w:val="00E574DF"/>
    <w:rsid w:val="00E61FF6"/>
    <w:rsid w:val="00E8385C"/>
    <w:rsid w:val="00E928FC"/>
    <w:rsid w:val="00E92DCE"/>
    <w:rsid w:val="00EB1AAC"/>
    <w:rsid w:val="00EB4AD5"/>
    <w:rsid w:val="00EE613F"/>
    <w:rsid w:val="00EF7016"/>
    <w:rsid w:val="00F07B31"/>
    <w:rsid w:val="00F12ABA"/>
    <w:rsid w:val="00F2203D"/>
    <w:rsid w:val="00F63038"/>
    <w:rsid w:val="00F63EE6"/>
    <w:rsid w:val="00F74633"/>
    <w:rsid w:val="00F927C0"/>
    <w:rsid w:val="00F94B9E"/>
    <w:rsid w:val="00FB524D"/>
    <w:rsid w:val="00FF0207"/>
    <w:rsid w:val="00FF0743"/>
    <w:rsid w:val="00FF53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6ABF1"/>
  <w15:chartTrackingRefBased/>
  <w15:docId w15:val="{04735129-62CE-4B35-9208-9C501D1F4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018B"/>
  </w:style>
  <w:style w:type="paragraph" w:styleId="Heading1">
    <w:name w:val="heading 1"/>
    <w:basedOn w:val="Normal"/>
    <w:next w:val="Normal"/>
    <w:link w:val="Heading1Char"/>
    <w:uiPriority w:val="9"/>
    <w:qFormat/>
    <w:rsid w:val="005922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23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876F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018B"/>
    <w:rPr>
      <w:color w:val="0563C1" w:themeColor="hyperlink"/>
      <w:u w:val="single"/>
    </w:rPr>
  </w:style>
  <w:style w:type="character" w:styleId="UnresolvedMention">
    <w:name w:val="Unresolved Mention"/>
    <w:basedOn w:val="DefaultParagraphFont"/>
    <w:uiPriority w:val="99"/>
    <w:semiHidden/>
    <w:unhideWhenUsed/>
    <w:rsid w:val="00604AE1"/>
    <w:rPr>
      <w:color w:val="605E5C"/>
      <w:shd w:val="clear" w:color="auto" w:fill="E1DFDD"/>
    </w:rPr>
  </w:style>
  <w:style w:type="character" w:customStyle="1" w:styleId="Heading1Char">
    <w:name w:val="Heading 1 Char"/>
    <w:basedOn w:val="DefaultParagraphFont"/>
    <w:link w:val="Heading1"/>
    <w:uiPriority w:val="9"/>
    <w:rsid w:val="005922C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7223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239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2239E"/>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3467C4"/>
    <w:pPr>
      <w:spacing w:after="0" w:line="240" w:lineRule="auto"/>
    </w:pPr>
  </w:style>
  <w:style w:type="paragraph" w:styleId="Header">
    <w:name w:val="header"/>
    <w:basedOn w:val="Normal"/>
    <w:link w:val="HeaderChar"/>
    <w:uiPriority w:val="99"/>
    <w:unhideWhenUsed/>
    <w:rsid w:val="006B30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043"/>
  </w:style>
  <w:style w:type="paragraph" w:styleId="Footer">
    <w:name w:val="footer"/>
    <w:basedOn w:val="Normal"/>
    <w:link w:val="FooterChar"/>
    <w:uiPriority w:val="99"/>
    <w:unhideWhenUsed/>
    <w:rsid w:val="006B30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043"/>
  </w:style>
  <w:style w:type="paragraph" w:styleId="TOCHeading">
    <w:name w:val="TOC Heading"/>
    <w:basedOn w:val="Heading1"/>
    <w:next w:val="Normal"/>
    <w:uiPriority w:val="39"/>
    <w:unhideWhenUsed/>
    <w:qFormat/>
    <w:rsid w:val="002A0691"/>
    <w:pPr>
      <w:outlineLvl w:val="9"/>
    </w:pPr>
    <w:rPr>
      <w:lang w:val="en-US"/>
    </w:rPr>
  </w:style>
  <w:style w:type="paragraph" w:styleId="TOC1">
    <w:name w:val="toc 1"/>
    <w:basedOn w:val="Normal"/>
    <w:next w:val="Normal"/>
    <w:autoRedefine/>
    <w:uiPriority w:val="39"/>
    <w:unhideWhenUsed/>
    <w:rsid w:val="002A0691"/>
    <w:pPr>
      <w:spacing w:after="100"/>
    </w:pPr>
  </w:style>
  <w:style w:type="paragraph" w:styleId="TOC2">
    <w:name w:val="toc 2"/>
    <w:basedOn w:val="Normal"/>
    <w:next w:val="Normal"/>
    <w:autoRedefine/>
    <w:uiPriority w:val="39"/>
    <w:unhideWhenUsed/>
    <w:rsid w:val="002A0691"/>
    <w:pPr>
      <w:spacing w:after="100"/>
      <w:ind w:left="220"/>
    </w:pPr>
  </w:style>
  <w:style w:type="character" w:customStyle="1" w:styleId="Heading3Char">
    <w:name w:val="Heading 3 Char"/>
    <w:basedOn w:val="DefaultParagraphFont"/>
    <w:link w:val="Heading3"/>
    <w:uiPriority w:val="9"/>
    <w:rsid w:val="00A876F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876FB"/>
    <w:pPr>
      <w:spacing w:after="100"/>
      <w:ind w:left="440"/>
    </w:pPr>
  </w:style>
  <w:style w:type="paragraph" w:styleId="ListParagraph">
    <w:name w:val="List Paragraph"/>
    <w:basedOn w:val="Normal"/>
    <w:uiPriority w:val="34"/>
    <w:qFormat/>
    <w:rsid w:val="00177B91"/>
    <w:pPr>
      <w:ind w:left="720"/>
      <w:contextualSpacing/>
    </w:pPr>
  </w:style>
  <w:style w:type="paragraph" w:styleId="NormalWeb">
    <w:name w:val="Normal (Web)"/>
    <w:basedOn w:val="Normal"/>
    <w:uiPriority w:val="99"/>
    <w:unhideWhenUsed/>
    <w:rsid w:val="0047184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sdaq.com/market-activity/stocks/sbux/advanced-chartin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hyperlink" Target="https://share.trendspider.com/chart/SBUX/4669r00fx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E6022B-2CC3-41FD-83AF-42FB31E329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12</Pages>
  <Words>3534</Words>
  <Characters>20042</Characters>
  <Application>Microsoft Office Word</Application>
  <DocSecurity>0</DocSecurity>
  <Lines>351</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Rekarska</dc:creator>
  <cp:keywords/>
  <dc:description/>
  <cp:lastModifiedBy>Rumyana Rekarska</cp:lastModifiedBy>
  <cp:revision>173</cp:revision>
  <dcterms:created xsi:type="dcterms:W3CDTF">2022-12-07T12:28:00Z</dcterms:created>
  <dcterms:modified xsi:type="dcterms:W3CDTF">2022-12-18T16:33:00Z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6920c2e5-a14f-47fb-ba13-8687c9563861</vt:lpwstr>
  </property>
</Properties>
</file>