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033" w:rsidRPr="00D2715A" w:rsidRDefault="00BA1CA5" w:rsidP="00D2715A">
      <w:pPr>
        <w:autoSpaceDE w:val="0"/>
        <w:autoSpaceDN w:val="0"/>
        <w:adjustRightInd w:val="0"/>
        <w:spacing w:after="160"/>
        <w:jc w:val="center"/>
        <w:rPr>
          <w:rFonts w:ascii="Calibri" w:eastAsia="PingFang SC" w:hAnsi="Calibri" w:cs="Calibri"/>
          <w:b/>
          <w:bCs/>
          <w:color w:val="000000"/>
          <w:sz w:val="44"/>
          <w:szCs w:val="44"/>
        </w:rPr>
      </w:pPr>
      <w:r w:rsidRPr="00D2715A">
        <w:rPr>
          <w:rFonts w:ascii="Calibri" w:eastAsia="PingFang SC" w:hAnsi="Calibri" w:cs="Calibri"/>
          <w:b/>
          <w:bCs/>
          <w:color w:val="000000"/>
          <w:sz w:val="44"/>
          <w:szCs w:val="44"/>
        </w:rPr>
        <w:t>The novel coronavirus pneumonia's damage to tourism industry and Countermeasures</w:t>
      </w:r>
    </w:p>
    <w:p w:rsidR="00A3474B" w:rsidRPr="00D2715A" w:rsidRDefault="00A3474B" w:rsidP="00D2715A">
      <w:pPr>
        <w:autoSpaceDE w:val="0"/>
        <w:autoSpaceDN w:val="0"/>
        <w:adjustRightInd w:val="0"/>
        <w:jc w:val="both"/>
        <w:rPr>
          <w:rFonts w:ascii="Calibri" w:eastAsia="PingFang SC" w:hAnsi="Calibri" w:cs="Calibri"/>
          <w:color w:val="000000"/>
        </w:rPr>
      </w:pPr>
    </w:p>
    <w:p w:rsidR="00A3474B" w:rsidRDefault="00EF35DF" w:rsidP="00EF35DF">
      <w:pPr>
        <w:pStyle w:val="1"/>
        <w:numPr>
          <w:ilvl w:val="0"/>
          <w:numId w:val="2"/>
        </w:numPr>
        <w:rPr>
          <w:rFonts w:ascii="Calibri" w:hAnsi="Calibri" w:cs="Calibri"/>
          <w:sz w:val="36"/>
          <w:szCs w:val="36"/>
        </w:rPr>
      </w:pPr>
      <w:r>
        <w:rPr>
          <w:rFonts w:ascii="Calibri" w:hAnsi="Calibri" w:cs="Calibri"/>
          <w:sz w:val="36"/>
          <w:szCs w:val="36"/>
        </w:rPr>
        <w:t>R</w:t>
      </w:r>
      <w:r>
        <w:rPr>
          <w:rFonts w:ascii="Calibri" w:hAnsi="Calibri" w:cs="Calibri" w:hint="eastAsia"/>
          <w:sz w:val="36"/>
          <w:szCs w:val="36"/>
        </w:rPr>
        <w:t>e</w:t>
      </w:r>
      <w:r>
        <w:rPr>
          <w:rFonts w:ascii="Calibri" w:hAnsi="Calibri" w:cs="Calibri"/>
          <w:sz w:val="36"/>
          <w:szCs w:val="36"/>
        </w:rPr>
        <w:t>search question</w:t>
      </w:r>
      <w:r w:rsidR="00112033" w:rsidRPr="00EF35DF">
        <w:rPr>
          <w:rFonts w:ascii="Calibri" w:hAnsi="Calibri" w:cs="Calibri"/>
          <w:sz w:val="36"/>
          <w:szCs w:val="36"/>
        </w:rPr>
        <w:t xml:space="preserve"> </w:t>
      </w:r>
    </w:p>
    <w:p w:rsidR="00EF35DF" w:rsidRDefault="00EF35DF" w:rsidP="00566E7C">
      <w:pPr>
        <w:jc w:val="both"/>
        <w:rPr>
          <w:rFonts w:ascii="Calibri" w:hAnsi="Calibri" w:cs="Calibri"/>
          <w:sz w:val="21"/>
          <w:szCs w:val="21"/>
        </w:rPr>
      </w:pPr>
      <w:r w:rsidRPr="00566E7C">
        <w:rPr>
          <w:rFonts w:ascii="Calibri" w:hAnsi="Calibri" w:cs="Calibri"/>
          <w:sz w:val="21"/>
          <w:szCs w:val="21"/>
        </w:rPr>
        <w:t>This paper takes the impact of China's tourism industry during the epidemic period, and recovers from the second quarter to the third quarter as the main case, compares the industry closure caused by the current tourism blockade in overseas countries, investigates the unemployment rate and economic decline, and finally puts forward the reference significance of China's tourism recovery for other countries.</w:t>
      </w:r>
    </w:p>
    <w:p w:rsidR="00566E7C" w:rsidRPr="00566E7C" w:rsidRDefault="00566E7C" w:rsidP="00566E7C">
      <w:pPr>
        <w:jc w:val="both"/>
        <w:rPr>
          <w:rFonts w:ascii="Calibri" w:hAnsi="Calibri" w:cs="Calibri"/>
          <w:sz w:val="21"/>
          <w:szCs w:val="21"/>
        </w:rPr>
      </w:pPr>
    </w:p>
    <w:p w:rsidR="00EF35DF" w:rsidRPr="00D2715A" w:rsidRDefault="00EF35DF" w:rsidP="00EF35DF">
      <w:pPr>
        <w:pStyle w:val="1"/>
        <w:rPr>
          <w:rFonts w:ascii="Calibri" w:hAnsi="Calibri" w:cs="Calibri"/>
          <w:sz w:val="32"/>
          <w:szCs w:val="32"/>
        </w:rPr>
      </w:pPr>
      <w:r>
        <w:rPr>
          <w:rFonts w:ascii="Calibri" w:hAnsi="Calibri" w:cs="Calibri"/>
          <w:sz w:val="32"/>
          <w:szCs w:val="32"/>
        </w:rPr>
        <w:t>2</w:t>
      </w:r>
      <w:r w:rsidRPr="00D2715A">
        <w:rPr>
          <w:rFonts w:ascii="Calibri" w:hAnsi="Calibri" w:cs="Calibri"/>
          <w:sz w:val="32"/>
          <w:szCs w:val="32"/>
        </w:rPr>
        <w:t>.</w:t>
      </w:r>
      <w:r>
        <w:rPr>
          <w:rFonts w:ascii="Calibri" w:hAnsi="Calibri" w:cs="Calibri"/>
          <w:sz w:val="32"/>
          <w:szCs w:val="32"/>
        </w:rPr>
        <w:t>1</w:t>
      </w:r>
      <w:r w:rsidRPr="00D2715A">
        <w:rPr>
          <w:rFonts w:ascii="Calibri" w:hAnsi="Calibri" w:cs="Calibri"/>
          <w:sz w:val="32"/>
          <w:szCs w:val="32"/>
        </w:rPr>
        <w:t xml:space="preserve"> Importance</w:t>
      </w:r>
    </w:p>
    <w:p w:rsidR="00EF35DF" w:rsidRDefault="00EF35DF" w:rsidP="00566E7C">
      <w:pPr>
        <w:autoSpaceDE w:val="0"/>
        <w:autoSpaceDN w:val="0"/>
        <w:adjustRightInd w:val="0"/>
        <w:jc w:val="both"/>
        <w:rPr>
          <w:rFonts w:ascii="Calibri" w:eastAsia="PingFang SC" w:hAnsi="Calibri" w:cs="Calibri"/>
          <w:color w:val="000000"/>
          <w:sz w:val="21"/>
          <w:szCs w:val="21"/>
        </w:rPr>
      </w:pPr>
      <w:r w:rsidRPr="00D2715A">
        <w:rPr>
          <w:rFonts w:ascii="Calibri" w:eastAsia="PingFang SC" w:hAnsi="Calibri" w:cs="Calibri"/>
          <w:color w:val="000000"/>
          <w:sz w:val="21"/>
          <w:szCs w:val="21"/>
        </w:rPr>
        <w:t>At present, the existing research mainly focuses on the impact, and there is no actual case of tourism recovery. From the perspective of tourism recovery in China and other countries in the world, this paper summarizes the follow-up tourism recovery path, hoping to put forward the practical importance of tourism recovery in other countries and regions.</w:t>
      </w:r>
    </w:p>
    <w:p w:rsidR="00566E7C" w:rsidRPr="00566E7C" w:rsidRDefault="00566E7C" w:rsidP="00566E7C">
      <w:pPr>
        <w:autoSpaceDE w:val="0"/>
        <w:autoSpaceDN w:val="0"/>
        <w:adjustRightInd w:val="0"/>
        <w:jc w:val="both"/>
        <w:rPr>
          <w:rFonts w:ascii="Calibri" w:eastAsia="PingFang SC" w:hAnsi="Calibri" w:cs="Calibri"/>
          <w:color w:val="000000"/>
          <w:szCs w:val="21"/>
        </w:rPr>
      </w:pPr>
    </w:p>
    <w:p w:rsidR="006D6393" w:rsidRPr="006D6393" w:rsidRDefault="00EF35DF" w:rsidP="006D6393">
      <w:pPr>
        <w:pStyle w:val="1"/>
        <w:rPr>
          <w:rFonts w:ascii="Calibri" w:eastAsiaTheme="minorEastAsia" w:hAnsi="Calibri" w:cs="Calibri"/>
          <w:sz w:val="36"/>
          <w:szCs w:val="36"/>
        </w:rPr>
      </w:pPr>
      <w:r w:rsidRPr="00EF35DF">
        <w:rPr>
          <w:rFonts w:ascii="Calibri" w:hAnsi="Calibri" w:cs="Calibri"/>
          <w:sz w:val="36"/>
          <w:szCs w:val="36"/>
        </w:rPr>
        <w:t>3</w:t>
      </w:r>
      <w:r w:rsidR="00D2715A" w:rsidRPr="00EF35DF">
        <w:rPr>
          <w:rFonts w:ascii="Calibri" w:hAnsi="Calibri" w:cs="Calibri"/>
          <w:sz w:val="36"/>
          <w:szCs w:val="36"/>
        </w:rPr>
        <w:t xml:space="preserve">. </w:t>
      </w:r>
      <w:r w:rsidR="00112033" w:rsidRPr="00EF35DF">
        <w:rPr>
          <w:rFonts w:ascii="Calibri" w:hAnsi="Calibri" w:cs="Calibri"/>
          <w:sz w:val="36"/>
          <w:szCs w:val="36"/>
        </w:rPr>
        <w:t xml:space="preserve">Background and </w:t>
      </w:r>
      <w:r w:rsidRPr="00EF35DF">
        <w:rPr>
          <w:rFonts w:ascii="Calibri" w:hAnsi="Calibri" w:cs="Calibri"/>
          <w:sz w:val="36"/>
          <w:szCs w:val="36"/>
        </w:rPr>
        <w:t>or context</w:t>
      </w:r>
    </w:p>
    <w:p w:rsidR="006D6393" w:rsidRPr="006D6393" w:rsidRDefault="006D6393" w:rsidP="00D2715A">
      <w:pPr>
        <w:autoSpaceDE w:val="0"/>
        <w:autoSpaceDN w:val="0"/>
        <w:adjustRightInd w:val="0"/>
        <w:jc w:val="both"/>
        <w:rPr>
          <w:rFonts w:ascii="Calibri" w:eastAsia="PingFang SC" w:hAnsi="Calibri" w:cs="Calibri" w:hint="eastAsia"/>
          <w:color w:val="000000"/>
          <w:sz w:val="21"/>
          <w:szCs w:val="21"/>
        </w:rPr>
      </w:pPr>
      <w:r w:rsidRPr="006D6393">
        <w:rPr>
          <w:rFonts w:ascii="Calibri" w:eastAsia="PingFang SC" w:hAnsi="Calibri" w:cs="Calibri"/>
          <w:color w:val="000000"/>
          <w:sz w:val="21"/>
          <w:szCs w:val="21"/>
        </w:rPr>
        <w:t>A novel coronavirus pneumonia outbreak swept across the globe in early 2020. Since the outbreak of the epidemic, it has brought a huge impact on China's tourism industry and even the global tourism industry from its spread, speed and difficulty of prevention and control. Although the epidemic situation in China has been effectively controlled, due to the continuous development of the epidemic and its uncertainty, the prospects for the recovery of the global tourism industry are still uncertain. It is estimated that by the end of 2020, the international tourism economy will decline by 80%. Therefore, various countries and regions have implemented a variety of policies and measures to promote the recovery of tourism.</w:t>
      </w:r>
    </w:p>
    <w:p w:rsidR="007703EF" w:rsidRDefault="007703EF" w:rsidP="00D2715A">
      <w:pPr>
        <w:pStyle w:val="1"/>
        <w:rPr>
          <w:rFonts w:ascii="Calibri" w:hAnsi="Calibri" w:cs="Calibri"/>
          <w:sz w:val="36"/>
          <w:szCs w:val="36"/>
        </w:rPr>
      </w:pPr>
      <w:r>
        <w:rPr>
          <w:rFonts w:ascii="Calibri" w:hAnsi="Calibri" w:cs="Calibri"/>
          <w:sz w:val="36"/>
          <w:szCs w:val="36"/>
        </w:rPr>
        <w:lastRenderedPageBreak/>
        <w:t>4</w:t>
      </w:r>
      <w:r w:rsidR="00D2715A" w:rsidRPr="00D2715A">
        <w:rPr>
          <w:rFonts w:ascii="Calibri" w:hAnsi="Calibri" w:cs="Calibri"/>
          <w:sz w:val="36"/>
          <w:szCs w:val="36"/>
        </w:rPr>
        <w:t xml:space="preserve">. </w:t>
      </w:r>
      <w:r>
        <w:rPr>
          <w:rFonts w:ascii="Calibri" w:hAnsi="Calibri" w:cs="Calibri"/>
          <w:sz w:val="36"/>
          <w:szCs w:val="36"/>
        </w:rPr>
        <w:t>Objectives</w:t>
      </w:r>
    </w:p>
    <w:p w:rsidR="00112033" w:rsidRPr="00D2715A" w:rsidRDefault="00112033" w:rsidP="00D2715A">
      <w:pPr>
        <w:pStyle w:val="1"/>
        <w:rPr>
          <w:rFonts w:ascii="Calibri" w:hAnsi="Calibri" w:cs="Calibri"/>
          <w:sz w:val="32"/>
          <w:szCs w:val="32"/>
        </w:rPr>
      </w:pPr>
      <w:r w:rsidRPr="00D2715A">
        <w:rPr>
          <w:rFonts w:ascii="Calibri" w:hAnsi="Calibri" w:cs="Calibri"/>
          <w:sz w:val="32"/>
          <w:szCs w:val="32"/>
        </w:rPr>
        <w:t>Key 1</w:t>
      </w:r>
      <w:r w:rsidR="00D2715A" w:rsidRPr="00D2715A">
        <w:rPr>
          <w:rFonts w:ascii="Calibri" w:hAnsi="Calibri" w:cs="Calibri"/>
          <w:sz w:val="32"/>
          <w:szCs w:val="32"/>
        </w:rPr>
        <w:t>：</w:t>
      </w:r>
      <w:r w:rsidR="00D2715A" w:rsidRPr="00D2715A">
        <w:rPr>
          <w:rFonts w:ascii="Calibri" w:hAnsi="Calibri" w:cs="Calibri"/>
          <w:sz w:val="32"/>
          <w:szCs w:val="32"/>
        </w:rPr>
        <w:t>I</w:t>
      </w:r>
      <w:r w:rsidRPr="00D2715A">
        <w:rPr>
          <w:rFonts w:ascii="Calibri" w:hAnsi="Calibri" w:cs="Calibri"/>
          <w:sz w:val="32"/>
          <w:szCs w:val="32"/>
        </w:rPr>
        <w:t>mpact of the new epidemic on China's tourism industry</w:t>
      </w:r>
    </w:p>
    <w:p w:rsidR="00112033" w:rsidRPr="00D2715A" w:rsidRDefault="00112033" w:rsidP="00D2715A">
      <w:pPr>
        <w:autoSpaceDE w:val="0"/>
        <w:autoSpaceDN w:val="0"/>
        <w:adjustRightInd w:val="0"/>
        <w:jc w:val="both"/>
        <w:rPr>
          <w:rFonts w:ascii="Calibri" w:eastAsia="PingFang SC" w:hAnsi="Calibri" w:cs="Calibri"/>
          <w:color w:val="000000"/>
          <w:sz w:val="21"/>
          <w:szCs w:val="21"/>
        </w:rPr>
      </w:pPr>
      <w:r w:rsidRPr="00D2715A">
        <w:rPr>
          <w:rFonts w:ascii="Calibri" w:eastAsia="PingFang SC" w:hAnsi="Calibri" w:cs="Calibri"/>
          <w:color w:val="000000"/>
          <w:sz w:val="21"/>
          <w:szCs w:val="21"/>
        </w:rPr>
        <w:t>On the other hand, it also eliminated the low-end tourism production capacity, adjusted the structure of tourism products, and promoted the development quality of tourism in disguise.</w:t>
      </w:r>
    </w:p>
    <w:p w:rsidR="00112033" w:rsidRPr="00D2715A" w:rsidRDefault="00112033" w:rsidP="00D2715A">
      <w:pPr>
        <w:autoSpaceDE w:val="0"/>
        <w:autoSpaceDN w:val="0"/>
        <w:adjustRightInd w:val="0"/>
        <w:jc w:val="both"/>
        <w:rPr>
          <w:rFonts w:ascii="Calibri" w:eastAsia="PingFang SC" w:hAnsi="Calibri" w:cs="Calibri"/>
          <w:color w:val="000000"/>
          <w:sz w:val="22"/>
          <w:szCs w:val="22"/>
        </w:rPr>
      </w:pPr>
    </w:p>
    <w:p w:rsidR="00112033" w:rsidRPr="00D2715A" w:rsidRDefault="00112033" w:rsidP="00D2715A">
      <w:pPr>
        <w:pStyle w:val="1"/>
        <w:rPr>
          <w:rFonts w:ascii="Calibri" w:hAnsi="Calibri" w:cs="Calibri"/>
          <w:sz w:val="32"/>
          <w:szCs w:val="32"/>
        </w:rPr>
      </w:pPr>
      <w:r w:rsidRPr="00D2715A">
        <w:rPr>
          <w:rFonts w:ascii="Calibri" w:hAnsi="Calibri" w:cs="Calibri"/>
          <w:sz w:val="32"/>
          <w:szCs w:val="32"/>
        </w:rPr>
        <w:t xml:space="preserve">Key 2: </w:t>
      </w:r>
      <w:r w:rsidR="00D2715A" w:rsidRPr="00D2715A">
        <w:rPr>
          <w:rFonts w:ascii="Calibri" w:hAnsi="Calibri" w:cs="Calibri"/>
          <w:sz w:val="32"/>
          <w:szCs w:val="32"/>
        </w:rPr>
        <w:t>I</w:t>
      </w:r>
      <w:r w:rsidRPr="00D2715A">
        <w:rPr>
          <w:rFonts w:ascii="Calibri" w:hAnsi="Calibri" w:cs="Calibri"/>
          <w:sz w:val="32"/>
          <w:szCs w:val="32"/>
        </w:rPr>
        <w:t>mpact of global blockade on industrial closure</w:t>
      </w:r>
    </w:p>
    <w:p w:rsidR="003A3207" w:rsidRPr="00D2715A" w:rsidRDefault="003A3207" w:rsidP="00D2715A">
      <w:pPr>
        <w:autoSpaceDE w:val="0"/>
        <w:autoSpaceDN w:val="0"/>
        <w:adjustRightInd w:val="0"/>
        <w:jc w:val="both"/>
        <w:rPr>
          <w:rFonts w:ascii="Calibri" w:eastAsia="PingFang SC" w:hAnsi="Calibri" w:cs="Calibri" w:hint="eastAsia"/>
          <w:color w:val="000000"/>
          <w:sz w:val="21"/>
          <w:szCs w:val="21"/>
        </w:rPr>
      </w:pPr>
      <w:r w:rsidRPr="003A3207">
        <w:rPr>
          <w:rFonts w:ascii="Calibri" w:eastAsia="PingFang SC" w:hAnsi="Calibri" w:cs="Calibri"/>
          <w:color w:val="000000"/>
          <w:sz w:val="21"/>
          <w:szCs w:val="21"/>
        </w:rPr>
        <w:t>The outbreak of the new crown epidemic has led to the stagnation of international tourism. Only when international tourism starts to operate can the global tourism industry be considered to be in a state of recovery. However, due to the uncertainty of the new epidemic situation, the whole world is still in a semi blockade state. During the blockade state, many small and medium-sized tourism industries went bankrupt, and even one place went bankrupt. The regions relying on tourism economy suffered great impact. Compared with the economic downturn suffered by the tourism industry of various countries, this paper analyzes the situation of international flights and airports, the changes of international visa applications, the changes of entry policies of various countries, and the support policies of various countries for tourism industry. It summarizes the single and chain effects of global blockade on Industrial closure, which is reflected in the economy and policies.</w:t>
      </w:r>
    </w:p>
    <w:p w:rsidR="00112033" w:rsidRPr="00D2715A" w:rsidRDefault="007703EF" w:rsidP="00D2715A">
      <w:pPr>
        <w:pStyle w:val="1"/>
        <w:rPr>
          <w:rFonts w:ascii="Calibri" w:hAnsi="Calibri" w:cs="Calibri"/>
          <w:sz w:val="36"/>
          <w:szCs w:val="36"/>
        </w:rPr>
      </w:pPr>
      <w:r>
        <w:rPr>
          <w:rFonts w:ascii="Calibri" w:hAnsi="Calibri" w:cs="Calibri"/>
          <w:sz w:val="36"/>
          <w:szCs w:val="36"/>
        </w:rPr>
        <w:t>5</w:t>
      </w:r>
      <w:r w:rsidR="00D2715A" w:rsidRPr="00D2715A">
        <w:rPr>
          <w:rFonts w:ascii="Calibri" w:hAnsi="Calibri" w:cs="Calibri"/>
          <w:sz w:val="36"/>
          <w:szCs w:val="36"/>
        </w:rPr>
        <w:t>.</w:t>
      </w:r>
      <w:r>
        <w:rPr>
          <w:rFonts w:ascii="Calibri" w:hAnsi="Calibri" w:cs="Calibri"/>
          <w:sz w:val="36"/>
          <w:szCs w:val="36"/>
        </w:rPr>
        <w:t xml:space="preserve"> Mini</w:t>
      </w:r>
      <w:r w:rsidR="00D2715A" w:rsidRPr="00D2715A">
        <w:rPr>
          <w:rFonts w:ascii="Calibri" w:hAnsi="Calibri" w:cs="Calibri"/>
          <w:sz w:val="36"/>
          <w:szCs w:val="36"/>
        </w:rPr>
        <w:t xml:space="preserve"> </w:t>
      </w:r>
      <w:r>
        <w:rPr>
          <w:rFonts w:ascii="Calibri" w:hAnsi="Calibri" w:cs="Calibri"/>
          <w:sz w:val="36"/>
          <w:szCs w:val="36"/>
        </w:rPr>
        <w:t>l</w:t>
      </w:r>
      <w:r w:rsidR="00112033" w:rsidRPr="00D2715A">
        <w:rPr>
          <w:rFonts w:ascii="Calibri" w:hAnsi="Calibri" w:cs="Calibri"/>
          <w:sz w:val="36"/>
          <w:szCs w:val="36"/>
        </w:rPr>
        <w:t>iterature review</w:t>
      </w:r>
    </w:p>
    <w:p w:rsidR="00112033" w:rsidRDefault="007703EF" w:rsidP="00EF35DF">
      <w:pPr>
        <w:pStyle w:val="1"/>
        <w:rPr>
          <w:rFonts w:ascii="Calibri" w:hAnsi="Calibri" w:cs="Calibri"/>
          <w:sz w:val="32"/>
          <w:szCs w:val="32"/>
        </w:rPr>
      </w:pPr>
      <w:r>
        <w:rPr>
          <w:rFonts w:ascii="Calibri" w:hAnsi="Calibri" w:cs="Calibri"/>
          <w:sz w:val="32"/>
          <w:szCs w:val="32"/>
        </w:rPr>
        <w:t>5</w:t>
      </w:r>
      <w:r w:rsidR="00EF35DF" w:rsidRPr="00EF35DF">
        <w:rPr>
          <w:rFonts w:ascii="Calibri" w:hAnsi="Calibri" w:cs="Calibri"/>
          <w:sz w:val="32"/>
          <w:szCs w:val="32"/>
        </w:rPr>
        <w:t xml:space="preserve">.1 </w:t>
      </w:r>
      <w:r w:rsidR="00112033" w:rsidRPr="00EF35DF">
        <w:rPr>
          <w:rFonts w:ascii="Calibri" w:hAnsi="Calibri" w:cs="Calibri"/>
          <w:sz w:val="32"/>
          <w:szCs w:val="32"/>
        </w:rPr>
        <w:t>Important historical documents</w:t>
      </w:r>
    </w:p>
    <w:p w:rsidR="00611C30" w:rsidRPr="00611C30" w:rsidRDefault="00611C30" w:rsidP="00611C30">
      <w:pPr>
        <w:shd w:val="clear" w:color="auto" w:fill="FFFFFF"/>
        <w:spacing w:before="100" w:beforeAutospacing="1" w:after="100" w:afterAutospacing="1"/>
        <w:ind w:left="12"/>
        <w:jc w:val="both"/>
        <w:rPr>
          <w:rFonts w:ascii="Calibri" w:hAnsi="Calibri" w:cs="Calibri"/>
          <w:color w:val="000000" w:themeColor="text1"/>
          <w:sz w:val="21"/>
          <w:szCs w:val="21"/>
        </w:rPr>
      </w:pPr>
      <w:r w:rsidRPr="00611C30">
        <w:rPr>
          <w:rFonts w:ascii="Calibri" w:hAnsi="Calibri" w:cs="Calibri"/>
          <w:color w:val="000000" w:themeColor="text1"/>
          <w:sz w:val="21"/>
          <w:szCs w:val="21"/>
        </w:rPr>
        <w:t>In the literature citation, I chose a more intuitive data analysis article, which comes from McKinsey's research. In this paper, the author provides a model to predict that if the tourism industry is to recover to the level before the new epidemic, it will cost up to 8 trillion US dollars, and the fastest recovery time will be in 2024. Then, in the form of five graphs, the paper supports the model prediction of tourism recovery from five different aspects.</w:t>
      </w:r>
    </w:p>
    <w:p w:rsidR="00611C30" w:rsidRPr="00611C30" w:rsidRDefault="00611C30" w:rsidP="00611C30">
      <w:pPr>
        <w:shd w:val="clear" w:color="auto" w:fill="FFFFFF"/>
        <w:spacing w:before="100" w:beforeAutospacing="1" w:after="100" w:afterAutospacing="1"/>
        <w:ind w:left="12"/>
        <w:jc w:val="both"/>
        <w:rPr>
          <w:rFonts w:ascii="Calibri" w:hAnsi="Calibri" w:cs="Calibri"/>
          <w:color w:val="000000" w:themeColor="text1"/>
          <w:sz w:val="21"/>
          <w:szCs w:val="21"/>
        </w:rPr>
      </w:pPr>
      <w:r w:rsidRPr="00611C30">
        <w:rPr>
          <w:rFonts w:ascii="Calibri" w:hAnsi="Calibri" w:cs="Calibri"/>
          <w:color w:val="000000" w:themeColor="text1"/>
          <w:sz w:val="21"/>
          <w:szCs w:val="21"/>
        </w:rPr>
        <w:t xml:space="preserve">In the first chart, five driving factors that affect tourism inertia are listed from high to low. The biggest factor is the internal attraction of domestic tourism destinations, which is the core driving force, which </w:t>
      </w:r>
      <w:r w:rsidRPr="00611C30">
        <w:rPr>
          <w:rFonts w:ascii="Calibri" w:hAnsi="Calibri" w:cs="Calibri"/>
          <w:color w:val="000000" w:themeColor="text1"/>
          <w:sz w:val="21"/>
          <w:szCs w:val="21"/>
        </w:rPr>
        <w:lastRenderedPageBreak/>
        <w:t xml:space="preserve">will affect and maintain the development of domestic tourism. (instead of traveling abroad). The first medium factor is air transport. As the development of the epidemic situation will control the traffic in risk areas, tourist destinations will become more dependent </w:t>
      </w:r>
      <w:proofErr w:type="gramStart"/>
      <w:r w:rsidRPr="00611C30">
        <w:rPr>
          <w:rFonts w:ascii="Calibri" w:hAnsi="Calibri" w:cs="Calibri"/>
          <w:color w:val="000000" w:themeColor="text1"/>
          <w:sz w:val="21"/>
          <w:szCs w:val="21"/>
        </w:rPr>
        <w:t>on air</w:t>
      </w:r>
      <w:proofErr w:type="gramEnd"/>
      <w:r w:rsidRPr="00611C30">
        <w:rPr>
          <w:rFonts w:ascii="Calibri" w:hAnsi="Calibri" w:cs="Calibri"/>
          <w:color w:val="000000" w:themeColor="text1"/>
          <w:sz w:val="21"/>
          <w:szCs w:val="21"/>
        </w:rPr>
        <w:t xml:space="preserve"> transport and have a closer relationship. The second factor that will affect tourists' health choices is the increasingly healthy destination choice. The third medium factor is that business travel accounts for more than leisure travel. Finally, the least influential factor, sustainable development, will affect the travel choice of passengers due to environmental factors.</w:t>
      </w:r>
    </w:p>
    <w:p w:rsidR="00611C30" w:rsidRPr="00611C30" w:rsidRDefault="00611C30" w:rsidP="00611C30">
      <w:pPr>
        <w:shd w:val="clear" w:color="auto" w:fill="FFFFFF"/>
        <w:spacing w:before="100" w:beforeAutospacing="1" w:after="100" w:afterAutospacing="1"/>
        <w:ind w:left="12"/>
        <w:jc w:val="both"/>
        <w:rPr>
          <w:rFonts w:ascii="Calibri" w:hAnsi="Calibri" w:cs="Calibri"/>
          <w:color w:val="000000" w:themeColor="text1"/>
          <w:sz w:val="21"/>
          <w:szCs w:val="21"/>
        </w:rPr>
      </w:pPr>
      <w:r w:rsidRPr="00611C30">
        <w:rPr>
          <w:rFonts w:ascii="Calibri" w:hAnsi="Calibri" w:cs="Calibri"/>
          <w:color w:val="000000" w:themeColor="text1"/>
          <w:sz w:val="21"/>
          <w:szCs w:val="21"/>
        </w:rPr>
        <w:t>The second chart forecasts the tourism income from 2020 to 2030 in the form of a histogram. If the optimistic plan is predicted, the output in 2021 can recover to 85% of that in 2019, and the pessimistic plan predicts that the annual output in 2021 will be less than 60% of that in 2019. The overall industrial recovery rate is very slow.</w:t>
      </w:r>
    </w:p>
    <w:p w:rsidR="00611C30" w:rsidRPr="00611C30" w:rsidRDefault="00611C30" w:rsidP="00611C30">
      <w:pPr>
        <w:shd w:val="clear" w:color="auto" w:fill="FFFFFF"/>
        <w:spacing w:before="100" w:beforeAutospacing="1" w:after="100" w:afterAutospacing="1"/>
        <w:ind w:left="12"/>
        <w:jc w:val="both"/>
        <w:rPr>
          <w:rFonts w:ascii="Calibri" w:hAnsi="Calibri" w:cs="Calibri"/>
          <w:color w:val="000000" w:themeColor="text1"/>
          <w:sz w:val="21"/>
          <w:szCs w:val="21"/>
        </w:rPr>
      </w:pPr>
      <w:r w:rsidRPr="00611C30">
        <w:rPr>
          <w:rFonts w:ascii="Calibri" w:hAnsi="Calibri" w:cs="Calibri"/>
          <w:color w:val="000000" w:themeColor="text1"/>
          <w:sz w:val="21"/>
          <w:szCs w:val="21"/>
        </w:rPr>
        <w:t>The third chart takes domestic tourism as the object to make a comparison with the expected recovery rate of international tourism, airlines and hotels. It clearly shows that domestic tourism will recover faster in the form of line chart. There are many reasons for its rapid recovery: for example, compared with international tourism, domestic tourism has less restrictions and more policy support, rigid aviation choice compared with international tourism, more diversified choice of domestic tourism transportation, etc.</w:t>
      </w:r>
    </w:p>
    <w:p w:rsidR="00611C30" w:rsidRPr="00611C30" w:rsidRDefault="00611C30" w:rsidP="00611C30">
      <w:pPr>
        <w:shd w:val="clear" w:color="auto" w:fill="FFFFFF"/>
        <w:spacing w:before="100" w:beforeAutospacing="1" w:after="100" w:afterAutospacing="1"/>
        <w:ind w:left="12"/>
        <w:jc w:val="both"/>
        <w:rPr>
          <w:rFonts w:ascii="Calibri" w:hAnsi="Calibri" w:cs="Calibri"/>
          <w:color w:val="000000" w:themeColor="text1"/>
          <w:sz w:val="21"/>
          <w:szCs w:val="21"/>
        </w:rPr>
      </w:pPr>
      <w:r w:rsidRPr="00611C30">
        <w:rPr>
          <w:rFonts w:ascii="Calibri" w:hAnsi="Calibri" w:cs="Calibri"/>
          <w:color w:val="000000" w:themeColor="text1"/>
          <w:sz w:val="21"/>
          <w:szCs w:val="21"/>
        </w:rPr>
        <w:t>The fourth figure lists 10 countries, and analyzes the advantages and disadvantages of each country, as well as the speed of recovery.</w:t>
      </w:r>
    </w:p>
    <w:p w:rsidR="00611C30" w:rsidRPr="00611C30" w:rsidRDefault="00611C30" w:rsidP="00611C30">
      <w:pPr>
        <w:shd w:val="clear" w:color="auto" w:fill="FFFFFF"/>
        <w:spacing w:before="100" w:beforeAutospacing="1" w:after="100" w:afterAutospacing="1"/>
        <w:ind w:left="12"/>
        <w:jc w:val="both"/>
        <w:rPr>
          <w:rFonts w:ascii="Calibri" w:hAnsi="Calibri" w:cs="Calibri"/>
          <w:color w:val="000000" w:themeColor="text1"/>
          <w:sz w:val="21"/>
          <w:szCs w:val="21"/>
        </w:rPr>
      </w:pPr>
      <w:r w:rsidRPr="00611C30">
        <w:rPr>
          <w:rFonts w:ascii="Calibri" w:hAnsi="Calibri" w:cs="Calibri"/>
          <w:color w:val="000000" w:themeColor="text1"/>
          <w:sz w:val="21"/>
          <w:szCs w:val="21"/>
        </w:rPr>
        <w:t>The fifth figure compares the proportion of aviation recovery in 10 countries, and analyzes the role of aviation recovery in promoting tourism industry.</w:t>
      </w:r>
    </w:p>
    <w:p w:rsidR="00D425EA" w:rsidRDefault="00611C30" w:rsidP="00611C30">
      <w:pPr>
        <w:shd w:val="clear" w:color="auto" w:fill="FFFFFF"/>
        <w:spacing w:before="100" w:beforeAutospacing="1" w:after="100" w:afterAutospacing="1"/>
        <w:ind w:left="12"/>
        <w:jc w:val="both"/>
        <w:rPr>
          <w:rFonts w:ascii="Calibri" w:hAnsi="Calibri" w:cs="Calibri" w:hint="eastAsia"/>
          <w:color w:val="000000" w:themeColor="text1"/>
          <w:sz w:val="21"/>
          <w:szCs w:val="21"/>
        </w:rPr>
      </w:pPr>
      <w:r w:rsidRPr="00611C30">
        <w:rPr>
          <w:rFonts w:ascii="Calibri" w:hAnsi="Calibri" w:cs="Calibri"/>
          <w:color w:val="000000" w:themeColor="text1"/>
          <w:sz w:val="21"/>
          <w:szCs w:val="21"/>
        </w:rPr>
        <w:t>Finally, the following conclusions are drawn from the original text</w:t>
      </w:r>
      <w:r w:rsidR="00FA567E">
        <w:rPr>
          <w:rFonts w:ascii="Calibri" w:hAnsi="Calibri" w:cs="Calibri" w:hint="eastAsia"/>
          <w:color w:val="000000" w:themeColor="text1"/>
          <w:sz w:val="21"/>
          <w:szCs w:val="21"/>
        </w:rPr>
        <w:t>：</w:t>
      </w:r>
    </w:p>
    <w:p w:rsidR="00FA567E" w:rsidRPr="00FA567E" w:rsidRDefault="00FA567E" w:rsidP="00FA567E">
      <w:pPr>
        <w:pStyle w:val="a4"/>
        <w:ind w:left="240" w:right="240"/>
        <w:rPr>
          <w:rFonts w:hint="eastAsia"/>
        </w:rPr>
      </w:pPr>
      <w:r w:rsidRPr="00FA567E">
        <w:t>“Structural and macroeconomic factors will continue to determine tourism recovery. Meanwhile, industry leaders can seek to improve their rate of recovery through a variety of measures including improving perception of air-travel safety, actively promoting domestic destinations, and ensuring government and insurance policies guarantee access to healthcare—even away from home.”</w:t>
      </w:r>
    </w:p>
    <w:p w:rsidR="00D425EA" w:rsidRPr="00D425EA" w:rsidRDefault="00D425EA" w:rsidP="00D425EA">
      <w:pPr>
        <w:pStyle w:val="a4"/>
        <w:ind w:left="240" w:right="240"/>
        <w:rPr>
          <w:rFonts w:ascii="Calibri" w:hAnsi="Calibri" w:cs="Calibri"/>
          <w:color w:val="A6A6A6" w:themeColor="background1" w:themeShade="A6"/>
          <w:sz w:val="24"/>
        </w:rPr>
      </w:pPr>
    </w:p>
    <w:p w:rsidR="00112033" w:rsidRPr="00EF35DF" w:rsidRDefault="007703EF" w:rsidP="00EF35DF">
      <w:pPr>
        <w:pStyle w:val="1"/>
        <w:rPr>
          <w:rFonts w:ascii="Calibri" w:hAnsi="Calibri" w:cs="Calibri"/>
          <w:sz w:val="32"/>
          <w:szCs w:val="32"/>
        </w:rPr>
      </w:pPr>
      <w:r>
        <w:rPr>
          <w:rFonts w:ascii="Calibri" w:hAnsi="Calibri" w:cs="Calibri"/>
          <w:sz w:val="32"/>
          <w:szCs w:val="32"/>
        </w:rPr>
        <w:t>5</w:t>
      </w:r>
      <w:r w:rsidR="00EF35DF" w:rsidRPr="00EF35DF">
        <w:rPr>
          <w:rFonts w:ascii="Calibri" w:hAnsi="Calibri" w:cs="Calibri"/>
          <w:sz w:val="32"/>
          <w:szCs w:val="32"/>
        </w:rPr>
        <w:t xml:space="preserve">.2 </w:t>
      </w:r>
      <w:r w:rsidR="00112033" w:rsidRPr="00EF35DF">
        <w:rPr>
          <w:rFonts w:ascii="Calibri" w:hAnsi="Calibri" w:cs="Calibri"/>
          <w:sz w:val="32"/>
          <w:szCs w:val="32"/>
        </w:rPr>
        <w:t>This study makes a beneficial contribution to this field</w:t>
      </w:r>
    </w:p>
    <w:p w:rsidR="00112033" w:rsidRPr="00566E7C" w:rsidRDefault="00112033" w:rsidP="00566E7C">
      <w:pPr>
        <w:autoSpaceDE w:val="0"/>
        <w:autoSpaceDN w:val="0"/>
        <w:adjustRightInd w:val="0"/>
        <w:jc w:val="both"/>
        <w:rPr>
          <w:rFonts w:ascii="Calibri" w:eastAsia="PingFang SC" w:hAnsi="Calibri" w:cs="Calibri"/>
          <w:color w:val="000000"/>
          <w:sz w:val="21"/>
          <w:szCs w:val="21"/>
        </w:rPr>
      </w:pPr>
      <w:r w:rsidRPr="00566E7C">
        <w:rPr>
          <w:rFonts w:ascii="Calibri" w:eastAsia="PingFang SC" w:hAnsi="Calibri" w:cs="Calibri"/>
          <w:color w:val="000000"/>
          <w:sz w:val="21"/>
          <w:szCs w:val="21"/>
        </w:rPr>
        <w:t>This study supplements the research of other countries from the actual cases of China's tourism recovery. In the process of China's tourism recovery, it can be used for reference in other countries.</w:t>
      </w:r>
    </w:p>
    <w:p w:rsidR="00112033" w:rsidRPr="00566E7C" w:rsidRDefault="00112033" w:rsidP="00566E7C">
      <w:pPr>
        <w:autoSpaceDE w:val="0"/>
        <w:autoSpaceDN w:val="0"/>
        <w:adjustRightInd w:val="0"/>
        <w:jc w:val="both"/>
        <w:rPr>
          <w:rFonts w:ascii="Calibri" w:eastAsia="PingFang SC" w:hAnsi="Calibri" w:cs="Calibri"/>
          <w:color w:val="000000"/>
          <w:sz w:val="21"/>
          <w:szCs w:val="21"/>
        </w:rPr>
      </w:pPr>
      <w:r w:rsidRPr="00566E7C">
        <w:rPr>
          <w:rFonts w:ascii="Calibri" w:eastAsia="PingFang SC" w:hAnsi="Calibri" w:cs="Calibri"/>
          <w:color w:val="000000"/>
          <w:sz w:val="21"/>
          <w:szCs w:val="21"/>
        </w:rPr>
        <w:t>For example, the government encourages the use of Internet to promote local tourism products.</w:t>
      </w:r>
    </w:p>
    <w:p w:rsidR="00A3474B" w:rsidRPr="00566E7C" w:rsidRDefault="00A3474B" w:rsidP="00566E7C">
      <w:pPr>
        <w:autoSpaceDE w:val="0"/>
        <w:autoSpaceDN w:val="0"/>
        <w:adjustRightInd w:val="0"/>
        <w:jc w:val="both"/>
        <w:rPr>
          <w:rFonts w:ascii="Calibri" w:eastAsia="PingFang SC" w:hAnsi="Calibri" w:cs="Calibri"/>
          <w:color w:val="000000"/>
          <w:sz w:val="21"/>
          <w:szCs w:val="21"/>
        </w:rPr>
      </w:pPr>
    </w:p>
    <w:p w:rsidR="00112033" w:rsidRDefault="007703EF" w:rsidP="00EF35DF">
      <w:pPr>
        <w:pStyle w:val="1"/>
        <w:rPr>
          <w:rFonts w:ascii="Calibri" w:hAnsi="Calibri" w:cs="Calibri"/>
          <w:sz w:val="36"/>
          <w:szCs w:val="36"/>
        </w:rPr>
      </w:pPr>
      <w:r>
        <w:rPr>
          <w:rFonts w:ascii="Calibri" w:hAnsi="Calibri" w:cs="Calibri"/>
          <w:sz w:val="36"/>
          <w:szCs w:val="36"/>
        </w:rPr>
        <w:lastRenderedPageBreak/>
        <w:t>6</w:t>
      </w:r>
      <w:r w:rsidR="00EF35DF" w:rsidRPr="00EF35DF">
        <w:rPr>
          <w:rFonts w:ascii="Calibri" w:hAnsi="Calibri" w:cs="Calibri"/>
          <w:sz w:val="36"/>
          <w:szCs w:val="36"/>
        </w:rPr>
        <w:t xml:space="preserve">. </w:t>
      </w:r>
      <w:r w:rsidR="00112033" w:rsidRPr="00EF35DF">
        <w:rPr>
          <w:rFonts w:ascii="Calibri" w:hAnsi="Calibri" w:cs="Calibri"/>
          <w:sz w:val="36"/>
          <w:szCs w:val="36"/>
        </w:rPr>
        <w:t xml:space="preserve">Research </w:t>
      </w:r>
      <w:r>
        <w:rPr>
          <w:rFonts w:ascii="Calibri" w:hAnsi="Calibri" w:cs="Calibri"/>
          <w:sz w:val="36"/>
          <w:szCs w:val="36"/>
        </w:rPr>
        <w:t>t</w:t>
      </w:r>
      <w:r w:rsidR="00112033" w:rsidRPr="00EF35DF">
        <w:rPr>
          <w:rFonts w:ascii="Calibri" w:hAnsi="Calibri" w:cs="Calibri"/>
          <w:sz w:val="36"/>
          <w:szCs w:val="36"/>
        </w:rPr>
        <w:t>echn</w:t>
      </w:r>
      <w:r>
        <w:rPr>
          <w:rFonts w:ascii="Calibri" w:hAnsi="Calibri" w:cs="Calibri"/>
          <w:sz w:val="36"/>
          <w:szCs w:val="36"/>
        </w:rPr>
        <w:t>iques</w:t>
      </w:r>
    </w:p>
    <w:p w:rsidR="00E34A65" w:rsidRPr="00E34A65" w:rsidRDefault="00E34A65" w:rsidP="00E34A65">
      <w:pPr>
        <w:pStyle w:val="1"/>
        <w:rPr>
          <w:rFonts w:ascii="Calibri" w:hAnsi="Calibri" w:cs="Calibri"/>
          <w:sz w:val="32"/>
          <w:szCs w:val="32"/>
        </w:rPr>
      </w:pPr>
      <w:r w:rsidRPr="00E34A65">
        <w:rPr>
          <w:rFonts w:ascii="Calibri" w:hAnsi="Calibri" w:cs="Calibri"/>
          <w:sz w:val="32"/>
          <w:szCs w:val="32"/>
        </w:rPr>
        <w:t>6.1 Data acquisition (strategy)</w:t>
      </w:r>
    </w:p>
    <w:p w:rsidR="00E34A65" w:rsidRPr="00566E7C" w:rsidRDefault="00E34A65" w:rsidP="00566E7C">
      <w:pPr>
        <w:jc w:val="both"/>
        <w:rPr>
          <w:rFonts w:ascii="Calibri" w:hAnsi="Calibri" w:cs="Calibri"/>
          <w:sz w:val="21"/>
          <w:szCs w:val="21"/>
        </w:rPr>
      </w:pPr>
      <w:r w:rsidRPr="00566E7C">
        <w:rPr>
          <w:rFonts w:ascii="Calibri" w:hAnsi="Calibri" w:cs="Calibri"/>
          <w:sz w:val="21"/>
          <w:szCs w:val="21"/>
        </w:rPr>
        <w:t>In terms of data acquisition, second-hand data are mainly used, and the first-hand data of special cases (China) are obtained through interviews. Other cases obtained data through the United Nations, official websites of governments and third-party data consulting agencies such as McKinsey.</w:t>
      </w:r>
    </w:p>
    <w:p w:rsidR="00E34A65" w:rsidRPr="00D2715A" w:rsidRDefault="00E34A65" w:rsidP="00E34A65">
      <w:pPr>
        <w:jc w:val="both"/>
        <w:rPr>
          <w:rFonts w:ascii="Calibri" w:hAnsi="Calibri" w:cs="Calibri"/>
        </w:rPr>
      </w:pPr>
    </w:p>
    <w:p w:rsidR="00E34A65" w:rsidRPr="00E34A65" w:rsidRDefault="00E34A65" w:rsidP="00E34A65">
      <w:pPr>
        <w:pStyle w:val="1"/>
        <w:rPr>
          <w:rFonts w:ascii="Calibri" w:hAnsi="Calibri" w:cs="Calibri"/>
          <w:sz w:val="32"/>
          <w:szCs w:val="32"/>
        </w:rPr>
      </w:pPr>
      <w:r w:rsidRPr="00E34A65">
        <w:rPr>
          <w:rFonts w:ascii="Calibri" w:hAnsi="Calibri" w:cs="Calibri"/>
          <w:sz w:val="32"/>
          <w:szCs w:val="32"/>
        </w:rPr>
        <w:t>6.2 Analytical technology</w:t>
      </w:r>
    </w:p>
    <w:p w:rsidR="00E34A65" w:rsidRDefault="00E34A65" w:rsidP="00E34A65">
      <w:pPr>
        <w:jc w:val="both"/>
        <w:rPr>
          <w:rFonts w:ascii="Calibri" w:hAnsi="Calibri" w:cs="Calibri"/>
          <w:b/>
          <w:sz w:val="30"/>
          <w:szCs w:val="30"/>
        </w:rPr>
      </w:pPr>
      <w:r w:rsidRPr="00E34A65">
        <w:rPr>
          <w:rFonts w:ascii="Calibri" w:hAnsi="Calibri" w:cs="Calibri"/>
          <w:b/>
          <w:sz w:val="30"/>
          <w:szCs w:val="30"/>
        </w:rPr>
        <w:t>Selection method</w:t>
      </w:r>
    </w:p>
    <w:p w:rsidR="00566E7C" w:rsidRPr="00E34A65" w:rsidRDefault="00566E7C" w:rsidP="00E34A65">
      <w:pPr>
        <w:jc w:val="both"/>
        <w:rPr>
          <w:rFonts w:ascii="Calibri" w:hAnsi="Calibri" w:cs="Calibri"/>
          <w:b/>
          <w:sz w:val="30"/>
          <w:szCs w:val="30"/>
        </w:rPr>
      </w:pPr>
    </w:p>
    <w:p w:rsidR="00E34A65" w:rsidRPr="00566E7C" w:rsidRDefault="00E34A65" w:rsidP="00566E7C">
      <w:pPr>
        <w:jc w:val="both"/>
        <w:rPr>
          <w:rFonts w:ascii="Calibri" w:hAnsi="Calibri" w:cs="Calibri"/>
          <w:sz w:val="21"/>
          <w:szCs w:val="21"/>
        </w:rPr>
      </w:pPr>
      <w:r w:rsidRPr="00566E7C">
        <w:rPr>
          <w:rFonts w:ascii="Calibri" w:hAnsi="Calibri" w:cs="Calibri"/>
          <w:sz w:val="21"/>
          <w:szCs w:val="21"/>
        </w:rPr>
        <w:t>Inductive method is mainly used. This paper sums up the general methods from the measures and restrictions of tourism in many countries. For example, industries and countries support the establishment of sustainable tourism development system and encourage eco-tourism; for example, most countries will encourage domestic tourism recovery through transportation subsidies and accommodation ticket subsidies; for example, in digital economy, many countries encourage the development of tourism digital economy, especially encourage tourism professionals to carry out digital economy training.</w:t>
      </w:r>
    </w:p>
    <w:p w:rsidR="00E34A65" w:rsidRPr="00566E7C" w:rsidRDefault="00E34A65" w:rsidP="00566E7C">
      <w:pPr>
        <w:jc w:val="both"/>
        <w:rPr>
          <w:rFonts w:ascii="Calibri" w:hAnsi="Calibri" w:cs="Calibri"/>
          <w:sz w:val="21"/>
          <w:szCs w:val="21"/>
        </w:rPr>
      </w:pPr>
    </w:p>
    <w:p w:rsidR="00E34A65" w:rsidRPr="00566E7C" w:rsidRDefault="00E34A65" w:rsidP="00566E7C">
      <w:pPr>
        <w:jc w:val="both"/>
        <w:rPr>
          <w:rFonts w:ascii="Calibri" w:hAnsi="Calibri" w:cs="Calibri"/>
          <w:sz w:val="21"/>
          <w:szCs w:val="21"/>
        </w:rPr>
      </w:pPr>
      <w:r w:rsidRPr="00566E7C">
        <w:rPr>
          <w:rFonts w:ascii="Calibri" w:hAnsi="Calibri" w:cs="Calibri"/>
          <w:sz w:val="21"/>
          <w:szCs w:val="21"/>
        </w:rPr>
        <w:t>This research will summarize its multi-national methods and study its solutions from the perspective of China's market recovery.</w:t>
      </w:r>
    </w:p>
    <w:p w:rsidR="00E34A65" w:rsidRPr="00566E7C" w:rsidRDefault="00E34A65" w:rsidP="00566E7C">
      <w:pPr>
        <w:jc w:val="both"/>
        <w:rPr>
          <w:sz w:val="21"/>
          <w:szCs w:val="21"/>
        </w:rPr>
      </w:pPr>
    </w:p>
    <w:p w:rsidR="00112033" w:rsidRDefault="00E34A65" w:rsidP="00D425EA">
      <w:pPr>
        <w:pStyle w:val="1"/>
        <w:rPr>
          <w:rFonts w:ascii="Calibri" w:hAnsi="Calibri" w:cs="Calibri"/>
          <w:sz w:val="36"/>
          <w:szCs w:val="36"/>
        </w:rPr>
      </w:pPr>
      <w:r w:rsidRPr="00E34A65">
        <w:rPr>
          <w:rFonts w:ascii="Calibri" w:hAnsi="Calibri" w:cs="Calibri"/>
          <w:sz w:val="36"/>
          <w:szCs w:val="36"/>
        </w:rPr>
        <w:t>7. Research rationale</w:t>
      </w:r>
    </w:p>
    <w:p w:rsidR="00566E7C" w:rsidRDefault="00FA567E" w:rsidP="00566E7C">
      <w:pPr>
        <w:jc w:val="both"/>
        <w:rPr>
          <w:rFonts w:ascii="Calibri" w:hAnsi="Calibri" w:cs="Calibri"/>
          <w:sz w:val="21"/>
          <w:szCs w:val="21"/>
        </w:rPr>
      </w:pPr>
      <w:r w:rsidRPr="00FA567E">
        <w:rPr>
          <w:rFonts w:ascii="Calibri" w:hAnsi="Calibri" w:cs="Calibri"/>
          <w:sz w:val="21"/>
          <w:szCs w:val="21"/>
        </w:rPr>
        <w:t>I will take the method of empirical research to analyze the role of the full text, through data investigation, data acquisition, comparative analysis to get the conclusion.</w:t>
      </w:r>
    </w:p>
    <w:p w:rsidR="00FA567E" w:rsidRPr="00566E7C" w:rsidRDefault="00FA567E" w:rsidP="00566E7C">
      <w:pPr>
        <w:jc w:val="both"/>
        <w:rPr>
          <w:rFonts w:ascii="Calibri" w:hAnsi="Calibri" w:cs="Calibri" w:hint="eastAsia"/>
          <w:sz w:val="21"/>
          <w:szCs w:val="21"/>
        </w:rPr>
      </w:pPr>
    </w:p>
    <w:p w:rsidR="003E29EF" w:rsidRDefault="003E29EF" w:rsidP="00566E7C">
      <w:pPr>
        <w:jc w:val="both"/>
        <w:rPr>
          <w:rFonts w:ascii="Calibri" w:hAnsi="Calibri" w:cs="Calibri"/>
          <w:b/>
          <w:sz w:val="21"/>
          <w:szCs w:val="21"/>
        </w:rPr>
      </w:pPr>
      <w:r w:rsidRPr="00566E7C">
        <w:rPr>
          <w:rFonts w:ascii="Calibri" w:hAnsi="Calibri" w:cs="Calibri"/>
          <w:b/>
          <w:sz w:val="21"/>
          <w:szCs w:val="21"/>
        </w:rPr>
        <w:t>The three elements of empirical research are as follows</w:t>
      </w:r>
    </w:p>
    <w:p w:rsidR="00566E7C" w:rsidRPr="00566E7C" w:rsidRDefault="00566E7C" w:rsidP="00566E7C">
      <w:pPr>
        <w:jc w:val="both"/>
        <w:rPr>
          <w:rFonts w:ascii="Calibri" w:hAnsi="Calibri" w:cs="Calibri"/>
          <w:b/>
          <w:sz w:val="21"/>
          <w:szCs w:val="21"/>
        </w:rPr>
      </w:pPr>
    </w:p>
    <w:p w:rsidR="003E29EF" w:rsidRPr="00566E7C" w:rsidRDefault="003E29EF" w:rsidP="00566E7C">
      <w:pPr>
        <w:jc w:val="both"/>
        <w:rPr>
          <w:rFonts w:ascii="Calibri" w:hAnsi="Calibri" w:cs="Calibri"/>
          <w:sz w:val="21"/>
          <w:szCs w:val="21"/>
        </w:rPr>
      </w:pPr>
      <w:r w:rsidRPr="00566E7C">
        <w:rPr>
          <w:rFonts w:ascii="Calibri" w:hAnsi="Calibri" w:cs="Calibri"/>
          <w:b/>
          <w:sz w:val="21"/>
          <w:szCs w:val="21"/>
        </w:rPr>
        <w:t>The first is scientific theory.</w:t>
      </w:r>
      <w:r w:rsidRPr="00566E7C">
        <w:rPr>
          <w:rFonts w:ascii="Calibri" w:hAnsi="Calibri" w:cs="Calibri"/>
          <w:sz w:val="21"/>
          <w:szCs w:val="21"/>
        </w:rPr>
        <w:t xml:space="preserve"> Theoretical development is the basis of empirical research. Without the empirical research of scientific theory, it is no different from a game of data mining and combination. In all aspects of empirical research, such as putting forward research hypotheses, designing research variables, building models and analyzing results, can’t do without theory.</w:t>
      </w:r>
    </w:p>
    <w:p w:rsidR="003E29EF" w:rsidRPr="00566E7C" w:rsidRDefault="003E29EF" w:rsidP="00566E7C">
      <w:pPr>
        <w:jc w:val="both"/>
        <w:rPr>
          <w:rFonts w:ascii="Calibri" w:hAnsi="Calibri" w:cs="Calibri"/>
          <w:sz w:val="21"/>
          <w:szCs w:val="21"/>
        </w:rPr>
      </w:pPr>
      <w:r w:rsidRPr="00566E7C">
        <w:rPr>
          <w:rFonts w:ascii="Calibri" w:hAnsi="Calibri" w:cs="Calibri"/>
          <w:b/>
          <w:sz w:val="21"/>
          <w:szCs w:val="21"/>
        </w:rPr>
        <w:lastRenderedPageBreak/>
        <w:t>The second is data.</w:t>
      </w:r>
      <w:r w:rsidRPr="00566E7C">
        <w:rPr>
          <w:rFonts w:ascii="Calibri" w:hAnsi="Calibri" w:cs="Calibri"/>
          <w:sz w:val="21"/>
          <w:szCs w:val="21"/>
        </w:rPr>
        <w:t xml:space="preserve"> If the data is more complete and </w:t>
      </w:r>
      <w:r w:rsidRPr="00566E7C">
        <w:rPr>
          <w:rFonts w:ascii="Calibri" w:hAnsi="Calibri" w:cs="Calibri" w:hint="eastAsia"/>
          <w:sz w:val="21"/>
          <w:szCs w:val="21"/>
        </w:rPr>
        <w:t>m</w:t>
      </w:r>
      <w:r w:rsidRPr="00566E7C">
        <w:rPr>
          <w:rFonts w:ascii="Calibri" w:hAnsi="Calibri" w:cs="Calibri"/>
          <w:sz w:val="21"/>
          <w:szCs w:val="21"/>
        </w:rPr>
        <w:t>ore accurate, the reliability of empirical research will be higher.</w:t>
      </w:r>
    </w:p>
    <w:p w:rsidR="003E29EF" w:rsidRPr="00566E7C" w:rsidRDefault="003E29EF" w:rsidP="00566E7C">
      <w:pPr>
        <w:jc w:val="both"/>
        <w:rPr>
          <w:rFonts w:ascii="Calibri" w:hAnsi="Calibri" w:cs="Calibri"/>
          <w:sz w:val="21"/>
          <w:szCs w:val="21"/>
        </w:rPr>
      </w:pPr>
      <w:r w:rsidRPr="00566E7C">
        <w:rPr>
          <w:rFonts w:ascii="Calibri" w:hAnsi="Calibri" w:cs="Calibri"/>
          <w:b/>
          <w:sz w:val="21"/>
          <w:szCs w:val="21"/>
        </w:rPr>
        <w:t xml:space="preserve">The third is the method. </w:t>
      </w:r>
      <w:r w:rsidRPr="00566E7C">
        <w:rPr>
          <w:rFonts w:ascii="Calibri" w:hAnsi="Calibri" w:cs="Calibri"/>
          <w:sz w:val="21"/>
          <w:szCs w:val="21"/>
        </w:rPr>
        <w:t>Empirical research is mainly based on the econometric analysis method, which integrates modern statistical knowledge such as statistical inference and parameter estimation.</w:t>
      </w:r>
    </w:p>
    <w:p w:rsidR="00112033" w:rsidRPr="00566E7C" w:rsidRDefault="00112033" w:rsidP="00566E7C">
      <w:pPr>
        <w:jc w:val="both"/>
        <w:rPr>
          <w:rFonts w:ascii="Calibri" w:hAnsi="Calibri" w:cs="Calibri"/>
          <w:sz w:val="21"/>
          <w:szCs w:val="21"/>
        </w:rPr>
      </w:pPr>
      <w:r w:rsidRPr="00566E7C">
        <w:rPr>
          <w:rFonts w:ascii="Calibri" w:hAnsi="Calibri" w:cs="Calibri"/>
          <w:sz w:val="21"/>
          <w:szCs w:val="21"/>
        </w:rPr>
        <w:t xml:space="preserve">This paper adopts the </w:t>
      </w:r>
      <w:r w:rsidR="003E29EF" w:rsidRPr="00566E7C">
        <w:rPr>
          <w:rFonts w:ascii="Calibri" w:hAnsi="Calibri" w:cs="Calibri"/>
          <w:sz w:val="21"/>
          <w:szCs w:val="21"/>
        </w:rPr>
        <w:t xml:space="preserve">empirical research, </w:t>
      </w:r>
      <w:r w:rsidRPr="00566E7C">
        <w:rPr>
          <w:rFonts w:ascii="Calibri" w:hAnsi="Calibri" w:cs="Calibri"/>
          <w:sz w:val="21"/>
          <w:szCs w:val="21"/>
        </w:rPr>
        <w:t>that is, through a series of practical investigation and data analysis, we get the conclusion.</w:t>
      </w:r>
    </w:p>
    <w:p w:rsidR="00112033" w:rsidRPr="00D425EA" w:rsidRDefault="00E34A65" w:rsidP="00D425EA">
      <w:pPr>
        <w:pStyle w:val="1"/>
        <w:rPr>
          <w:rFonts w:ascii="Calibri" w:hAnsi="Calibri" w:cs="Calibri"/>
          <w:sz w:val="32"/>
          <w:szCs w:val="32"/>
        </w:rPr>
      </w:pPr>
      <w:r>
        <w:rPr>
          <w:rFonts w:ascii="Calibri" w:hAnsi="Calibri" w:cs="Calibri"/>
          <w:sz w:val="32"/>
          <w:szCs w:val="32"/>
        </w:rPr>
        <w:t>7</w:t>
      </w:r>
      <w:r w:rsidR="00EF35DF" w:rsidRPr="00D425EA">
        <w:rPr>
          <w:rFonts w:ascii="Calibri" w:hAnsi="Calibri" w:cs="Calibri"/>
          <w:sz w:val="32"/>
          <w:szCs w:val="32"/>
        </w:rPr>
        <w:t>.</w:t>
      </w:r>
      <w:r>
        <w:rPr>
          <w:rFonts w:ascii="Calibri" w:hAnsi="Calibri" w:cs="Calibri"/>
          <w:sz w:val="32"/>
          <w:szCs w:val="32"/>
        </w:rPr>
        <w:t>1</w:t>
      </w:r>
      <w:r w:rsidR="00EF35DF" w:rsidRPr="00D425EA">
        <w:rPr>
          <w:rFonts w:ascii="Calibri" w:hAnsi="Calibri" w:cs="Calibri"/>
          <w:sz w:val="32"/>
          <w:szCs w:val="32"/>
        </w:rPr>
        <w:t xml:space="preserve"> </w:t>
      </w:r>
      <w:r w:rsidR="00D425EA" w:rsidRPr="00D425EA">
        <w:rPr>
          <w:rFonts w:ascii="Calibri" w:hAnsi="Calibri" w:cs="Calibri"/>
          <w:sz w:val="32"/>
          <w:szCs w:val="32"/>
        </w:rPr>
        <w:t>C</w:t>
      </w:r>
      <w:r w:rsidR="00112033" w:rsidRPr="00D425EA">
        <w:rPr>
          <w:rFonts w:ascii="Calibri" w:hAnsi="Calibri" w:cs="Calibri"/>
          <w:sz w:val="32"/>
          <w:szCs w:val="32"/>
        </w:rPr>
        <w:t xml:space="preserve">ase study </w:t>
      </w:r>
    </w:p>
    <w:p w:rsidR="00112033" w:rsidRPr="00566E7C" w:rsidRDefault="00112033" w:rsidP="00D2715A">
      <w:pPr>
        <w:jc w:val="both"/>
        <w:rPr>
          <w:rFonts w:ascii="Calibri" w:hAnsi="Calibri" w:cs="Calibri"/>
          <w:sz w:val="21"/>
          <w:szCs w:val="21"/>
        </w:rPr>
      </w:pPr>
      <w:r w:rsidRPr="00566E7C">
        <w:rPr>
          <w:rFonts w:ascii="Calibri" w:hAnsi="Calibri" w:cs="Calibri"/>
          <w:sz w:val="21"/>
          <w:szCs w:val="21"/>
        </w:rPr>
        <w:t>The case study will take China's tourism industry as a special case to analyze the damage caused by the new epidemic to the tourism industry, the reduction of tourist flow caused by regional blockade, the closure of tourist attractions, the rise of unemployment rate and the decline of economic figures caused by the closure of tourist attractions.</w:t>
      </w:r>
    </w:p>
    <w:p w:rsidR="00E34A65" w:rsidRDefault="00E34A65" w:rsidP="00D2715A">
      <w:pPr>
        <w:rPr>
          <w:rFonts w:ascii="Calibri" w:hAnsi="Calibri" w:cs="Calibri"/>
          <w:b/>
        </w:rPr>
      </w:pPr>
    </w:p>
    <w:p w:rsidR="00E34A65" w:rsidRDefault="00E34A65" w:rsidP="00E34A65">
      <w:pPr>
        <w:pStyle w:val="1"/>
        <w:rPr>
          <w:rFonts w:ascii="Calibri" w:hAnsi="Calibri" w:cs="Calibri"/>
          <w:sz w:val="36"/>
          <w:szCs w:val="36"/>
        </w:rPr>
      </w:pPr>
      <w:r w:rsidRPr="00E34A65">
        <w:rPr>
          <w:rFonts w:ascii="Calibri" w:hAnsi="Calibri" w:cs="Calibri"/>
          <w:sz w:val="36"/>
          <w:szCs w:val="36"/>
        </w:rPr>
        <w:t>8.Reference list</w:t>
      </w:r>
    </w:p>
    <w:p w:rsidR="003E29EF" w:rsidRPr="00566E7C" w:rsidRDefault="003E29EF" w:rsidP="00566E7C">
      <w:pPr>
        <w:autoSpaceDE w:val="0"/>
        <w:autoSpaceDN w:val="0"/>
        <w:adjustRightInd w:val="0"/>
        <w:jc w:val="both"/>
        <w:rPr>
          <w:rFonts w:ascii="Calibri" w:eastAsia="PingFang SC" w:hAnsi="Calibri" w:cs="Calibri"/>
          <w:b/>
          <w:bCs/>
          <w:color w:val="000000"/>
          <w:sz w:val="21"/>
          <w:szCs w:val="21"/>
        </w:rPr>
      </w:pPr>
      <w:r w:rsidRPr="00566E7C">
        <w:rPr>
          <w:rFonts w:ascii="Calibri" w:hAnsi="Calibri" w:cs="Calibri"/>
          <w:sz w:val="21"/>
          <w:szCs w:val="21"/>
        </w:rPr>
        <w:t xml:space="preserve">Economic Co-operation and development, (2020), </w:t>
      </w:r>
      <w:r w:rsidRPr="00566E7C">
        <w:rPr>
          <w:rStyle w:val="webback-to-top"/>
          <w:rFonts w:ascii="Calibri" w:hAnsi="Calibri" w:cs="Calibri"/>
          <w:color w:val="000000" w:themeColor="text1"/>
          <w:sz w:val="21"/>
          <w:szCs w:val="21"/>
        </w:rPr>
        <w:t>Rebuilding tourism for the future: COVID-19 policy responses and recovery,</w:t>
      </w:r>
      <w:r w:rsidRPr="00566E7C">
        <w:rPr>
          <w:rFonts w:ascii="Calibri" w:hAnsi="Calibri" w:cs="Calibri"/>
          <w:sz w:val="21"/>
          <w:szCs w:val="21"/>
        </w:rPr>
        <w:t xml:space="preserve"> [online], Available at&lt;</w:t>
      </w:r>
      <w:hyperlink r:id="rId6" w:history="1">
        <w:r w:rsidRPr="00566E7C">
          <w:rPr>
            <w:rStyle w:val="a8"/>
            <w:rFonts w:ascii="Calibri" w:eastAsia="PingFang SC" w:hAnsi="Calibri" w:cs="Calibri"/>
            <w:sz w:val="21"/>
            <w:szCs w:val="21"/>
          </w:rPr>
          <w:t>http://www.oecd.org/coronavirus/policy-responses/rebuilding-tourism-for-the-future-covid-19-policy-responses</w:t>
        </w:r>
        <w:r w:rsidRPr="00566E7C">
          <w:rPr>
            <w:rStyle w:val="a8"/>
            <w:rFonts w:ascii="Calibri" w:eastAsia="PingFang SC" w:hAnsi="Calibri" w:cs="Calibri"/>
            <w:sz w:val="21"/>
            <w:szCs w:val="21"/>
          </w:rPr>
          <w:t>-</w:t>
        </w:r>
        <w:r w:rsidRPr="00566E7C">
          <w:rPr>
            <w:rStyle w:val="a8"/>
            <w:rFonts w:ascii="Calibri" w:eastAsia="PingFang SC" w:hAnsi="Calibri" w:cs="Calibri"/>
            <w:sz w:val="21"/>
            <w:szCs w:val="21"/>
          </w:rPr>
          <w:t>and-recovery-bced9859/</w:t>
        </w:r>
      </w:hyperlink>
      <w:r w:rsidRPr="00566E7C">
        <w:rPr>
          <w:rFonts w:ascii="Calibri" w:eastAsia="PingFang SC" w:hAnsi="Calibri" w:cs="Calibri"/>
          <w:b/>
          <w:bCs/>
          <w:color w:val="000000"/>
          <w:sz w:val="21"/>
          <w:szCs w:val="21"/>
        </w:rPr>
        <w:t>&gt;</w:t>
      </w:r>
      <w:r w:rsidRPr="00566E7C">
        <w:rPr>
          <w:rFonts w:ascii="Calibri" w:hAnsi="Calibri" w:cs="Calibri"/>
          <w:color w:val="212121"/>
          <w:sz w:val="21"/>
          <w:szCs w:val="21"/>
          <w:shd w:val="clear" w:color="auto" w:fill="FFFFFF"/>
        </w:rPr>
        <w:t xml:space="preserve"> Assessed at 2</w:t>
      </w:r>
      <w:r w:rsidR="00C35378" w:rsidRPr="00566E7C">
        <w:rPr>
          <w:rFonts w:ascii="Calibri" w:hAnsi="Calibri" w:cs="Calibri"/>
          <w:color w:val="212121"/>
          <w:sz w:val="21"/>
          <w:szCs w:val="21"/>
          <w:shd w:val="clear" w:color="auto" w:fill="FFFFFF"/>
        </w:rPr>
        <w:t>8</w:t>
      </w:r>
      <w:r w:rsidRPr="00566E7C">
        <w:rPr>
          <w:rFonts w:ascii="Calibri" w:hAnsi="Calibri" w:cs="Calibri"/>
          <w:color w:val="212121"/>
          <w:sz w:val="21"/>
          <w:szCs w:val="21"/>
          <w:shd w:val="clear" w:color="auto" w:fill="FFFFFF"/>
          <w:vertAlign w:val="superscript"/>
        </w:rPr>
        <w:t>th</w:t>
      </w:r>
      <w:r w:rsidRPr="00566E7C">
        <w:rPr>
          <w:rFonts w:ascii="Calibri" w:hAnsi="Calibri" w:cs="Calibri"/>
          <w:color w:val="212121"/>
          <w:sz w:val="21"/>
          <w:szCs w:val="21"/>
          <w:shd w:val="clear" w:color="auto" w:fill="FFFFFF"/>
        </w:rPr>
        <w:t xml:space="preserve"> November 2020</w:t>
      </w:r>
    </w:p>
    <w:p w:rsidR="003E29EF" w:rsidRPr="003E29EF" w:rsidRDefault="003E29EF" w:rsidP="003E29EF">
      <w:pPr>
        <w:rPr>
          <w:rFonts w:ascii="Calibri" w:hAnsi="Calibri" w:cs="Calibri"/>
          <w:color w:val="000000" w:themeColor="text1"/>
          <w:sz w:val="21"/>
          <w:szCs w:val="21"/>
        </w:rPr>
      </w:pPr>
    </w:p>
    <w:p w:rsidR="00C35378" w:rsidRDefault="00C35378" w:rsidP="00566E7C">
      <w:pPr>
        <w:autoSpaceDE w:val="0"/>
        <w:autoSpaceDN w:val="0"/>
        <w:adjustRightInd w:val="0"/>
        <w:jc w:val="both"/>
        <w:rPr>
          <w:rFonts w:ascii="Calibri" w:hAnsi="Calibri" w:cs="Calibri"/>
          <w:color w:val="212121"/>
          <w:sz w:val="21"/>
          <w:szCs w:val="21"/>
          <w:shd w:val="clear" w:color="auto" w:fill="FFFFFF"/>
        </w:rPr>
      </w:pPr>
      <w:proofErr w:type="spellStart"/>
      <w:r w:rsidRPr="00C35378">
        <w:rPr>
          <w:rFonts w:ascii="Calibri" w:hAnsi="Calibri" w:cs="Calibri"/>
          <w:color w:val="333333"/>
          <w:sz w:val="21"/>
          <w:szCs w:val="21"/>
          <w:shd w:val="clear" w:color="auto" w:fill="FFFFFF"/>
        </w:rPr>
        <w:t>Urs</w:t>
      </w:r>
      <w:proofErr w:type="spellEnd"/>
      <w:r w:rsidRPr="00C35378">
        <w:rPr>
          <w:rFonts w:ascii="Calibri" w:hAnsi="Calibri" w:cs="Calibri"/>
          <w:color w:val="333333"/>
          <w:sz w:val="21"/>
          <w:szCs w:val="21"/>
          <w:shd w:val="clear" w:color="auto" w:fill="FFFFFF"/>
        </w:rPr>
        <w:t xml:space="preserve"> </w:t>
      </w:r>
      <w:proofErr w:type="spellStart"/>
      <w:r w:rsidRPr="00C35378">
        <w:rPr>
          <w:rFonts w:ascii="Calibri" w:hAnsi="Calibri" w:cs="Calibri"/>
          <w:color w:val="333333"/>
          <w:sz w:val="21"/>
          <w:szCs w:val="21"/>
          <w:shd w:val="clear" w:color="auto" w:fill="FFFFFF"/>
        </w:rPr>
        <w:t>Binggeli,Margaux</w:t>
      </w:r>
      <w:proofErr w:type="spellEnd"/>
      <w:r w:rsidRPr="00C35378">
        <w:rPr>
          <w:rFonts w:ascii="Calibri" w:hAnsi="Calibri" w:cs="Calibri"/>
          <w:color w:val="333333"/>
          <w:sz w:val="21"/>
          <w:szCs w:val="21"/>
          <w:shd w:val="clear" w:color="auto" w:fill="FFFFFF"/>
        </w:rPr>
        <w:t xml:space="preserve"> </w:t>
      </w:r>
      <w:proofErr w:type="spellStart"/>
      <w:r w:rsidRPr="00C35378">
        <w:rPr>
          <w:rFonts w:ascii="Calibri" w:hAnsi="Calibri" w:cs="Calibri"/>
          <w:color w:val="333333"/>
          <w:sz w:val="21"/>
          <w:szCs w:val="21"/>
          <w:shd w:val="clear" w:color="auto" w:fill="FFFFFF"/>
        </w:rPr>
        <w:t>Constantin</w:t>
      </w:r>
      <w:r w:rsidRPr="00C35378">
        <w:rPr>
          <w:rStyle w:val="10"/>
          <w:rFonts w:ascii="Calibri" w:hAnsi="Calibri" w:cs="Calibri"/>
          <w:b w:val="0"/>
          <w:bCs w:val="0"/>
          <w:color w:val="333333"/>
          <w:sz w:val="21"/>
          <w:szCs w:val="21"/>
          <w:shd w:val="clear" w:color="auto" w:fill="FFFFFF"/>
        </w:rPr>
        <w:t>,</w:t>
      </w:r>
      <w:r w:rsidRPr="00C35378">
        <w:rPr>
          <w:rFonts w:ascii="Calibri" w:hAnsi="Calibri" w:cs="Calibri"/>
          <w:color w:val="333333"/>
          <w:sz w:val="21"/>
          <w:szCs w:val="21"/>
          <w:shd w:val="clear" w:color="auto" w:fill="FFFFFF"/>
        </w:rPr>
        <w:t>Eliav</w:t>
      </w:r>
      <w:proofErr w:type="spellEnd"/>
      <w:r w:rsidRPr="00C35378">
        <w:rPr>
          <w:rFonts w:ascii="Calibri" w:hAnsi="Calibri" w:cs="Calibri"/>
          <w:color w:val="333333"/>
          <w:sz w:val="21"/>
          <w:szCs w:val="21"/>
          <w:shd w:val="clear" w:color="auto" w:fill="FFFFFF"/>
        </w:rPr>
        <w:t xml:space="preserve"> Pollack,(2020),</w:t>
      </w:r>
      <w:r w:rsidRPr="00C35378">
        <w:rPr>
          <w:sz w:val="21"/>
          <w:szCs w:val="21"/>
        </w:rPr>
        <w:t xml:space="preserve"> </w:t>
      </w:r>
      <w:r w:rsidRPr="00C35378">
        <w:rPr>
          <w:rFonts w:ascii="Calibri" w:hAnsi="Calibri" w:cs="Calibri"/>
          <w:color w:val="333333"/>
          <w:sz w:val="21"/>
          <w:szCs w:val="21"/>
          <w:shd w:val="clear" w:color="auto" w:fill="FFFFFF"/>
        </w:rPr>
        <w:t>COVID-19 tourism spend recovery in numbers,</w:t>
      </w:r>
      <w:r w:rsidRPr="00C35378">
        <w:rPr>
          <w:rFonts w:ascii="Calibri" w:hAnsi="Calibri" w:cs="Calibri"/>
          <w:sz w:val="21"/>
          <w:szCs w:val="21"/>
        </w:rPr>
        <w:t xml:space="preserve"> [online], Available at&lt;</w:t>
      </w:r>
      <w:hyperlink r:id="rId7" w:history="1">
        <w:r w:rsidR="00566E7C" w:rsidRPr="00CD7E32">
          <w:rPr>
            <w:rStyle w:val="a8"/>
            <w:rFonts w:ascii="Calibri" w:eastAsia="PingFang SC" w:hAnsi="Calibri" w:cs="Calibri"/>
            <w:sz w:val="21"/>
            <w:szCs w:val="21"/>
          </w:rPr>
          <w:t>https://www.mckinsey.com/industries/travel-logistics-and-transport-infrastructure/our-insights/covid-19-tourism-spend-</w:t>
        </w:r>
        <w:r w:rsidR="00566E7C" w:rsidRPr="00CD7E32">
          <w:rPr>
            <w:rStyle w:val="a8"/>
            <w:rFonts w:ascii="Calibri" w:eastAsia="PingFang SC" w:hAnsi="Calibri" w:cs="Calibri"/>
            <w:sz w:val="21"/>
            <w:szCs w:val="21"/>
          </w:rPr>
          <w:t>r</w:t>
        </w:r>
        <w:r w:rsidR="00566E7C" w:rsidRPr="00CD7E32">
          <w:rPr>
            <w:rStyle w:val="a8"/>
            <w:rFonts w:ascii="Calibri" w:eastAsia="PingFang SC" w:hAnsi="Calibri" w:cs="Calibri"/>
            <w:sz w:val="21"/>
            <w:szCs w:val="21"/>
          </w:rPr>
          <w:t>ecovery-in-numbers</w:t>
        </w:r>
      </w:hyperlink>
      <w:r w:rsidRPr="00566E7C">
        <w:rPr>
          <w:rFonts w:ascii="Calibri" w:hAnsi="Calibri" w:cs="Calibri"/>
          <w:sz w:val="21"/>
          <w:szCs w:val="21"/>
        </w:rPr>
        <w:t>&gt;</w:t>
      </w:r>
      <w:r w:rsidRPr="00566E7C">
        <w:rPr>
          <w:rFonts w:ascii="Calibri" w:hAnsi="Calibri" w:cs="Calibri"/>
          <w:color w:val="212121"/>
          <w:sz w:val="21"/>
          <w:szCs w:val="21"/>
          <w:shd w:val="clear" w:color="auto" w:fill="FFFFFF"/>
        </w:rPr>
        <w:t xml:space="preserve"> A</w:t>
      </w:r>
      <w:r w:rsidRPr="00C35378">
        <w:rPr>
          <w:rFonts w:ascii="Calibri" w:hAnsi="Calibri" w:cs="Calibri"/>
          <w:color w:val="212121"/>
          <w:sz w:val="21"/>
          <w:szCs w:val="21"/>
          <w:shd w:val="clear" w:color="auto" w:fill="FFFFFF"/>
        </w:rPr>
        <w:t>ssessed at 28</w:t>
      </w:r>
      <w:r w:rsidRPr="00C35378">
        <w:rPr>
          <w:rFonts w:ascii="Calibri" w:hAnsi="Calibri" w:cs="Calibri"/>
          <w:color w:val="212121"/>
          <w:sz w:val="21"/>
          <w:szCs w:val="21"/>
          <w:shd w:val="clear" w:color="auto" w:fill="FFFFFF"/>
          <w:vertAlign w:val="superscript"/>
        </w:rPr>
        <w:t>th</w:t>
      </w:r>
      <w:r w:rsidRPr="00C35378">
        <w:rPr>
          <w:rFonts w:ascii="Calibri" w:hAnsi="Calibri" w:cs="Calibri"/>
          <w:color w:val="212121"/>
          <w:sz w:val="21"/>
          <w:szCs w:val="21"/>
          <w:shd w:val="clear" w:color="auto" w:fill="FFFFFF"/>
        </w:rPr>
        <w:t xml:space="preserve"> November 2020</w:t>
      </w:r>
    </w:p>
    <w:p w:rsidR="00C35378" w:rsidRPr="00566E7C" w:rsidRDefault="00C35378" w:rsidP="00C35378">
      <w:pPr>
        <w:autoSpaceDE w:val="0"/>
        <w:autoSpaceDN w:val="0"/>
        <w:adjustRightInd w:val="0"/>
      </w:pPr>
    </w:p>
    <w:p w:rsidR="00566E7C" w:rsidRDefault="00C35378" w:rsidP="00566E7C">
      <w:pPr>
        <w:autoSpaceDE w:val="0"/>
        <w:autoSpaceDN w:val="0"/>
        <w:adjustRightInd w:val="0"/>
        <w:jc w:val="both"/>
        <w:rPr>
          <w:rFonts w:ascii="Calibri" w:hAnsi="Calibri" w:cs="Calibri"/>
          <w:color w:val="212121"/>
          <w:sz w:val="21"/>
          <w:szCs w:val="21"/>
          <w:shd w:val="clear" w:color="auto" w:fill="FFFFFF"/>
        </w:rPr>
      </w:pPr>
      <w:r w:rsidRPr="00C35378">
        <w:rPr>
          <w:rFonts w:ascii="Calibri" w:hAnsi="Calibri" w:cs="Calibri"/>
          <w:sz w:val="21"/>
          <w:szCs w:val="21"/>
        </w:rPr>
        <w:t>The World Tourism Organization,</w:t>
      </w:r>
      <w:r>
        <w:rPr>
          <w:rFonts w:ascii="Calibri" w:hAnsi="Calibri" w:cs="Calibri"/>
          <w:sz w:val="21"/>
          <w:szCs w:val="21"/>
        </w:rPr>
        <w:t xml:space="preserve"> </w:t>
      </w:r>
      <w:r w:rsidRPr="00C35378">
        <w:rPr>
          <w:rFonts w:ascii="Calibri" w:hAnsi="Calibri" w:cs="Calibri"/>
          <w:sz w:val="21"/>
          <w:szCs w:val="21"/>
        </w:rPr>
        <w:t>(2020), I</w:t>
      </w:r>
      <w:r>
        <w:rPr>
          <w:rFonts w:ascii="Calibri" w:hAnsi="Calibri" w:cs="Calibri"/>
          <w:sz w:val="21"/>
          <w:szCs w:val="21"/>
        </w:rPr>
        <w:t>mpact assessment</w:t>
      </w:r>
      <w:r w:rsidRPr="00C35378">
        <w:rPr>
          <w:rFonts w:ascii="Calibri" w:hAnsi="Calibri" w:cs="Calibri"/>
          <w:sz w:val="21"/>
          <w:szCs w:val="21"/>
        </w:rPr>
        <w:t xml:space="preserve"> </w:t>
      </w:r>
      <w:r>
        <w:rPr>
          <w:rFonts w:ascii="Calibri" w:hAnsi="Calibri" w:cs="Calibri"/>
          <w:sz w:val="21"/>
          <w:szCs w:val="21"/>
        </w:rPr>
        <w:t xml:space="preserve">of the </w:t>
      </w:r>
      <w:r w:rsidRPr="00C35378">
        <w:rPr>
          <w:rFonts w:ascii="Calibri" w:hAnsi="Calibri" w:cs="Calibri"/>
          <w:sz w:val="21"/>
          <w:szCs w:val="21"/>
        </w:rPr>
        <w:t xml:space="preserve">COVID-19 </w:t>
      </w:r>
      <w:r>
        <w:rPr>
          <w:rFonts w:ascii="Calibri" w:hAnsi="Calibri" w:cs="Calibri"/>
          <w:sz w:val="21"/>
          <w:szCs w:val="21"/>
        </w:rPr>
        <w:t>outbreak on international</w:t>
      </w:r>
      <w:r>
        <w:rPr>
          <w:rFonts w:ascii="Calibri" w:hAnsi="Calibri" w:cs="Calibri"/>
          <w:caps/>
          <w:color w:val="222222"/>
          <w:sz w:val="21"/>
          <w:szCs w:val="21"/>
        </w:rPr>
        <w:t xml:space="preserve"> </w:t>
      </w:r>
      <w:r>
        <w:rPr>
          <w:rFonts w:ascii="Calibri" w:hAnsi="Calibri" w:cs="Calibri" w:hint="eastAsia"/>
          <w:sz w:val="21"/>
          <w:szCs w:val="21"/>
        </w:rPr>
        <w:t>t</w:t>
      </w:r>
      <w:r w:rsidRPr="00C35378">
        <w:rPr>
          <w:rFonts w:ascii="Calibri" w:hAnsi="Calibri" w:cs="Calibri"/>
          <w:sz w:val="21"/>
          <w:szCs w:val="21"/>
        </w:rPr>
        <w:t>ourism</w:t>
      </w:r>
      <w:r>
        <w:rPr>
          <w:rFonts w:ascii="Calibri" w:hAnsi="Calibri" w:cs="Calibri"/>
          <w:sz w:val="21"/>
          <w:szCs w:val="21"/>
        </w:rPr>
        <w:t>,</w:t>
      </w:r>
      <w:r w:rsidR="00566E7C" w:rsidRPr="00566E7C">
        <w:rPr>
          <w:rFonts w:ascii="Calibri" w:hAnsi="Calibri" w:cs="Calibri"/>
          <w:sz w:val="21"/>
          <w:szCs w:val="21"/>
        </w:rPr>
        <w:t xml:space="preserve"> </w:t>
      </w:r>
      <w:r w:rsidR="00566E7C" w:rsidRPr="00C35378">
        <w:rPr>
          <w:rFonts w:ascii="Calibri" w:hAnsi="Calibri" w:cs="Calibri"/>
          <w:sz w:val="21"/>
          <w:szCs w:val="21"/>
        </w:rPr>
        <w:t>[online], Available at&lt;</w:t>
      </w:r>
      <w:r w:rsidR="00566E7C">
        <w:rPr>
          <w:rFonts w:ascii="Calibri" w:hAnsi="Calibri" w:cs="Calibri"/>
          <w:sz w:val="21"/>
          <w:szCs w:val="21"/>
        </w:rPr>
        <w:t xml:space="preserve"> </w:t>
      </w:r>
      <w:hyperlink r:id="rId8" w:history="1">
        <w:r w:rsidR="00566E7C" w:rsidRPr="00CD7E32">
          <w:rPr>
            <w:rStyle w:val="a8"/>
            <w:rFonts w:ascii="Calibri" w:hAnsi="Calibri" w:cs="Calibri"/>
            <w:sz w:val="21"/>
            <w:szCs w:val="21"/>
          </w:rPr>
          <w:t>https://www.unwto.org/impact-assessment-of-the-covid-19-outbreak-on-international-tourism</w:t>
        </w:r>
      </w:hyperlink>
      <w:r w:rsidR="00566E7C">
        <w:rPr>
          <w:rFonts w:ascii="Calibri" w:hAnsi="Calibri" w:cs="Calibri"/>
          <w:sz w:val="21"/>
          <w:szCs w:val="21"/>
        </w:rPr>
        <w:t xml:space="preserve"> &gt;</w:t>
      </w:r>
      <w:r w:rsidR="00566E7C" w:rsidRPr="00566E7C">
        <w:rPr>
          <w:rFonts w:ascii="Calibri" w:hAnsi="Calibri" w:cs="Calibri"/>
          <w:color w:val="212121"/>
          <w:sz w:val="21"/>
          <w:szCs w:val="21"/>
          <w:shd w:val="clear" w:color="auto" w:fill="FFFFFF"/>
        </w:rPr>
        <w:t xml:space="preserve"> </w:t>
      </w:r>
      <w:r w:rsidR="00566E7C" w:rsidRPr="00C35378">
        <w:rPr>
          <w:rFonts w:ascii="Calibri" w:hAnsi="Calibri" w:cs="Calibri"/>
          <w:color w:val="212121"/>
          <w:sz w:val="21"/>
          <w:szCs w:val="21"/>
          <w:shd w:val="clear" w:color="auto" w:fill="FFFFFF"/>
        </w:rPr>
        <w:t>Assessed at 28</w:t>
      </w:r>
      <w:r w:rsidR="00566E7C" w:rsidRPr="00C35378">
        <w:rPr>
          <w:rFonts w:ascii="Calibri" w:hAnsi="Calibri" w:cs="Calibri"/>
          <w:color w:val="212121"/>
          <w:sz w:val="21"/>
          <w:szCs w:val="21"/>
          <w:shd w:val="clear" w:color="auto" w:fill="FFFFFF"/>
          <w:vertAlign w:val="superscript"/>
        </w:rPr>
        <w:t>th</w:t>
      </w:r>
      <w:r w:rsidR="00566E7C" w:rsidRPr="00C35378">
        <w:rPr>
          <w:rFonts w:ascii="Calibri" w:hAnsi="Calibri" w:cs="Calibri"/>
          <w:color w:val="212121"/>
          <w:sz w:val="21"/>
          <w:szCs w:val="21"/>
          <w:shd w:val="clear" w:color="auto" w:fill="FFFFFF"/>
        </w:rPr>
        <w:t xml:space="preserve"> November 2020</w:t>
      </w:r>
    </w:p>
    <w:p w:rsidR="00C35378" w:rsidRDefault="00C35378" w:rsidP="00566E7C">
      <w:pPr>
        <w:jc w:val="both"/>
        <w:rPr>
          <w:rFonts w:ascii="Calibri" w:hAnsi="Calibri" w:cs="Calibri"/>
          <w:sz w:val="21"/>
          <w:szCs w:val="21"/>
        </w:rPr>
      </w:pPr>
    </w:p>
    <w:p w:rsidR="005300C4" w:rsidRPr="00566E7C" w:rsidRDefault="005300C4" w:rsidP="00566E7C">
      <w:pPr>
        <w:jc w:val="both"/>
        <w:rPr>
          <w:rFonts w:ascii="Calibri" w:hAnsi="Calibri" w:cs="Calibri"/>
          <w:sz w:val="21"/>
          <w:szCs w:val="21"/>
        </w:rPr>
      </w:pPr>
    </w:p>
    <w:p w:rsidR="00C9314B" w:rsidRDefault="00C9314B" w:rsidP="00D2715A">
      <w:pPr>
        <w:jc w:val="both"/>
        <w:rPr>
          <w:rFonts w:ascii="Calibri" w:hAnsi="Calibri" w:cs="Calibri"/>
          <w:b/>
          <w:sz w:val="36"/>
          <w:szCs w:val="36"/>
        </w:rPr>
      </w:pPr>
    </w:p>
    <w:p w:rsidR="00C9314B" w:rsidRDefault="00C9314B" w:rsidP="00D2715A">
      <w:pPr>
        <w:jc w:val="both"/>
        <w:rPr>
          <w:rFonts w:ascii="Calibri" w:hAnsi="Calibri" w:cs="Calibri"/>
          <w:b/>
          <w:sz w:val="36"/>
          <w:szCs w:val="36"/>
        </w:rPr>
      </w:pPr>
    </w:p>
    <w:p w:rsidR="00C9314B" w:rsidRDefault="00C9314B" w:rsidP="00D2715A">
      <w:pPr>
        <w:jc w:val="both"/>
        <w:rPr>
          <w:rFonts w:ascii="Calibri" w:hAnsi="Calibri" w:cs="Calibri"/>
          <w:b/>
          <w:sz w:val="36"/>
          <w:szCs w:val="36"/>
        </w:rPr>
      </w:pPr>
    </w:p>
    <w:p w:rsidR="00C9314B" w:rsidRDefault="00C9314B" w:rsidP="00D2715A">
      <w:pPr>
        <w:jc w:val="both"/>
        <w:rPr>
          <w:rFonts w:ascii="Calibri" w:hAnsi="Calibri" w:cs="Calibri"/>
          <w:b/>
          <w:sz w:val="36"/>
          <w:szCs w:val="36"/>
        </w:rPr>
      </w:pPr>
    </w:p>
    <w:p w:rsidR="00C9314B" w:rsidRDefault="00C9314B" w:rsidP="00D2715A">
      <w:pPr>
        <w:jc w:val="both"/>
        <w:rPr>
          <w:rFonts w:ascii="Calibri" w:hAnsi="Calibri" w:cs="Calibri"/>
          <w:b/>
          <w:sz w:val="36"/>
          <w:szCs w:val="36"/>
        </w:rPr>
      </w:pPr>
    </w:p>
    <w:p w:rsidR="00C9314B" w:rsidRDefault="00C9314B" w:rsidP="00D2715A">
      <w:pPr>
        <w:jc w:val="both"/>
        <w:rPr>
          <w:rFonts w:ascii="Calibri" w:hAnsi="Calibri" w:cs="Calibri"/>
          <w:b/>
          <w:sz w:val="36"/>
          <w:szCs w:val="36"/>
        </w:rPr>
      </w:pPr>
    </w:p>
    <w:p w:rsidR="005300C4" w:rsidRDefault="000B2CE3" w:rsidP="00D2715A">
      <w:pPr>
        <w:jc w:val="both"/>
        <w:rPr>
          <w:rFonts w:ascii="Calibri" w:hAnsi="Calibri" w:cs="Calibri"/>
          <w:b/>
          <w:sz w:val="36"/>
          <w:szCs w:val="36"/>
        </w:rPr>
      </w:pPr>
      <w:bookmarkStart w:id="0" w:name="_GoBack"/>
      <w:bookmarkEnd w:id="0"/>
      <w:r>
        <w:rPr>
          <w:rFonts w:ascii="Calibri" w:hAnsi="Calibri" w:cs="Calibri"/>
          <w:b/>
          <w:sz w:val="36"/>
          <w:szCs w:val="36"/>
        </w:rPr>
        <w:lastRenderedPageBreak/>
        <w:t>The Gantt Chart</w:t>
      </w:r>
    </w:p>
    <w:p w:rsidR="000B2CE3" w:rsidRDefault="000B2CE3" w:rsidP="00D2715A">
      <w:pPr>
        <w:jc w:val="both"/>
        <w:rPr>
          <w:rFonts w:ascii="Calibri" w:hAnsi="Calibri" w:cs="Calibri" w:hint="eastAsia"/>
          <w:b/>
          <w:sz w:val="36"/>
          <w:szCs w:val="36"/>
        </w:rPr>
      </w:pPr>
    </w:p>
    <w:p w:rsidR="00B9659E" w:rsidRPr="00566E7C" w:rsidRDefault="00B027AF" w:rsidP="00D2715A">
      <w:pPr>
        <w:jc w:val="both"/>
        <w:rPr>
          <w:rFonts w:ascii="Calibri" w:hAnsi="Calibri" w:cs="Calibri"/>
          <w:b/>
          <w:sz w:val="36"/>
          <w:szCs w:val="36"/>
        </w:rPr>
      </w:pPr>
      <w:r>
        <w:rPr>
          <w:rFonts w:ascii="Calibri" w:hAnsi="Calibri" w:cs="Calibri"/>
          <w:b/>
          <w:noProof/>
          <w:sz w:val="36"/>
          <w:szCs w:val="36"/>
        </w:rPr>
        <w:object w:dxaOrig="21120" w:dyaOrig="122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78.55pt;height:276.35pt;mso-width-percent:0;mso-height-percent:0;mso-width-percent:0;mso-height-percent:0" o:ole="">
            <v:imagedata r:id="rId9" o:title=""/>
          </v:shape>
          <o:OLEObject Type="Embed" ProgID="Excel.Sheet.12" ShapeID="_x0000_i1025" DrawAspect="Content" ObjectID="_1668387057" r:id="rId10"/>
        </w:object>
      </w:r>
    </w:p>
    <w:sectPr w:rsidR="00B9659E" w:rsidRPr="00566E7C" w:rsidSect="006A4C7D">
      <w:pgSz w:w="12240" w:h="15840"/>
      <w:pgMar w:top="1440" w:right="1800" w:bottom="1440" w:left="180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A00002EF" w:usb1="4000207B" w:usb2="00000000" w:usb3="00000000" w:csb0="0000009F" w:csb1="00000000"/>
  </w:font>
  <w:font w:name="PingFang SC">
    <w:panose1 w:val="020B0400000000000000"/>
    <w:charset w:val="86"/>
    <w:family w:val="swiss"/>
    <w:pitch w:val="variable"/>
    <w:sig w:usb0="A00002FF" w:usb1="7ACFFDFB" w:usb2="00000017"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65D7C"/>
    <w:multiLevelType w:val="hybridMultilevel"/>
    <w:tmpl w:val="499654B6"/>
    <w:lvl w:ilvl="0" w:tplc="36886900">
      <w:start w:val="2"/>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87A64B0"/>
    <w:multiLevelType w:val="multilevel"/>
    <w:tmpl w:val="176AA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FB1071"/>
    <w:multiLevelType w:val="hybridMultilevel"/>
    <w:tmpl w:val="78082AC4"/>
    <w:lvl w:ilvl="0" w:tplc="2D547EA8">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8D1"/>
    <w:rsid w:val="000028D1"/>
    <w:rsid w:val="000B2CE3"/>
    <w:rsid w:val="00112033"/>
    <w:rsid w:val="002372DA"/>
    <w:rsid w:val="00255B74"/>
    <w:rsid w:val="00307CA5"/>
    <w:rsid w:val="003A3207"/>
    <w:rsid w:val="003E29EF"/>
    <w:rsid w:val="004A16C8"/>
    <w:rsid w:val="005300C4"/>
    <w:rsid w:val="00565086"/>
    <w:rsid w:val="00566E7C"/>
    <w:rsid w:val="005F1135"/>
    <w:rsid w:val="005F28A9"/>
    <w:rsid w:val="00611C30"/>
    <w:rsid w:val="006A1A10"/>
    <w:rsid w:val="006D6393"/>
    <w:rsid w:val="0073365C"/>
    <w:rsid w:val="007703EF"/>
    <w:rsid w:val="00894D4E"/>
    <w:rsid w:val="008F0D7F"/>
    <w:rsid w:val="00926CD1"/>
    <w:rsid w:val="00A3474B"/>
    <w:rsid w:val="00AB42BB"/>
    <w:rsid w:val="00B027AF"/>
    <w:rsid w:val="00B46E97"/>
    <w:rsid w:val="00B76FB4"/>
    <w:rsid w:val="00B9659E"/>
    <w:rsid w:val="00BA1CA5"/>
    <w:rsid w:val="00BA69A1"/>
    <w:rsid w:val="00C35378"/>
    <w:rsid w:val="00C40940"/>
    <w:rsid w:val="00C53940"/>
    <w:rsid w:val="00C9314B"/>
    <w:rsid w:val="00D2715A"/>
    <w:rsid w:val="00D425EA"/>
    <w:rsid w:val="00E23232"/>
    <w:rsid w:val="00E34A65"/>
    <w:rsid w:val="00EF35DF"/>
    <w:rsid w:val="00FA567E"/>
    <w:rsid w:val="00FB20C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C2085"/>
  <w15:chartTrackingRefBased/>
  <w15:docId w15:val="{CB50518F-28F5-9441-828A-E8BA84088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35378"/>
    <w:rPr>
      <w:rFonts w:ascii="宋体" w:eastAsia="宋体" w:hAnsi="宋体" w:cs="宋体"/>
      <w:kern w:val="0"/>
      <w:sz w:val="24"/>
    </w:rPr>
  </w:style>
  <w:style w:type="paragraph" w:styleId="1">
    <w:name w:val="heading 1"/>
    <w:basedOn w:val="a"/>
    <w:next w:val="a"/>
    <w:link w:val="10"/>
    <w:uiPriority w:val="9"/>
    <w:qFormat/>
    <w:rsid w:val="00D2715A"/>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2715A"/>
    <w:rPr>
      <w:b/>
      <w:bCs/>
      <w:kern w:val="44"/>
      <w:sz w:val="44"/>
      <w:szCs w:val="44"/>
    </w:rPr>
  </w:style>
  <w:style w:type="paragraph" w:styleId="a3">
    <w:name w:val="List Paragraph"/>
    <w:basedOn w:val="a"/>
    <w:uiPriority w:val="34"/>
    <w:qFormat/>
    <w:rsid w:val="00EF35DF"/>
    <w:pPr>
      <w:ind w:firstLineChars="200" w:firstLine="420"/>
    </w:pPr>
  </w:style>
  <w:style w:type="character" w:customStyle="1" w:styleId="websearch-marked">
    <w:name w:val="web_search-marked"/>
    <w:basedOn w:val="a0"/>
    <w:rsid w:val="00FB20C8"/>
  </w:style>
  <w:style w:type="paragraph" w:styleId="a4">
    <w:name w:val="Quote"/>
    <w:basedOn w:val="a5"/>
    <w:next w:val="a"/>
    <w:link w:val="a6"/>
    <w:uiPriority w:val="29"/>
    <w:qFormat/>
    <w:rsid w:val="00FB20C8"/>
    <w:pPr>
      <w:spacing w:before="200" w:after="160"/>
      <w:ind w:leftChars="100" w:left="1074" w:rightChars="100" w:right="864"/>
    </w:pPr>
    <w:rPr>
      <w:rFonts w:eastAsia="Calibri"/>
      <w:i/>
      <w:iCs/>
      <w:color w:val="404040" w:themeColor="text1" w:themeTint="BF"/>
    </w:rPr>
  </w:style>
  <w:style w:type="character" w:customStyle="1" w:styleId="a6">
    <w:name w:val="引用 字符"/>
    <w:basedOn w:val="a0"/>
    <w:link w:val="a4"/>
    <w:uiPriority w:val="29"/>
    <w:rsid w:val="00FB20C8"/>
    <w:rPr>
      <w:rFonts w:eastAsia="Calibri"/>
      <w:i/>
      <w:iCs/>
      <w:color w:val="404040" w:themeColor="text1" w:themeTint="BF"/>
    </w:rPr>
  </w:style>
  <w:style w:type="paragraph" w:styleId="a7">
    <w:name w:val="Normal (Web)"/>
    <w:basedOn w:val="a"/>
    <w:uiPriority w:val="99"/>
    <w:semiHidden/>
    <w:unhideWhenUsed/>
    <w:rsid w:val="00AB42BB"/>
    <w:pPr>
      <w:spacing w:before="100" w:beforeAutospacing="1" w:after="100" w:afterAutospacing="1"/>
    </w:pPr>
  </w:style>
  <w:style w:type="paragraph" w:styleId="a5">
    <w:name w:val="No Spacing"/>
    <w:uiPriority w:val="1"/>
    <w:qFormat/>
    <w:rsid w:val="00FB20C8"/>
    <w:pPr>
      <w:widowControl w:val="0"/>
      <w:jc w:val="both"/>
    </w:pPr>
  </w:style>
  <w:style w:type="character" w:customStyle="1" w:styleId="webback-to-top">
    <w:name w:val="web_back-to-top"/>
    <w:basedOn w:val="a0"/>
    <w:rsid w:val="003E29EF"/>
  </w:style>
  <w:style w:type="character" w:styleId="a8">
    <w:name w:val="Hyperlink"/>
    <w:basedOn w:val="a0"/>
    <w:uiPriority w:val="99"/>
    <w:unhideWhenUsed/>
    <w:rsid w:val="003E29EF"/>
    <w:rPr>
      <w:color w:val="0563C1" w:themeColor="hyperlink"/>
      <w:u w:val="single"/>
    </w:rPr>
  </w:style>
  <w:style w:type="character" w:styleId="a9">
    <w:name w:val="Unresolved Mention"/>
    <w:basedOn w:val="a0"/>
    <w:uiPriority w:val="99"/>
    <w:semiHidden/>
    <w:unhideWhenUsed/>
    <w:rsid w:val="003E29EF"/>
    <w:rPr>
      <w:color w:val="605E5C"/>
      <w:shd w:val="clear" w:color="auto" w:fill="E1DFDD"/>
    </w:rPr>
  </w:style>
  <w:style w:type="character" w:styleId="aa">
    <w:name w:val="Strong"/>
    <w:basedOn w:val="a0"/>
    <w:uiPriority w:val="22"/>
    <w:qFormat/>
    <w:rsid w:val="00C35378"/>
    <w:rPr>
      <w:b/>
      <w:bCs/>
    </w:rPr>
  </w:style>
  <w:style w:type="character" w:styleId="ab">
    <w:name w:val="FollowedHyperlink"/>
    <w:basedOn w:val="a0"/>
    <w:uiPriority w:val="99"/>
    <w:semiHidden/>
    <w:unhideWhenUsed/>
    <w:rsid w:val="00566E7C"/>
    <w:rPr>
      <w:color w:val="954F72" w:themeColor="followedHyperlink"/>
      <w:u w:val="single"/>
    </w:rPr>
  </w:style>
  <w:style w:type="paragraph" w:styleId="ac">
    <w:name w:val="Intense Quote"/>
    <w:basedOn w:val="a"/>
    <w:next w:val="a"/>
    <w:link w:val="ad"/>
    <w:uiPriority w:val="30"/>
    <w:qFormat/>
    <w:rsid w:val="00FA567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ad">
    <w:name w:val="明显引用 字符"/>
    <w:basedOn w:val="a0"/>
    <w:link w:val="ac"/>
    <w:uiPriority w:val="30"/>
    <w:rsid w:val="00FA567E"/>
    <w:rPr>
      <w:rFonts w:ascii="宋体" w:eastAsia="宋体" w:hAnsi="宋体" w:cs="宋体"/>
      <w:i/>
      <w:iCs/>
      <w:color w:val="4472C4" w:themeColor="accent1"/>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01983">
      <w:bodyDiv w:val="1"/>
      <w:marLeft w:val="0"/>
      <w:marRight w:val="0"/>
      <w:marTop w:val="0"/>
      <w:marBottom w:val="0"/>
      <w:divBdr>
        <w:top w:val="none" w:sz="0" w:space="0" w:color="auto"/>
        <w:left w:val="none" w:sz="0" w:space="0" w:color="auto"/>
        <w:bottom w:val="none" w:sz="0" w:space="0" w:color="auto"/>
        <w:right w:val="none" w:sz="0" w:space="0" w:color="auto"/>
      </w:divBdr>
    </w:div>
    <w:div w:id="73405774">
      <w:bodyDiv w:val="1"/>
      <w:marLeft w:val="0"/>
      <w:marRight w:val="0"/>
      <w:marTop w:val="0"/>
      <w:marBottom w:val="0"/>
      <w:divBdr>
        <w:top w:val="none" w:sz="0" w:space="0" w:color="auto"/>
        <w:left w:val="none" w:sz="0" w:space="0" w:color="auto"/>
        <w:bottom w:val="none" w:sz="0" w:space="0" w:color="auto"/>
        <w:right w:val="none" w:sz="0" w:space="0" w:color="auto"/>
      </w:divBdr>
    </w:div>
    <w:div w:id="121196140">
      <w:bodyDiv w:val="1"/>
      <w:marLeft w:val="0"/>
      <w:marRight w:val="0"/>
      <w:marTop w:val="0"/>
      <w:marBottom w:val="0"/>
      <w:divBdr>
        <w:top w:val="none" w:sz="0" w:space="0" w:color="auto"/>
        <w:left w:val="none" w:sz="0" w:space="0" w:color="auto"/>
        <w:bottom w:val="none" w:sz="0" w:space="0" w:color="auto"/>
        <w:right w:val="none" w:sz="0" w:space="0" w:color="auto"/>
      </w:divBdr>
    </w:div>
    <w:div w:id="402024093">
      <w:bodyDiv w:val="1"/>
      <w:marLeft w:val="0"/>
      <w:marRight w:val="0"/>
      <w:marTop w:val="0"/>
      <w:marBottom w:val="0"/>
      <w:divBdr>
        <w:top w:val="none" w:sz="0" w:space="0" w:color="auto"/>
        <w:left w:val="none" w:sz="0" w:space="0" w:color="auto"/>
        <w:bottom w:val="none" w:sz="0" w:space="0" w:color="auto"/>
        <w:right w:val="none" w:sz="0" w:space="0" w:color="auto"/>
      </w:divBdr>
    </w:div>
    <w:div w:id="608778910">
      <w:bodyDiv w:val="1"/>
      <w:marLeft w:val="0"/>
      <w:marRight w:val="0"/>
      <w:marTop w:val="0"/>
      <w:marBottom w:val="0"/>
      <w:divBdr>
        <w:top w:val="none" w:sz="0" w:space="0" w:color="auto"/>
        <w:left w:val="none" w:sz="0" w:space="0" w:color="auto"/>
        <w:bottom w:val="none" w:sz="0" w:space="0" w:color="auto"/>
        <w:right w:val="none" w:sz="0" w:space="0" w:color="auto"/>
      </w:divBdr>
    </w:div>
    <w:div w:id="706760641">
      <w:bodyDiv w:val="1"/>
      <w:marLeft w:val="0"/>
      <w:marRight w:val="0"/>
      <w:marTop w:val="0"/>
      <w:marBottom w:val="0"/>
      <w:divBdr>
        <w:top w:val="none" w:sz="0" w:space="0" w:color="auto"/>
        <w:left w:val="none" w:sz="0" w:space="0" w:color="auto"/>
        <w:bottom w:val="none" w:sz="0" w:space="0" w:color="auto"/>
        <w:right w:val="none" w:sz="0" w:space="0" w:color="auto"/>
      </w:divBdr>
      <w:divsChild>
        <w:div w:id="884946739">
          <w:marLeft w:val="1422"/>
          <w:marRight w:val="1063"/>
          <w:marTop w:val="0"/>
          <w:marBottom w:val="0"/>
          <w:divBdr>
            <w:top w:val="none" w:sz="0" w:space="0" w:color="auto"/>
            <w:left w:val="none" w:sz="0" w:space="0" w:color="auto"/>
            <w:bottom w:val="none" w:sz="0" w:space="0" w:color="auto"/>
            <w:right w:val="none" w:sz="0" w:space="0" w:color="auto"/>
          </w:divBdr>
        </w:div>
      </w:divsChild>
    </w:div>
    <w:div w:id="807206917">
      <w:bodyDiv w:val="1"/>
      <w:marLeft w:val="0"/>
      <w:marRight w:val="0"/>
      <w:marTop w:val="0"/>
      <w:marBottom w:val="0"/>
      <w:divBdr>
        <w:top w:val="none" w:sz="0" w:space="0" w:color="auto"/>
        <w:left w:val="none" w:sz="0" w:space="0" w:color="auto"/>
        <w:bottom w:val="none" w:sz="0" w:space="0" w:color="auto"/>
        <w:right w:val="none" w:sz="0" w:space="0" w:color="auto"/>
      </w:divBdr>
    </w:div>
    <w:div w:id="908349018">
      <w:bodyDiv w:val="1"/>
      <w:marLeft w:val="0"/>
      <w:marRight w:val="0"/>
      <w:marTop w:val="0"/>
      <w:marBottom w:val="0"/>
      <w:divBdr>
        <w:top w:val="none" w:sz="0" w:space="0" w:color="auto"/>
        <w:left w:val="none" w:sz="0" w:space="0" w:color="auto"/>
        <w:bottom w:val="none" w:sz="0" w:space="0" w:color="auto"/>
        <w:right w:val="none" w:sz="0" w:space="0" w:color="auto"/>
      </w:divBdr>
    </w:div>
    <w:div w:id="1471678645">
      <w:bodyDiv w:val="1"/>
      <w:marLeft w:val="0"/>
      <w:marRight w:val="0"/>
      <w:marTop w:val="0"/>
      <w:marBottom w:val="0"/>
      <w:divBdr>
        <w:top w:val="none" w:sz="0" w:space="0" w:color="auto"/>
        <w:left w:val="none" w:sz="0" w:space="0" w:color="auto"/>
        <w:bottom w:val="none" w:sz="0" w:space="0" w:color="auto"/>
        <w:right w:val="none" w:sz="0" w:space="0" w:color="auto"/>
      </w:divBdr>
      <w:divsChild>
        <w:div w:id="1841964534">
          <w:marLeft w:val="4267"/>
          <w:marRight w:val="4267"/>
          <w:marTop w:val="0"/>
          <w:marBottom w:val="0"/>
          <w:divBdr>
            <w:top w:val="single" w:sz="6" w:space="0" w:color="000000"/>
            <w:left w:val="none" w:sz="0" w:space="0" w:color="auto"/>
            <w:bottom w:val="none" w:sz="0" w:space="0" w:color="auto"/>
            <w:right w:val="none" w:sz="0" w:space="0" w:color="auto"/>
          </w:divBdr>
        </w:div>
      </w:divsChild>
    </w:div>
    <w:div w:id="1637563610">
      <w:bodyDiv w:val="1"/>
      <w:marLeft w:val="0"/>
      <w:marRight w:val="0"/>
      <w:marTop w:val="0"/>
      <w:marBottom w:val="0"/>
      <w:divBdr>
        <w:top w:val="none" w:sz="0" w:space="0" w:color="auto"/>
        <w:left w:val="none" w:sz="0" w:space="0" w:color="auto"/>
        <w:bottom w:val="none" w:sz="0" w:space="0" w:color="auto"/>
        <w:right w:val="none" w:sz="0" w:space="0" w:color="auto"/>
      </w:divBdr>
    </w:div>
    <w:div w:id="1918779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wto.org/impact-assessment-of-the-covid-19-outbreak-on-international-tourism" TargetMode="External"/><Relationship Id="rId3" Type="http://schemas.openxmlformats.org/officeDocument/2006/relationships/styles" Target="styles.xml"/><Relationship Id="rId7" Type="http://schemas.openxmlformats.org/officeDocument/2006/relationships/hyperlink" Target="https://www.mckinsey.com/industries/travel-logistics-and-transport-infrastructure/our-insights/covid-19-tourism-spend-recovery-in-numbers"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oecd.org/coronavirus/policy-responses/rebuilding-tourism-for-the-future-covid-19-policy-responses-and-recovery-bced9859/"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package" Target="embeddings/Microsoft_Excel____.xlsx"/><Relationship Id="rId4" Type="http://schemas.openxmlformats.org/officeDocument/2006/relationships/settings" Target="settings.xml"/><Relationship Id="rId9" Type="http://schemas.openxmlformats.org/officeDocument/2006/relationships/image" Target="media/image1.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044D03-EE0A-1C45-B2B4-72FD2AFE0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1520</Words>
  <Characters>8669</Characters>
  <Application>Microsoft Office Word</Application>
  <DocSecurity>0</DocSecurity>
  <Lines>72</Lines>
  <Paragraphs>20</Paragraphs>
  <ScaleCrop>false</ScaleCrop>
  <Company/>
  <LinksUpToDate>false</LinksUpToDate>
  <CharactersWithSpaces>10169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用户</dc:creator>
  <cp:keywords/>
  <dc:description/>
  <cp:lastModifiedBy>Microsoft Office 用户</cp:lastModifiedBy>
  <cp:revision>2</cp:revision>
  <dcterms:created xsi:type="dcterms:W3CDTF">2020-12-01T20:04:00Z</dcterms:created>
  <dcterms:modified xsi:type="dcterms:W3CDTF">2020-12-01T20:04:00Z</dcterms:modified>
</cp:coreProperties>
</file>