
<file path=[Content_Types].xml><?xml version="1.0" encoding="utf-8"?>
<Types xmlns="http://schemas.openxmlformats.org/package/2006/content-types">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605471" w:rsidRDefault="007E7745" w:rsidP="00C03A91">
      <w:pPr>
        <w:spacing w:line="360" w:lineRule="auto"/>
        <w:rPr>
          <w:rFonts w:ascii="Arial" w:hAnsi="Arial" w:cs="Arial"/>
          <w:szCs w:val="24"/>
        </w:rPr>
      </w:pPr>
    </w:p>
    <w:p w14:paraId="365DE405" w14:textId="77777777" w:rsidR="00EB12BC" w:rsidRPr="00605471" w:rsidRDefault="00EB12BC" w:rsidP="00C03A91">
      <w:pPr>
        <w:spacing w:line="360" w:lineRule="auto"/>
        <w:rPr>
          <w:rFonts w:ascii="Arial" w:hAnsi="Arial" w:cs="Arial"/>
          <w:szCs w:val="24"/>
        </w:rPr>
      </w:pPr>
      <w:r w:rsidRPr="0060547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605471" w:rsidRDefault="00EB12BC" w:rsidP="00C03A91">
      <w:pPr>
        <w:spacing w:line="360" w:lineRule="auto"/>
        <w:rPr>
          <w:rFonts w:ascii="Arial" w:hAnsi="Arial" w:cs="Arial"/>
          <w:szCs w:val="24"/>
        </w:rPr>
      </w:pPr>
    </w:p>
    <w:p w14:paraId="0E6E9383" w14:textId="77777777" w:rsidR="00EB12BC" w:rsidRPr="00605471" w:rsidRDefault="00EB12BC" w:rsidP="00C03A91">
      <w:pPr>
        <w:spacing w:line="360" w:lineRule="auto"/>
        <w:rPr>
          <w:rFonts w:ascii="Arial" w:hAnsi="Arial" w:cs="Arial"/>
          <w:szCs w:val="24"/>
        </w:rPr>
      </w:pPr>
    </w:p>
    <w:p w14:paraId="431DBF4A" w14:textId="77777777" w:rsidR="00EB12BC" w:rsidRPr="00605471" w:rsidRDefault="00EB12BC" w:rsidP="00C03A91">
      <w:pPr>
        <w:spacing w:line="360" w:lineRule="auto"/>
        <w:rPr>
          <w:rFonts w:ascii="Arial" w:hAnsi="Arial" w:cs="Arial"/>
          <w:szCs w:val="24"/>
        </w:rPr>
      </w:pPr>
    </w:p>
    <w:p w14:paraId="67404449" w14:textId="77777777" w:rsidR="00EB12BC" w:rsidRPr="00605471" w:rsidRDefault="00EB12BC" w:rsidP="00C03A91">
      <w:pPr>
        <w:tabs>
          <w:tab w:val="left" w:pos="6540"/>
        </w:tabs>
        <w:spacing w:line="360" w:lineRule="auto"/>
        <w:rPr>
          <w:rFonts w:ascii="Arial" w:hAnsi="Arial" w:cs="Arial"/>
          <w:szCs w:val="24"/>
        </w:rPr>
      </w:pPr>
    </w:p>
    <w:p w14:paraId="27888C86" w14:textId="73A38BA0" w:rsidR="00EB12BC" w:rsidRPr="00605471" w:rsidRDefault="00EB12BC" w:rsidP="00C03A91">
      <w:pPr>
        <w:tabs>
          <w:tab w:val="left" w:pos="6540"/>
        </w:tabs>
        <w:spacing w:line="360" w:lineRule="auto"/>
        <w:rPr>
          <w:rFonts w:ascii="Arial" w:hAnsi="Arial" w:cs="Arial"/>
          <w:szCs w:val="24"/>
          <w:lang w:val="nl-NL"/>
        </w:rPr>
      </w:pPr>
      <w:r w:rsidRPr="00605471">
        <w:rPr>
          <w:rFonts w:ascii="Arial" w:hAnsi="Arial" w:cs="Arial"/>
          <w:b/>
          <w:bCs/>
          <w:szCs w:val="24"/>
          <w:lang w:val="nl-NL"/>
        </w:rPr>
        <w:t>Student name</w:t>
      </w:r>
      <w:r w:rsidRPr="00605471">
        <w:rPr>
          <w:rFonts w:ascii="Arial" w:hAnsi="Arial" w:cs="Arial"/>
          <w:szCs w:val="24"/>
          <w:lang w:val="nl-NL"/>
        </w:rPr>
        <w:t>:</w:t>
      </w:r>
      <w:r w:rsidR="00511681">
        <w:rPr>
          <w:rFonts w:ascii="Arial" w:hAnsi="Arial" w:cs="Arial"/>
          <w:szCs w:val="24"/>
          <w:lang w:val="nl-NL"/>
        </w:rPr>
        <w:t xml:space="preserve"> Ewemade Sylvia Enabulele</w:t>
      </w:r>
    </w:p>
    <w:p w14:paraId="3C83A8A7" w14:textId="028E8FE9" w:rsidR="00EB12BC" w:rsidRPr="00605471" w:rsidRDefault="00EB12BC" w:rsidP="00C03A91">
      <w:pPr>
        <w:tabs>
          <w:tab w:val="left" w:pos="6540"/>
        </w:tabs>
        <w:spacing w:line="360" w:lineRule="auto"/>
        <w:rPr>
          <w:rFonts w:ascii="Arial" w:hAnsi="Arial" w:cs="Arial"/>
          <w:szCs w:val="24"/>
          <w:lang w:val="nl-NL"/>
        </w:rPr>
      </w:pPr>
      <w:r w:rsidRPr="00605471">
        <w:rPr>
          <w:rFonts w:ascii="Arial" w:hAnsi="Arial" w:cs="Arial"/>
          <w:b/>
          <w:bCs/>
          <w:szCs w:val="24"/>
          <w:lang w:val="nl-NL"/>
        </w:rPr>
        <w:t>Student ID</w:t>
      </w:r>
      <w:r w:rsidRPr="00605471">
        <w:rPr>
          <w:rFonts w:ascii="Arial" w:hAnsi="Arial" w:cs="Arial"/>
          <w:szCs w:val="24"/>
          <w:lang w:val="nl-NL"/>
        </w:rPr>
        <w:t>:</w:t>
      </w:r>
      <w:r w:rsidR="00511681">
        <w:rPr>
          <w:rFonts w:ascii="Arial" w:hAnsi="Arial" w:cs="Arial"/>
          <w:szCs w:val="24"/>
          <w:lang w:val="nl-NL"/>
        </w:rPr>
        <w:t xml:space="preserve"> 2437216</w:t>
      </w:r>
    </w:p>
    <w:p w14:paraId="23BAC9B9" w14:textId="118458EA" w:rsidR="00EB12BC" w:rsidRPr="00605471" w:rsidRDefault="00EB12BC" w:rsidP="00C03A91">
      <w:pPr>
        <w:tabs>
          <w:tab w:val="left" w:pos="6540"/>
        </w:tabs>
        <w:spacing w:line="360" w:lineRule="auto"/>
        <w:rPr>
          <w:rFonts w:ascii="Arial" w:hAnsi="Arial" w:cs="Arial"/>
          <w:szCs w:val="24"/>
          <w:lang w:val="nl-NL"/>
        </w:rPr>
      </w:pPr>
      <w:r w:rsidRPr="00605471">
        <w:rPr>
          <w:rFonts w:ascii="Arial" w:hAnsi="Arial" w:cs="Arial"/>
          <w:b/>
          <w:bCs/>
          <w:szCs w:val="24"/>
          <w:lang w:val="nl-NL"/>
        </w:rPr>
        <w:t>Module name</w:t>
      </w:r>
      <w:r w:rsidRPr="00605471">
        <w:rPr>
          <w:rFonts w:ascii="Arial" w:hAnsi="Arial" w:cs="Arial"/>
          <w:szCs w:val="24"/>
          <w:lang w:val="nl-NL"/>
        </w:rPr>
        <w:t xml:space="preserve">: </w:t>
      </w:r>
      <w:proofErr w:type="spellStart"/>
      <w:r w:rsidR="00511681">
        <w:rPr>
          <w:rFonts w:ascii="Arial" w:hAnsi="Arial" w:cs="Arial"/>
          <w:szCs w:val="24"/>
          <w:lang w:val="nl-NL"/>
        </w:rPr>
        <w:t>Introdution</w:t>
      </w:r>
      <w:proofErr w:type="spellEnd"/>
      <w:r w:rsidR="00511681">
        <w:rPr>
          <w:rFonts w:ascii="Arial" w:hAnsi="Arial" w:cs="Arial"/>
          <w:szCs w:val="24"/>
          <w:lang w:val="nl-NL"/>
        </w:rPr>
        <w:t xml:space="preserve"> </w:t>
      </w:r>
      <w:proofErr w:type="spellStart"/>
      <w:r w:rsidR="00511681">
        <w:rPr>
          <w:rFonts w:ascii="Arial" w:hAnsi="Arial" w:cs="Arial"/>
          <w:szCs w:val="24"/>
          <w:lang w:val="nl-NL"/>
        </w:rPr>
        <w:t>to</w:t>
      </w:r>
      <w:proofErr w:type="spellEnd"/>
      <w:r w:rsidR="00511681">
        <w:rPr>
          <w:rFonts w:ascii="Arial" w:hAnsi="Arial" w:cs="Arial"/>
          <w:szCs w:val="24"/>
          <w:lang w:val="nl-NL"/>
        </w:rPr>
        <w:t xml:space="preserve"> </w:t>
      </w:r>
      <w:proofErr w:type="spellStart"/>
      <w:r w:rsidR="00511681">
        <w:rPr>
          <w:rFonts w:ascii="Arial" w:hAnsi="Arial" w:cs="Arial"/>
          <w:szCs w:val="24"/>
          <w:lang w:val="nl-NL"/>
        </w:rPr>
        <w:t>Pysology</w:t>
      </w:r>
      <w:proofErr w:type="spellEnd"/>
    </w:p>
    <w:p w14:paraId="4FD97C8C" w14:textId="0D9BC549" w:rsidR="00EB12BC" w:rsidRPr="00605471" w:rsidRDefault="00EB12BC" w:rsidP="00C03A91">
      <w:pPr>
        <w:tabs>
          <w:tab w:val="left" w:pos="6540"/>
        </w:tabs>
        <w:spacing w:line="360" w:lineRule="auto"/>
        <w:rPr>
          <w:rFonts w:ascii="Arial" w:hAnsi="Arial" w:cs="Arial"/>
          <w:szCs w:val="24"/>
        </w:rPr>
      </w:pPr>
      <w:r w:rsidRPr="00605471">
        <w:rPr>
          <w:rFonts w:ascii="Arial" w:hAnsi="Arial" w:cs="Arial"/>
          <w:b/>
          <w:bCs/>
          <w:szCs w:val="24"/>
        </w:rPr>
        <w:t>Module code</w:t>
      </w:r>
      <w:r w:rsidRPr="00605471">
        <w:rPr>
          <w:rFonts w:ascii="Arial" w:hAnsi="Arial" w:cs="Arial"/>
          <w:szCs w:val="24"/>
        </w:rPr>
        <w:t>:</w:t>
      </w:r>
      <w:r w:rsidR="00511681">
        <w:rPr>
          <w:rFonts w:ascii="Arial" w:hAnsi="Arial" w:cs="Arial"/>
          <w:szCs w:val="24"/>
        </w:rPr>
        <w:t xml:space="preserve"> </w:t>
      </w:r>
      <w:proofErr w:type="gramStart"/>
      <w:r w:rsidR="00511681">
        <w:rPr>
          <w:rFonts w:ascii="Arial" w:hAnsi="Arial" w:cs="Arial"/>
          <w:szCs w:val="24"/>
        </w:rPr>
        <w:t>{ BMHP</w:t>
      </w:r>
      <w:proofErr w:type="gramEnd"/>
      <w:r w:rsidR="00511681">
        <w:rPr>
          <w:rFonts w:ascii="Arial" w:hAnsi="Arial" w:cs="Arial"/>
          <w:szCs w:val="24"/>
        </w:rPr>
        <w:t>5023_LON}</w:t>
      </w:r>
    </w:p>
    <w:p w14:paraId="658BE57E" w14:textId="21EC0086" w:rsidR="00EB12BC" w:rsidRPr="00605471" w:rsidRDefault="00EB12BC" w:rsidP="00C03A91">
      <w:pPr>
        <w:tabs>
          <w:tab w:val="left" w:pos="6540"/>
        </w:tabs>
        <w:spacing w:line="360" w:lineRule="auto"/>
        <w:rPr>
          <w:rFonts w:ascii="Arial" w:hAnsi="Arial" w:cs="Arial"/>
          <w:szCs w:val="24"/>
        </w:rPr>
      </w:pPr>
      <w:r w:rsidRPr="00605471">
        <w:rPr>
          <w:rFonts w:ascii="Arial" w:hAnsi="Arial" w:cs="Arial"/>
          <w:b/>
          <w:bCs/>
          <w:szCs w:val="24"/>
        </w:rPr>
        <w:t xml:space="preserve">Lecturer </w:t>
      </w:r>
      <w:proofErr w:type="spellStart"/>
      <w:proofErr w:type="gramStart"/>
      <w:r w:rsidRPr="00605471">
        <w:rPr>
          <w:rFonts w:ascii="Arial" w:hAnsi="Arial" w:cs="Arial"/>
          <w:b/>
          <w:bCs/>
          <w:szCs w:val="24"/>
        </w:rPr>
        <w:t>name</w:t>
      </w:r>
      <w:r w:rsidRPr="00605471">
        <w:rPr>
          <w:rFonts w:ascii="Arial" w:hAnsi="Arial" w:cs="Arial"/>
          <w:szCs w:val="24"/>
        </w:rPr>
        <w:t>:</w:t>
      </w:r>
      <w:r w:rsidR="00511681">
        <w:rPr>
          <w:rFonts w:ascii="Arial" w:hAnsi="Arial" w:cs="Arial"/>
          <w:szCs w:val="24"/>
        </w:rPr>
        <w:t>Sharla</w:t>
      </w:r>
      <w:proofErr w:type="spellEnd"/>
      <w:proofErr w:type="gramEnd"/>
      <w:r w:rsidR="00511681">
        <w:rPr>
          <w:rFonts w:ascii="Arial" w:hAnsi="Arial" w:cs="Arial"/>
          <w:szCs w:val="24"/>
        </w:rPr>
        <w:t xml:space="preserve"> Hussain</w:t>
      </w:r>
    </w:p>
    <w:p w14:paraId="53B923F4" w14:textId="2C00BBC7" w:rsidR="001B7A40" w:rsidRPr="00605471" w:rsidRDefault="001B7A40" w:rsidP="00C03A91">
      <w:pPr>
        <w:tabs>
          <w:tab w:val="left" w:pos="6540"/>
        </w:tabs>
        <w:spacing w:line="360" w:lineRule="auto"/>
        <w:rPr>
          <w:rFonts w:ascii="Arial" w:hAnsi="Arial" w:cs="Arial"/>
          <w:b/>
          <w:bCs/>
          <w:szCs w:val="24"/>
        </w:rPr>
      </w:pPr>
      <w:r w:rsidRPr="00605471">
        <w:rPr>
          <w:rFonts w:ascii="Arial" w:hAnsi="Arial" w:cs="Arial"/>
          <w:b/>
          <w:bCs/>
          <w:szCs w:val="24"/>
        </w:rPr>
        <w:t xml:space="preserve">Assessment: </w:t>
      </w:r>
      <w:r w:rsidR="00511681">
        <w:rPr>
          <w:rFonts w:ascii="Arial" w:hAnsi="Arial" w:cs="Arial"/>
          <w:b/>
          <w:bCs/>
          <w:szCs w:val="24"/>
        </w:rPr>
        <w:t>Diabetes</w:t>
      </w:r>
    </w:p>
    <w:p w14:paraId="21E663C3" w14:textId="77777777" w:rsidR="00995C46" w:rsidRPr="00605471" w:rsidRDefault="00995C46" w:rsidP="00C03A91">
      <w:pPr>
        <w:tabs>
          <w:tab w:val="left" w:pos="6540"/>
        </w:tabs>
        <w:spacing w:line="360" w:lineRule="auto"/>
        <w:rPr>
          <w:rFonts w:ascii="Arial" w:hAnsi="Arial" w:cs="Arial"/>
          <w:szCs w:val="24"/>
        </w:rPr>
      </w:pPr>
    </w:p>
    <w:p w14:paraId="442A8432" w14:textId="230897EA" w:rsidR="000C4EDA" w:rsidRPr="00605471" w:rsidRDefault="000C4EDA" w:rsidP="00605471">
      <w:pPr>
        <w:spacing w:before="240" w:line="360" w:lineRule="auto"/>
        <w:jc w:val="both"/>
        <w:rPr>
          <w:rFonts w:ascii="Arial" w:hAnsi="Arial" w:cs="Arial"/>
          <w:szCs w:val="24"/>
        </w:rPr>
      </w:pPr>
      <w:r w:rsidRPr="00605471">
        <w:rPr>
          <w:rFonts w:ascii="Arial" w:hAnsi="Arial" w:cs="Arial"/>
          <w:szCs w:val="24"/>
        </w:rPr>
        <w:br w:type="page"/>
      </w:r>
      <w:r w:rsidRPr="00605471">
        <w:rPr>
          <w:rFonts w:ascii="Arial" w:eastAsiaTheme="majorEastAsia" w:hAnsi="Arial" w:cs="Arial"/>
          <w:b/>
          <w:szCs w:val="24"/>
        </w:rPr>
        <w:lastRenderedPageBreak/>
        <w:t>1. Introduction</w:t>
      </w:r>
      <w:r w:rsidR="00C03A91" w:rsidRPr="00605471">
        <w:rPr>
          <w:rFonts w:ascii="Arial" w:hAnsi="Arial" w:cs="Arial"/>
          <w:szCs w:val="24"/>
        </w:rPr>
        <w:t xml:space="preserve"> </w:t>
      </w:r>
    </w:p>
    <w:p w14:paraId="205A9C17" w14:textId="77777777" w:rsidR="00334029" w:rsidRPr="0018126E" w:rsidRDefault="00334029" w:rsidP="00334029">
      <w:pPr>
        <w:spacing w:before="240" w:line="360" w:lineRule="auto"/>
        <w:jc w:val="both"/>
        <w:rPr>
          <w:rFonts w:ascii="Arial" w:hAnsi="Arial" w:cs="Arial"/>
        </w:rPr>
      </w:pPr>
      <w:r w:rsidRPr="0018126E">
        <w:rPr>
          <w:rFonts w:ascii="Arial" w:hAnsi="Arial" w:cs="Arial"/>
        </w:rPr>
        <w:t xml:space="preserve">The practice nurse has been asked to provide evidence-based information, to help patients understand their condition and to help them manage their diabetes effectively, following the rise in patients with diabetes attending a local General Practice (GP) surgery. </w:t>
      </w:r>
      <w:r>
        <w:rPr>
          <w:rFonts w:ascii="Arial" w:hAnsi="Arial" w:cs="Arial"/>
        </w:rPr>
        <w:t>Many</w:t>
      </w:r>
      <w:r w:rsidRPr="0018126E">
        <w:rPr>
          <w:rFonts w:ascii="Arial" w:hAnsi="Arial" w:cs="Arial"/>
        </w:rPr>
        <w:t xml:space="preserve"> patients have problems grasping the causes of diabetes, the importance of maintaining control of their blood glucose, and the impact of lifestyle </w:t>
      </w:r>
      <w:proofErr w:type="spellStart"/>
      <w:r w:rsidRPr="0018126E">
        <w:rPr>
          <w:rFonts w:ascii="Arial" w:hAnsi="Arial" w:cs="Arial"/>
        </w:rPr>
        <w:t>behaviors</w:t>
      </w:r>
      <w:proofErr w:type="spellEnd"/>
      <w:r w:rsidRPr="0018126E">
        <w:rPr>
          <w:rFonts w:ascii="Arial" w:hAnsi="Arial" w:cs="Arial"/>
        </w:rPr>
        <w:t xml:space="preserve"> on the progression of the disease. Education is an important part of this because a patient who knows more will accept treatment options, better control their blood sugar and have a greater chance of making healthy lifestyle choices which will lessen the risk of complications.</w:t>
      </w:r>
    </w:p>
    <w:p w14:paraId="4F22F2F3" w14:textId="77777777" w:rsidR="00334029" w:rsidRPr="0018126E" w:rsidRDefault="00334029" w:rsidP="00334029">
      <w:pPr>
        <w:spacing w:before="240" w:line="360" w:lineRule="auto"/>
        <w:jc w:val="both"/>
        <w:rPr>
          <w:rFonts w:ascii="Arial" w:hAnsi="Arial" w:cs="Arial"/>
        </w:rPr>
      </w:pPr>
      <w:r w:rsidRPr="0018126E">
        <w:rPr>
          <w:rFonts w:ascii="Arial" w:hAnsi="Arial" w:cs="Arial"/>
        </w:rPr>
        <w:t>Diabetes mellitus is a chronic metabolic condition in which the blood glucose level is persistently raised due to defects in insulin secretion, insulin action or both (</w:t>
      </w:r>
      <w:proofErr w:type="spellStart"/>
      <w:r w:rsidRPr="0018126E">
        <w:rPr>
          <w:rFonts w:ascii="Arial" w:hAnsi="Arial" w:cs="Arial"/>
        </w:rPr>
        <w:t>Petersmann</w:t>
      </w:r>
      <w:proofErr w:type="spellEnd"/>
      <w:r w:rsidRPr="0018126E">
        <w:rPr>
          <w:rFonts w:ascii="Arial" w:hAnsi="Arial" w:cs="Arial"/>
        </w:rPr>
        <w:t xml:space="preserve"> et al., 2019; Antar et al., 2023). </w:t>
      </w:r>
      <w:r>
        <w:rPr>
          <w:rFonts w:ascii="Arial" w:hAnsi="Arial" w:cs="Arial"/>
        </w:rPr>
        <w:t xml:space="preserve">Diabetes has two major types, Type 1 and Type 2 diabetes. </w:t>
      </w:r>
      <w:r w:rsidRPr="0018126E">
        <w:rPr>
          <w:rFonts w:ascii="Arial" w:hAnsi="Arial" w:cs="Arial"/>
        </w:rPr>
        <w:t xml:space="preserve">In Type 1 Diabetes, the body's immune system attacks the insulin-producing cells in the pancreas causing an absolute lack of insulin. Type 2 diabetes, on the other hand, occurs when </w:t>
      </w:r>
      <w:r>
        <w:rPr>
          <w:rFonts w:ascii="Arial" w:hAnsi="Arial" w:cs="Arial"/>
        </w:rPr>
        <w:t>the</w:t>
      </w:r>
      <w:r w:rsidRPr="0018126E">
        <w:rPr>
          <w:rFonts w:ascii="Arial" w:hAnsi="Arial" w:cs="Arial"/>
        </w:rPr>
        <w:t xml:space="preserve"> body cells are not able to use insulin properly and eventually </w:t>
      </w:r>
      <w:r>
        <w:rPr>
          <w:rFonts w:ascii="Arial" w:hAnsi="Arial" w:cs="Arial"/>
        </w:rPr>
        <w:t>the body canno</w:t>
      </w:r>
      <w:r w:rsidRPr="0018126E">
        <w:rPr>
          <w:rFonts w:ascii="Arial" w:hAnsi="Arial" w:cs="Arial"/>
        </w:rPr>
        <w:t>t make enough insulin to overcome insulin resistance (</w:t>
      </w:r>
      <w:proofErr w:type="spellStart"/>
      <w:r w:rsidRPr="0018126E">
        <w:rPr>
          <w:rFonts w:ascii="Arial" w:hAnsi="Arial" w:cs="Arial"/>
        </w:rPr>
        <w:t>Petersmann</w:t>
      </w:r>
      <w:proofErr w:type="spellEnd"/>
      <w:r w:rsidRPr="0018126E">
        <w:rPr>
          <w:rFonts w:ascii="Arial" w:hAnsi="Arial" w:cs="Arial"/>
        </w:rPr>
        <w:t xml:space="preserve"> et al., 2019). However, Type 2 diabetes is the most relevant condition as the case study is set within a GP surgery where patients are being seen for lifestyle change and glycaemic management.</w:t>
      </w:r>
    </w:p>
    <w:p w14:paraId="0ACF30E4" w14:textId="7649C80E" w:rsidR="00334029" w:rsidRPr="0018126E" w:rsidRDefault="00334029" w:rsidP="00334029">
      <w:pPr>
        <w:spacing w:before="240" w:line="360" w:lineRule="auto"/>
        <w:jc w:val="both"/>
        <w:rPr>
          <w:rFonts w:ascii="Arial" w:hAnsi="Arial" w:cs="Arial"/>
        </w:rPr>
      </w:pPr>
      <w:r w:rsidRPr="0018126E">
        <w:rPr>
          <w:rFonts w:ascii="Arial" w:hAnsi="Arial" w:cs="Arial"/>
        </w:rPr>
        <w:t xml:space="preserve">There are a number of lifestyle and biological risk factors for Type 2 diabetes. The National Institute for Health and Care Excellence, and World Health Organization (NICE, 2026; WHO, 2026) list the following as factors that lead to insulin resistance and glucose dysfunction: overweight and obesity, physical inactivity, unhealthy diet that includes a lot of refined carbs and saturated fats, increasing age, family history, </w:t>
      </w:r>
      <w:r>
        <w:rPr>
          <w:rFonts w:ascii="Arial" w:hAnsi="Arial" w:cs="Arial"/>
        </w:rPr>
        <w:t>and</w:t>
      </w:r>
      <w:r w:rsidRPr="0018126E">
        <w:rPr>
          <w:rFonts w:ascii="Arial" w:hAnsi="Arial" w:cs="Arial"/>
        </w:rPr>
        <w:t xml:space="preserve"> smoking. The importance of patient education within primary care settings is therefore paramount to ensure that people can understand what is happening to them, be able to engage in their health and care plan, make informed choices about their lifestyle and manage their blood glucose levels safely with a view to minimising the risk of developing </w:t>
      </w:r>
      <w:r>
        <w:rPr>
          <w:rFonts w:ascii="Arial" w:hAnsi="Arial" w:cs="Arial"/>
        </w:rPr>
        <w:t>diabetes-related complications</w:t>
      </w:r>
      <w:r w:rsidRPr="0018126E">
        <w:rPr>
          <w:rFonts w:ascii="Arial" w:hAnsi="Arial" w:cs="Arial"/>
        </w:rPr>
        <w:t xml:space="preserve"> (NICE, 2026).</w:t>
      </w:r>
    </w:p>
    <w:p w14:paraId="09BFDBA9" w14:textId="77777777" w:rsidR="00334029" w:rsidRPr="00605471" w:rsidRDefault="00334029" w:rsidP="00605471">
      <w:pPr>
        <w:tabs>
          <w:tab w:val="left" w:pos="6540"/>
        </w:tabs>
        <w:spacing w:before="240" w:line="360" w:lineRule="auto"/>
        <w:jc w:val="both"/>
        <w:rPr>
          <w:rFonts w:ascii="Arial" w:hAnsi="Arial" w:cs="Arial"/>
          <w:szCs w:val="24"/>
        </w:rPr>
      </w:pPr>
    </w:p>
    <w:p w14:paraId="2D95E97C" w14:textId="0116D9CF" w:rsidR="00C03A91" w:rsidRPr="00605471" w:rsidRDefault="00C03A91" w:rsidP="00605471">
      <w:pPr>
        <w:pStyle w:val="Heading1"/>
        <w:spacing w:line="360" w:lineRule="auto"/>
        <w:jc w:val="both"/>
        <w:rPr>
          <w:rFonts w:cs="Arial"/>
          <w:sz w:val="24"/>
          <w:szCs w:val="24"/>
        </w:rPr>
      </w:pPr>
      <w:r w:rsidRPr="00605471">
        <w:rPr>
          <w:rFonts w:cs="Arial"/>
          <w:sz w:val="24"/>
          <w:szCs w:val="24"/>
        </w:rPr>
        <w:lastRenderedPageBreak/>
        <w:t xml:space="preserve">2. </w:t>
      </w:r>
      <w:r w:rsidR="00FD7392" w:rsidRPr="00605471">
        <w:rPr>
          <w:rFonts w:cs="Arial"/>
          <w:sz w:val="24"/>
          <w:szCs w:val="24"/>
        </w:rPr>
        <w:t>Blood Sugar Regulation</w:t>
      </w:r>
    </w:p>
    <w:p w14:paraId="4012F2B6" w14:textId="77777777" w:rsidR="00334029" w:rsidRPr="0018126E" w:rsidRDefault="00334029" w:rsidP="00334029">
      <w:pPr>
        <w:spacing w:before="240" w:line="360" w:lineRule="auto"/>
        <w:jc w:val="both"/>
        <w:rPr>
          <w:rFonts w:ascii="Arial" w:hAnsi="Arial" w:cs="Arial"/>
        </w:rPr>
      </w:pPr>
      <w:r w:rsidRPr="00605471">
        <w:rPr>
          <w:rFonts w:ascii="Arial" w:eastAsia="Arial" w:hAnsi="Arial" w:cs="Arial"/>
          <w:szCs w:val="24"/>
        </w:rPr>
        <w:t>Blood glucose regulation is an essential homeostatic process</w:t>
      </w:r>
      <w:r>
        <w:rPr>
          <w:rFonts w:ascii="Arial" w:hAnsi="Arial" w:cs="Arial"/>
        </w:rPr>
        <w:t xml:space="preserve"> that</w:t>
      </w:r>
      <w:r w:rsidRPr="0018126E">
        <w:rPr>
          <w:rFonts w:ascii="Arial" w:hAnsi="Arial" w:cs="Arial"/>
        </w:rPr>
        <w:t xml:space="preserve"> helps to keep the internal environment stable in spite of the continual changes in food eaten and energy expended. Homeostasis is the body's tendency to keep physiological parameters at a normal level within a certain range for normal functioning of cells. Normally a regulation of blood glucose levels occurs through a negative feedback loop between the pancreas, liver, skeletal muscles, adipose tissue and the hormones insulin and glucagon, with fasting blood glucose between 4 and 6 mmol/L (Milionis et al., 2023). Keeping the blood glucose in this range is essential because when a person has a high blood sugar, blood vessels, nerves, kidneys and eyes can become damaged, and when they have a low blood sugar, the brain does not have enough glucose to function </w:t>
      </w:r>
      <w:r>
        <w:rPr>
          <w:rFonts w:ascii="Arial" w:hAnsi="Arial" w:cs="Arial"/>
        </w:rPr>
        <w:t xml:space="preserve">leading to confusion, seizure and loss of </w:t>
      </w:r>
      <w:proofErr w:type="spellStart"/>
      <w:r>
        <w:rPr>
          <w:rFonts w:ascii="Arial" w:hAnsi="Arial" w:cs="Arial"/>
        </w:rPr>
        <w:t>conciousness</w:t>
      </w:r>
      <w:proofErr w:type="spellEnd"/>
      <w:r w:rsidRPr="0018126E">
        <w:rPr>
          <w:rFonts w:ascii="Arial" w:hAnsi="Arial" w:cs="Arial"/>
        </w:rPr>
        <w:t xml:space="preserve"> (Antar et al., 2023).</w:t>
      </w:r>
    </w:p>
    <w:p w14:paraId="6B5643E9" w14:textId="70DB8154" w:rsidR="0032486A" w:rsidRDefault="0032486A" w:rsidP="00605471">
      <w:pPr>
        <w:tabs>
          <w:tab w:val="left" w:pos="6540"/>
        </w:tabs>
        <w:spacing w:before="240" w:line="360" w:lineRule="auto"/>
        <w:jc w:val="both"/>
        <w:rPr>
          <w:rFonts w:ascii="Arial" w:eastAsia="Arial" w:hAnsi="Arial" w:cs="Arial"/>
          <w:szCs w:val="24"/>
        </w:rPr>
      </w:pPr>
      <w:r>
        <w:rPr>
          <w:rFonts w:ascii="Arial" w:eastAsia="Arial" w:hAnsi="Arial" w:cs="Arial"/>
          <w:noProof/>
          <w:szCs w:val="24"/>
        </w:rPr>
        <w:drawing>
          <wp:inline distT="0" distB="0" distL="0" distR="0" wp14:anchorId="0DD69B52" wp14:editId="02AAE338">
            <wp:extent cx="4572000" cy="3902075"/>
            <wp:effectExtent l="0" t="0" r="0" b="3175"/>
            <wp:docPr id="13387264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72000" cy="3902075"/>
                    </a:xfrm>
                    <a:prstGeom prst="rect">
                      <a:avLst/>
                    </a:prstGeom>
                    <a:noFill/>
                    <a:ln>
                      <a:noFill/>
                    </a:ln>
                  </pic:spPr>
                </pic:pic>
              </a:graphicData>
            </a:graphic>
          </wp:inline>
        </w:drawing>
      </w:r>
    </w:p>
    <w:p w14:paraId="0AD39B8C" w14:textId="0AA9242F" w:rsidR="0032486A" w:rsidRPr="00605471" w:rsidRDefault="0032486A" w:rsidP="00605471">
      <w:pPr>
        <w:tabs>
          <w:tab w:val="left" w:pos="6540"/>
        </w:tabs>
        <w:spacing w:before="240" w:line="360" w:lineRule="auto"/>
        <w:jc w:val="both"/>
        <w:rPr>
          <w:rFonts w:ascii="Arial" w:eastAsia="Arial" w:hAnsi="Arial" w:cs="Arial"/>
          <w:szCs w:val="24"/>
        </w:rPr>
      </w:pPr>
      <w:r>
        <w:rPr>
          <w:rFonts w:ascii="Arial" w:eastAsia="Arial" w:hAnsi="Arial" w:cs="Arial"/>
          <w:szCs w:val="24"/>
        </w:rPr>
        <w:t xml:space="preserve">Figure 1: Regulation of blood glucose (Source: </w:t>
      </w:r>
      <w:proofErr w:type="spellStart"/>
      <w:r>
        <w:rPr>
          <w:rFonts w:ascii="Arial" w:eastAsia="Arial" w:hAnsi="Arial" w:cs="Arial"/>
          <w:szCs w:val="24"/>
        </w:rPr>
        <w:t>ATrain</w:t>
      </w:r>
      <w:proofErr w:type="spellEnd"/>
      <w:r>
        <w:rPr>
          <w:rFonts w:ascii="Arial" w:eastAsia="Arial" w:hAnsi="Arial" w:cs="Arial"/>
          <w:szCs w:val="24"/>
        </w:rPr>
        <w:t xml:space="preserve"> Education, 2026)</w:t>
      </w:r>
    </w:p>
    <w:p w14:paraId="28C2F2B5" w14:textId="77777777" w:rsidR="00DC3F30" w:rsidRPr="0018126E" w:rsidRDefault="00DC3F30" w:rsidP="00DC3F30">
      <w:pPr>
        <w:spacing w:before="240" w:line="360" w:lineRule="auto"/>
        <w:jc w:val="both"/>
        <w:rPr>
          <w:rFonts w:ascii="Arial" w:hAnsi="Arial" w:cs="Arial"/>
        </w:rPr>
      </w:pPr>
      <w:r w:rsidRPr="0018126E">
        <w:rPr>
          <w:rFonts w:ascii="Arial" w:hAnsi="Arial" w:cs="Arial"/>
        </w:rPr>
        <w:t xml:space="preserve">Figure 1 shows a negative feedback system that helps to maintain homeostasis of blood glucose. </w:t>
      </w:r>
      <w:r>
        <w:rPr>
          <w:rFonts w:ascii="Arial" w:hAnsi="Arial" w:cs="Arial"/>
        </w:rPr>
        <w:t>After consumption of food containing</w:t>
      </w:r>
      <w:r w:rsidRPr="0018126E">
        <w:rPr>
          <w:rFonts w:ascii="Arial" w:hAnsi="Arial" w:cs="Arial"/>
        </w:rPr>
        <w:t xml:space="preserve"> carbohydrates, the carbohydrates are broken down into glucose which enters the blood and raises the blood glucose </w:t>
      </w:r>
      <w:r w:rsidRPr="0018126E">
        <w:rPr>
          <w:rFonts w:ascii="Arial" w:hAnsi="Arial" w:cs="Arial"/>
        </w:rPr>
        <w:lastRenderedPageBreak/>
        <w:t>level. The increase is sensed by beta cells inside the islets of Langerhans of the pancreas. In response, the pancreas secretes insulin into the circulation. Insulin activates receptors on muscle and adipose cells, which then move the glucose transporter protein (GLUT4) to the cell membrane, leading to the entry of glucose into the cell where it can provide energy</w:t>
      </w:r>
      <w:r>
        <w:rPr>
          <w:rFonts w:ascii="Arial" w:hAnsi="Arial" w:cs="Arial"/>
        </w:rPr>
        <w:t xml:space="preserve"> (Hall, 2016; Antar et al., 2023; Milionis et al., 2023)</w:t>
      </w:r>
      <w:r w:rsidRPr="0018126E">
        <w:rPr>
          <w:rFonts w:ascii="Arial" w:hAnsi="Arial" w:cs="Arial"/>
        </w:rPr>
        <w:t xml:space="preserve">. At the same time, insulin also triggers the liver to take the leftover glucose and store it as glycogen, a process called glycogenesis. </w:t>
      </w:r>
      <w:r>
        <w:rPr>
          <w:rFonts w:ascii="Arial" w:hAnsi="Arial" w:cs="Arial"/>
        </w:rPr>
        <w:t>The b</w:t>
      </w:r>
      <w:r w:rsidRPr="0018126E">
        <w:rPr>
          <w:rFonts w:ascii="Arial" w:hAnsi="Arial" w:cs="Arial"/>
        </w:rPr>
        <w:t>ody tissues remove and store or use the glucose as it moves from the bloodstream, and blood glucose levels slowly return to normal, thus completing the negative feedback cycle (Milionis et al., 2023</w:t>
      </w:r>
      <w:r>
        <w:rPr>
          <w:rFonts w:ascii="Arial" w:hAnsi="Arial" w:cs="Arial"/>
        </w:rPr>
        <w:t>; Hall, 2016</w:t>
      </w:r>
      <w:r w:rsidRPr="0018126E">
        <w:rPr>
          <w:rFonts w:ascii="Arial" w:hAnsi="Arial" w:cs="Arial"/>
        </w:rPr>
        <w:t>).</w:t>
      </w:r>
    </w:p>
    <w:p w14:paraId="59E5D6A1" w14:textId="77777777" w:rsidR="00DC3F30" w:rsidRPr="0018126E" w:rsidRDefault="00DC3F30" w:rsidP="00DC3F30">
      <w:pPr>
        <w:spacing w:before="240" w:line="360" w:lineRule="auto"/>
        <w:jc w:val="both"/>
        <w:rPr>
          <w:rFonts w:ascii="Arial" w:hAnsi="Arial" w:cs="Arial"/>
        </w:rPr>
      </w:pPr>
      <w:r w:rsidRPr="0018126E">
        <w:rPr>
          <w:rFonts w:ascii="Arial" w:hAnsi="Arial" w:cs="Arial"/>
        </w:rPr>
        <w:t>In contrast, when the body is in a state of fasting (no food for extended periods of time, or physical exercise) the glucose level in the blood decreases. This decrease is sensed by alpha cells in the pancreas and causes glucagon to be released from them. Glucagon's major effect is on the liver where it breaks down glycogen and releases glucose (glycogenolysis). The liver then pumps this glucose into the blood stream, bringing the blood glucose level back to a</w:t>
      </w:r>
      <w:r>
        <w:rPr>
          <w:rFonts w:ascii="Arial" w:hAnsi="Arial" w:cs="Arial"/>
        </w:rPr>
        <w:t xml:space="preserve"> normal </w:t>
      </w:r>
      <w:r w:rsidRPr="0018126E">
        <w:rPr>
          <w:rFonts w:ascii="Arial" w:hAnsi="Arial" w:cs="Arial"/>
        </w:rPr>
        <w:t xml:space="preserve">physiological range. Once the normal blood glucose concentration is restored, glucagon levels drop, thus </w:t>
      </w:r>
      <w:r w:rsidRPr="00605471">
        <w:rPr>
          <w:rFonts w:ascii="Arial" w:eastAsia="Arial" w:hAnsi="Arial" w:cs="Arial"/>
          <w:szCs w:val="24"/>
        </w:rPr>
        <w:t>maintaining homeostasis</w:t>
      </w:r>
      <w:r w:rsidRPr="0018126E">
        <w:rPr>
          <w:rFonts w:ascii="Arial" w:hAnsi="Arial" w:cs="Arial"/>
        </w:rPr>
        <w:t xml:space="preserve"> (Milionis et al., 2023</w:t>
      </w:r>
      <w:r>
        <w:rPr>
          <w:rFonts w:ascii="Arial" w:hAnsi="Arial" w:cs="Arial"/>
        </w:rPr>
        <w:t>; Hall, 2016</w:t>
      </w:r>
      <w:r w:rsidRPr="0018126E">
        <w:rPr>
          <w:rFonts w:ascii="Arial" w:hAnsi="Arial" w:cs="Arial"/>
        </w:rPr>
        <w:t>).</w:t>
      </w:r>
    </w:p>
    <w:p w14:paraId="6167C643" w14:textId="0C45B5DC" w:rsidR="00DC3F30" w:rsidRPr="0018126E" w:rsidRDefault="00DC3F30" w:rsidP="00DC3F30">
      <w:pPr>
        <w:spacing w:before="240" w:line="360" w:lineRule="auto"/>
        <w:jc w:val="both"/>
        <w:rPr>
          <w:rFonts w:ascii="Arial" w:hAnsi="Arial" w:cs="Arial"/>
        </w:rPr>
      </w:pPr>
      <w:r w:rsidRPr="0018126E">
        <w:rPr>
          <w:rFonts w:ascii="Arial" w:hAnsi="Arial" w:cs="Arial"/>
        </w:rPr>
        <w:t>This finely-tuned feedback system is compromised in Type 2 diabetes. Insulin is made, but the body's cells are less responsive to insulin</w:t>
      </w:r>
      <w:r w:rsidR="000408FD">
        <w:rPr>
          <w:rFonts w:ascii="Arial" w:hAnsi="Arial" w:cs="Arial"/>
        </w:rPr>
        <w:t xml:space="preserve"> (illustrated in Figure 2)</w:t>
      </w:r>
      <w:r w:rsidRPr="0018126E">
        <w:rPr>
          <w:rFonts w:ascii="Arial" w:hAnsi="Arial" w:cs="Arial"/>
        </w:rPr>
        <w:t>.</w:t>
      </w:r>
      <w:r>
        <w:rPr>
          <w:rFonts w:ascii="Arial" w:hAnsi="Arial" w:cs="Arial"/>
        </w:rPr>
        <w:t xml:space="preserve"> </w:t>
      </w:r>
      <w:r w:rsidRPr="0018126E">
        <w:rPr>
          <w:rFonts w:ascii="Arial" w:hAnsi="Arial" w:cs="Arial"/>
        </w:rPr>
        <w:t>This leaves the muscle cells and fat cells unable to properly absorb glucose, leaving blood glucose levels in the blood high. In response there is an initial increase in the production of insulin by pancreatic beta cells. Nevertheless, overproduction of cells eventually causes excessive stress on cells and over time, they produce less insulin (</w:t>
      </w:r>
      <w:proofErr w:type="spellStart"/>
      <w:r w:rsidRPr="0018126E">
        <w:rPr>
          <w:rFonts w:ascii="Arial" w:hAnsi="Arial" w:cs="Arial"/>
        </w:rPr>
        <w:t>Petersmann</w:t>
      </w:r>
      <w:proofErr w:type="spellEnd"/>
      <w:r w:rsidRPr="0018126E">
        <w:rPr>
          <w:rFonts w:ascii="Arial" w:hAnsi="Arial" w:cs="Arial"/>
        </w:rPr>
        <w:t xml:space="preserve"> et al., 2019; Antar et al., 2023</w:t>
      </w:r>
      <w:r>
        <w:rPr>
          <w:rFonts w:ascii="Arial" w:hAnsi="Arial" w:cs="Arial"/>
        </w:rPr>
        <w:t>;</w:t>
      </w:r>
      <w:r w:rsidR="000408FD">
        <w:rPr>
          <w:rFonts w:ascii="Arial" w:hAnsi="Arial" w:cs="Arial"/>
        </w:rPr>
        <w:t xml:space="preserve"> Lee, Park and Choi, 2022</w:t>
      </w:r>
      <w:r w:rsidRPr="0018126E">
        <w:rPr>
          <w:rFonts w:ascii="Arial" w:hAnsi="Arial" w:cs="Arial"/>
        </w:rPr>
        <w:t xml:space="preserve">). Ongoing hyperglycaemia then puts </w:t>
      </w:r>
      <w:r>
        <w:rPr>
          <w:rFonts w:ascii="Arial" w:hAnsi="Arial" w:cs="Arial"/>
        </w:rPr>
        <w:t>individuals</w:t>
      </w:r>
      <w:r w:rsidRPr="0018126E">
        <w:rPr>
          <w:rFonts w:ascii="Arial" w:hAnsi="Arial" w:cs="Arial"/>
        </w:rPr>
        <w:t xml:space="preserve"> at risk of heart, kidney, nerve and eye damage. </w:t>
      </w:r>
    </w:p>
    <w:p w14:paraId="7E2FA492" w14:textId="3E53E331" w:rsidR="0019044A" w:rsidRDefault="000408FD" w:rsidP="00605471">
      <w:pPr>
        <w:tabs>
          <w:tab w:val="left" w:pos="6540"/>
        </w:tabs>
        <w:spacing w:before="240" w:line="360" w:lineRule="auto"/>
        <w:jc w:val="both"/>
        <w:rPr>
          <w:rFonts w:ascii="Arial" w:eastAsia="Arial" w:hAnsi="Arial" w:cs="Arial"/>
          <w:szCs w:val="24"/>
        </w:rPr>
      </w:pPr>
      <w:r>
        <w:rPr>
          <w:rFonts w:ascii="Arial" w:eastAsia="Arial" w:hAnsi="Arial" w:cs="Arial"/>
          <w:noProof/>
          <w:szCs w:val="24"/>
        </w:rPr>
        <w:lastRenderedPageBreak/>
        <w:drawing>
          <wp:inline distT="0" distB="0" distL="0" distR="0" wp14:anchorId="2385D4C7" wp14:editId="19E697A2">
            <wp:extent cx="5720080" cy="6421755"/>
            <wp:effectExtent l="0" t="0" r="0" b="0"/>
            <wp:docPr id="1494625532"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0080" cy="6421755"/>
                    </a:xfrm>
                    <a:prstGeom prst="rect">
                      <a:avLst/>
                    </a:prstGeom>
                    <a:noFill/>
                    <a:ln>
                      <a:noFill/>
                    </a:ln>
                  </pic:spPr>
                </pic:pic>
              </a:graphicData>
            </a:graphic>
          </wp:inline>
        </w:drawing>
      </w:r>
    </w:p>
    <w:p w14:paraId="5CDC0B6C" w14:textId="7C0B2D34" w:rsidR="0019044A" w:rsidRDefault="0019044A" w:rsidP="00605471">
      <w:pPr>
        <w:tabs>
          <w:tab w:val="left" w:pos="6540"/>
        </w:tabs>
        <w:spacing w:before="240" w:line="360" w:lineRule="auto"/>
        <w:jc w:val="both"/>
        <w:rPr>
          <w:rFonts w:ascii="Arial" w:eastAsia="Arial" w:hAnsi="Arial" w:cs="Arial"/>
          <w:szCs w:val="24"/>
        </w:rPr>
      </w:pPr>
      <w:r>
        <w:rPr>
          <w:rFonts w:ascii="Arial" w:eastAsia="Arial" w:hAnsi="Arial" w:cs="Arial"/>
          <w:szCs w:val="24"/>
        </w:rPr>
        <w:t xml:space="preserve">Figure 2: </w:t>
      </w:r>
      <w:r w:rsidR="000408FD">
        <w:rPr>
          <w:rFonts w:ascii="Arial" w:eastAsia="Arial" w:hAnsi="Arial" w:cs="Arial"/>
          <w:szCs w:val="24"/>
        </w:rPr>
        <w:t xml:space="preserve">Lipid-induced </w:t>
      </w:r>
      <w:r>
        <w:rPr>
          <w:rFonts w:ascii="Arial" w:eastAsia="Arial" w:hAnsi="Arial" w:cs="Arial"/>
          <w:szCs w:val="24"/>
        </w:rPr>
        <w:t xml:space="preserve">Insulin resistance (Source: </w:t>
      </w:r>
      <w:r w:rsidR="000408FD">
        <w:rPr>
          <w:rFonts w:ascii="Arial" w:eastAsia="Arial" w:hAnsi="Arial" w:cs="Arial"/>
          <w:szCs w:val="24"/>
        </w:rPr>
        <w:t>Lee, Park, and Choi</w:t>
      </w:r>
      <w:r>
        <w:rPr>
          <w:rFonts w:ascii="Arial" w:eastAsia="Arial" w:hAnsi="Arial" w:cs="Arial"/>
          <w:szCs w:val="24"/>
        </w:rPr>
        <w:t>, 202</w:t>
      </w:r>
      <w:r w:rsidR="000408FD">
        <w:rPr>
          <w:rFonts w:ascii="Arial" w:eastAsia="Arial" w:hAnsi="Arial" w:cs="Arial"/>
          <w:szCs w:val="24"/>
        </w:rPr>
        <w:t>2</w:t>
      </w:r>
      <w:r>
        <w:rPr>
          <w:rFonts w:ascii="Arial" w:eastAsia="Arial" w:hAnsi="Arial" w:cs="Arial"/>
          <w:szCs w:val="24"/>
        </w:rPr>
        <w:t>)</w:t>
      </w:r>
    </w:p>
    <w:p w14:paraId="17304C96" w14:textId="77777777" w:rsidR="00DC3F30" w:rsidRPr="0018126E" w:rsidRDefault="00DC3F30" w:rsidP="00DC3F30">
      <w:pPr>
        <w:spacing w:before="240" w:line="360" w:lineRule="auto"/>
        <w:jc w:val="both"/>
        <w:rPr>
          <w:rFonts w:ascii="Arial" w:hAnsi="Arial" w:cs="Arial"/>
        </w:rPr>
      </w:pPr>
      <w:r w:rsidRPr="0018126E">
        <w:rPr>
          <w:rFonts w:ascii="Arial" w:hAnsi="Arial" w:cs="Arial"/>
        </w:rPr>
        <w:t>In this case study, the key factor is understanding how insulin resistance affects the normal functioning of blood glucose, and hence why medication adherence, regular blood glucose monitoring, healthy diet, physical activity and other lifestyle changes is important for effective diabetes management (NICE, 2026).</w:t>
      </w:r>
    </w:p>
    <w:p w14:paraId="381CCE5B" w14:textId="4B83C43A" w:rsidR="000C4EDA" w:rsidRPr="00605471" w:rsidRDefault="00076AC0" w:rsidP="00605471">
      <w:pPr>
        <w:pStyle w:val="Heading1"/>
        <w:spacing w:line="360" w:lineRule="auto"/>
        <w:jc w:val="both"/>
        <w:rPr>
          <w:rFonts w:cs="Arial"/>
          <w:sz w:val="24"/>
          <w:szCs w:val="24"/>
        </w:rPr>
      </w:pPr>
      <w:r w:rsidRPr="00605471">
        <w:rPr>
          <w:rFonts w:cs="Arial"/>
          <w:sz w:val="24"/>
          <w:szCs w:val="24"/>
        </w:rPr>
        <w:lastRenderedPageBreak/>
        <w:t>3</w:t>
      </w:r>
      <w:r w:rsidR="000C4EDA" w:rsidRPr="00605471">
        <w:rPr>
          <w:rFonts w:cs="Arial"/>
          <w:sz w:val="24"/>
          <w:szCs w:val="24"/>
        </w:rPr>
        <w:t xml:space="preserve">. </w:t>
      </w:r>
      <w:r w:rsidR="00012E0F" w:rsidRPr="00605471">
        <w:rPr>
          <w:rFonts w:cs="Arial"/>
          <w:sz w:val="24"/>
          <w:szCs w:val="24"/>
        </w:rPr>
        <w:t xml:space="preserve">Oxygen and Glucose in </w:t>
      </w:r>
      <w:r w:rsidR="007A7297" w:rsidRPr="00605471">
        <w:rPr>
          <w:rFonts w:cs="Arial"/>
          <w:sz w:val="24"/>
          <w:szCs w:val="24"/>
        </w:rPr>
        <w:t>Cellular Metabolism</w:t>
      </w:r>
      <w:r w:rsidR="000C4EDA" w:rsidRPr="00605471">
        <w:rPr>
          <w:rFonts w:cs="Arial"/>
          <w:sz w:val="24"/>
          <w:szCs w:val="24"/>
        </w:rPr>
        <w:t xml:space="preserve"> </w:t>
      </w:r>
    </w:p>
    <w:p w14:paraId="62DD2E8A" w14:textId="7B1C7CFB" w:rsidR="00845B25" w:rsidRPr="00DC3F30" w:rsidRDefault="00DC3F30" w:rsidP="00605471">
      <w:pPr>
        <w:spacing w:before="240" w:line="360" w:lineRule="auto"/>
        <w:jc w:val="both"/>
        <w:rPr>
          <w:rFonts w:ascii="Arial" w:eastAsia="Arial" w:hAnsi="Arial" w:cs="Arial"/>
        </w:rPr>
      </w:pPr>
      <w:r w:rsidRPr="0018126E">
        <w:rPr>
          <w:rFonts w:ascii="Arial" w:eastAsia="Arial" w:hAnsi="Arial" w:cs="Arial"/>
        </w:rPr>
        <w:t>Cell</w:t>
      </w:r>
      <w:r>
        <w:rPr>
          <w:rFonts w:ascii="Arial" w:eastAsia="Arial" w:hAnsi="Arial" w:cs="Arial"/>
        </w:rPr>
        <w:t>ular</w:t>
      </w:r>
      <w:r w:rsidRPr="0018126E">
        <w:rPr>
          <w:rFonts w:ascii="Arial" w:eastAsia="Arial" w:hAnsi="Arial" w:cs="Arial"/>
        </w:rPr>
        <w:t xml:space="preserve"> respiration is a metabolic pathway where cells transform glucose to </w:t>
      </w:r>
      <w:r>
        <w:rPr>
          <w:rFonts w:ascii="Arial" w:eastAsia="Arial" w:hAnsi="Arial" w:cs="Arial"/>
        </w:rPr>
        <w:t xml:space="preserve">usable energy in the form of </w:t>
      </w:r>
      <w:r w:rsidRPr="0018126E">
        <w:rPr>
          <w:rFonts w:ascii="Arial" w:eastAsia="Arial" w:hAnsi="Arial" w:cs="Arial"/>
        </w:rPr>
        <w:t xml:space="preserve">adenosine triphosphate (ATP). </w:t>
      </w:r>
      <w:r>
        <w:rPr>
          <w:rFonts w:ascii="Arial" w:eastAsia="Arial" w:hAnsi="Arial" w:cs="Arial"/>
        </w:rPr>
        <w:t>Cellular</w:t>
      </w:r>
      <w:r w:rsidRPr="0018126E">
        <w:rPr>
          <w:rFonts w:ascii="Arial" w:eastAsia="Arial" w:hAnsi="Arial" w:cs="Arial"/>
        </w:rPr>
        <w:t xml:space="preserve"> respiration</w:t>
      </w:r>
      <w:r w:rsidR="00962DCE">
        <w:rPr>
          <w:rFonts w:ascii="Arial" w:eastAsia="Arial" w:hAnsi="Arial" w:cs="Arial"/>
        </w:rPr>
        <w:t xml:space="preserve"> can be in the form of aerobic or anaerobic respiration. Aerobic respiration</w:t>
      </w:r>
      <w:r w:rsidRPr="0018126E">
        <w:rPr>
          <w:rFonts w:ascii="Arial" w:eastAsia="Arial" w:hAnsi="Arial" w:cs="Arial"/>
        </w:rPr>
        <w:t xml:space="preserve"> is essential because ATP supplies the energy that is needed for the various physiological processes that take place in the body, such as muscle contraction, nerve impulse transmission, active transport, protein synthesis and cell repair (Hall, 2016). Overall reaction for aerobic respiration is:</w:t>
      </w:r>
    </w:p>
    <w:p w14:paraId="5A4F47DC" w14:textId="182A6AB8" w:rsidR="00845B25" w:rsidRDefault="00845B25" w:rsidP="00605471">
      <w:pPr>
        <w:spacing w:before="240" w:line="360" w:lineRule="auto"/>
        <w:jc w:val="both"/>
        <w:rPr>
          <w:rFonts w:ascii="Arial" w:eastAsia="Arial" w:hAnsi="Arial" w:cs="Arial"/>
          <w:szCs w:val="24"/>
        </w:rPr>
      </w:pPr>
      <w:r w:rsidRPr="00605471">
        <w:rPr>
          <w:rFonts w:ascii="Arial" w:eastAsia="Arial" w:hAnsi="Arial" w:cs="Arial"/>
          <w:szCs w:val="24"/>
        </w:rPr>
        <w:t xml:space="preserve">Glucose </w:t>
      </w:r>
      <w:r w:rsidR="0019044A">
        <w:rPr>
          <w:rFonts w:ascii="Arial" w:eastAsia="Arial" w:hAnsi="Arial" w:cs="Arial"/>
          <w:szCs w:val="24"/>
        </w:rPr>
        <w:tab/>
      </w:r>
      <w:r w:rsidRPr="00605471">
        <w:rPr>
          <w:rFonts w:ascii="Arial" w:eastAsia="Arial" w:hAnsi="Arial" w:cs="Arial"/>
          <w:szCs w:val="24"/>
        </w:rPr>
        <w:t xml:space="preserve">+ </w:t>
      </w:r>
      <w:r w:rsidR="0019044A">
        <w:rPr>
          <w:rFonts w:ascii="Arial" w:eastAsia="Arial" w:hAnsi="Arial" w:cs="Arial"/>
          <w:szCs w:val="24"/>
        </w:rPr>
        <w:tab/>
      </w:r>
      <w:r w:rsidRPr="00605471">
        <w:rPr>
          <w:rFonts w:ascii="Arial" w:eastAsia="Arial" w:hAnsi="Arial" w:cs="Arial"/>
          <w:szCs w:val="24"/>
        </w:rPr>
        <w:t xml:space="preserve">Oxygen → </w:t>
      </w:r>
      <w:r w:rsidR="0019044A">
        <w:rPr>
          <w:rFonts w:ascii="Arial" w:eastAsia="Arial" w:hAnsi="Arial" w:cs="Arial"/>
          <w:szCs w:val="24"/>
        </w:rPr>
        <w:tab/>
      </w:r>
      <w:r w:rsidRPr="00605471">
        <w:rPr>
          <w:rFonts w:ascii="Arial" w:eastAsia="Arial" w:hAnsi="Arial" w:cs="Arial"/>
          <w:szCs w:val="24"/>
        </w:rPr>
        <w:t xml:space="preserve">Carbon dioxide + </w:t>
      </w:r>
      <w:r w:rsidR="0019044A">
        <w:rPr>
          <w:rFonts w:ascii="Arial" w:eastAsia="Arial" w:hAnsi="Arial" w:cs="Arial"/>
          <w:szCs w:val="24"/>
        </w:rPr>
        <w:tab/>
      </w:r>
      <w:r w:rsidRPr="00605471">
        <w:rPr>
          <w:rFonts w:ascii="Arial" w:eastAsia="Arial" w:hAnsi="Arial" w:cs="Arial"/>
          <w:szCs w:val="24"/>
        </w:rPr>
        <w:t xml:space="preserve">Water </w:t>
      </w:r>
      <w:r w:rsidR="0019044A">
        <w:rPr>
          <w:rFonts w:ascii="Arial" w:eastAsia="Arial" w:hAnsi="Arial" w:cs="Arial"/>
          <w:szCs w:val="24"/>
        </w:rPr>
        <w:tab/>
      </w:r>
      <w:r w:rsidR="0019044A">
        <w:rPr>
          <w:rFonts w:ascii="Arial" w:eastAsia="Arial" w:hAnsi="Arial" w:cs="Arial"/>
          <w:szCs w:val="24"/>
        </w:rPr>
        <w:tab/>
      </w:r>
      <w:r w:rsidRPr="00605471">
        <w:rPr>
          <w:rFonts w:ascii="Arial" w:eastAsia="Arial" w:hAnsi="Arial" w:cs="Arial"/>
          <w:szCs w:val="24"/>
        </w:rPr>
        <w:t xml:space="preserve">+ </w:t>
      </w:r>
      <w:r w:rsidR="0019044A">
        <w:rPr>
          <w:rFonts w:ascii="Arial" w:eastAsia="Arial" w:hAnsi="Arial" w:cs="Arial"/>
          <w:szCs w:val="24"/>
        </w:rPr>
        <w:tab/>
      </w:r>
      <w:r w:rsidRPr="00605471">
        <w:rPr>
          <w:rFonts w:ascii="Arial" w:eastAsia="Arial" w:hAnsi="Arial" w:cs="Arial"/>
          <w:szCs w:val="24"/>
        </w:rPr>
        <w:t xml:space="preserve">ATP </w:t>
      </w:r>
    </w:p>
    <w:p w14:paraId="2E84BA0F" w14:textId="1BB7CE62" w:rsidR="00845B25" w:rsidRPr="00605471" w:rsidRDefault="0019044A" w:rsidP="00605471">
      <w:pPr>
        <w:spacing w:before="240" w:line="360" w:lineRule="auto"/>
        <w:jc w:val="both"/>
        <w:rPr>
          <w:rFonts w:ascii="Arial" w:eastAsia="Arial" w:hAnsi="Arial" w:cs="Arial"/>
          <w:szCs w:val="24"/>
        </w:rPr>
      </w:pPr>
      <w:r>
        <w:rPr>
          <w:rFonts w:ascii="Arial" w:eastAsia="Arial" w:hAnsi="Arial" w:cs="Arial"/>
          <w:szCs w:val="24"/>
        </w:rPr>
        <w:t>(C</w:t>
      </w:r>
      <w:r w:rsidRPr="0019044A">
        <w:rPr>
          <w:rFonts w:ascii="Arial" w:eastAsia="Arial" w:hAnsi="Arial" w:cs="Arial"/>
          <w:szCs w:val="24"/>
          <w:vertAlign w:val="subscript"/>
        </w:rPr>
        <w:t>6</w:t>
      </w:r>
      <w:r>
        <w:rPr>
          <w:rFonts w:ascii="Arial" w:eastAsia="Arial" w:hAnsi="Arial" w:cs="Arial"/>
          <w:szCs w:val="24"/>
        </w:rPr>
        <w:t>H</w:t>
      </w:r>
      <w:r w:rsidRPr="0019044A">
        <w:rPr>
          <w:rFonts w:ascii="Arial" w:eastAsia="Arial" w:hAnsi="Arial" w:cs="Arial"/>
          <w:szCs w:val="24"/>
          <w:vertAlign w:val="subscript"/>
        </w:rPr>
        <w:t>12</w:t>
      </w:r>
      <w:r>
        <w:rPr>
          <w:rFonts w:ascii="Arial" w:eastAsia="Arial" w:hAnsi="Arial" w:cs="Arial"/>
          <w:szCs w:val="24"/>
        </w:rPr>
        <w:t>O</w:t>
      </w:r>
      <w:r w:rsidRPr="0019044A">
        <w:rPr>
          <w:rFonts w:ascii="Arial" w:eastAsia="Arial" w:hAnsi="Arial" w:cs="Arial"/>
          <w:szCs w:val="24"/>
          <w:vertAlign w:val="subscript"/>
        </w:rPr>
        <w:t>6</w:t>
      </w:r>
      <w:r>
        <w:rPr>
          <w:rFonts w:ascii="Arial" w:eastAsia="Arial" w:hAnsi="Arial" w:cs="Arial"/>
          <w:szCs w:val="24"/>
        </w:rPr>
        <w:t>)</w:t>
      </w:r>
      <w:r>
        <w:rPr>
          <w:rFonts w:ascii="Arial" w:eastAsia="Arial" w:hAnsi="Arial" w:cs="Arial"/>
          <w:szCs w:val="24"/>
        </w:rPr>
        <w:tab/>
      </w:r>
      <w:r>
        <w:rPr>
          <w:rFonts w:ascii="Arial" w:eastAsia="Arial" w:hAnsi="Arial" w:cs="Arial"/>
          <w:szCs w:val="24"/>
        </w:rPr>
        <w:tab/>
        <w:t>(6O</w:t>
      </w:r>
      <w:r w:rsidRPr="0019044A">
        <w:rPr>
          <w:rFonts w:ascii="Arial" w:eastAsia="Arial" w:hAnsi="Arial" w:cs="Arial"/>
          <w:szCs w:val="24"/>
          <w:vertAlign w:val="subscript"/>
        </w:rPr>
        <w:t>2</w:t>
      </w:r>
      <w:r>
        <w:rPr>
          <w:rFonts w:ascii="Arial" w:eastAsia="Arial" w:hAnsi="Arial" w:cs="Arial"/>
          <w:szCs w:val="24"/>
        </w:rPr>
        <w:t>)</w:t>
      </w:r>
      <w:r>
        <w:rPr>
          <w:rFonts w:ascii="Arial" w:eastAsia="Arial" w:hAnsi="Arial" w:cs="Arial"/>
          <w:szCs w:val="24"/>
        </w:rPr>
        <w:tab/>
      </w:r>
      <w:r>
        <w:rPr>
          <w:rFonts w:ascii="Arial" w:eastAsia="Arial" w:hAnsi="Arial" w:cs="Arial"/>
          <w:szCs w:val="24"/>
        </w:rPr>
        <w:tab/>
        <w:t>(6CO</w:t>
      </w:r>
      <w:r w:rsidRPr="0019044A">
        <w:rPr>
          <w:rFonts w:ascii="Arial" w:eastAsia="Arial" w:hAnsi="Arial" w:cs="Arial"/>
          <w:szCs w:val="24"/>
          <w:vertAlign w:val="subscript"/>
        </w:rPr>
        <w:t>2</w:t>
      </w:r>
      <w:r>
        <w:rPr>
          <w:rFonts w:ascii="Arial" w:eastAsia="Arial" w:hAnsi="Arial" w:cs="Arial"/>
          <w:szCs w:val="24"/>
        </w:rPr>
        <w:t>)</w:t>
      </w:r>
      <w:r>
        <w:rPr>
          <w:rFonts w:ascii="Arial" w:eastAsia="Arial" w:hAnsi="Arial" w:cs="Arial"/>
          <w:szCs w:val="24"/>
        </w:rPr>
        <w:tab/>
      </w:r>
      <w:r>
        <w:rPr>
          <w:rFonts w:ascii="Arial" w:eastAsia="Arial" w:hAnsi="Arial" w:cs="Arial"/>
          <w:szCs w:val="24"/>
        </w:rPr>
        <w:tab/>
        <w:t>(6H</w:t>
      </w:r>
      <w:r w:rsidRPr="0019044A">
        <w:rPr>
          <w:rFonts w:ascii="Arial" w:eastAsia="Arial" w:hAnsi="Arial" w:cs="Arial"/>
          <w:szCs w:val="24"/>
          <w:vertAlign w:val="subscript"/>
        </w:rPr>
        <w:t>2</w:t>
      </w:r>
      <w:r>
        <w:rPr>
          <w:rFonts w:ascii="Arial" w:eastAsia="Arial" w:hAnsi="Arial" w:cs="Arial"/>
          <w:szCs w:val="24"/>
        </w:rPr>
        <w:t>O)</w:t>
      </w:r>
      <w:r>
        <w:rPr>
          <w:rFonts w:ascii="Arial" w:eastAsia="Arial" w:hAnsi="Arial" w:cs="Arial"/>
          <w:szCs w:val="24"/>
        </w:rPr>
        <w:tab/>
      </w:r>
      <w:r>
        <w:rPr>
          <w:rFonts w:ascii="Arial" w:eastAsia="Arial" w:hAnsi="Arial" w:cs="Arial"/>
          <w:szCs w:val="24"/>
        </w:rPr>
        <w:tab/>
        <w:t xml:space="preserve">Energy </w:t>
      </w:r>
    </w:p>
    <w:p w14:paraId="2B73A26F" w14:textId="77777777" w:rsidR="00DC3F30" w:rsidRDefault="00DC3F30" w:rsidP="00605471">
      <w:pPr>
        <w:spacing w:before="240" w:line="360" w:lineRule="auto"/>
        <w:jc w:val="both"/>
        <w:rPr>
          <w:rFonts w:ascii="Arial" w:eastAsia="Arial" w:hAnsi="Arial" w:cs="Arial"/>
          <w:szCs w:val="24"/>
        </w:rPr>
      </w:pPr>
    </w:p>
    <w:p w14:paraId="0E2B466F" w14:textId="2CE8F142" w:rsidR="00DC3F30" w:rsidRPr="0018126E" w:rsidRDefault="00DC3F30" w:rsidP="00DC3F30">
      <w:pPr>
        <w:spacing w:before="240" w:line="360" w:lineRule="auto"/>
        <w:jc w:val="both"/>
        <w:rPr>
          <w:rFonts w:ascii="Arial" w:eastAsia="Arial" w:hAnsi="Arial" w:cs="Arial"/>
        </w:rPr>
      </w:pPr>
      <w:r w:rsidRPr="0018126E">
        <w:rPr>
          <w:rFonts w:ascii="Arial" w:eastAsia="Arial" w:hAnsi="Arial" w:cs="Arial"/>
        </w:rPr>
        <w:t xml:space="preserve">There are three major steps in aerobic respiration. The first </w:t>
      </w:r>
      <w:r>
        <w:rPr>
          <w:rFonts w:ascii="Arial" w:eastAsia="Arial" w:hAnsi="Arial" w:cs="Arial"/>
        </w:rPr>
        <w:t>stage</w:t>
      </w:r>
      <w:r w:rsidRPr="0018126E">
        <w:rPr>
          <w:rFonts w:ascii="Arial" w:eastAsia="Arial" w:hAnsi="Arial" w:cs="Arial"/>
        </w:rPr>
        <w:t xml:space="preserve"> in the process, glycolysis,</w:t>
      </w:r>
      <w:r>
        <w:rPr>
          <w:rFonts w:ascii="Arial" w:eastAsia="Arial" w:hAnsi="Arial" w:cs="Arial"/>
        </w:rPr>
        <w:t xml:space="preserve"> </w:t>
      </w:r>
      <w:r>
        <w:rPr>
          <w:rFonts w:ascii="Arial" w:eastAsia="Arial" w:hAnsi="Arial" w:cs="Arial"/>
          <w:szCs w:val="24"/>
        </w:rPr>
        <w:t>as seen in figure 3,</w:t>
      </w:r>
      <w:r w:rsidRPr="0018126E">
        <w:rPr>
          <w:rFonts w:ascii="Arial" w:eastAsia="Arial" w:hAnsi="Arial" w:cs="Arial"/>
        </w:rPr>
        <w:t xml:space="preserve"> occurs in the cytoplasm and involves the oxidation of one molecule of glucose to two molecules of pyruvic acid with the production of a small quantity of ATP and </w:t>
      </w:r>
      <w:r>
        <w:rPr>
          <w:rFonts w:ascii="Arial" w:eastAsia="Arial" w:hAnsi="Arial" w:cs="Arial"/>
        </w:rPr>
        <w:t xml:space="preserve">reduced </w:t>
      </w:r>
      <w:r w:rsidRPr="00605471">
        <w:rPr>
          <w:rFonts w:ascii="Arial" w:eastAsia="Arial" w:hAnsi="Arial" w:cs="Arial"/>
          <w:szCs w:val="24"/>
        </w:rPr>
        <w:t xml:space="preserve">nicotinamide adenine dinucleotide </w:t>
      </w:r>
      <w:r>
        <w:rPr>
          <w:rFonts w:ascii="Arial" w:eastAsia="Arial" w:hAnsi="Arial" w:cs="Arial"/>
          <w:szCs w:val="24"/>
        </w:rPr>
        <w:t>(</w:t>
      </w:r>
      <w:r w:rsidRPr="0018126E">
        <w:rPr>
          <w:rFonts w:ascii="Arial" w:eastAsia="Arial" w:hAnsi="Arial" w:cs="Arial"/>
        </w:rPr>
        <w:t>NADH</w:t>
      </w:r>
      <w:r>
        <w:rPr>
          <w:rFonts w:ascii="Arial" w:eastAsia="Arial" w:hAnsi="Arial" w:cs="Arial"/>
        </w:rPr>
        <w:t>)</w:t>
      </w:r>
      <w:r w:rsidRPr="0018126E">
        <w:rPr>
          <w:rFonts w:ascii="Arial" w:eastAsia="Arial" w:hAnsi="Arial" w:cs="Arial"/>
        </w:rPr>
        <w:t xml:space="preserve">. </w:t>
      </w:r>
    </w:p>
    <w:p w14:paraId="3C102182" w14:textId="0CC4443F" w:rsidR="0019044A" w:rsidRDefault="0019044A" w:rsidP="00605471">
      <w:pPr>
        <w:spacing w:before="240" w:line="360" w:lineRule="auto"/>
        <w:jc w:val="both"/>
        <w:rPr>
          <w:rFonts w:ascii="Arial" w:eastAsia="Arial" w:hAnsi="Arial" w:cs="Arial"/>
          <w:szCs w:val="24"/>
        </w:rPr>
      </w:pPr>
      <w:r>
        <w:rPr>
          <w:rFonts w:ascii="Arial" w:eastAsia="Arial" w:hAnsi="Arial" w:cs="Arial"/>
          <w:noProof/>
          <w:szCs w:val="24"/>
        </w:rPr>
        <w:drawing>
          <wp:inline distT="0" distB="0" distL="0" distR="0" wp14:anchorId="607AE360" wp14:editId="122808DE">
            <wp:extent cx="5731510" cy="2524125"/>
            <wp:effectExtent l="0" t="0" r="2540" b="9525"/>
            <wp:docPr id="45717970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79705" name="Picture 457179705"/>
                    <pic:cNvPicPr/>
                  </pic:nvPicPr>
                  <pic:blipFill>
                    <a:blip r:embed="rId11">
                      <a:extLst>
                        <a:ext uri="{28A0092B-C50C-407E-A947-70E740481C1C}">
                          <a14:useLocalDpi xmlns:a14="http://schemas.microsoft.com/office/drawing/2010/main" val="0"/>
                        </a:ext>
                      </a:extLst>
                    </a:blip>
                    <a:stretch>
                      <a:fillRect/>
                    </a:stretch>
                  </pic:blipFill>
                  <pic:spPr>
                    <a:xfrm>
                      <a:off x="0" y="0"/>
                      <a:ext cx="5731510" cy="2524125"/>
                    </a:xfrm>
                    <a:prstGeom prst="rect">
                      <a:avLst/>
                    </a:prstGeom>
                  </pic:spPr>
                </pic:pic>
              </a:graphicData>
            </a:graphic>
          </wp:inline>
        </w:drawing>
      </w:r>
    </w:p>
    <w:p w14:paraId="712B7697" w14:textId="24E8FA5A" w:rsidR="0019044A" w:rsidRDefault="0019044A" w:rsidP="00605471">
      <w:pPr>
        <w:spacing w:before="240" w:line="360" w:lineRule="auto"/>
        <w:jc w:val="both"/>
        <w:rPr>
          <w:rFonts w:ascii="Arial" w:eastAsia="Arial" w:hAnsi="Arial" w:cs="Arial"/>
          <w:szCs w:val="24"/>
        </w:rPr>
      </w:pPr>
      <w:r>
        <w:rPr>
          <w:rFonts w:ascii="Arial" w:eastAsia="Arial" w:hAnsi="Arial" w:cs="Arial"/>
          <w:szCs w:val="24"/>
        </w:rPr>
        <w:t xml:space="preserve">Figure 3: Glycolysis </w:t>
      </w:r>
      <w:r>
        <w:rPr>
          <w:rFonts w:ascii="Arial" w:eastAsia="Arial" w:hAnsi="Arial" w:cs="Arial"/>
          <w:szCs w:val="24"/>
        </w:rPr>
        <w:tab/>
        <w:t>(Source: Monash University, 2026)</w:t>
      </w:r>
    </w:p>
    <w:p w14:paraId="75A0FB73" w14:textId="77777777" w:rsidR="00962DCE" w:rsidRPr="0018126E" w:rsidRDefault="00962DCE" w:rsidP="00962DCE">
      <w:pPr>
        <w:spacing w:before="240" w:line="360" w:lineRule="auto"/>
        <w:jc w:val="both"/>
        <w:rPr>
          <w:rFonts w:ascii="Arial" w:eastAsia="Arial" w:hAnsi="Arial" w:cs="Arial"/>
        </w:rPr>
      </w:pPr>
      <w:r w:rsidRPr="0018126E">
        <w:rPr>
          <w:rFonts w:ascii="Arial" w:eastAsia="Arial" w:hAnsi="Arial" w:cs="Arial"/>
        </w:rPr>
        <w:t>The second stage is the Krebs cycle which takes place in the mitochondrial matrix as shown in Figure 4. Here the pyruvate is further oxidized to CO</w:t>
      </w:r>
      <w:r w:rsidRPr="0018126E">
        <w:rPr>
          <w:rFonts w:ascii="Cambria Math" w:eastAsia="Arial" w:hAnsi="Cambria Math" w:cs="Cambria Math"/>
        </w:rPr>
        <w:t>₂</w:t>
      </w:r>
      <w:r w:rsidRPr="0018126E">
        <w:rPr>
          <w:rFonts w:ascii="Arial" w:eastAsia="Arial" w:hAnsi="Arial" w:cs="Arial"/>
        </w:rPr>
        <w:t>, with the production of more NADH, flavin adenine dinucleotide (FADH</w:t>
      </w:r>
      <w:r w:rsidRPr="0018126E">
        <w:rPr>
          <w:rFonts w:ascii="Cambria Math" w:eastAsia="Arial" w:hAnsi="Cambria Math" w:cs="Cambria Math"/>
        </w:rPr>
        <w:t>₂</w:t>
      </w:r>
      <w:r w:rsidRPr="0018126E">
        <w:rPr>
          <w:rFonts w:ascii="Arial" w:eastAsia="Arial" w:hAnsi="Arial" w:cs="Arial"/>
        </w:rPr>
        <w:t xml:space="preserve">) and small amounts of ATP. </w:t>
      </w:r>
    </w:p>
    <w:p w14:paraId="6E9BB808" w14:textId="39ECA5B0" w:rsidR="00B768FB" w:rsidRDefault="00B768FB" w:rsidP="00605471">
      <w:pPr>
        <w:spacing w:before="240" w:line="360" w:lineRule="auto"/>
        <w:jc w:val="both"/>
        <w:rPr>
          <w:rFonts w:ascii="Arial" w:eastAsia="Arial" w:hAnsi="Arial" w:cs="Arial"/>
          <w:szCs w:val="24"/>
        </w:rPr>
      </w:pPr>
      <w:r>
        <w:rPr>
          <w:rFonts w:ascii="Arial" w:eastAsia="Arial" w:hAnsi="Arial" w:cs="Arial"/>
          <w:noProof/>
          <w:szCs w:val="24"/>
        </w:rPr>
        <w:lastRenderedPageBreak/>
        <w:drawing>
          <wp:inline distT="0" distB="0" distL="0" distR="0" wp14:anchorId="469D1293" wp14:editId="0A4A900E">
            <wp:extent cx="5731510" cy="2970530"/>
            <wp:effectExtent l="0" t="0" r="2540" b="1270"/>
            <wp:docPr id="204863175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631752" name="Picture 2048631752"/>
                    <pic:cNvPicPr/>
                  </pic:nvPicPr>
                  <pic:blipFill>
                    <a:blip r:embed="rId12">
                      <a:extLst>
                        <a:ext uri="{28A0092B-C50C-407E-A947-70E740481C1C}">
                          <a14:useLocalDpi xmlns:a14="http://schemas.microsoft.com/office/drawing/2010/main" val="0"/>
                        </a:ext>
                      </a:extLst>
                    </a:blip>
                    <a:stretch>
                      <a:fillRect/>
                    </a:stretch>
                  </pic:blipFill>
                  <pic:spPr>
                    <a:xfrm>
                      <a:off x="0" y="0"/>
                      <a:ext cx="5731510" cy="2970530"/>
                    </a:xfrm>
                    <a:prstGeom prst="rect">
                      <a:avLst/>
                    </a:prstGeom>
                  </pic:spPr>
                </pic:pic>
              </a:graphicData>
            </a:graphic>
          </wp:inline>
        </w:drawing>
      </w:r>
    </w:p>
    <w:p w14:paraId="4810F5B3" w14:textId="3BB48CEF" w:rsidR="00B768FB" w:rsidRDefault="00B768FB" w:rsidP="00605471">
      <w:pPr>
        <w:spacing w:before="240" w:line="360" w:lineRule="auto"/>
        <w:jc w:val="both"/>
        <w:rPr>
          <w:rFonts w:ascii="Arial" w:eastAsia="Arial" w:hAnsi="Arial" w:cs="Arial"/>
          <w:szCs w:val="24"/>
        </w:rPr>
      </w:pPr>
      <w:r>
        <w:rPr>
          <w:rFonts w:ascii="Arial" w:eastAsia="Arial" w:hAnsi="Arial" w:cs="Arial"/>
          <w:szCs w:val="24"/>
        </w:rPr>
        <w:t xml:space="preserve">Figure 4: Kreb’s cycle </w:t>
      </w:r>
      <w:r>
        <w:rPr>
          <w:rFonts w:ascii="Arial" w:eastAsia="Arial" w:hAnsi="Arial" w:cs="Arial"/>
          <w:szCs w:val="24"/>
        </w:rPr>
        <w:tab/>
        <w:t>(Source: Monash University, 2026)</w:t>
      </w:r>
    </w:p>
    <w:p w14:paraId="17325B2D" w14:textId="77777777" w:rsidR="00962DCE" w:rsidRPr="0018126E" w:rsidRDefault="00962DCE" w:rsidP="00962DCE">
      <w:pPr>
        <w:spacing w:before="240" w:line="360" w:lineRule="auto"/>
        <w:jc w:val="both"/>
        <w:rPr>
          <w:rFonts w:ascii="Arial" w:eastAsia="Arial" w:hAnsi="Arial" w:cs="Arial"/>
        </w:rPr>
      </w:pPr>
      <w:r w:rsidRPr="0018126E">
        <w:rPr>
          <w:rFonts w:ascii="Arial" w:eastAsia="Arial" w:hAnsi="Arial" w:cs="Arial"/>
        </w:rPr>
        <w:t xml:space="preserve">The last </w:t>
      </w:r>
      <w:r>
        <w:rPr>
          <w:rFonts w:ascii="Arial" w:eastAsia="Arial" w:hAnsi="Arial" w:cs="Arial"/>
        </w:rPr>
        <w:t>stage</w:t>
      </w:r>
      <w:r w:rsidRPr="0018126E">
        <w:rPr>
          <w:rFonts w:ascii="Arial" w:eastAsia="Arial" w:hAnsi="Arial" w:cs="Arial"/>
        </w:rPr>
        <w:t>, oxidative phosphorylation, occurs on the inner mitochondrial membrane as shown in figure 5. NADH and FADH</w:t>
      </w:r>
      <w:r w:rsidRPr="0018126E">
        <w:rPr>
          <w:rFonts w:ascii="Cambria Math" w:eastAsia="Arial" w:hAnsi="Cambria Math" w:cs="Cambria Math"/>
        </w:rPr>
        <w:t>₂</w:t>
      </w:r>
      <w:r w:rsidRPr="0018126E">
        <w:rPr>
          <w:rFonts w:ascii="Arial" w:eastAsia="Arial" w:hAnsi="Arial" w:cs="Arial"/>
        </w:rPr>
        <w:t xml:space="preserve"> transport electrons to the electron transport chain where oxygen </w:t>
      </w:r>
      <w:r>
        <w:rPr>
          <w:rFonts w:ascii="Arial" w:eastAsia="Arial" w:hAnsi="Arial" w:cs="Arial"/>
        </w:rPr>
        <w:t>acts</w:t>
      </w:r>
      <w:r w:rsidRPr="0018126E">
        <w:rPr>
          <w:rFonts w:ascii="Arial" w:eastAsia="Arial" w:hAnsi="Arial" w:cs="Arial"/>
        </w:rPr>
        <w:t xml:space="preserve"> as the final electron acceptor </w:t>
      </w:r>
      <w:r>
        <w:rPr>
          <w:rFonts w:ascii="Arial" w:eastAsia="Arial" w:hAnsi="Arial" w:cs="Arial"/>
        </w:rPr>
        <w:t>leading to</w:t>
      </w:r>
      <w:r w:rsidRPr="0018126E">
        <w:rPr>
          <w:rFonts w:ascii="Arial" w:eastAsia="Arial" w:hAnsi="Arial" w:cs="Arial"/>
        </w:rPr>
        <w:t xml:space="preserve"> the formation of water and a</w:t>
      </w:r>
      <w:r>
        <w:rPr>
          <w:rFonts w:ascii="Arial" w:eastAsia="Arial" w:hAnsi="Arial" w:cs="Arial"/>
        </w:rPr>
        <w:t>bout</w:t>
      </w:r>
      <w:r w:rsidRPr="0018126E">
        <w:rPr>
          <w:rFonts w:ascii="Arial" w:eastAsia="Arial" w:hAnsi="Arial" w:cs="Arial"/>
        </w:rPr>
        <w:t xml:space="preserve"> 30–32 ATP molecules from a molecule of glucose (Hall, 2016).</w:t>
      </w:r>
    </w:p>
    <w:p w14:paraId="75B8543A" w14:textId="3DD05B11" w:rsidR="00845B25" w:rsidRDefault="00B768FB" w:rsidP="00605471">
      <w:pPr>
        <w:spacing w:before="240" w:line="360" w:lineRule="auto"/>
        <w:jc w:val="both"/>
        <w:rPr>
          <w:rFonts w:ascii="Arial" w:eastAsia="Arial" w:hAnsi="Arial" w:cs="Arial"/>
          <w:szCs w:val="24"/>
        </w:rPr>
      </w:pPr>
      <w:r>
        <w:rPr>
          <w:rFonts w:ascii="Arial" w:eastAsia="Arial" w:hAnsi="Arial" w:cs="Arial"/>
          <w:noProof/>
          <w:szCs w:val="24"/>
        </w:rPr>
        <w:drawing>
          <wp:inline distT="0" distB="0" distL="0" distR="0" wp14:anchorId="7D426294" wp14:editId="449E5E10">
            <wp:extent cx="5731510" cy="3411220"/>
            <wp:effectExtent l="0" t="0" r="2540" b="0"/>
            <wp:docPr id="63284949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849496" name="Picture 632849496"/>
                    <pic:cNvPicPr/>
                  </pic:nvPicPr>
                  <pic:blipFill>
                    <a:blip r:embed="rId13">
                      <a:extLst>
                        <a:ext uri="{28A0092B-C50C-407E-A947-70E740481C1C}">
                          <a14:useLocalDpi xmlns:a14="http://schemas.microsoft.com/office/drawing/2010/main" val="0"/>
                        </a:ext>
                      </a:extLst>
                    </a:blip>
                    <a:stretch>
                      <a:fillRect/>
                    </a:stretch>
                  </pic:blipFill>
                  <pic:spPr>
                    <a:xfrm>
                      <a:off x="0" y="0"/>
                      <a:ext cx="5731510" cy="3411220"/>
                    </a:xfrm>
                    <a:prstGeom prst="rect">
                      <a:avLst/>
                    </a:prstGeom>
                  </pic:spPr>
                </pic:pic>
              </a:graphicData>
            </a:graphic>
          </wp:inline>
        </w:drawing>
      </w:r>
    </w:p>
    <w:p w14:paraId="53E3684D" w14:textId="13BE0867" w:rsidR="00B768FB" w:rsidRPr="00605471" w:rsidRDefault="00B768FB" w:rsidP="00605471">
      <w:pPr>
        <w:spacing w:before="240" w:line="360" w:lineRule="auto"/>
        <w:jc w:val="both"/>
        <w:rPr>
          <w:rFonts w:ascii="Arial" w:eastAsia="Arial" w:hAnsi="Arial" w:cs="Arial"/>
          <w:szCs w:val="24"/>
        </w:rPr>
      </w:pPr>
      <w:r>
        <w:rPr>
          <w:rFonts w:ascii="Arial" w:eastAsia="Arial" w:hAnsi="Arial" w:cs="Arial"/>
          <w:szCs w:val="24"/>
        </w:rPr>
        <w:lastRenderedPageBreak/>
        <w:t xml:space="preserve">Figure 5: Oxidative phosphorylation </w:t>
      </w:r>
      <w:r>
        <w:rPr>
          <w:rFonts w:ascii="Arial" w:eastAsia="Arial" w:hAnsi="Arial" w:cs="Arial"/>
          <w:szCs w:val="24"/>
        </w:rPr>
        <w:tab/>
        <w:t>(Source: Monash University, 2026)</w:t>
      </w:r>
    </w:p>
    <w:p w14:paraId="2F7E2C06" w14:textId="76AB732B" w:rsidR="00962DCE" w:rsidRPr="00962DCE" w:rsidRDefault="00962DCE" w:rsidP="00B768FB">
      <w:pPr>
        <w:spacing w:before="240" w:line="360" w:lineRule="auto"/>
        <w:jc w:val="both"/>
        <w:rPr>
          <w:rFonts w:ascii="Arial" w:eastAsia="Arial" w:hAnsi="Arial" w:cs="Arial"/>
        </w:rPr>
      </w:pPr>
      <w:r>
        <w:rPr>
          <w:rFonts w:ascii="Arial" w:eastAsia="Arial" w:hAnsi="Arial" w:cs="Arial"/>
        </w:rPr>
        <w:t>When</w:t>
      </w:r>
      <w:r w:rsidRPr="0018126E">
        <w:rPr>
          <w:rFonts w:ascii="Arial" w:eastAsia="Arial" w:hAnsi="Arial" w:cs="Arial"/>
        </w:rPr>
        <w:t xml:space="preserve"> oxygen is in short supply, cells will undergo anaerobic respiration. In the process only a small amount of ATP is produced and lactic acid is generated as a by-product of glucose breakdown (Hall, 2016). Anaerobic respiration is efficient for short-term energy needs, but is much less efficient than aerobic respiration. Poorly controlled Type 2 diabetes can also lead to metabolic complications such as diabetic ketoacidosis, in which the body is unable to use glucose properly and instead uses fat as its source of energy, which raises the blood sugar levels (</w:t>
      </w:r>
      <w:proofErr w:type="spellStart"/>
      <w:r w:rsidRPr="0018126E">
        <w:rPr>
          <w:rFonts w:ascii="Arial" w:eastAsia="Arial" w:hAnsi="Arial" w:cs="Arial"/>
        </w:rPr>
        <w:t>Elendu</w:t>
      </w:r>
      <w:proofErr w:type="spellEnd"/>
      <w:r w:rsidRPr="0018126E">
        <w:rPr>
          <w:rFonts w:ascii="Arial" w:eastAsia="Arial" w:hAnsi="Arial" w:cs="Arial"/>
        </w:rPr>
        <w:t xml:space="preserve"> et al., 2023). </w:t>
      </w:r>
      <w:r>
        <w:rPr>
          <w:rFonts w:ascii="Arial" w:eastAsia="Arial" w:hAnsi="Arial" w:cs="Arial"/>
        </w:rPr>
        <w:t>Therefore,</w:t>
      </w:r>
      <w:r w:rsidRPr="0018126E">
        <w:rPr>
          <w:rFonts w:ascii="Arial" w:eastAsia="Arial" w:hAnsi="Arial" w:cs="Arial"/>
        </w:rPr>
        <w:t xml:space="preserve"> it is important to keep blood glucose in a normal range to have a normal cellular metabolism and lower the chances of severe diabetes</w:t>
      </w:r>
      <w:r>
        <w:rPr>
          <w:rFonts w:ascii="Arial" w:eastAsia="Arial" w:hAnsi="Arial" w:cs="Arial"/>
        </w:rPr>
        <w:t>-</w:t>
      </w:r>
      <w:r w:rsidRPr="0018126E">
        <w:rPr>
          <w:rFonts w:ascii="Arial" w:eastAsia="Arial" w:hAnsi="Arial" w:cs="Arial"/>
        </w:rPr>
        <w:t xml:space="preserve">related health </w:t>
      </w:r>
      <w:r>
        <w:rPr>
          <w:rFonts w:ascii="Arial" w:eastAsia="Arial" w:hAnsi="Arial" w:cs="Arial"/>
        </w:rPr>
        <w:t>complications</w:t>
      </w:r>
      <w:r w:rsidRPr="0018126E">
        <w:rPr>
          <w:rFonts w:ascii="Arial" w:eastAsia="Arial" w:hAnsi="Arial" w:cs="Arial"/>
        </w:rPr>
        <w:t>.</w:t>
      </w:r>
    </w:p>
    <w:p w14:paraId="173E7AC6" w14:textId="3D759DAA" w:rsidR="00012E0F" w:rsidRPr="00605471" w:rsidRDefault="00012E0F" w:rsidP="00605471">
      <w:pPr>
        <w:pStyle w:val="Heading1"/>
        <w:spacing w:line="360" w:lineRule="auto"/>
        <w:jc w:val="both"/>
        <w:rPr>
          <w:rFonts w:cs="Arial"/>
          <w:sz w:val="24"/>
          <w:szCs w:val="24"/>
        </w:rPr>
      </w:pPr>
      <w:r w:rsidRPr="00605471">
        <w:rPr>
          <w:rFonts w:cs="Arial"/>
          <w:sz w:val="24"/>
          <w:szCs w:val="24"/>
        </w:rPr>
        <w:t xml:space="preserve">4. Recording and Tracking Blood Sugar Levels  </w:t>
      </w:r>
    </w:p>
    <w:p w14:paraId="51543BBC" w14:textId="77777777" w:rsidR="00962DCE" w:rsidRPr="0018126E" w:rsidRDefault="00962DCE" w:rsidP="00962DCE">
      <w:pPr>
        <w:spacing w:before="240" w:line="360" w:lineRule="auto"/>
        <w:jc w:val="both"/>
        <w:rPr>
          <w:rFonts w:ascii="Arial" w:eastAsia="Arial" w:hAnsi="Arial" w:cs="Arial"/>
        </w:rPr>
      </w:pPr>
      <w:r w:rsidRPr="00605471">
        <w:rPr>
          <w:rFonts w:ascii="Arial" w:eastAsia="Arial" w:hAnsi="Arial" w:cs="Arial"/>
          <w:szCs w:val="24"/>
        </w:rPr>
        <w:t xml:space="preserve">Regular monitoring of blood glucose levels </w:t>
      </w:r>
      <w:r w:rsidRPr="0018126E">
        <w:rPr>
          <w:rFonts w:ascii="Arial" w:eastAsia="Arial" w:hAnsi="Arial" w:cs="Arial"/>
        </w:rPr>
        <w:t xml:space="preserve">is a basic requirement for the management of Type 2 diabetes as it allows the patient and health care provider to determine glycaemic control and make treatment decisions. Self-monitoring of blood glucose (SMBG) is one of the most common methods, which involves taking a small amount of blood from the fingertip and using a blood glucose meter to analyse the blood sample. This gives instant </w:t>
      </w:r>
      <w:r>
        <w:rPr>
          <w:rFonts w:ascii="Arial" w:eastAsia="Arial" w:hAnsi="Arial" w:cs="Arial"/>
        </w:rPr>
        <w:t xml:space="preserve">information on the current blood glucose </w:t>
      </w:r>
      <w:proofErr w:type="gramStart"/>
      <w:r>
        <w:rPr>
          <w:rFonts w:ascii="Arial" w:eastAsia="Arial" w:hAnsi="Arial" w:cs="Arial"/>
        </w:rPr>
        <w:t>levels</w:t>
      </w:r>
      <w:r w:rsidRPr="0018126E">
        <w:rPr>
          <w:rFonts w:ascii="Arial" w:eastAsia="Arial" w:hAnsi="Arial" w:cs="Arial"/>
        </w:rPr>
        <w:t>, and</w:t>
      </w:r>
      <w:proofErr w:type="gramEnd"/>
      <w:r w:rsidRPr="0018126E">
        <w:rPr>
          <w:rFonts w:ascii="Arial" w:eastAsia="Arial" w:hAnsi="Arial" w:cs="Arial"/>
        </w:rPr>
        <w:t xml:space="preserve"> gives patients an understanding of the effect that meal, physical activity, medication and illness has on their control of blood glucose (Chircop, Sheffield and Kotera, 2021). Structured self-monitoring is shown to improve glycaemic management, foster self-management practices and increase patients' confidence in their ability to manage their diabetes (Holmes-Truscott et al., 2023; Sia et al., 2021).</w:t>
      </w:r>
    </w:p>
    <w:p w14:paraId="278471B1" w14:textId="77777777" w:rsidR="00962DCE" w:rsidRPr="0018126E" w:rsidRDefault="00962DCE" w:rsidP="00962DCE">
      <w:pPr>
        <w:spacing w:before="240" w:line="360" w:lineRule="auto"/>
        <w:jc w:val="both"/>
        <w:rPr>
          <w:rFonts w:ascii="Arial" w:eastAsia="Arial" w:hAnsi="Arial" w:cs="Arial"/>
        </w:rPr>
      </w:pPr>
      <w:r w:rsidRPr="0018126E">
        <w:rPr>
          <w:rFonts w:ascii="Arial" w:eastAsia="Arial" w:hAnsi="Arial" w:cs="Arial"/>
        </w:rPr>
        <w:t>Glycated haemoglobin (HbA1c) testing is another useful monitoring tool that measures the average blood glucose level over the last 2-3 months. HbA1c supports the assessment of long-term glycaemic control and assesses the need to adjust treatment plans (NICE, 2026). Another option is a continuous glucose monitoring (CGM) system that involves a sensor placed under the skin that monitors glucose levels around the clock. These systems can detect glucose trends, glucose changes and hypo- or hyperglycaemic events, which are not detected by intermittent testing (Kwon and Moon, 2025; Lee, Seo and Cho, 2025).</w:t>
      </w:r>
    </w:p>
    <w:p w14:paraId="026AABFA" w14:textId="05E001FB" w:rsidR="00962DCE" w:rsidRPr="00962DCE" w:rsidRDefault="00962DCE" w:rsidP="00962DCE">
      <w:pPr>
        <w:spacing w:before="240" w:line="360" w:lineRule="auto"/>
        <w:jc w:val="both"/>
        <w:rPr>
          <w:rFonts w:ascii="Arial" w:eastAsia="Arial" w:hAnsi="Arial" w:cs="Arial"/>
        </w:rPr>
      </w:pPr>
      <w:r w:rsidRPr="0018126E">
        <w:rPr>
          <w:rFonts w:ascii="Arial" w:eastAsia="Arial" w:hAnsi="Arial" w:cs="Arial"/>
        </w:rPr>
        <w:lastRenderedPageBreak/>
        <w:t>In this case study, patients who regularly attend their GP practice benefit from blood glucose monitoring which helps with safer medication management, allows for personalised lifestyle counselling and fosters an increased participation with their care plan, which lowers the risk of diabetes complications (</w:t>
      </w:r>
      <w:proofErr w:type="spellStart"/>
      <w:r w:rsidRPr="0018126E">
        <w:rPr>
          <w:rFonts w:ascii="Arial" w:eastAsia="Arial" w:hAnsi="Arial" w:cs="Arial"/>
        </w:rPr>
        <w:t>Alserhani</w:t>
      </w:r>
      <w:proofErr w:type="spellEnd"/>
      <w:r w:rsidRPr="0018126E">
        <w:rPr>
          <w:rFonts w:ascii="Arial" w:eastAsia="Arial" w:hAnsi="Arial" w:cs="Arial"/>
        </w:rPr>
        <w:t xml:space="preserve"> et al., 2025).</w:t>
      </w:r>
    </w:p>
    <w:p w14:paraId="5EC89A6B" w14:textId="312DCA3F" w:rsidR="00DE477A" w:rsidRPr="00605471" w:rsidRDefault="00DE477A" w:rsidP="00605471">
      <w:pPr>
        <w:pStyle w:val="Heading1"/>
        <w:spacing w:line="360" w:lineRule="auto"/>
        <w:jc w:val="both"/>
        <w:rPr>
          <w:rFonts w:cs="Arial"/>
          <w:sz w:val="24"/>
          <w:szCs w:val="24"/>
        </w:rPr>
      </w:pPr>
      <w:r w:rsidRPr="00605471">
        <w:rPr>
          <w:rFonts w:cs="Arial"/>
          <w:sz w:val="24"/>
          <w:szCs w:val="24"/>
        </w:rPr>
        <w:t xml:space="preserve">5. Evidence-Based Lifestyle Recommendations  </w:t>
      </w:r>
    </w:p>
    <w:p w14:paraId="7213E580" w14:textId="77777777" w:rsidR="00BD1AA7" w:rsidRPr="0018126E" w:rsidRDefault="00BD1AA7" w:rsidP="00BD1AA7">
      <w:pPr>
        <w:spacing w:before="240" w:line="360" w:lineRule="auto"/>
        <w:jc w:val="both"/>
        <w:rPr>
          <w:rFonts w:ascii="Arial" w:eastAsia="Arial" w:hAnsi="Arial" w:cs="Arial"/>
        </w:rPr>
      </w:pPr>
      <w:r w:rsidRPr="0018126E">
        <w:rPr>
          <w:rFonts w:ascii="Arial" w:eastAsia="Arial" w:hAnsi="Arial" w:cs="Arial"/>
        </w:rPr>
        <w:t>Lifestyle modification is an integral part of the management of Type 2 diabetes and it should be used in combination with pharmacologic</w:t>
      </w:r>
      <w:r>
        <w:rPr>
          <w:rFonts w:ascii="Arial" w:eastAsia="Arial" w:hAnsi="Arial" w:cs="Arial"/>
        </w:rPr>
        <w:t>al</w:t>
      </w:r>
      <w:r w:rsidRPr="0018126E">
        <w:rPr>
          <w:rFonts w:ascii="Arial" w:eastAsia="Arial" w:hAnsi="Arial" w:cs="Arial"/>
        </w:rPr>
        <w:t xml:space="preserve"> therapy to improve glycaemic control and to minimi</w:t>
      </w:r>
      <w:r>
        <w:rPr>
          <w:rFonts w:ascii="Arial" w:eastAsia="Arial" w:hAnsi="Arial" w:cs="Arial"/>
        </w:rPr>
        <w:t>s</w:t>
      </w:r>
      <w:r w:rsidRPr="0018126E">
        <w:rPr>
          <w:rFonts w:ascii="Arial" w:eastAsia="Arial" w:hAnsi="Arial" w:cs="Arial"/>
        </w:rPr>
        <w:t>e risk for long-term complications. As a practice nurse, empower</w:t>
      </w:r>
      <w:r>
        <w:rPr>
          <w:rFonts w:ascii="Arial" w:eastAsia="Arial" w:hAnsi="Arial" w:cs="Arial"/>
        </w:rPr>
        <w:t>ing</w:t>
      </w:r>
      <w:r w:rsidRPr="0018126E">
        <w:rPr>
          <w:rFonts w:ascii="Arial" w:eastAsia="Arial" w:hAnsi="Arial" w:cs="Arial"/>
        </w:rPr>
        <w:t xml:space="preserve"> patients to take charge of their own health and wellbeing by giving them evidence-based advice on diet, physical activity and smoking cessation that can lead to better self-care</w:t>
      </w:r>
      <w:r>
        <w:rPr>
          <w:rFonts w:ascii="Arial" w:eastAsia="Arial" w:hAnsi="Arial" w:cs="Arial"/>
        </w:rPr>
        <w:t xml:space="preserve"> is paramount</w:t>
      </w:r>
      <w:r w:rsidRPr="0018126E">
        <w:rPr>
          <w:rFonts w:ascii="Arial" w:eastAsia="Arial" w:hAnsi="Arial" w:cs="Arial"/>
        </w:rPr>
        <w:t>.</w:t>
      </w:r>
    </w:p>
    <w:p w14:paraId="005866D3" w14:textId="77777777" w:rsidR="00BD1AA7" w:rsidRPr="0018126E" w:rsidRDefault="00BD1AA7" w:rsidP="00BD1AA7">
      <w:pPr>
        <w:spacing w:before="240" w:line="360" w:lineRule="auto"/>
        <w:jc w:val="both"/>
        <w:rPr>
          <w:rFonts w:ascii="Arial" w:eastAsia="Arial" w:hAnsi="Arial" w:cs="Arial"/>
        </w:rPr>
      </w:pPr>
      <w:r>
        <w:rPr>
          <w:rFonts w:ascii="Arial" w:eastAsia="Arial" w:hAnsi="Arial" w:cs="Arial"/>
        </w:rPr>
        <w:t>Diet</w:t>
      </w:r>
      <w:r w:rsidRPr="0018126E">
        <w:rPr>
          <w:rFonts w:ascii="Arial" w:eastAsia="Arial" w:hAnsi="Arial" w:cs="Arial"/>
        </w:rPr>
        <w:t xml:space="preserve"> can have a big impact on blood sugar. The NICE (2026) guidance states a healthy balanced eating pattern should be encouraged to manage weight and support glycaemic control. Low glycaemic index (GI) foods such as whole grains, legumes, vegetables and fruits should be encouraged as they cause a slower increase in blood glucose than refined carbohydrates</w:t>
      </w:r>
      <w:r>
        <w:rPr>
          <w:rFonts w:ascii="Arial" w:eastAsia="Arial" w:hAnsi="Arial" w:cs="Arial"/>
        </w:rPr>
        <w:t xml:space="preserve"> (NICE, 2026; WHO, 2026)</w:t>
      </w:r>
      <w:r w:rsidRPr="0018126E">
        <w:rPr>
          <w:rFonts w:ascii="Arial" w:eastAsia="Arial" w:hAnsi="Arial" w:cs="Arial"/>
        </w:rPr>
        <w:t>. Focusing on reducing sugar, processed food, and high saturated fat foods, and practising portion control can have further beneficial impact on blood glucose regulation. The Mediterranean diet, which is rich in vegetables, whole grains, olive oil, fish, and nuts, is also a good dietary pattern in the primary care of the metabolic health and prevention of cardiovascular disease in people with Type 2 diabetes (</w:t>
      </w:r>
      <w:proofErr w:type="spellStart"/>
      <w:r w:rsidRPr="0018126E">
        <w:rPr>
          <w:rFonts w:ascii="Arial" w:eastAsia="Arial" w:hAnsi="Arial" w:cs="Arial"/>
        </w:rPr>
        <w:t>Amerkamp</w:t>
      </w:r>
      <w:proofErr w:type="spellEnd"/>
      <w:r w:rsidRPr="0018126E">
        <w:rPr>
          <w:rFonts w:ascii="Arial" w:eastAsia="Arial" w:hAnsi="Arial" w:cs="Arial"/>
        </w:rPr>
        <w:t xml:space="preserve"> et al., 2025</w:t>
      </w:r>
      <w:r>
        <w:rPr>
          <w:rFonts w:ascii="Arial" w:eastAsia="Arial" w:hAnsi="Arial" w:cs="Arial"/>
        </w:rPr>
        <w:t>; WHO, 2026</w:t>
      </w:r>
      <w:r w:rsidRPr="0018126E">
        <w:rPr>
          <w:rFonts w:ascii="Arial" w:eastAsia="Arial" w:hAnsi="Arial" w:cs="Arial"/>
        </w:rPr>
        <w:t>).</w:t>
      </w:r>
    </w:p>
    <w:p w14:paraId="5A6D61ED" w14:textId="77777777" w:rsidR="00BD1AA7" w:rsidRPr="0018126E" w:rsidRDefault="00BD1AA7" w:rsidP="00BD1AA7">
      <w:pPr>
        <w:spacing w:before="240" w:line="360" w:lineRule="auto"/>
        <w:jc w:val="both"/>
        <w:rPr>
          <w:rFonts w:ascii="Arial" w:eastAsia="Arial" w:hAnsi="Arial" w:cs="Arial"/>
        </w:rPr>
      </w:pPr>
      <w:r w:rsidRPr="0018126E">
        <w:rPr>
          <w:rFonts w:ascii="Arial" w:eastAsia="Arial" w:hAnsi="Arial" w:cs="Arial"/>
        </w:rPr>
        <w:t xml:space="preserve">Regular exercise is also a critical factor because it improves insulin sensitivity, which means that the body's cells </w:t>
      </w:r>
      <w:r>
        <w:rPr>
          <w:rFonts w:ascii="Arial" w:eastAsia="Arial" w:hAnsi="Arial" w:cs="Arial"/>
        </w:rPr>
        <w:t>can better use glucose, therefore reducing</w:t>
      </w:r>
      <w:r w:rsidRPr="0018126E">
        <w:rPr>
          <w:rFonts w:ascii="Arial" w:eastAsia="Arial" w:hAnsi="Arial" w:cs="Arial"/>
        </w:rPr>
        <w:t xml:space="preserve"> the amount of glucose in the blood. WHO (2022) advises adults with Type 2 diabetes to do between 150 and 300 minutes of moderate-intensity aerobic exercise weekly, and muscle strengthening two or more times a week. Both aerobic and resistance exercise are effective in improving glycaemic control and overall metabolic health but are more effective when combined than either exercise alone (</w:t>
      </w:r>
      <w:proofErr w:type="spellStart"/>
      <w:r w:rsidRPr="0018126E">
        <w:rPr>
          <w:rFonts w:ascii="Arial" w:eastAsia="Arial" w:hAnsi="Arial" w:cs="Arial"/>
        </w:rPr>
        <w:t>Amerkamp</w:t>
      </w:r>
      <w:proofErr w:type="spellEnd"/>
      <w:r w:rsidRPr="0018126E">
        <w:rPr>
          <w:rFonts w:ascii="Arial" w:eastAsia="Arial" w:hAnsi="Arial" w:cs="Arial"/>
        </w:rPr>
        <w:t xml:space="preserve"> et al., 2025; NICE, 2026; WHO, 2022). Practice nurses should have patients start with activities they can do and then slowly ramp up the intensity based on their health conditions.</w:t>
      </w:r>
    </w:p>
    <w:p w14:paraId="2A0F1484" w14:textId="7E99DBFB" w:rsidR="00845B25" w:rsidRPr="00BD1AA7" w:rsidRDefault="00BD1AA7" w:rsidP="00BD1AA7">
      <w:pPr>
        <w:spacing w:before="240" w:line="360" w:lineRule="auto"/>
        <w:jc w:val="both"/>
        <w:rPr>
          <w:rFonts w:ascii="Arial" w:eastAsia="Arial" w:hAnsi="Arial" w:cs="Arial"/>
        </w:rPr>
      </w:pPr>
      <w:r w:rsidRPr="0018126E">
        <w:rPr>
          <w:rFonts w:ascii="Arial" w:eastAsia="Arial" w:hAnsi="Arial" w:cs="Arial"/>
        </w:rPr>
        <w:lastRenderedPageBreak/>
        <w:t>Another critical part of diabetes management is quitting smoking. Smoking is associated with insulin resistance, a rise in systemic inflammation and a significant increase in cardiovascular disease, stroke, and other diabetes-related conditions (Rouland et al., 2024; NICE, 2026). Hence, smoking patients should be offered evidence based smoking cessation support such as behavioural counselling, referral to local smoking cessation services and nicotine replacement therapy as indicated</w:t>
      </w:r>
      <w:r>
        <w:rPr>
          <w:rFonts w:ascii="Arial" w:eastAsia="Arial" w:hAnsi="Arial" w:cs="Arial"/>
        </w:rPr>
        <w:t xml:space="preserve"> (WHO, 2022)</w:t>
      </w:r>
      <w:r w:rsidRPr="0018126E">
        <w:rPr>
          <w:rFonts w:ascii="Arial" w:eastAsia="Arial" w:hAnsi="Arial" w:cs="Arial"/>
        </w:rPr>
        <w:t>. To promote healthier lifestyle habits, patients visiting the GP surgery can lower their blood glucose, minimise complications and have better long</w:t>
      </w:r>
      <w:r>
        <w:rPr>
          <w:rFonts w:ascii="Arial" w:eastAsia="Arial" w:hAnsi="Arial" w:cs="Arial"/>
        </w:rPr>
        <w:t>-</w:t>
      </w:r>
      <w:r w:rsidRPr="0018126E">
        <w:rPr>
          <w:rFonts w:ascii="Arial" w:eastAsia="Arial" w:hAnsi="Arial" w:cs="Arial"/>
        </w:rPr>
        <w:t>term health outcomes (NICE, 2026).</w:t>
      </w:r>
    </w:p>
    <w:p w14:paraId="062E52B0" w14:textId="1B21EDA4" w:rsidR="00DE477A" w:rsidRPr="00605471" w:rsidRDefault="00845B25" w:rsidP="00605471">
      <w:pPr>
        <w:spacing w:before="240" w:after="60" w:line="360" w:lineRule="auto"/>
        <w:jc w:val="both"/>
        <w:rPr>
          <w:rFonts w:ascii="Arial" w:eastAsiaTheme="majorEastAsia" w:hAnsi="Arial" w:cs="Arial"/>
          <w:b/>
          <w:szCs w:val="24"/>
        </w:rPr>
      </w:pPr>
      <w:r w:rsidRPr="00605471">
        <w:rPr>
          <w:rFonts w:ascii="Arial" w:eastAsiaTheme="majorEastAsia" w:hAnsi="Arial" w:cs="Arial"/>
          <w:b/>
          <w:szCs w:val="24"/>
        </w:rPr>
        <w:t>6</w:t>
      </w:r>
      <w:r w:rsidR="00DE477A" w:rsidRPr="00605471">
        <w:rPr>
          <w:rFonts w:ascii="Arial" w:eastAsiaTheme="majorEastAsia" w:hAnsi="Arial" w:cs="Arial"/>
          <w:b/>
          <w:szCs w:val="24"/>
        </w:rPr>
        <w:t xml:space="preserve">. </w:t>
      </w:r>
      <w:r w:rsidR="005B66A6">
        <w:rPr>
          <w:rFonts w:ascii="Arial" w:eastAsiaTheme="majorEastAsia" w:hAnsi="Arial" w:cs="Arial"/>
          <w:b/>
          <w:szCs w:val="24"/>
        </w:rPr>
        <w:t>Conclusion</w:t>
      </w:r>
    </w:p>
    <w:p w14:paraId="2AA5CF53" w14:textId="77777777" w:rsidR="001649E7" w:rsidRPr="0018126E" w:rsidRDefault="001649E7" w:rsidP="001649E7">
      <w:pPr>
        <w:spacing w:before="240" w:line="360" w:lineRule="auto"/>
        <w:jc w:val="both"/>
        <w:rPr>
          <w:rFonts w:ascii="Arial" w:eastAsia="Arial" w:hAnsi="Arial" w:cs="Arial"/>
        </w:rPr>
      </w:pPr>
      <w:r w:rsidRPr="0018126E">
        <w:rPr>
          <w:rFonts w:ascii="Arial" w:eastAsia="Arial" w:hAnsi="Arial" w:cs="Arial"/>
        </w:rPr>
        <w:t>This report has shown that a good knowledge of the physiology of glucose homeostasis and generation of cellular energy is necessary for the effective management of Type 2 diabetes. Blood glucose is controlled by the actions of insulin and glucagon, and ATP is produced from glucose and oxygen by means of aerobic cellular respiration for normal body activities. When these physiological processes go wrong,</w:t>
      </w:r>
      <w:r>
        <w:rPr>
          <w:rFonts w:ascii="Arial" w:eastAsia="Arial" w:hAnsi="Arial" w:cs="Arial"/>
        </w:rPr>
        <w:t xml:space="preserve"> </w:t>
      </w:r>
      <w:r w:rsidRPr="0018126E">
        <w:rPr>
          <w:rFonts w:ascii="Arial" w:eastAsia="Arial" w:hAnsi="Arial" w:cs="Arial"/>
        </w:rPr>
        <w:t>hyperglycaemia can become chronic and the complications of diabetes can result in long-term problems.</w:t>
      </w:r>
      <w:r>
        <w:rPr>
          <w:rFonts w:ascii="Arial" w:eastAsia="Arial" w:hAnsi="Arial" w:cs="Arial"/>
        </w:rPr>
        <w:t xml:space="preserve"> </w:t>
      </w:r>
      <w:r w:rsidRPr="0018126E">
        <w:rPr>
          <w:rFonts w:ascii="Arial" w:eastAsia="Arial" w:hAnsi="Arial" w:cs="Arial"/>
        </w:rPr>
        <w:t xml:space="preserve">Self-monitoring, HbA1c testing and CGM bring in information that contributes to treatment decisions, facilitates patient self-management and helps them be active participants in their treatment plan. In addition, evidence-based lifestyle modification, such as a healthy diet, active living and smoking cessation, are important parts of the treatment for insulin resistance, glycaemic control and </w:t>
      </w:r>
      <w:r>
        <w:rPr>
          <w:rFonts w:ascii="Arial" w:eastAsia="Arial" w:hAnsi="Arial" w:cs="Arial"/>
        </w:rPr>
        <w:t>reducing the risks of complications</w:t>
      </w:r>
      <w:r w:rsidRPr="0018126E">
        <w:rPr>
          <w:rFonts w:ascii="Arial" w:eastAsia="Arial" w:hAnsi="Arial" w:cs="Arial"/>
        </w:rPr>
        <w:t>.</w:t>
      </w:r>
    </w:p>
    <w:p w14:paraId="360F616B" w14:textId="77777777" w:rsidR="001649E7" w:rsidRPr="0018126E" w:rsidRDefault="001649E7" w:rsidP="001649E7">
      <w:pPr>
        <w:spacing w:before="240" w:line="360" w:lineRule="auto"/>
        <w:jc w:val="both"/>
        <w:rPr>
          <w:rFonts w:ascii="Arial" w:eastAsia="Arial" w:hAnsi="Arial" w:cs="Arial"/>
        </w:rPr>
      </w:pPr>
      <w:r>
        <w:rPr>
          <w:rFonts w:ascii="Arial" w:eastAsia="Arial" w:hAnsi="Arial" w:cs="Arial"/>
        </w:rPr>
        <w:t>For</w:t>
      </w:r>
      <w:r w:rsidRPr="0018126E">
        <w:rPr>
          <w:rFonts w:ascii="Arial" w:eastAsia="Arial" w:hAnsi="Arial" w:cs="Arial"/>
        </w:rPr>
        <w:t xml:space="preserve"> patients who attend GP surgery</w:t>
      </w:r>
      <w:r>
        <w:rPr>
          <w:rFonts w:ascii="Arial" w:eastAsia="Arial" w:hAnsi="Arial" w:cs="Arial"/>
        </w:rPr>
        <w:t xml:space="preserve"> in this case study,</w:t>
      </w:r>
      <w:r w:rsidRPr="0018126E">
        <w:rPr>
          <w:rFonts w:ascii="Arial" w:eastAsia="Arial" w:hAnsi="Arial" w:cs="Arial"/>
        </w:rPr>
        <w:t xml:space="preserve"> </w:t>
      </w:r>
      <w:r>
        <w:rPr>
          <w:rFonts w:ascii="Arial" w:eastAsia="Arial" w:hAnsi="Arial" w:cs="Arial"/>
        </w:rPr>
        <w:t xml:space="preserve">increased </w:t>
      </w:r>
      <w:r w:rsidRPr="0018126E">
        <w:rPr>
          <w:rFonts w:ascii="Arial" w:eastAsia="Arial" w:hAnsi="Arial" w:cs="Arial"/>
        </w:rPr>
        <w:t>knowledge of their condition</w:t>
      </w:r>
      <w:r>
        <w:rPr>
          <w:rFonts w:ascii="Arial" w:eastAsia="Arial" w:hAnsi="Arial" w:cs="Arial"/>
        </w:rPr>
        <w:t xml:space="preserve"> enables them make informed decisions</w:t>
      </w:r>
      <w:r w:rsidRPr="0018126E">
        <w:rPr>
          <w:rFonts w:ascii="Arial" w:eastAsia="Arial" w:hAnsi="Arial" w:cs="Arial"/>
        </w:rPr>
        <w:t xml:space="preserve">, engage with health professionals and </w:t>
      </w:r>
      <w:r>
        <w:rPr>
          <w:rFonts w:ascii="Arial" w:eastAsia="Arial" w:hAnsi="Arial" w:cs="Arial"/>
        </w:rPr>
        <w:t>adopt sustainable</w:t>
      </w:r>
      <w:r w:rsidRPr="0018126E">
        <w:rPr>
          <w:rFonts w:ascii="Arial" w:eastAsia="Arial" w:hAnsi="Arial" w:cs="Arial"/>
        </w:rPr>
        <w:t xml:space="preserve"> behaviours to help manage their Type 2 diabetes more safely and effectively.</w:t>
      </w:r>
    </w:p>
    <w:p w14:paraId="17485D76" w14:textId="77777777" w:rsidR="00845B25" w:rsidRDefault="00845B25" w:rsidP="00605471">
      <w:pPr>
        <w:spacing w:before="240" w:after="60" w:line="360" w:lineRule="auto"/>
        <w:jc w:val="both"/>
        <w:rPr>
          <w:rFonts w:ascii="Arial" w:eastAsia="Arial" w:hAnsi="Arial" w:cs="Arial"/>
          <w:szCs w:val="24"/>
        </w:rPr>
      </w:pPr>
    </w:p>
    <w:p w14:paraId="67076DB5" w14:textId="77777777" w:rsidR="001649E7" w:rsidRPr="00605471" w:rsidRDefault="001649E7" w:rsidP="00605471">
      <w:pPr>
        <w:spacing w:before="240" w:after="60" w:line="360" w:lineRule="auto"/>
        <w:jc w:val="both"/>
        <w:rPr>
          <w:rFonts w:ascii="Arial" w:eastAsia="Arial" w:hAnsi="Arial" w:cs="Arial"/>
          <w:szCs w:val="24"/>
        </w:rPr>
      </w:pPr>
    </w:p>
    <w:p w14:paraId="17848CBA" w14:textId="02F54AEF" w:rsidR="00DE477A" w:rsidRPr="00605471" w:rsidRDefault="00DE477A" w:rsidP="00605471">
      <w:pPr>
        <w:spacing w:before="240" w:after="60" w:line="360" w:lineRule="auto"/>
        <w:jc w:val="both"/>
        <w:rPr>
          <w:rFonts w:ascii="Arial" w:eastAsiaTheme="majorEastAsia" w:hAnsi="Arial" w:cs="Arial"/>
          <w:b/>
          <w:szCs w:val="24"/>
        </w:rPr>
      </w:pPr>
      <w:r w:rsidRPr="00605471">
        <w:rPr>
          <w:rFonts w:ascii="Arial" w:eastAsia="Arial" w:hAnsi="Arial" w:cs="Arial"/>
          <w:szCs w:val="24"/>
        </w:rPr>
        <w:t>.</w:t>
      </w:r>
    </w:p>
    <w:p w14:paraId="15F6AE3A" w14:textId="77777777" w:rsidR="00DE477A" w:rsidRPr="00605471" w:rsidRDefault="00DE477A" w:rsidP="00DE477A">
      <w:pPr>
        <w:spacing w:before="60" w:after="60"/>
        <w:rPr>
          <w:rFonts w:ascii="Arial" w:eastAsiaTheme="majorEastAsia" w:hAnsi="Arial" w:cs="Arial"/>
          <w:b/>
          <w:szCs w:val="24"/>
        </w:rPr>
      </w:pPr>
    </w:p>
    <w:p w14:paraId="4B173646" w14:textId="2E72AE49" w:rsidR="00DE477A" w:rsidRPr="00605471" w:rsidRDefault="005B66A6" w:rsidP="00DE477A">
      <w:pPr>
        <w:spacing w:before="60" w:after="60"/>
        <w:rPr>
          <w:rFonts w:ascii="Arial" w:eastAsiaTheme="majorEastAsia" w:hAnsi="Arial" w:cs="Arial"/>
          <w:b/>
          <w:szCs w:val="24"/>
        </w:rPr>
      </w:pPr>
      <w:r>
        <w:rPr>
          <w:rFonts w:ascii="Arial" w:eastAsiaTheme="majorEastAsia" w:hAnsi="Arial" w:cs="Arial"/>
          <w:b/>
          <w:szCs w:val="24"/>
        </w:rPr>
        <w:lastRenderedPageBreak/>
        <w:t>7</w:t>
      </w:r>
      <w:r w:rsidR="00DE477A" w:rsidRPr="00605471">
        <w:rPr>
          <w:rFonts w:ascii="Arial" w:eastAsiaTheme="majorEastAsia" w:hAnsi="Arial" w:cs="Arial"/>
          <w:b/>
          <w:szCs w:val="24"/>
        </w:rPr>
        <w:t>. Reference List</w:t>
      </w:r>
    </w:p>
    <w:p w14:paraId="77F65FAB" w14:textId="77777777" w:rsidR="000408FD" w:rsidRPr="00605471" w:rsidRDefault="000408FD" w:rsidP="000408FD">
      <w:pPr>
        <w:spacing w:before="240" w:line="360" w:lineRule="auto"/>
        <w:jc w:val="both"/>
        <w:rPr>
          <w:rFonts w:ascii="Arial" w:hAnsi="Arial" w:cs="Arial"/>
          <w:szCs w:val="24"/>
        </w:rPr>
      </w:pPr>
      <w:proofErr w:type="spellStart"/>
      <w:r w:rsidRPr="00605471">
        <w:rPr>
          <w:rFonts w:ascii="Arial" w:hAnsi="Arial" w:cs="Arial"/>
          <w:szCs w:val="24"/>
        </w:rPr>
        <w:t>Alserhani</w:t>
      </w:r>
      <w:proofErr w:type="spellEnd"/>
      <w:r w:rsidRPr="00605471">
        <w:rPr>
          <w:rFonts w:ascii="Arial" w:hAnsi="Arial" w:cs="Arial"/>
          <w:szCs w:val="24"/>
        </w:rPr>
        <w:t xml:space="preserve">, M. F., Alrasheed, F., </w:t>
      </w:r>
      <w:proofErr w:type="spellStart"/>
      <w:r w:rsidRPr="00605471">
        <w:rPr>
          <w:rFonts w:ascii="Arial" w:hAnsi="Arial" w:cs="Arial"/>
          <w:szCs w:val="24"/>
        </w:rPr>
        <w:t>Qamshah</w:t>
      </w:r>
      <w:proofErr w:type="spellEnd"/>
      <w:r w:rsidRPr="00605471">
        <w:rPr>
          <w:rFonts w:ascii="Arial" w:hAnsi="Arial" w:cs="Arial"/>
          <w:szCs w:val="24"/>
        </w:rPr>
        <w:t xml:space="preserve">, A. M., Alkharashi, Y., </w:t>
      </w:r>
      <w:proofErr w:type="spellStart"/>
      <w:r w:rsidRPr="00605471">
        <w:rPr>
          <w:rFonts w:ascii="Arial" w:hAnsi="Arial" w:cs="Arial"/>
          <w:szCs w:val="24"/>
        </w:rPr>
        <w:t>Aljarallah</w:t>
      </w:r>
      <w:proofErr w:type="spellEnd"/>
      <w:r w:rsidRPr="00605471">
        <w:rPr>
          <w:rFonts w:ascii="Arial" w:hAnsi="Arial" w:cs="Arial"/>
          <w:szCs w:val="24"/>
        </w:rPr>
        <w:t xml:space="preserve">, M. F., </w:t>
      </w:r>
      <w:proofErr w:type="spellStart"/>
      <w:r w:rsidRPr="00605471">
        <w:rPr>
          <w:rFonts w:ascii="Arial" w:hAnsi="Arial" w:cs="Arial"/>
          <w:szCs w:val="24"/>
        </w:rPr>
        <w:t>Alarifi</w:t>
      </w:r>
      <w:proofErr w:type="spellEnd"/>
      <w:r w:rsidRPr="00605471">
        <w:rPr>
          <w:rFonts w:ascii="Arial" w:hAnsi="Arial" w:cs="Arial"/>
          <w:szCs w:val="24"/>
        </w:rPr>
        <w:t xml:space="preserve">, F. F., </w:t>
      </w:r>
      <w:proofErr w:type="spellStart"/>
      <w:r w:rsidRPr="00605471">
        <w:rPr>
          <w:rFonts w:ascii="Arial" w:hAnsi="Arial" w:cs="Arial"/>
          <w:szCs w:val="24"/>
        </w:rPr>
        <w:t>Althaqeb</w:t>
      </w:r>
      <w:proofErr w:type="spellEnd"/>
      <w:r w:rsidRPr="00605471">
        <w:rPr>
          <w:rFonts w:ascii="Arial" w:hAnsi="Arial" w:cs="Arial"/>
          <w:szCs w:val="24"/>
        </w:rPr>
        <w:t xml:space="preserve">, E., Alrasheed, m. I., </w:t>
      </w:r>
      <w:proofErr w:type="spellStart"/>
      <w:r w:rsidRPr="00605471">
        <w:rPr>
          <w:rFonts w:ascii="Arial" w:hAnsi="Arial" w:cs="Arial"/>
          <w:szCs w:val="24"/>
        </w:rPr>
        <w:t>Akharashi</w:t>
      </w:r>
      <w:proofErr w:type="spellEnd"/>
      <w:r w:rsidRPr="00605471">
        <w:rPr>
          <w:rFonts w:ascii="Arial" w:hAnsi="Arial" w:cs="Arial"/>
          <w:szCs w:val="24"/>
        </w:rPr>
        <w:t xml:space="preserve">, L. M. and Eidan, E. A. (2025) ‘Effectiveness of self-management of blood glucose in improving </w:t>
      </w:r>
      <w:proofErr w:type="spellStart"/>
      <w:r w:rsidRPr="00605471">
        <w:rPr>
          <w:rFonts w:ascii="Arial" w:hAnsi="Arial" w:cs="Arial"/>
          <w:szCs w:val="24"/>
        </w:rPr>
        <w:t>glycemic</w:t>
      </w:r>
      <w:proofErr w:type="spellEnd"/>
      <w:r w:rsidRPr="00605471">
        <w:rPr>
          <w:rFonts w:ascii="Arial" w:hAnsi="Arial" w:cs="Arial"/>
          <w:szCs w:val="24"/>
        </w:rPr>
        <w:t xml:space="preserve"> control in patients with diabetes: a systematic review and meta-analysis’, </w:t>
      </w:r>
      <w:r w:rsidRPr="00605471">
        <w:rPr>
          <w:rFonts w:ascii="Arial" w:hAnsi="Arial" w:cs="Arial"/>
          <w:i/>
          <w:iCs/>
          <w:szCs w:val="24"/>
        </w:rPr>
        <w:t xml:space="preserve">Cureus, </w:t>
      </w:r>
      <w:r w:rsidRPr="00605471">
        <w:rPr>
          <w:rFonts w:ascii="Arial" w:hAnsi="Arial" w:cs="Arial"/>
          <w:szCs w:val="24"/>
        </w:rPr>
        <w:t xml:space="preserve">17(12), e99751. Available at: </w:t>
      </w:r>
      <w:hyperlink r:id="rId14" w:history="1">
        <w:r w:rsidRPr="00605471">
          <w:rPr>
            <w:rStyle w:val="Hyperlink"/>
            <w:rFonts w:ascii="Arial" w:hAnsi="Arial" w:cs="Arial"/>
            <w:szCs w:val="24"/>
          </w:rPr>
          <w:t>https://doi.org/10.7759/cureus.99751</w:t>
        </w:r>
      </w:hyperlink>
      <w:r w:rsidRPr="00605471">
        <w:rPr>
          <w:rFonts w:ascii="Arial" w:hAnsi="Arial" w:cs="Arial"/>
          <w:szCs w:val="24"/>
        </w:rPr>
        <w:t xml:space="preserve"> </w:t>
      </w:r>
    </w:p>
    <w:p w14:paraId="41C12BB7" w14:textId="77777777" w:rsidR="000408FD" w:rsidRPr="00605471" w:rsidRDefault="000408FD" w:rsidP="000408FD">
      <w:pPr>
        <w:spacing w:before="240" w:line="360" w:lineRule="auto"/>
        <w:jc w:val="both"/>
        <w:rPr>
          <w:rFonts w:ascii="Arial" w:hAnsi="Arial" w:cs="Arial"/>
          <w:szCs w:val="24"/>
        </w:rPr>
      </w:pPr>
      <w:proofErr w:type="spellStart"/>
      <w:r w:rsidRPr="00605471">
        <w:rPr>
          <w:rFonts w:ascii="Arial" w:hAnsi="Arial" w:cs="Arial"/>
          <w:szCs w:val="24"/>
        </w:rPr>
        <w:t>Amerkamp</w:t>
      </w:r>
      <w:proofErr w:type="spellEnd"/>
      <w:r w:rsidRPr="00605471">
        <w:rPr>
          <w:rFonts w:ascii="Arial" w:hAnsi="Arial" w:cs="Arial"/>
          <w:szCs w:val="24"/>
        </w:rPr>
        <w:t xml:space="preserve">, J., Benli, S., </w:t>
      </w:r>
      <w:proofErr w:type="spellStart"/>
      <w:r w:rsidRPr="00605471">
        <w:rPr>
          <w:rFonts w:ascii="Arial" w:hAnsi="Arial" w:cs="Arial"/>
          <w:szCs w:val="24"/>
        </w:rPr>
        <w:t>Isenmann</w:t>
      </w:r>
      <w:proofErr w:type="spellEnd"/>
      <w:r w:rsidRPr="00605471">
        <w:rPr>
          <w:rFonts w:ascii="Arial" w:hAnsi="Arial" w:cs="Arial"/>
          <w:szCs w:val="24"/>
        </w:rPr>
        <w:t xml:space="preserve">, E. and Brinkmann, C. (2025) ‘Optimizing the lifestyle of patients with type 2 diabetes mellitus – systematic review on the effects of combines diet-and exercise interventions’, </w:t>
      </w:r>
      <w:r w:rsidRPr="00605471">
        <w:rPr>
          <w:rFonts w:ascii="Arial" w:hAnsi="Arial" w:cs="Arial"/>
          <w:i/>
          <w:iCs/>
          <w:szCs w:val="24"/>
        </w:rPr>
        <w:t xml:space="preserve">Diseases, </w:t>
      </w:r>
      <w:r w:rsidRPr="00605471">
        <w:rPr>
          <w:rFonts w:ascii="Arial" w:hAnsi="Arial" w:cs="Arial"/>
          <w:szCs w:val="24"/>
        </w:rPr>
        <w:t xml:space="preserve">35(5), 103746. Available at: </w:t>
      </w:r>
      <w:hyperlink r:id="rId15" w:history="1">
        <w:r w:rsidRPr="00605471">
          <w:rPr>
            <w:rStyle w:val="Hyperlink"/>
            <w:rFonts w:ascii="Arial" w:hAnsi="Arial" w:cs="Arial"/>
            <w:szCs w:val="24"/>
          </w:rPr>
          <w:t>https://doi.org/10.1016/j.numecd.2024.09.016</w:t>
        </w:r>
      </w:hyperlink>
      <w:r w:rsidRPr="00605471">
        <w:rPr>
          <w:rFonts w:ascii="Arial" w:hAnsi="Arial" w:cs="Arial"/>
          <w:szCs w:val="24"/>
        </w:rPr>
        <w:t xml:space="preserve"> </w:t>
      </w:r>
    </w:p>
    <w:p w14:paraId="2AB6EA6B"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Antar, S. A., Ashour, N. A., </w:t>
      </w:r>
      <w:proofErr w:type="spellStart"/>
      <w:r w:rsidRPr="00605471">
        <w:rPr>
          <w:rFonts w:ascii="Arial" w:hAnsi="Arial" w:cs="Arial"/>
          <w:szCs w:val="24"/>
        </w:rPr>
        <w:t>Sharaky</w:t>
      </w:r>
      <w:proofErr w:type="spellEnd"/>
      <w:r w:rsidRPr="00605471">
        <w:rPr>
          <w:rFonts w:ascii="Arial" w:hAnsi="Arial" w:cs="Arial"/>
          <w:szCs w:val="24"/>
        </w:rPr>
        <w:t xml:space="preserve">, M., Khattab, M., Ashour, N. A., Zaid, R. T., Roh, E. J., </w:t>
      </w:r>
      <w:proofErr w:type="spellStart"/>
      <w:r w:rsidRPr="00605471">
        <w:rPr>
          <w:rFonts w:ascii="Arial" w:hAnsi="Arial" w:cs="Arial"/>
          <w:szCs w:val="24"/>
        </w:rPr>
        <w:t>Elkamhawy</w:t>
      </w:r>
      <w:proofErr w:type="spellEnd"/>
      <w:r w:rsidRPr="00605471">
        <w:rPr>
          <w:rFonts w:ascii="Arial" w:hAnsi="Arial" w:cs="Arial"/>
          <w:szCs w:val="24"/>
        </w:rPr>
        <w:t>, A. and Al-</w:t>
      </w:r>
      <w:proofErr w:type="spellStart"/>
      <w:r w:rsidRPr="00605471">
        <w:rPr>
          <w:rFonts w:ascii="Arial" w:hAnsi="Arial" w:cs="Arial"/>
          <w:szCs w:val="24"/>
        </w:rPr>
        <w:t>Karmalawy</w:t>
      </w:r>
      <w:proofErr w:type="spellEnd"/>
      <w:r w:rsidRPr="00605471">
        <w:rPr>
          <w:rFonts w:ascii="Arial" w:hAnsi="Arial" w:cs="Arial"/>
          <w:szCs w:val="24"/>
        </w:rPr>
        <w:t xml:space="preserve">, A. A. (2023) ‘Diabetes mellitus: classification, mediators, and complications; a gate to identify potential targets for the development of new effective treatments’, </w:t>
      </w:r>
      <w:r w:rsidRPr="00605471">
        <w:rPr>
          <w:rFonts w:ascii="Arial" w:hAnsi="Arial" w:cs="Arial"/>
          <w:i/>
          <w:iCs/>
          <w:szCs w:val="24"/>
        </w:rPr>
        <w:t xml:space="preserve">Biomedicine and Pharmacotherapy, </w:t>
      </w:r>
      <w:r w:rsidRPr="00605471">
        <w:rPr>
          <w:rFonts w:ascii="Arial" w:hAnsi="Arial" w:cs="Arial"/>
          <w:szCs w:val="24"/>
        </w:rPr>
        <w:t xml:space="preserve">168, 115734. Available at: </w:t>
      </w:r>
      <w:hyperlink r:id="rId16" w:history="1">
        <w:r w:rsidRPr="00605471">
          <w:rPr>
            <w:rStyle w:val="Hyperlink"/>
            <w:rFonts w:ascii="Arial" w:hAnsi="Arial" w:cs="Arial"/>
            <w:szCs w:val="24"/>
          </w:rPr>
          <w:t>https://doi.org/10.1016/j.biopha.2023.115734</w:t>
        </w:r>
      </w:hyperlink>
      <w:r w:rsidRPr="00605471">
        <w:rPr>
          <w:rFonts w:ascii="Arial" w:hAnsi="Arial" w:cs="Arial"/>
          <w:szCs w:val="24"/>
        </w:rPr>
        <w:t xml:space="preserve"> </w:t>
      </w:r>
    </w:p>
    <w:p w14:paraId="464BC3AB" w14:textId="77777777" w:rsidR="000408FD" w:rsidRDefault="000408FD" w:rsidP="000408FD">
      <w:pPr>
        <w:spacing w:before="240" w:line="360" w:lineRule="auto"/>
        <w:jc w:val="both"/>
        <w:rPr>
          <w:rFonts w:ascii="Arial" w:hAnsi="Arial" w:cs="Arial"/>
        </w:rPr>
      </w:pPr>
      <w:proofErr w:type="spellStart"/>
      <w:r>
        <w:rPr>
          <w:rFonts w:ascii="Arial" w:hAnsi="Arial" w:cs="Arial"/>
        </w:rPr>
        <w:t>ATrain</w:t>
      </w:r>
      <w:proofErr w:type="spellEnd"/>
      <w:r>
        <w:rPr>
          <w:rFonts w:ascii="Arial" w:hAnsi="Arial" w:cs="Arial"/>
        </w:rPr>
        <w:t xml:space="preserve"> Education (2026) Diabetes type 2: nothing sweet about it. Available at: </w:t>
      </w:r>
      <w:hyperlink r:id="rId17" w:history="1">
        <w:r w:rsidRPr="0037475D">
          <w:rPr>
            <w:rStyle w:val="Hyperlink"/>
            <w:rFonts w:ascii="Arial" w:hAnsi="Arial" w:cs="Arial"/>
          </w:rPr>
          <w:t>https://www.atrainceu.com/content/4-regulation-blood-glucose</w:t>
        </w:r>
      </w:hyperlink>
      <w:r>
        <w:rPr>
          <w:rFonts w:ascii="Arial" w:hAnsi="Arial" w:cs="Arial"/>
        </w:rPr>
        <w:t xml:space="preserve"> (Accessed 15th July 2026).</w:t>
      </w:r>
    </w:p>
    <w:p w14:paraId="639E44D2"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Chircop, J., Sheffield, D. and Kotera, Y. (2021) ‘Systematic review of self-monitoring of blood glucose in patient with type 2 diabetes’, </w:t>
      </w:r>
      <w:r w:rsidRPr="00605471">
        <w:rPr>
          <w:rFonts w:ascii="Arial" w:hAnsi="Arial" w:cs="Arial"/>
          <w:i/>
          <w:iCs/>
          <w:szCs w:val="24"/>
        </w:rPr>
        <w:t xml:space="preserve">Nursing Research, </w:t>
      </w:r>
      <w:r w:rsidRPr="00605471">
        <w:rPr>
          <w:rFonts w:ascii="Arial" w:hAnsi="Arial" w:cs="Arial"/>
          <w:szCs w:val="24"/>
        </w:rPr>
        <w:t xml:space="preserve">70(6), 487-497. Available at: </w:t>
      </w:r>
      <w:hyperlink r:id="rId18" w:history="1">
        <w:r w:rsidRPr="00605471">
          <w:rPr>
            <w:rStyle w:val="Hyperlink"/>
            <w:rFonts w:ascii="Arial" w:hAnsi="Arial" w:cs="Arial"/>
            <w:szCs w:val="24"/>
          </w:rPr>
          <w:t>https://doi.org/10.1097/nnr.0000000000000542</w:t>
        </w:r>
      </w:hyperlink>
      <w:r w:rsidRPr="00605471">
        <w:rPr>
          <w:rFonts w:ascii="Arial" w:hAnsi="Arial" w:cs="Arial"/>
          <w:szCs w:val="24"/>
        </w:rPr>
        <w:t xml:space="preserve"> </w:t>
      </w:r>
    </w:p>
    <w:p w14:paraId="49C313FD" w14:textId="77777777" w:rsidR="000408FD" w:rsidRPr="00605471" w:rsidRDefault="000408FD" w:rsidP="000408FD">
      <w:pPr>
        <w:spacing w:before="240" w:line="360" w:lineRule="auto"/>
        <w:jc w:val="both"/>
        <w:rPr>
          <w:rFonts w:ascii="Arial" w:hAnsi="Arial" w:cs="Arial"/>
          <w:szCs w:val="24"/>
        </w:rPr>
      </w:pPr>
      <w:proofErr w:type="spellStart"/>
      <w:r w:rsidRPr="00605471">
        <w:rPr>
          <w:rFonts w:ascii="Arial" w:hAnsi="Arial" w:cs="Arial"/>
          <w:szCs w:val="24"/>
        </w:rPr>
        <w:t>Elendu</w:t>
      </w:r>
      <w:proofErr w:type="spellEnd"/>
      <w:r w:rsidRPr="00605471">
        <w:rPr>
          <w:rFonts w:ascii="Arial" w:hAnsi="Arial" w:cs="Arial"/>
          <w:szCs w:val="24"/>
        </w:rPr>
        <w:t xml:space="preserve">, C., David, J. A., </w:t>
      </w:r>
      <w:proofErr w:type="spellStart"/>
      <w:r w:rsidRPr="00605471">
        <w:rPr>
          <w:rFonts w:ascii="Arial" w:hAnsi="Arial" w:cs="Arial"/>
          <w:szCs w:val="24"/>
        </w:rPr>
        <w:t>Udoyen</w:t>
      </w:r>
      <w:proofErr w:type="spellEnd"/>
      <w:r w:rsidRPr="00605471">
        <w:rPr>
          <w:rFonts w:ascii="Arial" w:hAnsi="Arial" w:cs="Arial"/>
          <w:szCs w:val="24"/>
        </w:rPr>
        <w:t xml:space="preserve">, A. O., Egbunu, E. O., </w:t>
      </w:r>
      <w:proofErr w:type="spellStart"/>
      <w:r w:rsidRPr="00605471">
        <w:rPr>
          <w:rFonts w:ascii="Arial" w:hAnsi="Arial" w:cs="Arial"/>
          <w:szCs w:val="24"/>
        </w:rPr>
        <w:t>Ogbuiyi</w:t>
      </w:r>
      <w:proofErr w:type="spellEnd"/>
      <w:r w:rsidRPr="00605471">
        <w:rPr>
          <w:rFonts w:ascii="Arial" w:hAnsi="Arial" w:cs="Arial"/>
          <w:szCs w:val="24"/>
        </w:rPr>
        <w:t xml:space="preserve">-Chima, I. C., </w:t>
      </w:r>
      <w:proofErr w:type="spellStart"/>
      <w:r w:rsidRPr="00605471">
        <w:rPr>
          <w:rFonts w:ascii="Arial" w:hAnsi="Arial" w:cs="Arial"/>
          <w:szCs w:val="24"/>
        </w:rPr>
        <w:t>Unakalamba</w:t>
      </w:r>
      <w:proofErr w:type="spellEnd"/>
      <w:r w:rsidRPr="00605471">
        <w:rPr>
          <w:rFonts w:ascii="Arial" w:hAnsi="Arial" w:cs="Arial"/>
          <w:szCs w:val="24"/>
        </w:rPr>
        <w:t xml:space="preserve">, L. O., Temitope, A. I., </w:t>
      </w:r>
      <w:proofErr w:type="spellStart"/>
      <w:r w:rsidRPr="00605471">
        <w:rPr>
          <w:rFonts w:ascii="Arial" w:hAnsi="Arial" w:cs="Arial"/>
          <w:szCs w:val="24"/>
        </w:rPr>
        <w:t>Ibhiedu</w:t>
      </w:r>
      <w:proofErr w:type="spellEnd"/>
      <w:r w:rsidRPr="00605471">
        <w:rPr>
          <w:rFonts w:ascii="Arial" w:hAnsi="Arial" w:cs="Arial"/>
          <w:szCs w:val="24"/>
        </w:rPr>
        <w:t xml:space="preserve">, J. O., </w:t>
      </w:r>
      <w:proofErr w:type="spellStart"/>
      <w:r w:rsidRPr="00605471">
        <w:rPr>
          <w:rFonts w:ascii="Arial" w:hAnsi="Arial" w:cs="Arial"/>
          <w:szCs w:val="24"/>
        </w:rPr>
        <w:t>Ibhiedu</w:t>
      </w:r>
      <w:proofErr w:type="spellEnd"/>
      <w:r w:rsidRPr="00605471">
        <w:rPr>
          <w:rFonts w:ascii="Arial" w:hAnsi="Arial" w:cs="Arial"/>
          <w:szCs w:val="24"/>
        </w:rPr>
        <w:t xml:space="preserve">, A. O., Nwosu, P. U., </w:t>
      </w:r>
      <w:proofErr w:type="spellStart"/>
      <w:r w:rsidRPr="00605471">
        <w:rPr>
          <w:rFonts w:ascii="Arial" w:hAnsi="Arial" w:cs="Arial"/>
          <w:szCs w:val="24"/>
        </w:rPr>
        <w:t>Koroyin</w:t>
      </w:r>
      <w:proofErr w:type="spellEnd"/>
      <w:r w:rsidRPr="00605471">
        <w:rPr>
          <w:rFonts w:ascii="Arial" w:hAnsi="Arial" w:cs="Arial"/>
          <w:szCs w:val="24"/>
        </w:rPr>
        <w:t xml:space="preserve">, M. O., Eze, C., Boluwatife, A. I., Alabi, O., </w:t>
      </w:r>
      <w:proofErr w:type="spellStart"/>
      <w:r w:rsidRPr="00605471">
        <w:rPr>
          <w:rFonts w:ascii="Arial" w:hAnsi="Arial" w:cs="Arial"/>
          <w:szCs w:val="24"/>
        </w:rPr>
        <w:t>Okabekwa</w:t>
      </w:r>
      <w:proofErr w:type="spellEnd"/>
      <w:r w:rsidRPr="00605471">
        <w:rPr>
          <w:rFonts w:ascii="Arial" w:hAnsi="Arial" w:cs="Arial"/>
          <w:szCs w:val="24"/>
        </w:rPr>
        <w:t xml:space="preserve">, O. S., </w:t>
      </w:r>
      <w:proofErr w:type="spellStart"/>
      <w:r w:rsidRPr="00605471">
        <w:rPr>
          <w:rFonts w:ascii="Arial" w:hAnsi="Arial" w:cs="Arial"/>
          <w:szCs w:val="24"/>
        </w:rPr>
        <w:t>Fatoye</w:t>
      </w:r>
      <w:proofErr w:type="spellEnd"/>
      <w:r w:rsidRPr="00605471">
        <w:rPr>
          <w:rFonts w:ascii="Arial" w:hAnsi="Arial" w:cs="Arial"/>
          <w:szCs w:val="24"/>
        </w:rPr>
        <w:t xml:space="preserve">, J. O., Ramon-Yusuf, H. I. (2023) ‘Comprehensive review of diabetic ketoacidosis: an update’, </w:t>
      </w:r>
      <w:r w:rsidRPr="00605471">
        <w:rPr>
          <w:rFonts w:ascii="Arial" w:hAnsi="Arial" w:cs="Arial"/>
          <w:i/>
          <w:iCs/>
          <w:szCs w:val="24"/>
        </w:rPr>
        <w:t xml:space="preserve">Annals of Medicine and Surgery, </w:t>
      </w:r>
      <w:r w:rsidRPr="00605471">
        <w:rPr>
          <w:rFonts w:ascii="Arial" w:hAnsi="Arial" w:cs="Arial"/>
          <w:szCs w:val="24"/>
        </w:rPr>
        <w:t xml:space="preserve">85(6), 2802-2807. Available at: </w:t>
      </w:r>
      <w:hyperlink r:id="rId19" w:history="1">
        <w:r w:rsidRPr="00605471">
          <w:rPr>
            <w:rStyle w:val="Hyperlink"/>
            <w:rFonts w:ascii="Arial" w:hAnsi="Arial" w:cs="Arial"/>
            <w:szCs w:val="24"/>
          </w:rPr>
          <w:t>https://doi.org/10.1097/MS9.0000000000000894</w:t>
        </w:r>
      </w:hyperlink>
      <w:r w:rsidRPr="00605471">
        <w:rPr>
          <w:rFonts w:ascii="Arial" w:hAnsi="Arial" w:cs="Arial"/>
          <w:szCs w:val="24"/>
        </w:rPr>
        <w:t xml:space="preserve"> </w:t>
      </w:r>
    </w:p>
    <w:p w14:paraId="5BE2B9BC"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Hall, J. E. (2016) </w:t>
      </w:r>
      <w:r w:rsidRPr="00605471">
        <w:rPr>
          <w:rFonts w:ascii="Arial" w:hAnsi="Arial" w:cs="Arial"/>
          <w:i/>
          <w:iCs/>
          <w:szCs w:val="24"/>
        </w:rPr>
        <w:t>Guyton and Hall textbook of medical physiology.</w:t>
      </w:r>
      <w:r w:rsidRPr="00605471">
        <w:rPr>
          <w:rFonts w:ascii="Arial" w:hAnsi="Arial" w:cs="Arial"/>
          <w:szCs w:val="24"/>
        </w:rPr>
        <w:t xml:space="preserve"> 13</w:t>
      </w:r>
      <w:r w:rsidRPr="00605471">
        <w:rPr>
          <w:rFonts w:ascii="Arial" w:hAnsi="Arial" w:cs="Arial"/>
          <w:szCs w:val="24"/>
          <w:vertAlign w:val="superscript"/>
        </w:rPr>
        <w:t>th</w:t>
      </w:r>
      <w:r w:rsidRPr="00605471">
        <w:rPr>
          <w:rFonts w:ascii="Arial" w:hAnsi="Arial" w:cs="Arial"/>
          <w:szCs w:val="24"/>
        </w:rPr>
        <w:t xml:space="preserve"> </w:t>
      </w:r>
      <w:proofErr w:type="spellStart"/>
      <w:r w:rsidRPr="00605471">
        <w:rPr>
          <w:rFonts w:ascii="Arial" w:hAnsi="Arial" w:cs="Arial"/>
          <w:szCs w:val="24"/>
        </w:rPr>
        <w:t>edn</w:t>
      </w:r>
      <w:proofErr w:type="spellEnd"/>
      <w:r w:rsidRPr="00605471">
        <w:rPr>
          <w:rFonts w:ascii="Arial" w:hAnsi="Arial" w:cs="Arial"/>
          <w:szCs w:val="24"/>
        </w:rPr>
        <w:t>. Philadelphia: Elsevier.</w:t>
      </w:r>
    </w:p>
    <w:p w14:paraId="23FC3F8F"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lastRenderedPageBreak/>
        <w:t xml:space="preserve">Holmes-Truscott, E., Baptista, S., Ling, M., Collins, E., Ekinci, E., Furler, J., Hagger, V., Manski-Nankervis, J., Wells, C. and Speight, J. (2023) ‘The impact of structured self-monitoring of blood glucose on clinical, </w:t>
      </w:r>
      <w:proofErr w:type="spellStart"/>
      <w:r w:rsidRPr="00605471">
        <w:rPr>
          <w:rFonts w:ascii="Arial" w:hAnsi="Arial" w:cs="Arial"/>
          <w:szCs w:val="24"/>
        </w:rPr>
        <w:t>behavioral</w:t>
      </w:r>
      <w:proofErr w:type="spellEnd"/>
      <w:r w:rsidRPr="00605471">
        <w:rPr>
          <w:rFonts w:ascii="Arial" w:hAnsi="Arial" w:cs="Arial"/>
          <w:szCs w:val="24"/>
        </w:rPr>
        <w:t xml:space="preserve">, and psychosocial outcomes among adults with non-insulin-treated type 2 diabetes: a systematic review and meta-analysis’, </w:t>
      </w:r>
      <w:r w:rsidRPr="00605471">
        <w:rPr>
          <w:rFonts w:ascii="Arial" w:hAnsi="Arial" w:cs="Arial"/>
          <w:i/>
          <w:iCs/>
          <w:szCs w:val="24"/>
        </w:rPr>
        <w:t xml:space="preserve">Frontiers in Clinical Diabetes and Healthcare, </w:t>
      </w:r>
      <w:r w:rsidRPr="00605471">
        <w:rPr>
          <w:rFonts w:ascii="Arial" w:hAnsi="Arial" w:cs="Arial"/>
          <w:szCs w:val="24"/>
        </w:rPr>
        <w:t xml:space="preserve">4, 1177030. Available at: </w:t>
      </w:r>
      <w:hyperlink r:id="rId20" w:history="1">
        <w:r w:rsidRPr="00605471">
          <w:rPr>
            <w:rStyle w:val="Hyperlink"/>
            <w:rFonts w:ascii="Arial" w:hAnsi="Arial" w:cs="Arial"/>
            <w:szCs w:val="24"/>
          </w:rPr>
          <w:t>https://doi.org/10.3389/fcdhc.2023.1177030</w:t>
        </w:r>
      </w:hyperlink>
      <w:r w:rsidRPr="00605471">
        <w:rPr>
          <w:rFonts w:ascii="Arial" w:hAnsi="Arial" w:cs="Arial"/>
          <w:szCs w:val="24"/>
        </w:rPr>
        <w:t xml:space="preserve"> </w:t>
      </w:r>
    </w:p>
    <w:p w14:paraId="1F1F17C2"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Kwon, S. Y. and Moon, J. S. (2025) ‘Advances in continuous glucose monitoring: clinical applications’, </w:t>
      </w:r>
      <w:r w:rsidRPr="00605471">
        <w:rPr>
          <w:rFonts w:ascii="Arial" w:hAnsi="Arial" w:cs="Arial"/>
          <w:i/>
          <w:iCs/>
          <w:szCs w:val="24"/>
        </w:rPr>
        <w:t xml:space="preserve">Endocrinology and Metabolism, </w:t>
      </w:r>
      <w:r w:rsidRPr="00605471">
        <w:rPr>
          <w:rFonts w:ascii="Arial" w:hAnsi="Arial" w:cs="Arial"/>
          <w:szCs w:val="24"/>
        </w:rPr>
        <w:t xml:space="preserve">40(2), 161-173. Available at: </w:t>
      </w:r>
      <w:hyperlink r:id="rId21" w:history="1">
        <w:r w:rsidRPr="00605471">
          <w:rPr>
            <w:rStyle w:val="Hyperlink"/>
            <w:rFonts w:ascii="Arial" w:hAnsi="Arial" w:cs="Arial"/>
            <w:szCs w:val="24"/>
          </w:rPr>
          <w:t>https://doi.org/10.3803/EnM.2025.2370</w:t>
        </w:r>
      </w:hyperlink>
      <w:r w:rsidRPr="00605471">
        <w:rPr>
          <w:rFonts w:ascii="Arial" w:hAnsi="Arial" w:cs="Arial"/>
          <w:szCs w:val="24"/>
        </w:rPr>
        <w:t xml:space="preserve"> </w:t>
      </w:r>
    </w:p>
    <w:p w14:paraId="06DF39E8"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Lee, M. J., Seo, B. J. and Cho, J. H. (2025) ‘Expanding the use of continuous glucose monitoring in type 2 diabetes mellitus: impact on </w:t>
      </w:r>
      <w:proofErr w:type="spellStart"/>
      <w:r w:rsidRPr="00605471">
        <w:rPr>
          <w:rFonts w:ascii="Arial" w:hAnsi="Arial" w:cs="Arial"/>
          <w:szCs w:val="24"/>
        </w:rPr>
        <w:t>glycemic</w:t>
      </w:r>
      <w:proofErr w:type="spellEnd"/>
      <w:r w:rsidRPr="00605471">
        <w:rPr>
          <w:rFonts w:ascii="Arial" w:hAnsi="Arial" w:cs="Arial"/>
          <w:szCs w:val="24"/>
        </w:rPr>
        <w:t xml:space="preserve"> control and metabolic health’, </w:t>
      </w:r>
      <w:r w:rsidRPr="00605471">
        <w:rPr>
          <w:rFonts w:ascii="Arial" w:hAnsi="Arial" w:cs="Arial"/>
          <w:i/>
          <w:iCs/>
          <w:szCs w:val="24"/>
        </w:rPr>
        <w:t xml:space="preserve">Life, </w:t>
      </w:r>
      <w:r w:rsidRPr="00605471">
        <w:rPr>
          <w:rFonts w:ascii="Arial" w:hAnsi="Arial" w:cs="Arial"/>
          <w:szCs w:val="24"/>
        </w:rPr>
        <w:t xml:space="preserve">15(10), 1543. Available at: </w:t>
      </w:r>
      <w:hyperlink r:id="rId22" w:history="1">
        <w:r w:rsidRPr="00605471">
          <w:rPr>
            <w:rStyle w:val="Hyperlink"/>
            <w:rFonts w:ascii="Arial" w:hAnsi="Arial" w:cs="Arial"/>
            <w:szCs w:val="24"/>
          </w:rPr>
          <w:t>https://doi.org/10.3390/life15101543</w:t>
        </w:r>
      </w:hyperlink>
      <w:r w:rsidRPr="00605471">
        <w:rPr>
          <w:rFonts w:ascii="Arial" w:hAnsi="Arial" w:cs="Arial"/>
          <w:szCs w:val="24"/>
        </w:rPr>
        <w:t xml:space="preserve"> </w:t>
      </w:r>
    </w:p>
    <w:p w14:paraId="3CBD373F" w14:textId="77777777" w:rsidR="000408FD" w:rsidRPr="00B43F44" w:rsidRDefault="000408FD" w:rsidP="000408FD">
      <w:pPr>
        <w:spacing w:before="240" w:line="360" w:lineRule="auto"/>
        <w:jc w:val="both"/>
        <w:rPr>
          <w:rFonts w:ascii="Arial" w:hAnsi="Arial" w:cs="Arial"/>
        </w:rPr>
      </w:pPr>
      <w:r>
        <w:rPr>
          <w:rFonts w:ascii="Arial" w:hAnsi="Arial" w:cs="Arial"/>
        </w:rPr>
        <w:t xml:space="preserve">Lee, S. H., Park, S. Y. and Choi, C. S. (2022) ‘Insulin resistance: from mechanisms to therapeutic strategies’, </w:t>
      </w:r>
      <w:r>
        <w:rPr>
          <w:rFonts w:ascii="Arial" w:hAnsi="Arial" w:cs="Arial"/>
          <w:i/>
          <w:iCs/>
        </w:rPr>
        <w:t xml:space="preserve">Diabetes and Metabolism Journal, </w:t>
      </w:r>
      <w:r>
        <w:rPr>
          <w:rFonts w:ascii="Arial" w:hAnsi="Arial" w:cs="Arial"/>
        </w:rPr>
        <w:t xml:space="preserve">46(1), pp. 15-37. Available at: </w:t>
      </w:r>
      <w:hyperlink r:id="rId23" w:history="1">
        <w:r w:rsidRPr="0037475D">
          <w:rPr>
            <w:rStyle w:val="Hyperlink"/>
            <w:rFonts w:ascii="Arial" w:hAnsi="Arial" w:cs="Arial"/>
          </w:rPr>
          <w:t>https://doi.org/10.4093/dmj.2021.0280</w:t>
        </w:r>
      </w:hyperlink>
      <w:r>
        <w:rPr>
          <w:rFonts w:ascii="Arial" w:hAnsi="Arial" w:cs="Arial"/>
        </w:rPr>
        <w:t xml:space="preserve"> </w:t>
      </w:r>
    </w:p>
    <w:p w14:paraId="41FD4E0B"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Milionis, C., Ilias, I., </w:t>
      </w:r>
      <w:proofErr w:type="spellStart"/>
      <w:r w:rsidRPr="00605471">
        <w:rPr>
          <w:rFonts w:ascii="Arial" w:hAnsi="Arial" w:cs="Arial"/>
          <w:szCs w:val="24"/>
        </w:rPr>
        <w:t>Venaki</w:t>
      </w:r>
      <w:proofErr w:type="spellEnd"/>
      <w:r w:rsidRPr="00605471">
        <w:rPr>
          <w:rFonts w:ascii="Arial" w:hAnsi="Arial" w:cs="Arial"/>
          <w:szCs w:val="24"/>
        </w:rPr>
        <w:t xml:space="preserve">, E. and </w:t>
      </w:r>
      <w:proofErr w:type="spellStart"/>
      <w:r w:rsidRPr="00605471">
        <w:rPr>
          <w:rFonts w:ascii="Arial" w:hAnsi="Arial" w:cs="Arial"/>
          <w:szCs w:val="24"/>
        </w:rPr>
        <w:t>Koukkou</w:t>
      </w:r>
      <w:proofErr w:type="spellEnd"/>
      <w:r w:rsidRPr="00605471">
        <w:rPr>
          <w:rFonts w:ascii="Arial" w:hAnsi="Arial" w:cs="Arial"/>
          <w:szCs w:val="24"/>
        </w:rPr>
        <w:t xml:space="preserve">, E. (2023) ‘Glucose homeostasis, diabetes mellitus and gender-affirming treatment’, </w:t>
      </w:r>
      <w:r w:rsidRPr="00605471">
        <w:rPr>
          <w:rFonts w:ascii="Arial" w:hAnsi="Arial" w:cs="Arial"/>
          <w:i/>
          <w:iCs/>
          <w:szCs w:val="24"/>
        </w:rPr>
        <w:t xml:space="preserve">Biomedicines, </w:t>
      </w:r>
      <w:r w:rsidRPr="00605471">
        <w:rPr>
          <w:rFonts w:ascii="Arial" w:hAnsi="Arial" w:cs="Arial"/>
          <w:szCs w:val="24"/>
        </w:rPr>
        <w:t xml:space="preserve">11(3), 670. Available at: </w:t>
      </w:r>
      <w:hyperlink r:id="rId24" w:history="1">
        <w:r w:rsidRPr="00605471">
          <w:rPr>
            <w:rStyle w:val="Hyperlink"/>
            <w:rFonts w:ascii="Arial" w:hAnsi="Arial" w:cs="Arial"/>
            <w:szCs w:val="24"/>
          </w:rPr>
          <w:t>https://doi.org/10.3390/biomedicines11030670</w:t>
        </w:r>
      </w:hyperlink>
      <w:r w:rsidRPr="00605471">
        <w:rPr>
          <w:rFonts w:ascii="Arial" w:hAnsi="Arial" w:cs="Arial"/>
          <w:szCs w:val="24"/>
        </w:rPr>
        <w:t xml:space="preserve"> </w:t>
      </w:r>
    </w:p>
    <w:p w14:paraId="2DA7D3E3" w14:textId="77777777" w:rsidR="000408FD" w:rsidRDefault="000408FD" w:rsidP="000408FD">
      <w:pPr>
        <w:spacing w:before="240" w:line="360" w:lineRule="auto"/>
        <w:jc w:val="both"/>
        <w:rPr>
          <w:rFonts w:ascii="Arial" w:hAnsi="Arial" w:cs="Arial"/>
        </w:rPr>
      </w:pPr>
      <w:r>
        <w:rPr>
          <w:rFonts w:ascii="Arial" w:hAnsi="Arial" w:cs="Arial"/>
        </w:rPr>
        <w:t xml:space="preserve">Monash University (2026) The process of aerobic respiration. Available at: </w:t>
      </w:r>
      <w:hyperlink r:id="rId25" w:history="1">
        <w:r w:rsidRPr="0037475D">
          <w:rPr>
            <w:rStyle w:val="Hyperlink"/>
            <w:rFonts w:ascii="Arial" w:hAnsi="Arial" w:cs="Arial"/>
          </w:rPr>
          <w:t>https://www.monash.edu/student-academic-success/biology/cellular-respiration/the-process-of-aerobic-respiration</w:t>
        </w:r>
      </w:hyperlink>
      <w:r>
        <w:rPr>
          <w:rFonts w:ascii="Arial" w:hAnsi="Arial" w:cs="Arial"/>
        </w:rPr>
        <w:t xml:space="preserve"> (Accessed 15th July 2026). </w:t>
      </w:r>
    </w:p>
    <w:p w14:paraId="1A7887C7"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National Institute for Health and Care Excellence (2026) Type 2 diabetes in adults: management. Available at: </w:t>
      </w:r>
      <w:hyperlink r:id="rId26" w:history="1">
        <w:r w:rsidRPr="00605471">
          <w:rPr>
            <w:rStyle w:val="Hyperlink"/>
            <w:rFonts w:ascii="Arial" w:hAnsi="Arial" w:cs="Arial"/>
            <w:szCs w:val="24"/>
          </w:rPr>
          <w:t>https://www.nice.org.uk/guidance/ng28/chapter/Dietary-advice-and-interventions</w:t>
        </w:r>
      </w:hyperlink>
      <w:r w:rsidRPr="00605471">
        <w:rPr>
          <w:rFonts w:ascii="Arial" w:hAnsi="Arial" w:cs="Arial"/>
          <w:szCs w:val="24"/>
        </w:rPr>
        <w:t xml:space="preserve"> (Accessed 11th July 2026). </w:t>
      </w:r>
    </w:p>
    <w:p w14:paraId="1CFDAEBE"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Petersmann, A., Muller-Wieland, D., Muller, U. A., Landgraf, R., Nauck, M., Freckmann, G., Heinemann, L., Schleicher, E. (2019) ‘Definition, classification, and diagnosis of diabetes mellitus’, </w:t>
      </w:r>
      <w:r w:rsidRPr="00605471">
        <w:rPr>
          <w:rFonts w:ascii="Arial" w:hAnsi="Arial" w:cs="Arial"/>
          <w:i/>
          <w:iCs/>
          <w:szCs w:val="24"/>
        </w:rPr>
        <w:t xml:space="preserve">Experimental and Clinical Endocrinology and Diabetes, </w:t>
      </w:r>
      <w:r w:rsidRPr="00605471">
        <w:rPr>
          <w:rFonts w:ascii="Arial" w:hAnsi="Arial" w:cs="Arial"/>
          <w:szCs w:val="24"/>
        </w:rPr>
        <w:t xml:space="preserve">127(S 01), S1-S7. Available at: </w:t>
      </w:r>
      <w:hyperlink r:id="rId27" w:history="1">
        <w:r w:rsidRPr="00605471">
          <w:rPr>
            <w:rStyle w:val="Hyperlink"/>
            <w:rFonts w:ascii="Arial" w:hAnsi="Arial" w:cs="Arial"/>
            <w:szCs w:val="24"/>
          </w:rPr>
          <w:t>https://doi.org/10.1055/a-1018-9078</w:t>
        </w:r>
      </w:hyperlink>
      <w:r w:rsidRPr="00605471">
        <w:rPr>
          <w:rFonts w:ascii="Arial" w:hAnsi="Arial" w:cs="Arial"/>
          <w:szCs w:val="24"/>
        </w:rPr>
        <w:t xml:space="preserve"> </w:t>
      </w:r>
    </w:p>
    <w:p w14:paraId="4B257382"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lastRenderedPageBreak/>
        <w:t xml:space="preserve">Rouland, A., Thuillier, P., Al-Salameh, A., Benzerouk, F., </w:t>
      </w:r>
      <w:proofErr w:type="spellStart"/>
      <w:r w:rsidRPr="00605471">
        <w:rPr>
          <w:rFonts w:ascii="Arial" w:hAnsi="Arial" w:cs="Arial"/>
          <w:szCs w:val="24"/>
        </w:rPr>
        <w:t>Bahougne</w:t>
      </w:r>
      <w:proofErr w:type="spellEnd"/>
      <w:r w:rsidRPr="00605471">
        <w:rPr>
          <w:rFonts w:ascii="Arial" w:hAnsi="Arial" w:cs="Arial"/>
          <w:szCs w:val="24"/>
        </w:rPr>
        <w:t xml:space="preserve">, T., </w:t>
      </w:r>
      <w:proofErr w:type="spellStart"/>
      <w:r w:rsidRPr="00605471">
        <w:rPr>
          <w:rFonts w:ascii="Arial" w:hAnsi="Arial" w:cs="Arial"/>
          <w:szCs w:val="24"/>
        </w:rPr>
        <w:t>Tramunt</w:t>
      </w:r>
      <w:proofErr w:type="spellEnd"/>
      <w:r w:rsidRPr="00605471">
        <w:rPr>
          <w:rFonts w:ascii="Arial" w:hAnsi="Arial" w:cs="Arial"/>
          <w:szCs w:val="24"/>
        </w:rPr>
        <w:t xml:space="preserve">, B., Berlin, I., Clair, C., Thomas, D., </w:t>
      </w:r>
      <w:proofErr w:type="spellStart"/>
      <w:r w:rsidRPr="00605471">
        <w:rPr>
          <w:rFonts w:ascii="Arial" w:hAnsi="Arial" w:cs="Arial"/>
          <w:szCs w:val="24"/>
        </w:rPr>
        <w:t>Faou</w:t>
      </w:r>
      <w:proofErr w:type="spellEnd"/>
      <w:r w:rsidRPr="00605471">
        <w:rPr>
          <w:rFonts w:ascii="Arial" w:hAnsi="Arial" w:cs="Arial"/>
          <w:szCs w:val="24"/>
        </w:rPr>
        <w:t xml:space="preserve">, A. L., Verges, B. and Durlach, V. (2024) ‘Smoking and diabetes’, </w:t>
      </w:r>
      <w:r w:rsidRPr="00605471">
        <w:rPr>
          <w:rFonts w:ascii="Arial" w:hAnsi="Arial" w:cs="Arial"/>
          <w:i/>
          <w:iCs/>
          <w:szCs w:val="24"/>
        </w:rPr>
        <w:t xml:space="preserve">Annales </w:t>
      </w:r>
      <w:proofErr w:type="spellStart"/>
      <w:r w:rsidRPr="00605471">
        <w:rPr>
          <w:rFonts w:ascii="Arial" w:hAnsi="Arial" w:cs="Arial"/>
          <w:i/>
          <w:iCs/>
          <w:szCs w:val="24"/>
        </w:rPr>
        <w:t>d’Endocrinologie</w:t>
      </w:r>
      <w:proofErr w:type="spellEnd"/>
      <w:r w:rsidRPr="00605471">
        <w:rPr>
          <w:rFonts w:ascii="Arial" w:hAnsi="Arial" w:cs="Arial"/>
          <w:i/>
          <w:iCs/>
          <w:szCs w:val="24"/>
        </w:rPr>
        <w:t xml:space="preserve">, </w:t>
      </w:r>
      <w:r w:rsidRPr="00605471">
        <w:rPr>
          <w:rFonts w:ascii="Arial" w:hAnsi="Arial" w:cs="Arial"/>
          <w:szCs w:val="24"/>
        </w:rPr>
        <w:t xml:space="preserve">85(6), pp. 614-622. </w:t>
      </w:r>
    </w:p>
    <w:p w14:paraId="76CD1CD0"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Sia, H. K., Kor, C. T., Tu, S. T., Liao, P. Y. and Wang, J. Y. (2021) ‘Self-monitoring of blood glucose in association with </w:t>
      </w:r>
      <w:proofErr w:type="spellStart"/>
      <w:r w:rsidRPr="00605471">
        <w:rPr>
          <w:rFonts w:ascii="Arial" w:hAnsi="Arial" w:cs="Arial"/>
          <w:szCs w:val="24"/>
        </w:rPr>
        <w:t>glycemic</w:t>
      </w:r>
      <w:proofErr w:type="spellEnd"/>
      <w:r w:rsidRPr="00605471">
        <w:rPr>
          <w:rFonts w:ascii="Arial" w:hAnsi="Arial" w:cs="Arial"/>
          <w:szCs w:val="24"/>
        </w:rPr>
        <w:t xml:space="preserve"> control in newly diagnosed non-insulin-treated diabetes patients: a retrospective cohort study’, </w:t>
      </w:r>
      <w:r w:rsidRPr="00605471">
        <w:rPr>
          <w:rFonts w:ascii="Arial" w:hAnsi="Arial" w:cs="Arial"/>
          <w:i/>
          <w:iCs/>
          <w:szCs w:val="24"/>
        </w:rPr>
        <w:t>Scientific Reports,</w:t>
      </w:r>
      <w:r w:rsidRPr="00605471">
        <w:rPr>
          <w:rFonts w:ascii="Arial" w:hAnsi="Arial" w:cs="Arial"/>
          <w:szCs w:val="24"/>
        </w:rPr>
        <w:t xml:space="preserve"> 11(1176). Available at: </w:t>
      </w:r>
      <w:hyperlink r:id="rId28" w:history="1">
        <w:r w:rsidRPr="00605471">
          <w:rPr>
            <w:rStyle w:val="Hyperlink"/>
            <w:rFonts w:ascii="Arial" w:hAnsi="Arial" w:cs="Arial"/>
            <w:szCs w:val="24"/>
          </w:rPr>
          <w:t>https://doi.org/10.1038/s41598-021-81024-x</w:t>
        </w:r>
      </w:hyperlink>
      <w:r w:rsidRPr="00605471">
        <w:rPr>
          <w:rFonts w:ascii="Arial" w:hAnsi="Arial" w:cs="Arial"/>
          <w:szCs w:val="24"/>
        </w:rPr>
        <w:t xml:space="preserve"> </w:t>
      </w:r>
    </w:p>
    <w:p w14:paraId="35D7488E"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World Health Organization (2022) Physical activity and sedentary behaviour; a brief to support people living with type 2 diabetes. Available at: </w:t>
      </w:r>
      <w:hyperlink r:id="rId29" w:history="1">
        <w:r w:rsidRPr="00605471">
          <w:rPr>
            <w:rStyle w:val="Hyperlink"/>
            <w:rFonts w:ascii="Arial" w:hAnsi="Arial" w:cs="Arial"/>
            <w:szCs w:val="24"/>
          </w:rPr>
          <w:t>https://iris.who.int/server/api/core/bitstreams/cb3851ba-bdc6-4b59-a20a-1f132a4f75ad/content</w:t>
        </w:r>
      </w:hyperlink>
      <w:r w:rsidRPr="00605471">
        <w:rPr>
          <w:rFonts w:ascii="Arial" w:hAnsi="Arial" w:cs="Arial"/>
          <w:szCs w:val="24"/>
        </w:rPr>
        <w:t xml:space="preserve"> (Accessed 12th July 2026).</w:t>
      </w:r>
    </w:p>
    <w:p w14:paraId="1F074621" w14:textId="77777777" w:rsidR="000408FD" w:rsidRPr="00605471" w:rsidRDefault="000408FD" w:rsidP="000408FD">
      <w:pPr>
        <w:spacing w:before="240" w:line="360" w:lineRule="auto"/>
        <w:jc w:val="both"/>
        <w:rPr>
          <w:rFonts w:ascii="Arial" w:hAnsi="Arial" w:cs="Arial"/>
          <w:szCs w:val="24"/>
        </w:rPr>
      </w:pPr>
      <w:r w:rsidRPr="00605471">
        <w:rPr>
          <w:rFonts w:ascii="Arial" w:hAnsi="Arial" w:cs="Arial"/>
          <w:szCs w:val="24"/>
        </w:rPr>
        <w:t xml:space="preserve">World Health Organization (2026) Diabetes: key facts. Available at: </w:t>
      </w:r>
      <w:hyperlink r:id="rId30" w:history="1">
        <w:r w:rsidRPr="00605471">
          <w:rPr>
            <w:rStyle w:val="Hyperlink"/>
            <w:rFonts w:ascii="Arial" w:hAnsi="Arial" w:cs="Arial"/>
            <w:szCs w:val="24"/>
          </w:rPr>
          <w:t>https://www.who.int/news-room/fact-sheets/detail/diabetes</w:t>
        </w:r>
      </w:hyperlink>
      <w:r w:rsidRPr="00605471">
        <w:rPr>
          <w:rFonts w:ascii="Arial" w:hAnsi="Arial" w:cs="Arial"/>
          <w:szCs w:val="24"/>
        </w:rPr>
        <w:t xml:space="preserve"> (Accessed 11th July 2026). </w:t>
      </w:r>
    </w:p>
    <w:p w14:paraId="1908E762" w14:textId="77777777" w:rsidR="00DE477A" w:rsidRPr="00605471" w:rsidRDefault="00DE477A" w:rsidP="00DE477A">
      <w:pPr>
        <w:spacing w:before="60" w:after="60"/>
        <w:rPr>
          <w:rFonts w:ascii="Arial" w:hAnsi="Arial" w:cs="Arial"/>
          <w:szCs w:val="24"/>
        </w:rPr>
      </w:pPr>
    </w:p>
    <w:p w14:paraId="1ABB4A3B" w14:textId="77777777" w:rsidR="00DE477A" w:rsidRPr="00605471" w:rsidRDefault="00DE477A" w:rsidP="00DE477A">
      <w:pPr>
        <w:spacing w:before="60" w:after="60"/>
        <w:rPr>
          <w:rFonts w:ascii="Arial" w:hAnsi="Arial" w:cs="Arial"/>
          <w:szCs w:val="24"/>
        </w:rPr>
      </w:pPr>
    </w:p>
    <w:p w14:paraId="1DFCEF02" w14:textId="77777777" w:rsidR="00DE477A" w:rsidRPr="00605471" w:rsidRDefault="00DE477A" w:rsidP="00DE477A">
      <w:pPr>
        <w:spacing w:before="60" w:after="60"/>
        <w:rPr>
          <w:rFonts w:ascii="Arial" w:hAnsi="Arial" w:cs="Arial"/>
          <w:szCs w:val="24"/>
        </w:rPr>
      </w:pPr>
    </w:p>
    <w:p w14:paraId="774DF2BF" w14:textId="77777777" w:rsidR="00DE477A" w:rsidRPr="00605471" w:rsidRDefault="00DE477A" w:rsidP="00DE477A">
      <w:pPr>
        <w:spacing w:before="60" w:after="60"/>
        <w:rPr>
          <w:rFonts w:ascii="Arial" w:hAnsi="Arial" w:cs="Arial"/>
          <w:szCs w:val="24"/>
        </w:rPr>
      </w:pPr>
    </w:p>
    <w:p w14:paraId="6CDBB60C" w14:textId="77777777" w:rsidR="00DE477A" w:rsidRPr="00605471" w:rsidRDefault="00DE477A" w:rsidP="00DE477A">
      <w:pPr>
        <w:spacing w:before="60" w:after="60"/>
        <w:rPr>
          <w:rFonts w:ascii="Arial" w:hAnsi="Arial" w:cs="Arial"/>
          <w:szCs w:val="24"/>
        </w:rPr>
      </w:pPr>
    </w:p>
    <w:p w14:paraId="18FB0FE0" w14:textId="77777777" w:rsidR="00DE477A" w:rsidRPr="00605471" w:rsidRDefault="00DE477A" w:rsidP="00DE477A">
      <w:pPr>
        <w:spacing w:before="60" w:after="60"/>
        <w:rPr>
          <w:rFonts w:ascii="Arial" w:hAnsi="Arial" w:cs="Arial"/>
          <w:szCs w:val="24"/>
        </w:rPr>
      </w:pPr>
    </w:p>
    <w:p w14:paraId="0462340C" w14:textId="77777777" w:rsidR="00DE477A" w:rsidRPr="00605471" w:rsidRDefault="00DE477A" w:rsidP="00DE477A">
      <w:pPr>
        <w:spacing w:before="60" w:after="60"/>
        <w:rPr>
          <w:rFonts w:ascii="Arial" w:hAnsi="Arial" w:cs="Arial"/>
          <w:szCs w:val="24"/>
        </w:rPr>
      </w:pPr>
    </w:p>
    <w:p w14:paraId="5522CAE5" w14:textId="77777777" w:rsidR="00DE477A" w:rsidRPr="00605471" w:rsidRDefault="00DE477A" w:rsidP="00DE477A">
      <w:pPr>
        <w:spacing w:before="60" w:after="60"/>
        <w:rPr>
          <w:rFonts w:ascii="Arial" w:hAnsi="Arial" w:cs="Arial"/>
          <w:szCs w:val="24"/>
        </w:rPr>
      </w:pPr>
    </w:p>
    <w:p w14:paraId="3994F71D" w14:textId="77777777" w:rsidR="00DE477A" w:rsidRPr="00605471" w:rsidRDefault="00DE477A" w:rsidP="00DE477A">
      <w:pPr>
        <w:spacing w:before="60" w:after="60"/>
        <w:rPr>
          <w:rFonts w:ascii="Arial" w:hAnsi="Arial" w:cs="Arial"/>
          <w:szCs w:val="24"/>
        </w:rPr>
      </w:pPr>
    </w:p>
    <w:p w14:paraId="74E3E6E4" w14:textId="77777777" w:rsidR="00DE477A" w:rsidRPr="00605471" w:rsidRDefault="00DE477A" w:rsidP="00DE477A">
      <w:pPr>
        <w:spacing w:before="60" w:after="60"/>
        <w:rPr>
          <w:rFonts w:ascii="Arial" w:hAnsi="Arial" w:cs="Arial"/>
          <w:szCs w:val="24"/>
        </w:rPr>
      </w:pPr>
    </w:p>
    <w:p w14:paraId="1D8F76CF" w14:textId="77777777" w:rsidR="00DE477A" w:rsidRPr="00605471" w:rsidRDefault="00DE477A" w:rsidP="00DE477A">
      <w:pPr>
        <w:spacing w:before="60" w:after="60"/>
        <w:rPr>
          <w:rFonts w:ascii="Arial" w:hAnsi="Arial" w:cs="Arial"/>
          <w:szCs w:val="24"/>
        </w:rPr>
      </w:pPr>
    </w:p>
    <w:p w14:paraId="25BD671C" w14:textId="77777777" w:rsidR="00DE477A" w:rsidRPr="00605471" w:rsidRDefault="00DE477A" w:rsidP="00DE477A">
      <w:pPr>
        <w:spacing w:before="60" w:after="60"/>
        <w:rPr>
          <w:rFonts w:ascii="Arial" w:hAnsi="Arial" w:cs="Arial"/>
          <w:szCs w:val="24"/>
        </w:rPr>
      </w:pPr>
    </w:p>
    <w:p w14:paraId="459CB8B9" w14:textId="77777777" w:rsidR="00DE477A" w:rsidRPr="00605471" w:rsidRDefault="00DE477A" w:rsidP="00DE477A">
      <w:pPr>
        <w:spacing w:before="60" w:after="60"/>
        <w:rPr>
          <w:rFonts w:ascii="Arial" w:hAnsi="Arial" w:cs="Arial"/>
          <w:szCs w:val="24"/>
        </w:rPr>
      </w:pPr>
    </w:p>
    <w:p w14:paraId="7BA04CEA" w14:textId="77777777" w:rsidR="00DE477A" w:rsidRPr="00605471" w:rsidRDefault="00DE477A" w:rsidP="00DE477A">
      <w:pPr>
        <w:spacing w:before="60" w:after="60"/>
        <w:rPr>
          <w:rFonts w:ascii="Arial" w:hAnsi="Arial" w:cs="Arial"/>
          <w:szCs w:val="24"/>
        </w:rPr>
      </w:pPr>
    </w:p>
    <w:p w14:paraId="38E0DB32" w14:textId="77777777" w:rsidR="00DE477A" w:rsidRPr="00605471" w:rsidRDefault="00DE477A" w:rsidP="00DE477A">
      <w:pPr>
        <w:spacing w:before="60" w:after="60"/>
        <w:rPr>
          <w:rFonts w:ascii="Arial" w:hAnsi="Arial" w:cs="Arial"/>
          <w:szCs w:val="24"/>
        </w:rPr>
      </w:pPr>
    </w:p>
    <w:p w14:paraId="1C1B5B6E" w14:textId="164BC3A0" w:rsidR="001B7A40" w:rsidRPr="00605471" w:rsidRDefault="001B7A40" w:rsidP="00605471">
      <w:pPr>
        <w:spacing w:line="360" w:lineRule="auto"/>
        <w:rPr>
          <w:rFonts w:ascii="Arial" w:hAnsi="Arial" w:cs="Arial"/>
          <w:b/>
          <w:bCs/>
          <w:szCs w:val="24"/>
        </w:rPr>
      </w:pPr>
    </w:p>
    <w:sectPr w:rsidR="001B7A40" w:rsidRPr="00605471" w:rsidSect="00370282">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D5DC88" w14:textId="77777777" w:rsidR="0057189A" w:rsidRDefault="0057189A" w:rsidP="00C03A91">
      <w:pPr>
        <w:spacing w:after="0" w:line="240" w:lineRule="auto"/>
      </w:pPr>
      <w:r>
        <w:separator/>
      </w:r>
    </w:p>
  </w:endnote>
  <w:endnote w:type="continuationSeparator" w:id="0">
    <w:p w14:paraId="42B7A456" w14:textId="77777777" w:rsidR="0057189A" w:rsidRDefault="0057189A"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DengXian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C0B73C3" w14:textId="77777777" w:rsidR="0057189A" w:rsidRDefault="0057189A" w:rsidP="00C03A91">
      <w:pPr>
        <w:spacing w:after="0" w:line="240" w:lineRule="auto"/>
      </w:pPr>
      <w:r>
        <w:separator/>
      </w:r>
    </w:p>
  </w:footnote>
  <w:footnote w:type="continuationSeparator" w:id="0">
    <w:p w14:paraId="65746415" w14:textId="77777777" w:rsidR="0057189A" w:rsidRDefault="0057189A"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9C065D"/>
    <w:multiLevelType w:val="hybridMultilevel"/>
    <w:tmpl w:val="8BB041B2"/>
    <w:lvl w:ilvl="0" w:tplc="53D0B872">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277C19"/>
    <w:multiLevelType w:val="hybridMultilevel"/>
    <w:tmpl w:val="544087BA"/>
    <w:lvl w:ilvl="0" w:tplc="CD605076">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1"/>
  </w:num>
  <w:num w:numId="2" w16cid:durableId="1940680655">
    <w:abstractNumId w:val="0"/>
  </w:num>
  <w:num w:numId="3" w16cid:durableId="342167121">
    <w:abstractNumId w:val="3"/>
  </w:num>
  <w:num w:numId="4" w16cid:durableId="8484472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7"/>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sjA3MjcxM7cwMbEwMjNX0lEKTi0uzszPAykwrAUA/F1afSwAAAA="/>
  </w:docVars>
  <w:rsids>
    <w:rsidRoot w:val="007E7745"/>
    <w:rsid w:val="00012E0F"/>
    <w:rsid w:val="000408FD"/>
    <w:rsid w:val="00076AC0"/>
    <w:rsid w:val="000B17F2"/>
    <w:rsid w:val="000C4EDA"/>
    <w:rsid w:val="000C647B"/>
    <w:rsid w:val="001649E7"/>
    <w:rsid w:val="0019044A"/>
    <w:rsid w:val="001B7A40"/>
    <w:rsid w:val="001F6DDB"/>
    <w:rsid w:val="00216C85"/>
    <w:rsid w:val="00273EDD"/>
    <w:rsid w:val="002C3965"/>
    <w:rsid w:val="002D5EDB"/>
    <w:rsid w:val="00321C4C"/>
    <w:rsid w:val="0032486A"/>
    <w:rsid w:val="00334029"/>
    <w:rsid w:val="00370282"/>
    <w:rsid w:val="003A2D80"/>
    <w:rsid w:val="003D0F14"/>
    <w:rsid w:val="004577F7"/>
    <w:rsid w:val="00511681"/>
    <w:rsid w:val="005247B0"/>
    <w:rsid w:val="00563AF8"/>
    <w:rsid w:val="0057189A"/>
    <w:rsid w:val="0057616D"/>
    <w:rsid w:val="005851AD"/>
    <w:rsid w:val="005B3466"/>
    <w:rsid w:val="005B53A8"/>
    <w:rsid w:val="005B66A6"/>
    <w:rsid w:val="00605471"/>
    <w:rsid w:val="007268F7"/>
    <w:rsid w:val="007A7297"/>
    <w:rsid w:val="007E7745"/>
    <w:rsid w:val="008353D4"/>
    <w:rsid w:val="00845B25"/>
    <w:rsid w:val="008942A0"/>
    <w:rsid w:val="008A1449"/>
    <w:rsid w:val="00940407"/>
    <w:rsid w:val="00962DCE"/>
    <w:rsid w:val="00986F78"/>
    <w:rsid w:val="009942C6"/>
    <w:rsid w:val="00995C46"/>
    <w:rsid w:val="009A7387"/>
    <w:rsid w:val="009D1D1E"/>
    <w:rsid w:val="00A035FD"/>
    <w:rsid w:val="00AA4DD8"/>
    <w:rsid w:val="00B768FB"/>
    <w:rsid w:val="00BD1AA7"/>
    <w:rsid w:val="00BF7262"/>
    <w:rsid w:val="00C03A91"/>
    <w:rsid w:val="00CD2863"/>
    <w:rsid w:val="00CD73C3"/>
    <w:rsid w:val="00CE7A90"/>
    <w:rsid w:val="00D73FB0"/>
    <w:rsid w:val="00D870AB"/>
    <w:rsid w:val="00DA2A1E"/>
    <w:rsid w:val="00DB6D4B"/>
    <w:rsid w:val="00DC3F30"/>
    <w:rsid w:val="00DE477A"/>
    <w:rsid w:val="00E2038D"/>
    <w:rsid w:val="00E92200"/>
    <w:rsid w:val="00EB12BC"/>
    <w:rsid w:val="00F137E3"/>
    <w:rsid w:val="00F23281"/>
    <w:rsid w:val="00F44C8F"/>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E03E95B8-CA8B-6841-89AD-42CBBCC513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tmp"/><Relationship Id="rId18" Type="http://schemas.openxmlformats.org/officeDocument/2006/relationships/hyperlink" Target="https://doi.org/10.1097/nnr.0000000000000542" TargetMode="External"/><Relationship Id="rId26" Type="http://schemas.openxmlformats.org/officeDocument/2006/relationships/hyperlink" Target="https://www.nice.org.uk/guidance/ng28/chapter/Dietary-advice-and-interventions" TargetMode="External"/><Relationship Id="rId3" Type="http://schemas.openxmlformats.org/officeDocument/2006/relationships/settings" Target="settings.xml"/><Relationship Id="rId21" Type="http://schemas.openxmlformats.org/officeDocument/2006/relationships/hyperlink" Target="https://doi.org/10.3803/EnM.2025.2370" TargetMode="External"/><Relationship Id="rId7" Type="http://schemas.openxmlformats.org/officeDocument/2006/relationships/image" Target="media/image1.png"/><Relationship Id="rId12" Type="http://schemas.openxmlformats.org/officeDocument/2006/relationships/image" Target="media/image5.tmp"/><Relationship Id="rId17" Type="http://schemas.openxmlformats.org/officeDocument/2006/relationships/hyperlink" Target="https://www.atrainceu.com/content/4-regulation-blood-glucose" TargetMode="External"/><Relationship Id="rId25" Type="http://schemas.openxmlformats.org/officeDocument/2006/relationships/hyperlink" Target="https://www.monash.edu/student-academic-success/biology/cellular-respiration/the-process-of-aerobic-respiration"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1016/j.biopha.2023.115734" TargetMode="External"/><Relationship Id="rId20" Type="http://schemas.openxmlformats.org/officeDocument/2006/relationships/hyperlink" Target="https://doi.org/10.3389/fcdhc.2023.1177030" TargetMode="External"/><Relationship Id="rId29" Type="http://schemas.openxmlformats.org/officeDocument/2006/relationships/hyperlink" Target="https://iris.who.int/server/api/core/bitstreams/cb3851ba-bdc6-4b59-a20a-1f132a4f75ad/content"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tmp"/><Relationship Id="rId24" Type="http://schemas.openxmlformats.org/officeDocument/2006/relationships/hyperlink" Target="https://doi.org/10.3390/biomedicines11030670"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j.numecd.2024.09.016" TargetMode="External"/><Relationship Id="rId23" Type="http://schemas.openxmlformats.org/officeDocument/2006/relationships/hyperlink" Target="https://doi.org/10.4093/dmj.2021.0280" TargetMode="External"/><Relationship Id="rId28" Type="http://schemas.openxmlformats.org/officeDocument/2006/relationships/hyperlink" Target="https://doi.org/10.1038/s41598-021-81024-x" TargetMode="External"/><Relationship Id="rId10" Type="http://schemas.openxmlformats.org/officeDocument/2006/relationships/image" Target="media/image3.png"/><Relationship Id="rId19" Type="http://schemas.openxmlformats.org/officeDocument/2006/relationships/hyperlink" Target="https://doi.org/10.1097/MS9.0000000000000894"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7759/cureus.99751" TargetMode="External"/><Relationship Id="rId22" Type="http://schemas.openxmlformats.org/officeDocument/2006/relationships/hyperlink" Target="https://doi.org/10.3390/life15101543" TargetMode="External"/><Relationship Id="rId27" Type="http://schemas.openxmlformats.org/officeDocument/2006/relationships/hyperlink" Target="https://doi.org/10.1055/a-1018-9078" TargetMode="External"/><Relationship Id="rId30" Type="http://schemas.openxmlformats.org/officeDocument/2006/relationships/hyperlink" Target="https://www.who.int/news-room/fact-sheets/detail/diabetes" TargetMode="Externa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3128</Words>
  <Characters>17830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Ewemade Sylvia Enabulele (2437216)</cp:lastModifiedBy>
  <cp:revision>2</cp:revision>
  <dcterms:created xsi:type="dcterms:W3CDTF">2026-07-31T12:27:00Z</dcterms:created>
  <dcterms:modified xsi:type="dcterms:W3CDTF">2026-07-31T12:27:00Z</dcterms:modified>
</cp:coreProperties>
</file>