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E05A4" w14:textId="532B53EC" w:rsidR="004218B8" w:rsidRPr="0078790C" w:rsidRDefault="004218B8" w:rsidP="00B071DB">
      <w:pPr>
        <w:rPr>
          <w:rFonts w:ascii="Arial" w:hAnsi="Arial" w:cs="Arial"/>
          <w:sz w:val="22"/>
        </w:rPr>
      </w:pPr>
    </w:p>
    <w:p w14:paraId="403F5B6D" w14:textId="59A34481" w:rsidR="004218B8" w:rsidRPr="0078790C" w:rsidRDefault="004218B8" w:rsidP="00B071DB">
      <w:pPr>
        <w:rPr>
          <w:rFonts w:ascii="Arial" w:hAnsi="Arial" w:cs="Arial"/>
          <w:sz w:val="22"/>
        </w:rPr>
      </w:pPr>
    </w:p>
    <w:p w14:paraId="6787F5E2" w14:textId="65F0C3F4" w:rsidR="004218B8" w:rsidRPr="0078790C" w:rsidRDefault="004218B8" w:rsidP="00B071DB">
      <w:pPr>
        <w:rPr>
          <w:rFonts w:ascii="Arial" w:hAnsi="Arial" w:cs="Arial"/>
          <w:sz w:val="22"/>
        </w:rPr>
      </w:pPr>
    </w:p>
    <w:p w14:paraId="609A5436" w14:textId="1B9D7D07" w:rsidR="004218B8" w:rsidRPr="0078790C" w:rsidRDefault="004218B8" w:rsidP="00B071DB">
      <w:pPr>
        <w:rPr>
          <w:rFonts w:ascii="Arial" w:hAnsi="Arial" w:cs="Arial"/>
          <w:sz w:val="22"/>
        </w:rPr>
      </w:pPr>
    </w:p>
    <w:p w14:paraId="03D22E1E" w14:textId="313FEDB2" w:rsidR="004218B8" w:rsidRPr="0078790C" w:rsidRDefault="004218B8" w:rsidP="00B071DB">
      <w:pPr>
        <w:rPr>
          <w:rFonts w:ascii="Arial" w:hAnsi="Arial" w:cs="Arial"/>
          <w:sz w:val="22"/>
        </w:rPr>
      </w:pPr>
    </w:p>
    <w:p w14:paraId="7C8E935D" w14:textId="04B83E7D" w:rsidR="004218B8" w:rsidRPr="0078790C" w:rsidRDefault="004218B8" w:rsidP="00B071DB">
      <w:pPr>
        <w:rPr>
          <w:rFonts w:ascii="Arial" w:hAnsi="Arial" w:cs="Arial"/>
          <w:sz w:val="22"/>
        </w:rPr>
      </w:pPr>
    </w:p>
    <w:p w14:paraId="2B4203E0" w14:textId="1E9B6046" w:rsidR="004218B8" w:rsidRPr="0078790C" w:rsidRDefault="004218B8" w:rsidP="00B071DB">
      <w:pPr>
        <w:rPr>
          <w:rFonts w:ascii="Arial" w:hAnsi="Arial" w:cs="Arial"/>
          <w:sz w:val="22"/>
        </w:rPr>
      </w:pPr>
    </w:p>
    <w:p w14:paraId="49C9243D" w14:textId="77777777" w:rsidR="004218B8" w:rsidRPr="0078790C" w:rsidRDefault="004218B8" w:rsidP="00B071DB">
      <w:pPr>
        <w:rPr>
          <w:rFonts w:ascii="Arial" w:hAnsi="Arial" w:cs="Arial"/>
          <w:sz w:val="22"/>
        </w:rPr>
      </w:pPr>
    </w:p>
    <w:p w14:paraId="49A0D387" w14:textId="65CF6144" w:rsidR="00463A29" w:rsidRPr="0078790C" w:rsidRDefault="009F0F8E" w:rsidP="00B071DB">
      <w:pPr>
        <w:jc w:val="center"/>
        <w:rPr>
          <w:rFonts w:ascii="Arial" w:hAnsi="Arial" w:cs="Arial"/>
          <w:b/>
          <w:sz w:val="22"/>
        </w:rPr>
      </w:pPr>
      <w:r>
        <w:rPr>
          <w:rFonts w:ascii="Arial" w:hAnsi="Arial" w:cs="Arial"/>
          <w:b/>
          <w:sz w:val="22"/>
        </w:rPr>
        <w:t>Ifat Hussain</w:t>
      </w:r>
    </w:p>
    <w:p w14:paraId="3DEF6A36" w14:textId="62BCABEC" w:rsidR="00127FD4" w:rsidRPr="0078790C" w:rsidRDefault="009F0F8E" w:rsidP="00B071DB">
      <w:pPr>
        <w:jc w:val="center"/>
        <w:rPr>
          <w:rFonts w:ascii="Arial" w:hAnsi="Arial" w:cs="Arial"/>
          <w:b/>
          <w:sz w:val="22"/>
        </w:rPr>
      </w:pPr>
      <w:r>
        <w:rPr>
          <w:rFonts w:ascii="Arial" w:hAnsi="Arial" w:cs="Arial"/>
          <w:b/>
          <w:sz w:val="22"/>
        </w:rPr>
        <w:t>Student number:2419347</w:t>
      </w:r>
    </w:p>
    <w:p w14:paraId="387646D0" w14:textId="3AD85FD0" w:rsidR="00127FD4" w:rsidRPr="0078790C" w:rsidRDefault="00000000" w:rsidP="00B071DB">
      <w:pPr>
        <w:jc w:val="center"/>
        <w:rPr>
          <w:rFonts w:ascii="Arial" w:hAnsi="Arial" w:cs="Arial"/>
          <w:b/>
          <w:sz w:val="22"/>
        </w:rPr>
      </w:pPr>
      <w:r w:rsidRPr="0078790C">
        <w:rPr>
          <w:rFonts w:ascii="Arial" w:hAnsi="Arial" w:cs="Arial"/>
          <w:b/>
          <w:sz w:val="22"/>
        </w:rPr>
        <w:t xml:space="preserve">Module </w:t>
      </w:r>
      <w:r w:rsidR="009F0F8E" w:rsidRPr="0078790C">
        <w:rPr>
          <w:rFonts w:ascii="Arial" w:hAnsi="Arial" w:cs="Arial"/>
          <w:b/>
          <w:sz w:val="22"/>
        </w:rPr>
        <w:t>Code</w:t>
      </w:r>
      <w:r w:rsidR="009F0F8E">
        <w:rPr>
          <w:rFonts w:ascii="Arial" w:hAnsi="Arial" w:cs="Arial"/>
          <w:b/>
          <w:sz w:val="22"/>
        </w:rPr>
        <w:t xml:space="preserve">: </w:t>
      </w:r>
      <w:r w:rsidR="00BD56FB">
        <w:rPr>
          <w:rFonts w:ascii="Arial" w:hAnsi="Arial" w:cs="Arial"/>
          <w:b/>
          <w:sz w:val="22"/>
        </w:rPr>
        <w:t>LCHS4010</w:t>
      </w:r>
    </w:p>
    <w:p w14:paraId="596B78AE" w14:textId="531E7C46" w:rsidR="00127FD4" w:rsidRPr="0078790C" w:rsidRDefault="00000000" w:rsidP="00B071DB">
      <w:pPr>
        <w:jc w:val="center"/>
        <w:rPr>
          <w:rFonts w:ascii="Arial" w:hAnsi="Arial" w:cs="Arial"/>
          <w:b/>
          <w:sz w:val="22"/>
        </w:rPr>
      </w:pPr>
      <w:r w:rsidRPr="0078790C">
        <w:rPr>
          <w:rFonts w:ascii="Arial" w:hAnsi="Arial" w:cs="Arial"/>
          <w:b/>
          <w:sz w:val="22"/>
        </w:rPr>
        <w:t>Module Title</w:t>
      </w:r>
      <w:r w:rsidR="009F0F8E">
        <w:rPr>
          <w:rFonts w:ascii="Arial" w:hAnsi="Arial" w:cs="Arial"/>
          <w:b/>
          <w:sz w:val="22"/>
        </w:rPr>
        <w:t>:</w:t>
      </w:r>
      <w:r w:rsidR="00360AA2">
        <w:rPr>
          <w:rFonts w:ascii="Arial" w:hAnsi="Arial" w:cs="Arial"/>
          <w:b/>
          <w:sz w:val="22"/>
        </w:rPr>
        <w:t xml:space="preserve"> </w:t>
      </w:r>
      <w:r w:rsidR="00BD56FB">
        <w:rPr>
          <w:rFonts w:ascii="Arial" w:hAnsi="Arial" w:cs="Arial"/>
          <w:b/>
          <w:sz w:val="22"/>
        </w:rPr>
        <w:t>Psychology in health and social care</w:t>
      </w:r>
    </w:p>
    <w:p w14:paraId="20132988" w14:textId="212750F1" w:rsidR="00127FD4" w:rsidRPr="0078790C" w:rsidRDefault="00127FD4" w:rsidP="00BD56FB">
      <w:pPr>
        <w:rPr>
          <w:rFonts w:ascii="Arial" w:hAnsi="Arial" w:cs="Arial"/>
          <w:b/>
          <w:sz w:val="22"/>
        </w:rPr>
      </w:pPr>
    </w:p>
    <w:p w14:paraId="0666687E" w14:textId="7C3E72DD" w:rsidR="00127FD4" w:rsidRPr="0078790C" w:rsidRDefault="00000000" w:rsidP="00B071DB">
      <w:pPr>
        <w:jc w:val="center"/>
        <w:rPr>
          <w:rFonts w:ascii="Arial" w:hAnsi="Arial" w:cs="Arial"/>
          <w:b/>
          <w:sz w:val="22"/>
        </w:rPr>
      </w:pPr>
      <w:r w:rsidRPr="0078790C">
        <w:rPr>
          <w:rFonts w:ascii="Arial" w:hAnsi="Arial" w:cs="Arial"/>
          <w:b/>
          <w:sz w:val="22"/>
        </w:rPr>
        <w:t>Assignment Title</w:t>
      </w:r>
      <w:r w:rsidR="00DC57BE" w:rsidRPr="0078790C">
        <w:rPr>
          <w:rFonts w:ascii="Arial" w:hAnsi="Arial" w:cs="Arial"/>
          <w:b/>
          <w:sz w:val="22"/>
        </w:rPr>
        <w:t>: Applying Psychological Theories to Support Older Adults with</w:t>
      </w:r>
      <w:r w:rsidR="00BD56FB">
        <w:rPr>
          <w:rFonts w:ascii="Arial" w:hAnsi="Arial" w:cs="Arial"/>
          <w:b/>
          <w:sz w:val="22"/>
        </w:rPr>
        <w:t xml:space="preserve"> </w:t>
      </w:r>
      <w:r w:rsidR="00DC57BE" w:rsidRPr="0078790C">
        <w:rPr>
          <w:rFonts w:ascii="Arial" w:hAnsi="Arial" w:cs="Arial"/>
          <w:b/>
          <w:sz w:val="22"/>
        </w:rPr>
        <w:t>Dementia in Care Settings</w:t>
      </w:r>
    </w:p>
    <w:p w14:paraId="4F705151" w14:textId="65DA0AC3" w:rsidR="00127FD4" w:rsidRPr="0078790C" w:rsidRDefault="00127FD4" w:rsidP="00B071DB">
      <w:pPr>
        <w:rPr>
          <w:rFonts w:ascii="Arial" w:hAnsi="Arial" w:cs="Arial"/>
          <w:sz w:val="22"/>
        </w:rPr>
      </w:pPr>
    </w:p>
    <w:p w14:paraId="78DBC6E2" w14:textId="2269C975" w:rsidR="0022354F" w:rsidRPr="0078790C" w:rsidRDefault="00000000" w:rsidP="00B071DB">
      <w:pPr>
        <w:rPr>
          <w:rFonts w:ascii="Arial" w:hAnsi="Arial" w:cs="Arial"/>
          <w:sz w:val="22"/>
        </w:rPr>
      </w:pPr>
      <w:r w:rsidRPr="0078790C">
        <w:rPr>
          <w:rFonts w:ascii="Arial" w:hAnsi="Arial" w:cs="Arial"/>
          <w:sz w:val="22"/>
        </w:rPr>
        <w:br w:type="page"/>
      </w:r>
    </w:p>
    <w:sdt>
      <w:sdtPr>
        <w:rPr>
          <w:rFonts w:ascii="Arial" w:eastAsiaTheme="minorHAnsi" w:hAnsi="Arial" w:cs="Arial"/>
          <w:color w:val="auto"/>
          <w:sz w:val="22"/>
          <w:szCs w:val="22"/>
          <w:lang w:val="en-GB"/>
        </w:rPr>
        <w:id w:val="-1880773001"/>
        <w:docPartObj>
          <w:docPartGallery w:val="Table of Contents"/>
          <w:docPartUnique/>
        </w:docPartObj>
      </w:sdtPr>
      <w:sdtEndPr>
        <w:rPr>
          <w:b/>
          <w:bCs/>
          <w:noProof/>
        </w:rPr>
      </w:sdtEndPr>
      <w:sdtContent>
        <w:p w14:paraId="5E8368D4" w14:textId="7D280EBC" w:rsidR="004A4D93" w:rsidRPr="0078790C" w:rsidRDefault="00000000" w:rsidP="00B071DB">
          <w:pPr>
            <w:pStyle w:val="TOCHeading"/>
            <w:spacing w:after="160" w:line="276" w:lineRule="auto"/>
            <w:rPr>
              <w:rFonts w:ascii="Arial" w:hAnsi="Arial" w:cs="Arial"/>
              <w:color w:val="auto"/>
              <w:sz w:val="22"/>
              <w:szCs w:val="22"/>
            </w:rPr>
          </w:pPr>
          <w:r w:rsidRPr="0078790C">
            <w:rPr>
              <w:rFonts w:ascii="Arial" w:hAnsi="Arial" w:cs="Arial"/>
              <w:color w:val="auto"/>
              <w:sz w:val="22"/>
              <w:szCs w:val="22"/>
            </w:rPr>
            <w:t>Table of Contents</w:t>
          </w:r>
        </w:p>
        <w:p w14:paraId="161A5428" w14:textId="2AED9A3C" w:rsidR="0078790C" w:rsidRPr="0078790C" w:rsidRDefault="00000000">
          <w:pPr>
            <w:pStyle w:val="TOC1"/>
            <w:tabs>
              <w:tab w:val="right" w:leader="dot" w:pos="9350"/>
            </w:tabs>
            <w:rPr>
              <w:rFonts w:ascii="Arial" w:eastAsiaTheme="minorEastAsia" w:hAnsi="Arial" w:cs="Arial"/>
              <w:noProof/>
              <w:sz w:val="22"/>
              <w:lang w:val="en-US"/>
            </w:rPr>
          </w:pPr>
          <w:r w:rsidRPr="0078790C">
            <w:rPr>
              <w:rFonts w:ascii="Arial" w:hAnsi="Arial" w:cs="Arial"/>
              <w:sz w:val="22"/>
            </w:rPr>
            <w:fldChar w:fldCharType="begin"/>
          </w:r>
          <w:r w:rsidRPr="0078790C">
            <w:rPr>
              <w:rFonts w:ascii="Arial" w:hAnsi="Arial" w:cs="Arial"/>
              <w:sz w:val="22"/>
            </w:rPr>
            <w:instrText xml:space="preserve"> TOC \o "1-3" \h \z \u </w:instrText>
          </w:r>
          <w:r w:rsidRPr="0078790C">
            <w:rPr>
              <w:rFonts w:ascii="Arial" w:hAnsi="Arial" w:cs="Arial"/>
              <w:sz w:val="22"/>
            </w:rPr>
            <w:fldChar w:fldCharType="separate"/>
          </w:r>
          <w:hyperlink w:anchor="_Toc212881236" w:history="1">
            <w:r w:rsidR="0078790C" w:rsidRPr="0078790C">
              <w:rPr>
                <w:rStyle w:val="Hyperlink"/>
                <w:rFonts w:ascii="Arial" w:hAnsi="Arial" w:cs="Arial"/>
                <w:noProof/>
                <w:sz w:val="22"/>
                <w:lang w:val="en-US"/>
              </w:rPr>
              <w:t>Introduction</w:t>
            </w:r>
            <w:r w:rsidR="0078790C" w:rsidRPr="0078790C">
              <w:rPr>
                <w:rFonts w:ascii="Arial" w:hAnsi="Arial" w:cs="Arial"/>
                <w:noProof/>
                <w:webHidden/>
                <w:sz w:val="22"/>
              </w:rPr>
              <w:tab/>
            </w:r>
            <w:r w:rsidR="0078790C" w:rsidRPr="0078790C">
              <w:rPr>
                <w:rFonts w:ascii="Arial" w:hAnsi="Arial" w:cs="Arial"/>
                <w:noProof/>
                <w:webHidden/>
                <w:sz w:val="22"/>
              </w:rPr>
              <w:fldChar w:fldCharType="begin"/>
            </w:r>
            <w:r w:rsidR="0078790C" w:rsidRPr="0078790C">
              <w:rPr>
                <w:rFonts w:ascii="Arial" w:hAnsi="Arial" w:cs="Arial"/>
                <w:noProof/>
                <w:webHidden/>
                <w:sz w:val="22"/>
              </w:rPr>
              <w:instrText xml:space="preserve"> PAGEREF _Toc212881236 \h </w:instrText>
            </w:r>
            <w:r w:rsidR="0078790C" w:rsidRPr="0078790C">
              <w:rPr>
                <w:rFonts w:ascii="Arial" w:hAnsi="Arial" w:cs="Arial"/>
                <w:noProof/>
                <w:webHidden/>
                <w:sz w:val="22"/>
              </w:rPr>
            </w:r>
            <w:r w:rsidR="0078790C" w:rsidRPr="0078790C">
              <w:rPr>
                <w:rFonts w:ascii="Arial" w:hAnsi="Arial" w:cs="Arial"/>
                <w:noProof/>
                <w:webHidden/>
                <w:sz w:val="22"/>
              </w:rPr>
              <w:fldChar w:fldCharType="separate"/>
            </w:r>
            <w:r w:rsidR="0078790C" w:rsidRPr="0078790C">
              <w:rPr>
                <w:rFonts w:ascii="Arial" w:hAnsi="Arial" w:cs="Arial"/>
                <w:noProof/>
                <w:webHidden/>
                <w:sz w:val="22"/>
              </w:rPr>
              <w:t>3</w:t>
            </w:r>
            <w:r w:rsidR="0078790C" w:rsidRPr="0078790C">
              <w:rPr>
                <w:rFonts w:ascii="Arial" w:hAnsi="Arial" w:cs="Arial"/>
                <w:noProof/>
                <w:webHidden/>
                <w:sz w:val="22"/>
              </w:rPr>
              <w:fldChar w:fldCharType="end"/>
            </w:r>
          </w:hyperlink>
        </w:p>
        <w:p w14:paraId="0B1B4C90" w14:textId="4CD397CB" w:rsidR="0078790C" w:rsidRPr="0078790C" w:rsidRDefault="0078790C">
          <w:pPr>
            <w:pStyle w:val="TOC1"/>
            <w:tabs>
              <w:tab w:val="right" w:leader="dot" w:pos="9350"/>
            </w:tabs>
            <w:rPr>
              <w:rFonts w:ascii="Arial" w:eastAsiaTheme="minorEastAsia" w:hAnsi="Arial" w:cs="Arial"/>
              <w:noProof/>
              <w:sz w:val="22"/>
              <w:lang w:val="en-US"/>
            </w:rPr>
          </w:pPr>
          <w:hyperlink w:anchor="_Toc212881237" w:history="1">
            <w:r w:rsidRPr="0078790C">
              <w:rPr>
                <w:rStyle w:val="Hyperlink"/>
                <w:rFonts w:ascii="Arial" w:hAnsi="Arial" w:cs="Arial"/>
                <w:noProof/>
                <w:sz w:val="22"/>
                <w:lang w:val="en-US"/>
              </w:rPr>
              <w:t>Overview of Two Relevant Psychological Theories</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_Toc212881237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3</w:t>
            </w:r>
            <w:r w:rsidRPr="0078790C">
              <w:rPr>
                <w:rFonts w:ascii="Arial" w:hAnsi="Arial" w:cs="Arial"/>
                <w:noProof/>
                <w:webHidden/>
                <w:sz w:val="22"/>
              </w:rPr>
              <w:fldChar w:fldCharType="end"/>
            </w:r>
          </w:hyperlink>
        </w:p>
        <w:p w14:paraId="3154F579" w14:textId="198EA98E" w:rsidR="0078790C" w:rsidRPr="0078790C" w:rsidRDefault="0078790C">
          <w:pPr>
            <w:pStyle w:val="TOC2"/>
            <w:tabs>
              <w:tab w:val="right" w:leader="dot" w:pos="9350"/>
            </w:tabs>
            <w:rPr>
              <w:rFonts w:ascii="Arial" w:eastAsiaTheme="minorEastAsia" w:hAnsi="Arial" w:cs="Arial"/>
              <w:noProof/>
              <w:sz w:val="22"/>
              <w:lang w:val="en-US"/>
            </w:rPr>
          </w:pPr>
          <w:hyperlink w:anchor="_Toc212881238" w:history="1">
            <w:r w:rsidRPr="0078790C">
              <w:rPr>
                <w:rStyle w:val="Hyperlink"/>
                <w:rFonts w:ascii="Arial" w:hAnsi="Arial" w:cs="Arial"/>
                <w:noProof/>
                <w:sz w:val="22"/>
              </w:rPr>
              <w:t>Erikson’s Psychosocial Theory of Development</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_Toc212881238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3</w:t>
            </w:r>
            <w:r w:rsidRPr="0078790C">
              <w:rPr>
                <w:rFonts w:ascii="Arial" w:hAnsi="Arial" w:cs="Arial"/>
                <w:noProof/>
                <w:webHidden/>
                <w:sz w:val="22"/>
              </w:rPr>
              <w:fldChar w:fldCharType="end"/>
            </w:r>
          </w:hyperlink>
        </w:p>
        <w:p w14:paraId="2359EF89" w14:textId="552ED73D" w:rsidR="0078790C" w:rsidRPr="0078790C" w:rsidRDefault="0078790C">
          <w:pPr>
            <w:pStyle w:val="TOC2"/>
            <w:tabs>
              <w:tab w:val="right" w:leader="dot" w:pos="9350"/>
            </w:tabs>
            <w:rPr>
              <w:rFonts w:ascii="Arial" w:eastAsiaTheme="minorEastAsia" w:hAnsi="Arial" w:cs="Arial"/>
              <w:noProof/>
              <w:sz w:val="22"/>
              <w:lang w:val="en-US"/>
            </w:rPr>
          </w:pPr>
          <w:hyperlink w:anchor="_Toc212881239" w:history="1">
            <w:r w:rsidRPr="0078790C">
              <w:rPr>
                <w:rStyle w:val="Hyperlink"/>
                <w:rFonts w:ascii="Arial" w:hAnsi="Arial" w:cs="Arial"/>
                <w:noProof/>
                <w:sz w:val="22"/>
              </w:rPr>
              <w:t>Vygotsky’s Sociocultural Learning Theory</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_Toc212881239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3</w:t>
            </w:r>
            <w:r w:rsidRPr="0078790C">
              <w:rPr>
                <w:rFonts w:ascii="Arial" w:hAnsi="Arial" w:cs="Arial"/>
                <w:noProof/>
                <w:webHidden/>
                <w:sz w:val="22"/>
              </w:rPr>
              <w:fldChar w:fldCharType="end"/>
            </w:r>
          </w:hyperlink>
        </w:p>
        <w:p w14:paraId="4C4726AC" w14:textId="51A9DC28" w:rsidR="0078790C" w:rsidRPr="0078790C" w:rsidRDefault="0078790C">
          <w:pPr>
            <w:pStyle w:val="TOC1"/>
            <w:tabs>
              <w:tab w:val="right" w:leader="dot" w:pos="9350"/>
            </w:tabs>
            <w:rPr>
              <w:rFonts w:ascii="Arial" w:eastAsiaTheme="minorEastAsia" w:hAnsi="Arial" w:cs="Arial"/>
              <w:noProof/>
              <w:sz w:val="22"/>
              <w:lang w:val="en-US"/>
            </w:rPr>
          </w:pPr>
          <w:hyperlink w:anchor="_Toc212881240" w:history="1">
            <w:r w:rsidRPr="0078790C">
              <w:rPr>
                <w:rStyle w:val="Hyperlink"/>
                <w:rFonts w:ascii="Arial" w:hAnsi="Arial" w:cs="Arial"/>
                <w:noProof/>
                <w:sz w:val="22"/>
                <w:lang w:val="en-US"/>
              </w:rPr>
              <w:t>Application of Theories in Dementia Care Settings</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_Toc212881240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4</w:t>
            </w:r>
            <w:r w:rsidRPr="0078790C">
              <w:rPr>
                <w:rFonts w:ascii="Arial" w:hAnsi="Arial" w:cs="Arial"/>
                <w:noProof/>
                <w:webHidden/>
                <w:sz w:val="22"/>
              </w:rPr>
              <w:fldChar w:fldCharType="end"/>
            </w:r>
          </w:hyperlink>
        </w:p>
        <w:p w14:paraId="60A36E66" w14:textId="0A308D39" w:rsidR="0078790C" w:rsidRPr="0078790C" w:rsidRDefault="0078790C">
          <w:pPr>
            <w:pStyle w:val="TOC2"/>
            <w:tabs>
              <w:tab w:val="right" w:leader="dot" w:pos="9350"/>
            </w:tabs>
            <w:rPr>
              <w:rFonts w:ascii="Arial" w:eastAsiaTheme="minorEastAsia" w:hAnsi="Arial" w:cs="Arial"/>
              <w:noProof/>
              <w:sz w:val="22"/>
              <w:lang w:val="en-US"/>
            </w:rPr>
          </w:pPr>
          <w:hyperlink w:anchor="_Toc212881241" w:history="1">
            <w:r w:rsidRPr="0078790C">
              <w:rPr>
                <w:rStyle w:val="Hyperlink"/>
                <w:rFonts w:ascii="Arial" w:hAnsi="Arial" w:cs="Arial"/>
                <w:noProof/>
                <w:sz w:val="22"/>
              </w:rPr>
              <w:t>Applying Erikson’s Theory in Dementia Care</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_Toc212881241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4</w:t>
            </w:r>
            <w:r w:rsidRPr="0078790C">
              <w:rPr>
                <w:rFonts w:ascii="Arial" w:hAnsi="Arial" w:cs="Arial"/>
                <w:noProof/>
                <w:webHidden/>
                <w:sz w:val="22"/>
              </w:rPr>
              <w:fldChar w:fldCharType="end"/>
            </w:r>
          </w:hyperlink>
        </w:p>
        <w:p w14:paraId="78CF17B1" w14:textId="697AA4BC" w:rsidR="0078790C" w:rsidRPr="0078790C" w:rsidRDefault="0078790C">
          <w:pPr>
            <w:pStyle w:val="TOC2"/>
            <w:tabs>
              <w:tab w:val="right" w:leader="dot" w:pos="9350"/>
            </w:tabs>
            <w:rPr>
              <w:rFonts w:ascii="Arial" w:eastAsiaTheme="minorEastAsia" w:hAnsi="Arial" w:cs="Arial"/>
              <w:noProof/>
              <w:sz w:val="22"/>
              <w:lang w:val="en-US"/>
            </w:rPr>
          </w:pPr>
          <w:hyperlink w:anchor="_Toc212881242" w:history="1">
            <w:r w:rsidRPr="0078790C">
              <w:rPr>
                <w:rStyle w:val="Hyperlink"/>
                <w:rFonts w:ascii="Arial" w:hAnsi="Arial" w:cs="Arial"/>
                <w:noProof/>
                <w:sz w:val="22"/>
              </w:rPr>
              <w:t>Applying Vygotsky’s Sociocultural Learning Theory in Dementia Care</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_Toc212881242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5</w:t>
            </w:r>
            <w:r w:rsidRPr="0078790C">
              <w:rPr>
                <w:rFonts w:ascii="Arial" w:hAnsi="Arial" w:cs="Arial"/>
                <w:noProof/>
                <w:webHidden/>
                <w:sz w:val="22"/>
              </w:rPr>
              <w:fldChar w:fldCharType="end"/>
            </w:r>
          </w:hyperlink>
        </w:p>
        <w:p w14:paraId="3BCCDCEF" w14:textId="28D6B46A" w:rsidR="0078790C" w:rsidRPr="0078790C" w:rsidRDefault="0078790C">
          <w:pPr>
            <w:pStyle w:val="TOC1"/>
            <w:tabs>
              <w:tab w:val="right" w:leader="dot" w:pos="9350"/>
            </w:tabs>
            <w:rPr>
              <w:rFonts w:ascii="Arial" w:eastAsiaTheme="minorEastAsia" w:hAnsi="Arial" w:cs="Arial"/>
              <w:noProof/>
              <w:sz w:val="22"/>
              <w:lang w:val="en-US"/>
            </w:rPr>
          </w:pPr>
          <w:hyperlink w:anchor="_Toc212881243" w:history="1">
            <w:r w:rsidRPr="0078790C">
              <w:rPr>
                <w:rStyle w:val="Hyperlink"/>
                <w:rFonts w:ascii="Arial" w:hAnsi="Arial" w:cs="Arial"/>
                <w:noProof/>
                <w:sz w:val="22"/>
                <w:lang w:val="en-US"/>
              </w:rPr>
              <w:t>Conclusion</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_Toc212881243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5</w:t>
            </w:r>
            <w:r w:rsidRPr="0078790C">
              <w:rPr>
                <w:rFonts w:ascii="Arial" w:hAnsi="Arial" w:cs="Arial"/>
                <w:noProof/>
                <w:webHidden/>
                <w:sz w:val="22"/>
              </w:rPr>
              <w:fldChar w:fldCharType="end"/>
            </w:r>
          </w:hyperlink>
        </w:p>
        <w:p w14:paraId="3D448B93" w14:textId="6A094C4A" w:rsidR="0078790C" w:rsidRPr="0078790C" w:rsidRDefault="0078790C">
          <w:pPr>
            <w:pStyle w:val="TOC1"/>
            <w:tabs>
              <w:tab w:val="right" w:leader="dot" w:pos="9350"/>
            </w:tabs>
            <w:rPr>
              <w:rFonts w:ascii="Arial" w:eastAsiaTheme="minorEastAsia" w:hAnsi="Arial" w:cs="Arial"/>
              <w:noProof/>
              <w:sz w:val="22"/>
              <w:lang w:val="en-US"/>
            </w:rPr>
          </w:pPr>
          <w:hyperlink w:anchor="_Toc212881244" w:history="1">
            <w:r w:rsidRPr="0078790C">
              <w:rPr>
                <w:rStyle w:val="Hyperlink"/>
                <w:rFonts w:ascii="Arial" w:hAnsi="Arial" w:cs="Arial"/>
                <w:noProof/>
                <w:sz w:val="22"/>
                <w:lang w:val="en-US"/>
              </w:rPr>
              <w:t>References</w:t>
            </w:r>
            <w:r w:rsidRPr="0078790C">
              <w:rPr>
                <w:rFonts w:ascii="Arial" w:hAnsi="Arial" w:cs="Arial"/>
                <w:noProof/>
                <w:webHidden/>
                <w:sz w:val="22"/>
              </w:rPr>
              <w:tab/>
            </w:r>
            <w:r w:rsidRPr="0078790C">
              <w:rPr>
                <w:rFonts w:ascii="Arial" w:hAnsi="Arial" w:cs="Arial"/>
                <w:noProof/>
                <w:webHidden/>
                <w:sz w:val="22"/>
              </w:rPr>
              <w:fldChar w:fldCharType="begin"/>
            </w:r>
            <w:r w:rsidRPr="0078790C">
              <w:rPr>
                <w:rFonts w:ascii="Arial" w:hAnsi="Arial" w:cs="Arial"/>
                <w:noProof/>
                <w:webHidden/>
                <w:sz w:val="22"/>
              </w:rPr>
              <w:instrText xml:space="preserve"> PAGEREF _Toc212881244 \h </w:instrText>
            </w:r>
            <w:r w:rsidRPr="0078790C">
              <w:rPr>
                <w:rFonts w:ascii="Arial" w:hAnsi="Arial" w:cs="Arial"/>
                <w:noProof/>
                <w:webHidden/>
                <w:sz w:val="22"/>
              </w:rPr>
            </w:r>
            <w:r w:rsidRPr="0078790C">
              <w:rPr>
                <w:rFonts w:ascii="Arial" w:hAnsi="Arial" w:cs="Arial"/>
                <w:noProof/>
                <w:webHidden/>
                <w:sz w:val="22"/>
              </w:rPr>
              <w:fldChar w:fldCharType="separate"/>
            </w:r>
            <w:r w:rsidRPr="0078790C">
              <w:rPr>
                <w:rFonts w:ascii="Arial" w:hAnsi="Arial" w:cs="Arial"/>
                <w:noProof/>
                <w:webHidden/>
                <w:sz w:val="22"/>
              </w:rPr>
              <w:t>6</w:t>
            </w:r>
            <w:r w:rsidRPr="0078790C">
              <w:rPr>
                <w:rFonts w:ascii="Arial" w:hAnsi="Arial" w:cs="Arial"/>
                <w:noProof/>
                <w:webHidden/>
                <w:sz w:val="22"/>
              </w:rPr>
              <w:fldChar w:fldCharType="end"/>
            </w:r>
          </w:hyperlink>
        </w:p>
        <w:p w14:paraId="72596ECB" w14:textId="27F8FD4E" w:rsidR="004A4D93" w:rsidRPr="0078790C" w:rsidRDefault="00000000" w:rsidP="00B071DB">
          <w:pPr>
            <w:rPr>
              <w:rFonts w:ascii="Arial" w:hAnsi="Arial" w:cs="Arial"/>
              <w:sz w:val="22"/>
            </w:rPr>
          </w:pPr>
          <w:r w:rsidRPr="0078790C">
            <w:rPr>
              <w:rFonts w:ascii="Arial" w:hAnsi="Arial" w:cs="Arial"/>
              <w:b/>
              <w:bCs/>
              <w:noProof/>
              <w:sz w:val="22"/>
            </w:rPr>
            <w:fldChar w:fldCharType="end"/>
          </w:r>
        </w:p>
      </w:sdtContent>
    </w:sdt>
    <w:p w14:paraId="4F6262FF" w14:textId="77777777" w:rsidR="0022354F" w:rsidRPr="0078790C" w:rsidRDefault="0022354F" w:rsidP="00B071DB">
      <w:pPr>
        <w:rPr>
          <w:rFonts w:ascii="Arial" w:hAnsi="Arial" w:cs="Arial"/>
          <w:sz w:val="22"/>
        </w:rPr>
      </w:pPr>
    </w:p>
    <w:p w14:paraId="16B2D675" w14:textId="77777777" w:rsidR="0022354F" w:rsidRPr="0078790C" w:rsidRDefault="0022354F" w:rsidP="00B071DB">
      <w:pPr>
        <w:rPr>
          <w:rFonts w:ascii="Arial" w:hAnsi="Arial" w:cs="Arial"/>
          <w:sz w:val="22"/>
        </w:rPr>
      </w:pPr>
    </w:p>
    <w:p w14:paraId="62A44526" w14:textId="52FDB4EB" w:rsidR="00127FD4" w:rsidRPr="0078790C" w:rsidRDefault="00000000" w:rsidP="00B071DB">
      <w:pPr>
        <w:rPr>
          <w:rFonts w:ascii="Arial" w:hAnsi="Arial" w:cs="Arial"/>
          <w:sz w:val="22"/>
        </w:rPr>
      </w:pPr>
      <w:r w:rsidRPr="0078790C">
        <w:rPr>
          <w:rFonts w:ascii="Arial" w:hAnsi="Arial" w:cs="Arial"/>
          <w:sz w:val="22"/>
        </w:rPr>
        <w:br w:type="page"/>
      </w:r>
    </w:p>
    <w:p w14:paraId="53653395" w14:textId="395D6B10" w:rsidR="00ED18DB" w:rsidRPr="0078790C" w:rsidRDefault="00000000" w:rsidP="00B071DB">
      <w:pPr>
        <w:pStyle w:val="Heading1"/>
        <w:spacing w:after="160"/>
        <w:rPr>
          <w:rFonts w:ascii="Arial" w:hAnsi="Arial" w:cs="Arial"/>
          <w:sz w:val="22"/>
          <w:szCs w:val="22"/>
          <w:lang w:val="en-US"/>
        </w:rPr>
      </w:pPr>
      <w:bookmarkStart w:id="0" w:name="_Toc212881236"/>
      <w:r w:rsidRPr="0078790C">
        <w:rPr>
          <w:rFonts w:ascii="Arial" w:hAnsi="Arial" w:cs="Arial"/>
          <w:sz w:val="22"/>
          <w:szCs w:val="22"/>
          <w:lang w:val="en-US"/>
        </w:rPr>
        <w:lastRenderedPageBreak/>
        <w:t>Introduction</w:t>
      </w:r>
      <w:bookmarkEnd w:id="0"/>
    </w:p>
    <w:p w14:paraId="3B0B87C4" w14:textId="747E34F5" w:rsidR="0004018E" w:rsidRPr="0078790C" w:rsidRDefault="00000000" w:rsidP="00B071DB">
      <w:pPr>
        <w:rPr>
          <w:rFonts w:ascii="Arial" w:hAnsi="Arial" w:cs="Arial"/>
          <w:sz w:val="22"/>
          <w:lang w:val="en-US"/>
        </w:rPr>
      </w:pPr>
      <w:r w:rsidRPr="0078790C">
        <w:rPr>
          <w:rFonts w:ascii="Arial" w:hAnsi="Arial" w:cs="Arial"/>
          <w:sz w:val="22"/>
          <w:lang w:val="en-US"/>
        </w:rPr>
        <w:t xml:space="preserve">Dementia patients in nursing homes always face various mental issues, such as anxiety, depression, confusion, and decreased self-determination. Dementia causes progressive impairment of cognitive functioning, memory, and emotional regulation, causing distress and loss of identity (Błaszczyk, 2022). With the ageing population, nurturing the psychological well-being of the residents has become a key objective in health and social care. Knowledge and practice of psychological theories will help the professional to deliver interventions in a way that fosters dignity, continuity of self, and positive emotional changes. The present report examines how the Psychosocial Theory of Development, created by Erikson and </w:t>
      </w:r>
      <w:r w:rsidR="00D66BDA" w:rsidRPr="0078790C">
        <w:rPr>
          <w:rFonts w:ascii="Arial" w:hAnsi="Arial" w:cs="Arial"/>
          <w:sz w:val="22"/>
          <w:lang w:val="en-US"/>
        </w:rPr>
        <w:t xml:space="preserve">Vygotsky's Sociocultural Learning Theory, </w:t>
      </w:r>
      <w:r w:rsidRPr="0078790C">
        <w:rPr>
          <w:rFonts w:ascii="Arial" w:hAnsi="Arial" w:cs="Arial"/>
          <w:sz w:val="22"/>
          <w:lang w:val="en-US"/>
        </w:rPr>
        <w:t xml:space="preserve">can be used to address the issues affecting older adults with prescribed dementia (Orenstein et al., 2022). The two theories present some useful insights into their behavioural and emotional reactions, integrating empathy, validation, and significant engagement as the main guidelines in good dementia care (Dupuis et al., 2025). Their use can positively increase personhood, emotional stability and overall quality of life. </w:t>
      </w:r>
    </w:p>
    <w:p w14:paraId="68027F13" w14:textId="77777777" w:rsidR="0091407A" w:rsidRPr="0078790C" w:rsidRDefault="0091407A" w:rsidP="00B071DB">
      <w:pPr>
        <w:tabs>
          <w:tab w:val="left" w:pos="3377"/>
        </w:tabs>
        <w:rPr>
          <w:rFonts w:ascii="Arial" w:hAnsi="Arial" w:cs="Arial"/>
          <w:sz w:val="22"/>
          <w:lang w:val="en-US"/>
        </w:rPr>
      </w:pPr>
    </w:p>
    <w:p w14:paraId="6C78BA49" w14:textId="3EA8EAFB" w:rsidR="00ED18DB" w:rsidRPr="0078790C" w:rsidRDefault="00000000" w:rsidP="00B071DB">
      <w:pPr>
        <w:pStyle w:val="Heading1"/>
        <w:spacing w:after="160"/>
        <w:rPr>
          <w:rFonts w:ascii="Arial" w:hAnsi="Arial" w:cs="Arial"/>
          <w:sz w:val="22"/>
          <w:szCs w:val="22"/>
          <w:lang w:val="en-US"/>
        </w:rPr>
      </w:pPr>
      <w:bookmarkStart w:id="1" w:name="_Toc212881237"/>
      <w:r w:rsidRPr="0078790C">
        <w:rPr>
          <w:rFonts w:ascii="Arial" w:hAnsi="Arial" w:cs="Arial"/>
          <w:sz w:val="22"/>
          <w:szCs w:val="22"/>
          <w:lang w:val="en-US"/>
        </w:rPr>
        <w:t>Overview of Two Relevant Psychological Theories</w:t>
      </w:r>
      <w:bookmarkEnd w:id="1"/>
    </w:p>
    <w:p w14:paraId="466C719A" w14:textId="52457966" w:rsidR="00ED18DB" w:rsidRPr="0078790C" w:rsidRDefault="00000000" w:rsidP="00FC7B1E">
      <w:pPr>
        <w:pStyle w:val="Heading2"/>
        <w:rPr>
          <w:szCs w:val="22"/>
        </w:rPr>
      </w:pPr>
      <w:bookmarkStart w:id="2" w:name="_Toc212881238"/>
      <w:r w:rsidRPr="0078790C">
        <w:rPr>
          <w:szCs w:val="22"/>
        </w:rPr>
        <w:t>Erikson’s Psychosocial Theory of Development</w:t>
      </w:r>
      <w:bookmarkEnd w:id="2"/>
    </w:p>
    <w:p w14:paraId="00CB3B28" w14:textId="5DA58919" w:rsidR="009809F7" w:rsidRPr="0078790C" w:rsidRDefault="00000000" w:rsidP="00B071DB">
      <w:pPr>
        <w:rPr>
          <w:rFonts w:ascii="Arial" w:hAnsi="Arial" w:cs="Arial"/>
          <w:sz w:val="22"/>
          <w:lang w:val="en-US"/>
        </w:rPr>
      </w:pPr>
      <w:r w:rsidRPr="0078790C">
        <w:rPr>
          <w:rFonts w:ascii="Arial" w:hAnsi="Arial" w:cs="Arial"/>
          <w:sz w:val="22"/>
          <w:lang w:val="en-US"/>
        </w:rPr>
        <w:t xml:space="preserve">The Psychosocial Theory of Development introduced by Erikson assumes that every person goes through eight stages of life, each of which corresponds to a particular psychosocial conflict (Maree, 2022). Late adulthood with the stage of Ego Integrity vs. Despair is central </w:t>
      </w:r>
      <w:proofErr w:type="gramStart"/>
      <w:r w:rsidRPr="0078790C">
        <w:rPr>
          <w:rFonts w:ascii="Arial" w:hAnsi="Arial" w:cs="Arial"/>
          <w:sz w:val="22"/>
          <w:lang w:val="en-US"/>
        </w:rPr>
        <w:t>at</w:t>
      </w:r>
      <w:proofErr w:type="gramEnd"/>
      <w:r w:rsidRPr="0078790C">
        <w:rPr>
          <w:rFonts w:ascii="Arial" w:hAnsi="Arial" w:cs="Arial"/>
          <w:sz w:val="22"/>
          <w:lang w:val="en-US"/>
        </w:rPr>
        <w:t xml:space="preserve"> old age when individuals sum up their experiences and come to some conclusion </w:t>
      </w:r>
      <w:proofErr w:type="gramStart"/>
      <w:r w:rsidRPr="0078790C">
        <w:rPr>
          <w:rFonts w:ascii="Arial" w:hAnsi="Arial" w:cs="Arial"/>
          <w:sz w:val="22"/>
          <w:lang w:val="en-US"/>
        </w:rPr>
        <w:t>of</w:t>
      </w:r>
      <w:proofErr w:type="gramEnd"/>
      <w:r w:rsidRPr="0078790C">
        <w:rPr>
          <w:rFonts w:ascii="Arial" w:hAnsi="Arial" w:cs="Arial"/>
          <w:sz w:val="22"/>
          <w:lang w:val="en-US"/>
        </w:rPr>
        <w:t xml:space="preserve"> their life </w:t>
      </w:r>
      <w:proofErr w:type="gramStart"/>
      <w:r w:rsidRPr="0078790C">
        <w:rPr>
          <w:rFonts w:ascii="Arial" w:hAnsi="Arial" w:cs="Arial"/>
          <w:sz w:val="22"/>
          <w:lang w:val="en-US"/>
        </w:rPr>
        <w:t>so as to</w:t>
      </w:r>
      <w:proofErr w:type="gramEnd"/>
      <w:r w:rsidRPr="0078790C">
        <w:rPr>
          <w:rFonts w:ascii="Arial" w:hAnsi="Arial" w:cs="Arial"/>
          <w:sz w:val="22"/>
          <w:lang w:val="en-US"/>
        </w:rPr>
        <w:t xml:space="preserve"> get some fulfilment. Overcoming this phase leads to ego integrity, a sense of wisdom and acceptance, and failure leads to despair, a state of remorse, and death anxiety (Stokke, 2024). It is also complex, as memory loss and impaired autobiographical continuity commonly accompany older adult dementia patients, with past and present experiences being hard to integrate. It is emphasi</w:t>
      </w:r>
      <w:r w:rsidR="00DA15F3" w:rsidRPr="0078790C">
        <w:rPr>
          <w:rFonts w:ascii="Arial" w:hAnsi="Arial" w:cs="Arial"/>
          <w:sz w:val="22"/>
          <w:lang w:val="en-US"/>
        </w:rPr>
        <w:t>s</w:t>
      </w:r>
      <w:r w:rsidRPr="0078790C">
        <w:rPr>
          <w:rFonts w:ascii="Arial" w:hAnsi="Arial" w:cs="Arial"/>
          <w:sz w:val="22"/>
          <w:lang w:val="en-US"/>
        </w:rPr>
        <w:t xml:space="preserve">ed that reminiscence and life review therapies may be useful to maintain identity and enhance emotional well-being, as they allow the person to return to significant life occasions (Hukkeri and Sujatha, 2023). Błaszczyk (2022) also underlines that the ability to be self-sufficient, even in cases of cognitive impairment, increases self-esteem and emotional stability. In this way, the model presented by Erikson can be of great value to the health and social care practitioners, as personal reflection, validation, and sustainability of identity in dementia care should be encouraged to reduce hopelessness and facilitate psychological adaptation toward the end of life. </w:t>
      </w:r>
    </w:p>
    <w:p w14:paraId="39D1F427" w14:textId="77777777" w:rsidR="00AF37DB" w:rsidRPr="0078790C" w:rsidRDefault="00AF37DB" w:rsidP="00516AD4">
      <w:pPr>
        <w:tabs>
          <w:tab w:val="left" w:pos="3377"/>
        </w:tabs>
        <w:rPr>
          <w:rFonts w:ascii="Arial" w:hAnsi="Arial" w:cs="Arial"/>
          <w:sz w:val="22"/>
          <w:lang w:val="en-US"/>
        </w:rPr>
      </w:pPr>
    </w:p>
    <w:p w14:paraId="6F848E85" w14:textId="5426900A" w:rsidR="00516AD4" w:rsidRPr="0078790C" w:rsidRDefault="00000000" w:rsidP="00FC7B1E">
      <w:pPr>
        <w:pStyle w:val="Heading2"/>
        <w:rPr>
          <w:szCs w:val="22"/>
        </w:rPr>
      </w:pPr>
      <w:bookmarkStart w:id="3" w:name="_Toc212881239"/>
      <w:r w:rsidRPr="0078790C">
        <w:rPr>
          <w:szCs w:val="22"/>
        </w:rPr>
        <w:t>Vygotsky’s Sociocultural Learning Theory</w:t>
      </w:r>
      <w:bookmarkEnd w:id="3"/>
    </w:p>
    <w:p w14:paraId="7DFFF98B" w14:textId="4FB1BB79" w:rsidR="00FC7B1E" w:rsidRPr="0078790C" w:rsidRDefault="00000000" w:rsidP="00516AD4">
      <w:pPr>
        <w:tabs>
          <w:tab w:val="left" w:pos="3377"/>
        </w:tabs>
        <w:rPr>
          <w:rFonts w:ascii="Arial" w:hAnsi="Arial" w:cs="Arial"/>
          <w:sz w:val="22"/>
          <w:highlight w:val="yellow"/>
          <w:lang w:val="en-US"/>
        </w:rPr>
      </w:pPr>
      <w:r w:rsidRPr="0078790C">
        <w:rPr>
          <w:rFonts w:ascii="Arial" w:hAnsi="Arial" w:cs="Arial"/>
          <w:sz w:val="22"/>
          <w:lang w:val="en-US"/>
        </w:rPr>
        <w:t xml:space="preserve">The Sociocultural Learning Theory by Vygotsky stresses that learning and cognitive development are initially social processes which exist and develop through interaction, communication and the surrounding culture. According to the theory, people learn together due to cooperative interaction and by utilising cultural instruments, like language, experiences, social </w:t>
      </w:r>
      <w:r w:rsidRPr="0078790C">
        <w:rPr>
          <w:rFonts w:ascii="Arial" w:hAnsi="Arial" w:cs="Arial"/>
          <w:sz w:val="22"/>
          <w:lang w:val="en-US"/>
        </w:rPr>
        <w:lastRenderedPageBreak/>
        <w:t xml:space="preserve">expectations, etc. (Alkhudiry, 2022). The crucial concept in this model is also the Zone of Proximal Development (ZPD), which is the difference between what a learner could do on their own and what they </w:t>
      </w:r>
      <w:proofErr w:type="gramStart"/>
      <w:r w:rsidRPr="0078790C">
        <w:rPr>
          <w:rFonts w:ascii="Arial" w:hAnsi="Arial" w:cs="Arial"/>
          <w:sz w:val="22"/>
          <w:lang w:val="en-US"/>
        </w:rPr>
        <w:t>are capable of doing</w:t>
      </w:r>
      <w:proofErr w:type="gramEnd"/>
      <w:r w:rsidRPr="0078790C">
        <w:rPr>
          <w:rFonts w:ascii="Arial" w:hAnsi="Arial" w:cs="Arial"/>
          <w:sz w:val="22"/>
          <w:lang w:val="en-US"/>
        </w:rPr>
        <w:t xml:space="preserve"> with sufficient help or scaffolds. The principle is very applicable in dementia care, whereby the person might be partly impaired in cognitive and communicative efforts, and instead, it can be enhanced using organised social care. It has been observed that long-term interpersonal contact serves to keep the mind active, prevents ageing, and promotes a feeling of belonging in older people (Piolatto et al., 2022). An example of these is social learning interventions, including group storytelling or joint-art therapy, enabling residents to perform some tasks under the supervision of staff and, in fact, within their ZPD (Grossen et al., 2022). In this way, the therapeutic importance of social and cultural involvement in dementia care through the Vygotsky framework is founded on the value of maintaining psychological well-being.</w:t>
      </w:r>
    </w:p>
    <w:p w14:paraId="23BE7432" w14:textId="77777777" w:rsidR="00BD60FB" w:rsidRPr="0078790C" w:rsidRDefault="00BD60FB" w:rsidP="00516AD4">
      <w:pPr>
        <w:tabs>
          <w:tab w:val="left" w:pos="3377"/>
        </w:tabs>
        <w:rPr>
          <w:rFonts w:ascii="Arial" w:hAnsi="Arial" w:cs="Arial"/>
          <w:sz w:val="22"/>
          <w:lang w:val="en-US"/>
        </w:rPr>
      </w:pPr>
    </w:p>
    <w:p w14:paraId="406DA177" w14:textId="08B702D3" w:rsidR="00ED18DB" w:rsidRPr="0078790C" w:rsidRDefault="00000000" w:rsidP="00B071DB">
      <w:pPr>
        <w:pStyle w:val="Heading1"/>
        <w:spacing w:after="160"/>
        <w:rPr>
          <w:rFonts w:ascii="Arial" w:hAnsi="Arial" w:cs="Arial"/>
          <w:sz w:val="22"/>
          <w:szCs w:val="22"/>
          <w:lang w:val="en-US"/>
        </w:rPr>
      </w:pPr>
      <w:bookmarkStart w:id="4" w:name="_Toc212881240"/>
      <w:r w:rsidRPr="0078790C">
        <w:rPr>
          <w:rFonts w:ascii="Arial" w:hAnsi="Arial" w:cs="Arial"/>
          <w:sz w:val="22"/>
          <w:szCs w:val="22"/>
          <w:lang w:val="en-US"/>
        </w:rPr>
        <w:t>Application of Theories in Dementia Care Settings</w:t>
      </w:r>
      <w:bookmarkEnd w:id="4"/>
    </w:p>
    <w:p w14:paraId="7057176B" w14:textId="5CF16A2A" w:rsidR="00ED18DB" w:rsidRPr="0078790C" w:rsidRDefault="00000000" w:rsidP="00FC7B1E">
      <w:pPr>
        <w:pStyle w:val="Heading2"/>
        <w:rPr>
          <w:szCs w:val="22"/>
        </w:rPr>
      </w:pPr>
      <w:bookmarkStart w:id="5" w:name="_Toc212881241"/>
      <w:r w:rsidRPr="0078790C">
        <w:rPr>
          <w:szCs w:val="22"/>
        </w:rPr>
        <w:t>Applying Erikson’s Theory in Dementia Care</w:t>
      </w:r>
      <w:bookmarkEnd w:id="5"/>
    </w:p>
    <w:p w14:paraId="57D4B211" w14:textId="5CCBF467" w:rsidR="00BC6E46" w:rsidRPr="0078790C" w:rsidRDefault="00000000" w:rsidP="00B071DB">
      <w:pPr>
        <w:rPr>
          <w:rFonts w:ascii="Arial" w:hAnsi="Arial" w:cs="Arial"/>
          <w:sz w:val="22"/>
          <w:highlight w:val="yellow"/>
          <w:lang w:val="en-US"/>
        </w:rPr>
      </w:pPr>
      <w:r w:rsidRPr="0078790C">
        <w:rPr>
          <w:rFonts w:ascii="Arial" w:hAnsi="Arial" w:cs="Arial"/>
          <w:sz w:val="22"/>
          <w:lang w:val="en-US"/>
        </w:rPr>
        <w:t>The Psychosocial Theory of Development by Erikson is helpful in dementia care to understand how to enhance the emotional well-being and identity continuity in older adults. The late-life phase of Ego Integrity versus Despair revolves around contemplation and acceptance of life experience, which is usually interrupted by mental impairments of dementia. Reminiscence therapy and life story work are some of the interventions that operationalise the concepts of Erikson because they give people a chance to reconnect with important experiences in their lives, and they support the sense of self and meaning. Alcantara (2024) established that reminiscence therapy contributed to the improvement of mood, cognition and sociali</w:t>
      </w:r>
      <w:r w:rsidR="00DA15F3" w:rsidRPr="0078790C">
        <w:rPr>
          <w:rFonts w:ascii="Arial" w:hAnsi="Arial" w:cs="Arial"/>
          <w:sz w:val="22"/>
          <w:lang w:val="en-US"/>
        </w:rPr>
        <w:t>s</w:t>
      </w:r>
      <w:r w:rsidRPr="0078790C">
        <w:rPr>
          <w:rFonts w:ascii="Arial" w:hAnsi="Arial" w:cs="Arial"/>
          <w:sz w:val="22"/>
          <w:lang w:val="en-US"/>
        </w:rPr>
        <w:t xml:space="preserve">ation among dementia residents by a significant margin, indicating that it is developmentally congruent with Eriksonian developmental goals. Equally, Hukkeri and Sujatha (2023) claimed that structured life review boosts ego integrity since it enables </w:t>
      </w:r>
      <w:proofErr w:type="gramStart"/>
      <w:r w:rsidRPr="0078790C">
        <w:rPr>
          <w:rFonts w:ascii="Arial" w:hAnsi="Arial" w:cs="Arial"/>
          <w:sz w:val="22"/>
          <w:lang w:val="en-US"/>
        </w:rPr>
        <w:t>persons</w:t>
      </w:r>
      <w:proofErr w:type="gramEnd"/>
      <w:r w:rsidRPr="0078790C">
        <w:rPr>
          <w:rFonts w:ascii="Arial" w:hAnsi="Arial" w:cs="Arial"/>
          <w:sz w:val="22"/>
          <w:lang w:val="en-US"/>
        </w:rPr>
        <w:t xml:space="preserve"> to assert self-worth and resolve an inner conflict. Nonetheless, Bblaszczyk (2022) critici</w:t>
      </w:r>
      <w:r w:rsidR="00DA15F3" w:rsidRPr="0078790C">
        <w:rPr>
          <w:rFonts w:ascii="Arial" w:hAnsi="Arial" w:cs="Arial"/>
          <w:sz w:val="22"/>
          <w:lang w:val="en-US"/>
        </w:rPr>
        <w:t>s</w:t>
      </w:r>
      <w:r w:rsidRPr="0078790C">
        <w:rPr>
          <w:rFonts w:ascii="Arial" w:hAnsi="Arial" w:cs="Arial"/>
          <w:sz w:val="22"/>
          <w:lang w:val="en-US"/>
        </w:rPr>
        <w:t>e that reconstruction of identity in dementia goes beyond memory recall and involves delicate facilitation that legitimi</w:t>
      </w:r>
      <w:r w:rsidR="00DA15F3" w:rsidRPr="0078790C">
        <w:rPr>
          <w:rFonts w:ascii="Arial" w:hAnsi="Arial" w:cs="Arial"/>
          <w:sz w:val="22"/>
          <w:lang w:val="en-US"/>
        </w:rPr>
        <w:t>s</w:t>
      </w:r>
      <w:r w:rsidRPr="0078790C">
        <w:rPr>
          <w:rFonts w:ascii="Arial" w:hAnsi="Arial" w:cs="Arial"/>
          <w:sz w:val="22"/>
          <w:lang w:val="en-US"/>
        </w:rPr>
        <w:t xml:space="preserve">es fragmented memories instead of applying coherence. </w:t>
      </w:r>
    </w:p>
    <w:p w14:paraId="2DB89101" w14:textId="59DC2789" w:rsidR="00371F12" w:rsidRPr="0078790C" w:rsidRDefault="00000000" w:rsidP="00371F12">
      <w:pPr>
        <w:rPr>
          <w:rFonts w:ascii="Arial" w:hAnsi="Arial" w:cs="Arial"/>
          <w:sz w:val="22"/>
          <w:lang w:val="en-US"/>
        </w:rPr>
      </w:pPr>
      <w:r w:rsidRPr="0078790C">
        <w:rPr>
          <w:rFonts w:ascii="Arial" w:hAnsi="Arial" w:cs="Arial"/>
          <w:sz w:val="22"/>
          <w:lang w:val="en-US"/>
        </w:rPr>
        <w:t>This approach is complemented by validation therapy as articulated by Feil, which emphasi</w:t>
      </w:r>
      <w:r w:rsidR="00DA15F3" w:rsidRPr="0078790C">
        <w:rPr>
          <w:rFonts w:ascii="Arial" w:hAnsi="Arial" w:cs="Arial"/>
          <w:sz w:val="22"/>
          <w:lang w:val="en-US"/>
        </w:rPr>
        <w:t>s</w:t>
      </w:r>
      <w:r w:rsidRPr="0078790C">
        <w:rPr>
          <w:rFonts w:ascii="Arial" w:hAnsi="Arial" w:cs="Arial"/>
          <w:sz w:val="22"/>
          <w:lang w:val="en-US"/>
        </w:rPr>
        <w:t xml:space="preserve">es emotional truth over factual remedies. This is a way of endorsing the mood and perceptions of residents, limiting agitation and depressive symptoms. There is empirical evidence that it is effective to improve communication and emotional stability (Ghiglino and Wykowska, 2025). To practitioners, the implementation of Erikson principles leads to empathy, patience and better relations to enhance the </w:t>
      </w:r>
      <w:proofErr w:type="gramStart"/>
      <w:r w:rsidRPr="0078790C">
        <w:rPr>
          <w:rFonts w:ascii="Arial" w:hAnsi="Arial" w:cs="Arial"/>
          <w:sz w:val="22"/>
          <w:lang w:val="en-US"/>
        </w:rPr>
        <w:t>quality of care</w:t>
      </w:r>
      <w:proofErr w:type="gramEnd"/>
      <w:r w:rsidRPr="0078790C">
        <w:rPr>
          <w:rFonts w:ascii="Arial" w:hAnsi="Arial" w:cs="Arial"/>
          <w:sz w:val="22"/>
          <w:lang w:val="en-US"/>
        </w:rPr>
        <w:t xml:space="preserve"> delivery and trust between the residents. However, real-life inhibitors like the shortage of personnel and time tend to restrain individualised interventions. According to Dupuis et al. (2025), the organisational practices are more likely to focus on efficiency instead of emotional attachment at the price of psychosocial care. The recommended strategies to mitigate such issues are to incorporate reminiscence into normal interactions, as observed in meal routines or other daily activities, such as the use of photos, and interdisciplinary partnership among nurses, psychologists, and occupational therapists. </w:t>
      </w:r>
      <w:r w:rsidRPr="0078790C">
        <w:rPr>
          <w:rFonts w:ascii="Arial" w:hAnsi="Arial" w:cs="Arial"/>
          <w:sz w:val="22"/>
          <w:lang w:val="en-US"/>
        </w:rPr>
        <w:lastRenderedPageBreak/>
        <w:t>Supervisory self-reflection can be used to offer emotional tension on the part of professionals as well. Finally, a culture towards late adulthood that promotes dignity and significance in dementia care is facilitated by the application of Erikson's framework in dementia care.</w:t>
      </w:r>
    </w:p>
    <w:p w14:paraId="6DE58BB5" w14:textId="77777777" w:rsidR="00371F12" w:rsidRPr="0078790C" w:rsidRDefault="00371F12" w:rsidP="00371F12">
      <w:pPr>
        <w:rPr>
          <w:rFonts w:ascii="Arial" w:hAnsi="Arial" w:cs="Arial"/>
          <w:sz w:val="22"/>
          <w:lang w:val="en-US"/>
        </w:rPr>
      </w:pPr>
    </w:p>
    <w:p w14:paraId="57D716C2" w14:textId="2BD78536" w:rsidR="0016696C" w:rsidRPr="0078790C" w:rsidRDefault="00000000" w:rsidP="00FC7B1E">
      <w:pPr>
        <w:pStyle w:val="Heading2"/>
        <w:rPr>
          <w:szCs w:val="22"/>
        </w:rPr>
      </w:pPr>
      <w:bookmarkStart w:id="6" w:name="_Toc212881242"/>
      <w:r w:rsidRPr="0078790C">
        <w:rPr>
          <w:szCs w:val="22"/>
        </w:rPr>
        <w:t>Applying Vygotsky’s Sociocultural Learning Theory in Dementia Care</w:t>
      </w:r>
      <w:bookmarkEnd w:id="6"/>
    </w:p>
    <w:p w14:paraId="0179E24E" w14:textId="50E93A69" w:rsidR="005E60A2" w:rsidRPr="0078790C" w:rsidRDefault="00000000" w:rsidP="007D0091">
      <w:pPr>
        <w:rPr>
          <w:rFonts w:ascii="Arial" w:hAnsi="Arial" w:cs="Arial"/>
          <w:sz w:val="22"/>
          <w:lang w:val="en-US"/>
        </w:rPr>
      </w:pPr>
      <w:r w:rsidRPr="0078790C">
        <w:rPr>
          <w:rFonts w:ascii="Arial" w:hAnsi="Arial" w:cs="Arial"/>
          <w:sz w:val="22"/>
          <w:lang w:val="en-US"/>
        </w:rPr>
        <w:t>The application of Sociocultural Learning Theory in dementia care by Vygotsky shows that socialisation and structured interaction seem to be crucial processes of preserving cognitive and emotional abilities in older adults. The theory argues that learning and development are socially based, and that knowledge and skills are acquired with the assistance of other people in social situations (Alkudiry, 2022). In a dementia care setting, such social scaffolding can help the residents operate in their ZPD, the difference between what they can do on their own and what they can do with assistance. To facilitate a delay of cognitive decline, Piolotto et al. (2022) contend that organised social interaction enhances neural connectivity and supports emotional stability. Group activities like art, music and storytelling offer a chance to participate in common activities and get to express feelings, hence professional facilitation becomes the scaffold that enables the residents to be meaningful despite their impairments. To illustrate this, Gascon et al. (2025) established that in dementia patients, collaborative art sessions enhanced mood and sociali</w:t>
      </w:r>
      <w:r w:rsidR="0078790C" w:rsidRPr="0078790C">
        <w:rPr>
          <w:rFonts w:ascii="Arial" w:hAnsi="Arial" w:cs="Arial"/>
          <w:sz w:val="22"/>
          <w:lang w:val="en-US"/>
        </w:rPr>
        <w:t>s</w:t>
      </w:r>
      <w:r w:rsidRPr="0078790C">
        <w:rPr>
          <w:rFonts w:ascii="Arial" w:hAnsi="Arial" w:cs="Arial"/>
          <w:sz w:val="22"/>
          <w:lang w:val="en-US"/>
        </w:rPr>
        <w:t>ation in dementia, which confirms the Vygotskian assumption of social learning in maintaining cognitive energy.</w:t>
      </w:r>
    </w:p>
    <w:p w14:paraId="4C308950" w14:textId="32FEB98D" w:rsidR="005E60A2" w:rsidRPr="0078790C" w:rsidRDefault="00000000" w:rsidP="007D0091">
      <w:pPr>
        <w:rPr>
          <w:rFonts w:ascii="Arial" w:hAnsi="Arial" w:cs="Arial"/>
          <w:sz w:val="22"/>
          <w:lang w:val="en-US"/>
        </w:rPr>
      </w:pPr>
      <w:r w:rsidRPr="0078790C">
        <w:rPr>
          <w:rFonts w:ascii="Arial" w:hAnsi="Arial" w:cs="Arial"/>
          <w:sz w:val="22"/>
          <w:lang w:val="en-US"/>
        </w:rPr>
        <w:t>Nonetheless, the practical use of this theory in dementia care does not come without issues. Differences in individual cognitive ability may prevent equal participation by residents, which leads to frustrations or a lack of attention (Grossen et al., 2022). In addition, the carers might not be trained in how to scaffold communication or get activities to be individuali</w:t>
      </w:r>
      <w:r w:rsidR="0078790C" w:rsidRPr="0078790C">
        <w:rPr>
          <w:rFonts w:ascii="Arial" w:hAnsi="Arial" w:cs="Arial"/>
          <w:sz w:val="22"/>
          <w:lang w:val="en-US"/>
        </w:rPr>
        <w:t>s</w:t>
      </w:r>
      <w:r w:rsidRPr="0078790C">
        <w:rPr>
          <w:rFonts w:ascii="Arial" w:hAnsi="Arial" w:cs="Arial"/>
          <w:sz w:val="22"/>
          <w:lang w:val="en-US"/>
        </w:rPr>
        <w:t>ed. Ryan et al. (2024) criticise that unless the intervention is personalised and structured with routines, the social intervention can be superficial, which will provide limited cognitive stimulation. To serve as possible solutions, the staff is advised to use individualised scaffolding, adjusting prompts and tasks to the capabilities of each resident, and to follow routine social patterns to develop familiarity and comfort (Park et al., 2024). Professional communication training may also serve to increase competence in non-verbal communication so that interactions are emotionally responsive. Finally, the implementation of the principles of Vygotsky will turn the social engagement into a form of therapy rather than passive reproduction that would include, empower, and promote psychological well-being in dementia care.</w:t>
      </w:r>
    </w:p>
    <w:p w14:paraId="613E0784" w14:textId="77777777" w:rsidR="00214C8C" w:rsidRPr="0078790C" w:rsidRDefault="00214C8C" w:rsidP="007D0091">
      <w:pPr>
        <w:rPr>
          <w:rFonts w:ascii="Arial" w:hAnsi="Arial" w:cs="Arial"/>
          <w:sz w:val="22"/>
          <w:lang w:val="en-US"/>
        </w:rPr>
      </w:pPr>
    </w:p>
    <w:p w14:paraId="7EE00B55" w14:textId="7D411BD2" w:rsidR="00ED18DB" w:rsidRPr="0078790C" w:rsidRDefault="00000000" w:rsidP="00B071DB">
      <w:pPr>
        <w:pStyle w:val="Heading1"/>
        <w:spacing w:after="160"/>
        <w:rPr>
          <w:rFonts w:ascii="Arial" w:hAnsi="Arial" w:cs="Arial"/>
          <w:sz w:val="22"/>
          <w:szCs w:val="22"/>
          <w:lang w:val="en-US"/>
        </w:rPr>
      </w:pPr>
      <w:bookmarkStart w:id="7" w:name="_Toc212881243"/>
      <w:r w:rsidRPr="0078790C">
        <w:rPr>
          <w:rFonts w:ascii="Arial" w:hAnsi="Arial" w:cs="Arial"/>
          <w:sz w:val="22"/>
          <w:szCs w:val="22"/>
          <w:lang w:val="en-US"/>
        </w:rPr>
        <w:t>Conclusion</w:t>
      </w:r>
      <w:bookmarkEnd w:id="7"/>
    </w:p>
    <w:p w14:paraId="2C62E9A4" w14:textId="28A0B45E" w:rsidR="00FA69F4" w:rsidRPr="0078790C" w:rsidRDefault="00000000" w:rsidP="00593409">
      <w:pPr>
        <w:rPr>
          <w:rFonts w:ascii="Arial" w:hAnsi="Arial" w:cs="Arial"/>
          <w:sz w:val="22"/>
          <w:lang w:val="en-US"/>
        </w:rPr>
      </w:pPr>
      <w:r w:rsidRPr="0078790C">
        <w:rPr>
          <w:rFonts w:ascii="Arial" w:hAnsi="Arial" w:cs="Arial"/>
          <w:sz w:val="22"/>
          <w:lang w:val="en-US"/>
        </w:rPr>
        <w:t xml:space="preserve">Psychological theories are used as an explanation and fulfilment of the complicated emotional and behavioural needs of dementia care of older adults. The theory developed by Erikson is focused on the need to find meaning, self-reflection, and integrate oneself into life, whereas the theory of </w:t>
      </w:r>
      <w:r w:rsidR="00E67E8C" w:rsidRPr="0078790C">
        <w:rPr>
          <w:rFonts w:ascii="Arial" w:hAnsi="Arial" w:cs="Arial"/>
          <w:sz w:val="22"/>
          <w:lang w:val="en-US"/>
        </w:rPr>
        <w:t xml:space="preserve">Vygotsky’s </w:t>
      </w:r>
      <w:r w:rsidRPr="0078790C">
        <w:rPr>
          <w:rFonts w:ascii="Arial" w:hAnsi="Arial" w:cs="Arial"/>
          <w:sz w:val="22"/>
          <w:lang w:val="en-US"/>
        </w:rPr>
        <w:t xml:space="preserve">is based on empathy, respect, and dignity as important principles of good care. They can be used in tandem to enable the professionals to provide highly individualised and loving assistance to save identity and well-being. Both approaches require constant staff </w:t>
      </w:r>
      <w:r w:rsidRPr="0078790C">
        <w:rPr>
          <w:rFonts w:ascii="Arial" w:hAnsi="Arial" w:cs="Arial"/>
          <w:sz w:val="22"/>
          <w:lang w:val="en-US"/>
        </w:rPr>
        <w:lastRenderedPageBreak/>
        <w:t xml:space="preserve">education, introspection and emotional intelligence </w:t>
      </w:r>
      <w:proofErr w:type="gramStart"/>
      <w:r w:rsidRPr="0078790C">
        <w:rPr>
          <w:rFonts w:ascii="Arial" w:hAnsi="Arial" w:cs="Arial"/>
          <w:sz w:val="22"/>
          <w:lang w:val="en-US"/>
        </w:rPr>
        <w:t>in order to</w:t>
      </w:r>
      <w:proofErr w:type="gramEnd"/>
      <w:r w:rsidRPr="0078790C">
        <w:rPr>
          <w:rFonts w:ascii="Arial" w:hAnsi="Arial" w:cs="Arial"/>
          <w:sz w:val="22"/>
          <w:lang w:val="en-US"/>
        </w:rPr>
        <w:t xml:space="preserve"> remain effective. </w:t>
      </w:r>
      <w:r w:rsidR="007356D7" w:rsidRPr="0078790C">
        <w:rPr>
          <w:rFonts w:ascii="Arial" w:hAnsi="Arial" w:cs="Arial"/>
          <w:sz w:val="22"/>
          <w:lang w:val="en-US"/>
        </w:rPr>
        <w:t>Finally, person-centred care is in theory-based, person-related care that improves the quality of life, minimi</w:t>
      </w:r>
      <w:r w:rsidR="00DA15F3" w:rsidRPr="0078790C">
        <w:rPr>
          <w:rFonts w:ascii="Arial" w:hAnsi="Arial" w:cs="Arial"/>
          <w:sz w:val="22"/>
          <w:lang w:val="en-US"/>
        </w:rPr>
        <w:t>s</w:t>
      </w:r>
      <w:r w:rsidR="007356D7" w:rsidRPr="0078790C">
        <w:rPr>
          <w:rFonts w:ascii="Arial" w:hAnsi="Arial" w:cs="Arial"/>
          <w:sz w:val="22"/>
          <w:lang w:val="en-US"/>
        </w:rPr>
        <w:t>es behavioural distress, and facilitates a more supportive dementia care home environment.</w:t>
      </w:r>
    </w:p>
    <w:p w14:paraId="387833BF" w14:textId="766607CA" w:rsidR="00FA69F4" w:rsidRPr="0078790C" w:rsidRDefault="00000000" w:rsidP="00B071DB">
      <w:pPr>
        <w:rPr>
          <w:rFonts w:ascii="Arial" w:hAnsi="Arial" w:cs="Arial"/>
          <w:sz w:val="22"/>
          <w:lang w:val="en-US"/>
        </w:rPr>
      </w:pPr>
      <w:r w:rsidRPr="0078790C">
        <w:rPr>
          <w:rFonts w:ascii="Arial" w:hAnsi="Arial" w:cs="Arial"/>
          <w:sz w:val="22"/>
          <w:lang w:val="en-US"/>
        </w:rPr>
        <w:br w:type="page"/>
      </w:r>
    </w:p>
    <w:p w14:paraId="696DDB6B" w14:textId="4D5D4C9A" w:rsidR="009029C8" w:rsidRPr="0078790C" w:rsidRDefault="00000000" w:rsidP="00F85FA7">
      <w:pPr>
        <w:pStyle w:val="Heading1"/>
        <w:spacing w:after="160"/>
        <w:rPr>
          <w:rFonts w:ascii="Arial" w:hAnsi="Arial" w:cs="Arial"/>
          <w:sz w:val="22"/>
          <w:szCs w:val="22"/>
          <w:lang w:val="en-US"/>
        </w:rPr>
      </w:pPr>
      <w:bookmarkStart w:id="8" w:name="_Toc212881244"/>
      <w:r w:rsidRPr="0078790C">
        <w:rPr>
          <w:rFonts w:ascii="Arial" w:hAnsi="Arial" w:cs="Arial"/>
          <w:sz w:val="22"/>
          <w:szCs w:val="22"/>
          <w:lang w:val="en-US"/>
        </w:rPr>
        <w:lastRenderedPageBreak/>
        <w:t>References</w:t>
      </w:r>
      <w:bookmarkEnd w:id="8"/>
    </w:p>
    <w:p w14:paraId="58EBFAF6" w14:textId="77777777" w:rsidR="00326105" w:rsidRPr="0078790C" w:rsidRDefault="00000000" w:rsidP="009029C8">
      <w:pPr>
        <w:ind w:left="720" w:hanging="720"/>
        <w:rPr>
          <w:rFonts w:ascii="Arial" w:hAnsi="Arial" w:cs="Arial"/>
          <w:sz w:val="22"/>
        </w:rPr>
      </w:pPr>
      <w:r w:rsidRPr="0078790C">
        <w:rPr>
          <w:rFonts w:ascii="Arial" w:hAnsi="Arial" w:cs="Arial"/>
          <w:sz w:val="22"/>
        </w:rPr>
        <w:t>Alcantara, R., (2024). </w:t>
      </w:r>
      <w:r w:rsidRPr="0078790C">
        <w:rPr>
          <w:rFonts w:ascii="Arial" w:hAnsi="Arial" w:cs="Arial"/>
          <w:i/>
          <w:iCs/>
          <w:sz w:val="22"/>
        </w:rPr>
        <w:t>The Efficacy of Reminiscence Therapy in Increasing the Level of Cognition Among Patients with Dementia</w:t>
      </w:r>
      <w:r w:rsidRPr="0078790C">
        <w:rPr>
          <w:rFonts w:ascii="Arial" w:hAnsi="Arial" w:cs="Arial"/>
          <w:sz w:val="22"/>
        </w:rPr>
        <w:t> (Doctoral dissertation, University of Massachusetts Global).</w:t>
      </w:r>
    </w:p>
    <w:p w14:paraId="70078C0D" w14:textId="31921BCA" w:rsidR="00326105" w:rsidRPr="0078790C" w:rsidRDefault="00000000" w:rsidP="00880B2B">
      <w:pPr>
        <w:ind w:left="720" w:hanging="720"/>
        <w:rPr>
          <w:rFonts w:ascii="Arial" w:hAnsi="Arial" w:cs="Arial"/>
          <w:sz w:val="22"/>
        </w:rPr>
      </w:pPr>
      <w:r w:rsidRPr="0078790C">
        <w:rPr>
          <w:rFonts w:ascii="Arial" w:hAnsi="Arial" w:cs="Arial"/>
          <w:sz w:val="22"/>
        </w:rPr>
        <w:t xml:space="preserve">Alkhudiry, R., </w:t>
      </w:r>
      <w:r w:rsidR="00425B38" w:rsidRPr="0078790C">
        <w:rPr>
          <w:rFonts w:ascii="Arial" w:hAnsi="Arial" w:cs="Arial"/>
          <w:sz w:val="22"/>
        </w:rPr>
        <w:t>(</w:t>
      </w:r>
      <w:r w:rsidRPr="0078790C">
        <w:rPr>
          <w:rFonts w:ascii="Arial" w:hAnsi="Arial" w:cs="Arial"/>
          <w:sz w:val="22"/>
        </w:rPr>
        <w:t>2022</w:t>
      </w:r>
      <w:r w:rsidR="00425B38" w:rsidRPr="0078790C">
        <w:rPr>
          <w:rFonts w:ascii="Arial" w:hAnsi="Arial" w:cs="Arial"/>
          <w:sz w:val="22"/>
        </w:rPr>
        <w:t>)</w:t>
      </w:r>
      <w:r w:rsidRPr="0078790C">
        <w:rPr>
          <w:rFonts w:ascii="Arial" w:hAnsi="Arial" w:cs="Arial"/>
          <w:sz w:val="22"/>
        </w:rPr>
        <w:t>. The Contribution of Vygotsky's Sociocultural Theory in Mediating L2 Knowledge Co-Construction. </w:t>
      </w:r>
      <w:r w:rsidRPr="0078790C">
        <w:rPr>
          <w:rFonts w:ascii="Arial" w:hAnsi="Arial" w:cs="Arial"/>
          <w:i/>
          <w:iCs/>
          <w:sz w:val="22"/>
        </w:rPr>
        <w:t>Theory &amp; Practice in Language Studies (TPLS)</w:t>
      </w:r>
      <w:r w:rsidRPr="0078790C">
        <w:rPr>
          <w:rFonts w:ascii="Arial" w:hAnsi="Arial" w:cs="Arial"/>
          <w:sz w:val="22"/>
        </w:rPr>
        <w:t>, </w:t>
      </w:r>
      <w:r w:rsidRPr="0078790C">
        <w:rPr>
          <w:rFonts w:ascii="Arial" w:hAnsi="Arial" w:cs="Arial"/>
          <w:i/>
          <w:iCs/>
          <w:sz w:val="22"/>
        </w:rPr>
        <w:t>12</w:t>
      </w:r>
      <w:r w:rsidRPr="0078790C">
        <w:rPr>
          <w:rFonts w:ascii="Arial" w:hAnsi="Arial" w:cs="Arial"/>
          <w:sz w:val="22"/>
        </w:rPr>
        <w:t>(10).</w:t>
      </w:r>
    </w:p>
    <w:p w14:paraId="6C94C302" w14:textId="77777777" w:rsidR="00326105" w:rsidRPr="0078790C" w:rsidRDefault="00000000" w:rsidP="009029C8">
      <w:pPr>
        <w:ind w:left="720" w:hanging="720"/>
        <w:rPr>
          <w:rFonts w:ascii="Arial" w:hAnsi="Arial" w:cs="Arial"/>
          <w:sz w:val="22"/>
        </w:rPr>
      </w:pPr>
      <w:r w:rsidRPr="0078790C">
        <w:rPr>
          <w:rFonts w:ascii="Arial" w:hAnsi="Arial" w:cs="Arial"/>
          <w:sz w:val="22"/>
        </w:rPr>
        <w:t>Błaszczyk, J.W., (2022). Pathogenesis of dementia. </w:t>
      </w:r>
      <w:r w:rsidRPr="0078790C">
        <w:rPr>
          <w:rFonts w:ascii="Arial" w:hAnsi="Arial" w:cs="Arial"/>
          <w:i/>
          <w:iCs/>
          <w:sz w:val="22"/>
        </w:rPr>
        <w:t>International Journal of Molecular Sciences</w:t>
      </w:r>
      <w:r w:rsidRPr="0078790C">
        <w:rPr>
          <w:rFonts w:ascii="Arial" w:hAnsi="Arial" w:cs="Arial"/>
          <w:sz w:val="22"/>
        </w:rPr>
        <w:t>, </w:t>
      </w:r>
      <w:r w:rsidRPr="0078790C">
        <w:rPr>
          <w:rFonts w:ascii="Arial" w:hAnsi="Arial" w:cs="Arial"/>
          <w:i/>
          <w:iCs/>
          <w:sz w:val="22"/>
        </w:rPr>
        <w:t>24</w:t>
      </w:r>
      <w:r w:rsidRPr="0078790C">
        <w:rPr>
          <w:rFonts w:ascii="Arial" w:hAnsi="Arial" w:cs="Arial"/>
          <w:sz w:val="22"/>
        </w:rPr>
        <w:t>(1), p.543.</w:t>
      </w:r>
    </w:p>
    <w:p w14:paraId="220A2056" w14:textId="77777777" w:rsidR="00326105" w:rsidRPr="0078790C" w:rsidRDefault="00000000" w:rsidP="009029C8">
      <w:pPr>
        <w:ind w:left="720" w:hanging="720"/>
        <w:rPr>
          <w:rFonts w:ascii="Arial" w:hAnsi="Arial" w:cs="Arial"/>
          <w:sz w:val="22"/>
        </w:rPr>
      </w:pPr>
      <w:r w:rsidRPr="0078790C">
        <w:rPr>
          <w:rFonts w:ascii="Arial" w:hAnsi="Arial" w:cs="Arial"/>
          <w:sz w:val="22"/>
        </w:rPr>
        <w:t>Dupuis, S.L., Kontos, P., Jonas-Simpson, C. and Grey, J., (2025). Translating relational theories into dementia care using research-informed drama. </w:t>
      </w:r>
      <w:r w:rsidRPr="0078790C">
        <w:rPr>
          <w:rFonts w:ascii="Arial" w:hAnsi="Arial" w:cs="Arial"/>
          <w:i/>
          <w:iCs/>
          <w:sz w:val="22"/>
        </w:rPr>
        <w:t>Educational Gerontology</w:t>
      </w:r>
      <w:r w:rsidRPr="0078790C">
        <w:rPr>
          <w:rFonts w:ascii="Arial" w:hAnsi="Arial" w:cs="Arial"/>
          <w:sz w:val="22"/>
        </w:rPr>
        <w:t>, </w:t>
      </w:r>
      <w:r w:rsidRPr="0078790C">
        <w:rPr>
          <w:rFonts w:ascii="Arial" w:hAnsi="Arial" w:cs="Arial"/>
          <w:i/>
          <w:iCs/>
          <w:sz w:val="22"/>
        </w:rPr>
        <w:t>51</w:t>
      </w:r>
      <w:r w:rsidRPr="0078790C">
        <w:rPr>
          <w:rFonts w:ascii="Arial" w:hAnsi="Arial" w:cs="Arial"/>
          <w:sz w:val="22"/>
        </w:rPr>
        <w:t>(6), pp.582-597.</w:t>
      </w:r>
    </w:p>
    <w:p w14:paraId="7987396A" w14:textId="341167C4" w:rsidR="00326105" w:rsidRPr="0078790C" w:rsidRDefault="00000000" w:rsidP="00880B2B">
      <w:pPr>
        <w:ind w:left="720" w:hanging="720"/>
        <w:rPr>
          <w:rFonts w:ascii="Arial" w:hAnsi="Arial" w:cs="Arial"/>
          <w:sz w:val="22"/>
        </w:rPr>
      </w:pPr>
      <w:r w:rsidRPr="0078790C">
        <w:rPr>
          <w:rFonts w:ascii="Arial" w:hAnsi="Arial" w:cs="Arial"/>
          <w:sz w:val="22"/>
        </w:rPr>
        <w:t xml:space="preserve">Gascon, M., Gensolin, A.K.P. and Potot, G.L., </w:t>
      </w:r>
      <w:r w:rsidR="00425B38" w:rsidRPr="0078790C">
        <w:rPr>
          <w:rFonts w:ascii="Arial" w:hAnsi="Arial" w:cs="Arial"/>
          <w:sz w:val="22"/>
        </w:rPr>
        <w:t>(</w:t>
      </w:r>
      <w:r w:rsidRPr="0078790C">
        <w:rPr>
          <w:rFonts w:ascii="Arial" w:hAnsi="Arial" w:cs="Arial"/>
          <w:sz w:val="22"/>
        </w:rPr>
        <w:t>2025</w:t>
      </w:r>
      <w:r w:rsidR="00425B38" w:rsidRPr="0078790C">
        <w:rPr>
          <w:rFonts w:ascii="Arial" w:hAnsi="Arial" w:cs="Arial"/>
          <w:sz w:val="22"/>
        </w:rPr>
        <w:t>)</w:t>
      </w:r>
      <w:r w:rsidRPr="0078790C">
        <w:rPr>
          <w:rFonts w:ascii="Arial" w:hAnsi="Arial" w:cs="Arial"/>
          <w:sz w:val="22"/>
        </w:rPr>
        <w:t>. Maintaining cognition through art: an exploration of art activities for the elderly with age-related cognitive decline.</w:t>
      </w:r>
    </w:p>
    <w:p w14:paraId="53B27DDC" w14:textId="77777777" w:rsidR="00326105" w:rsidRPr="0078790C" w:rsidRDefault="00000000" w:rsidP="009029C8">
      <w:pPr>
        <w:ind w:left="720" w:hanging="720"/>
        <w:rPr>
          <w:rFonts w:ascii="Arial" w:hAnsi="Arial" w:cs="Arial"/>
          <w:sz w:val="22"/>
        </w:rPr>
      </w:pPr>
      <w:r w:rsidRPr="0078790C">
        <w:rPr>
          <w:rFonts w:ascii="Arial" w:hAnsi="Arial" w:cs="Arial"/>
          <w:sz w:val="22"/>
        </w:rPr>
        <w:t>Ghiglino, D. and Wykowska, A., (2025). Reimagining Autism Interventions: Robots as Adaptive Cognitive Partners in Social Learning. </w:t>
      </w:r>
      <w:r w:rsidRPr="0078790C">
        <w:rPr>
          <w:rFonts w:ascii="Arial" w:hAnsi="Arial" w:cs="Arial"/>
          <w:i/>
          <w:iCs/>
          <w:sz w:val="22"/>
        </w:rPr>
        <w:t>Annual Review of Control, Robotics, and Autonomous Systems</w:t>
      </w:r>
      <w:r w:rsidRPr="0078790C">
        <w:rPr>
          <w:rFonts w:ascii="Arial" w:hAnsi="Arial" w:cs="Arial"/>
          <w:sz w:val="22"/>
        </w:rPr>
        <w:t>, </w:t>
      </w:r>
      <w:r w:rsidRPr="0078790C">
        <w:rPr>
          <w:rFonts w:ascii="Arial" w:hAnsi="Arial" w:cs="Arial"/>
          <w:i/>
          <w:iCs/>
          <w:sz w:val="22"/>
        </w:rPr>
        <w:t>9</w:t>
      </w:r>
      <w:r w:rsidRPr="0078790C">
        <w:rPr>
          <w:rFonts w:ascii="Arial" w:hAnsi="Arial" w:cs="Arial"/>
          <w:sz w:val="22"/>
        </w:rPr>
        <w:t>.</w:t>
      </w:r>
    </w:p>
    <w:p w14:paraId="01933F8F" w14:textId="525F025B" w:rsidR="00326105" w:rsidRPr="0078790C" w:rsidRDefault="00000000" w:rsidP="00880B2B">
      <w:pPr>
        <w:ind w:left="720" w:hanging="720"/>
        <w:rPr>
          <w:rFonts w:ascii="Arial" w:hAnsi="Arial" w:cs="Arial"/>
          <w:sz w:val="22"/>
        </w:rPr>
      </w:pPr>
      <w:r w:rsidRPr="0078790C">
        <w:rPr>
          <w:rFonts w:ascii="Arial" w:hAnsi="Arial" w:cs="Arial"/>
          <w:sz w:val="22"/>
        </w:rPr>
        <w:t xml:space="preserve">Grossen, M., Zittoun, T. and Baucal, A., </w:t>
      </w:r>
      <w:r w:rsidR="00425B38" w:rsidRPr="0078790C">
        <w:rPr>
          <w:rFonts w:ascii="Arial" w:hAnsi="Arial" w:cs="Arial"/>
          <w:sz w:val="22"/>
        </w:rPr>
        <w:t>(</w:t>
      </w:r>
      <w:r w:rsidRPr="0078790C">
        <w:rPr>
          <w:rFonts w:ascii="Arial" w:hAnsi="Arial" w:cs="Arial"/>
          <w:sz w:val="22"/>
        </w:rPr>
        <w:t>2022</w:t>
      </w:r>
      <w:r w:rsidR="00425B38" w:rsidRPr="0078790C">
        <w:rPr>
          <w:rFonts w:ascii="Arial" w:hAnsi="Arial" w:cs="Arial"/>
          <w:sz w:val="22"/>
        </w:rPr>
        <w:t>)</w:t>
      </w:r>
      <w:r w:rsidRPr="0078790C">
        <w:rPr>
          <w:rFonts w:ascii="Arial" w:hAnsi="Arial" w:cs="Arial"/>
          <w:sz w:val="22"/>
        </w:rPr>
        <w:t>. Learning and developing over the life-course: A sociocultural approach. </w:t>
      </w:r>
      <w:r w:rsidRPr="0078790C">
        <w:rPr>
          <w:rFonts w:ascii="Arial" w:hAnsi="Arial" w:cs="Arial"/>
          <w:i/>
          <w:iCs/>
          <w:sz w:val="22"/>
        </w:rPr>
        <w:t>Learning, culture and social interaction</w:t>
      </w:r>
      <w:r w:rsidRPr="0078790C">
        <w:rPr>
          <w:rFonts w:ascii="Arial" w:hAnsi="Arial" w:cs="Arial"/>
          <w:sz w:val="22"/>
        </w:rPr>
        <w:t>, </w:t>
      </w:r>
      <w:r w:rsidRPr="0078790C">
        <w:rPr>
          <w:rFonts w:ascii="Arial" w:hAnsi="Arial" w:cs="Arial"/>
          <w:i/>
          <w:iCs/>
          <w:sz w:val="22"/>
        </w:rPr>
        <w:t>37</w:t>
      </w:r>
      <w:r w:rsidRPr="0078790C">
        <w:rPr>
          <w:rFonts w:ascii="Arial" w:hAnsi="Arial" w:cs="Arial"/>
          <w:sz w:val="22"/>
        </w:rPr>
        <w:t>, p.100478.</w:t>
      </w:r>
    </w:p>
    <w:p w14:paraId="08FA143D" w14:textId="77777777" w:rsidR="00326105" w:rsidRPr="0078790C" w:rsidRDefault="00000000" w:rsidP="009029C8">
      <w:pPr>
        <w:ind w:left="720" w:hanging="720"/>
        <w:rPr>
          <w:rFonts w:ascii="Arial" w:hAnsi="Arial" w:cs="Arial"/>
          <w:sz w:val="22"/>
        </w:rPr>
      </w:pPr>
      <w:r w:rsidRPr="0078790C">
        <w:rPr>
          <w:rFonts w:ascii="Arial" w:hAnsi="Arial" w:cs="Arial"/>
          <w:sz w:val="22"/>
        </w:rPr>
        <w:t>Hukkeri, B.S. and Sujatha, V., (2023). The Power of Reminiscence Therapy: Unlocking Memories and Enhancing Well-being. </w:t>
      </w:r>
      <w:r w:rsidRPr="0078790C">
        <w:rPr>
          <w:rFonts w:ascii="Arial" w:hAnsi="Arial" w:cs="Arial"/>
          <w:i/>
          <w:iCs/>
          <w:sz w:val="22"/>
        </w:rPr>
        <w:t>International Journal of Indian Psychology</w:t>
      </w:r>
      <w:r w:rsidRPr="0078790C">
        <w:rPr>
          <w:rFonts w:ascii="Arial" w:hAnsi="Arial" w:cs="Arial"/>
          <w:sz w:val="22"/>
        </w:rPr>
        <w:t>, </w:t>
      </w:r>
      <w:r w:rsidRPr="0078790C">
        <w:rPr>
          <w:rFonts w:ascii="Arial" w:hAnsi="Arial" w:cs="Arial"/>
          <w:i/>
          <w:iCs/>
          <w:sz w:val="22"/>
        </w:rPr>
        <w:t>11</w:t>
      </w:r>
      <w:r w:rsidRPr="0078790C">
        <w:rPr>
          <w:rFonts w:ascii="Arial" w:hAnsi="Arial" w:cs="Arial"/>
          <w:sz w:val="22"/>
        </w:rPr>
        <w:t>, pp.3435-8.</w:t>
      </w:r>
    </w:p>
    <w:p w14:paraId="7CE71FFB" w14:textId="77777777" w:rsidR="00326105" w:rsidRPr="0078790C" w:rsidRDefault="00000000" w:rsidP="009029C8">
      <w:pPr>
        <w:ind w:left="720" w:hanging="720"/>
        <w:rPr>
          <w:rFonts w:ascii="Arial" w:hAnsi="Arial" w:cs="Arial"/>
          <w:sz w:val="22"/>
        </w:rPr>
      </w:pPr>
      <w:r w:rsidRPr="0078790C">
        <w:rPr>
          <w:rFonts w:ascii="Arial" w:hAnsi="Arial" w:cs="Arial"/>
          <w:sz w:val="22"/>
        </w:rPr>
        <w:t>Maree, J.G., (2022). The psychosocial development theory of Erik Erikson: critical overview. </w:t>
      </w:r>
      <w:r w:rsidRPr="0078790C">
        <w:rPr>
          <w:rFonts w:ascii="Arial" w:hAnsi="Arial" w:cs="Arial"/>
          <w:i/>
          <w:iCs/>
          <w:sz w:val="22"/>
        </w:rPr>
        <w:t>The influence of theorists and pioneers on early childhood education</w:t>
      </w:r>
      <w:r w:rsidRPr="0078790C">
        <w:rPr>
          <w:rFonts w:ascii="Arial" w:hAnsi="Arial" w:cs="Arial"/>
          <w:sz w:val="22"/>
        </w:rPr>
        <w:t>, pp.119-133.</w:t>
      </w:r>
    </w:p>
    <w:p w14:paraId="49C2D1E3" w14:textId="77777777" w:rsidR="00326105" w:rsidRPr="0078790C" w:rsidRDefault="00000000" w:rsidP="009029C8">
      <w:pPr>
        <w:ind w:left="720" w:hanging="720"/>
        <w:rPr>
          <w:rFonts w:ascii="Arial" w:hAnsi="Arial" w:cs="Arial"/>
          <w:sz w:val="22"/>
        </w:rPr>
      </w:pPr>
      <w:r w:rsidRPr="0078790C">
        <w:rPr>
          <w:rFonts w:ascii="Arial" w:hAnsi="Arial" w:cs="Arial"/>
          <w:sz w:val="22"/>
        </w:rPr>
        <w:t>Orenstein, G.A. and Lewis, L., (2022). Erikson's stages of psychosocial development. In </w:t>
      </w:r>
      <w:r w:rsidRPr="0078790C">
        <w:rPr>
          <w:rFonts w:ascii="Arial" w:hAnsi="Arial" w:cs="Arial"/>
          <w:i/>
          <w:iCs/>
          <w:sz w:val="22"/>
        </w:rPr>
        <w:t>StatPearls [Internet]</w:t>
      </w:r>
      <w:r w:rsidRPr="0078790C">
        <w:rPr>
          <w:rFonts w:ascii="Arial" w:hAnsi="Arial" w:cs="Arial"/>
          <w:sz w:val="22"/>
        </w:rPr>
        <w:t>. StatPearls Publishing.</w:t>
      </w:r>
    </w:p>
    <w:p w14:paraId="51FAD0B3" w14:textId="32BE966A" w:rsidR="00326105" w:rsidRPr="0078790C" w:rsidRDefault="00000000" w:rsidP="007817DC">
      <w:pPr>
        <w:ind w:left="720" w:hanging="720"/>
        <w:rPr>
          <w:rFonts w:ascii="Arial" w:hAnsi="Arial" w:cs="Arial"/>
          <w:sz w:val="22"/>
        </w:rPr>
      </w:pPr>
      <w:r w:rsidRPr="0078790C">
        <w:rPr>
          <w:rFonts w:ascii="Arial" w:hAnsi="Arial" w:cs="Arial"/>
          <w:sz w:val="22"/>
        </w:rPr>
        <w:t xml:space="preserve">Park, A., Gillespie, C., Triola, M., Buckvar-Keltz, L., Greene, R.E. and Winkel, A.F., </w:t>
      </w:r>
      <w:r w:rsidR="00425B38" w:rsidRPr="0078790C">
        <w:rPr>
          <w:rFonts w:ascii="Arial" w:hAnsi="Arial" w:cs="Arial"/>
          <w:sz w:val="22"/>
        </w:rPr>
        <w:t>(</w:t>
      </w:r>
      <w:r w:rsidRPr="0078790C">
        <w:rPr>
          <w:rFonts w:ascii="Arial" w:hAnsi="Arial" w:cs="Arial"/>
          <w:sz w:val="22"/>
        </w:rPr>
        <w:t>2024</w:t>
      </w:r>
      <w:r w:rsidR="00425B38" w:rsidRPr="0078790C">
        <w:rPr>
          <w:rFonts w:ascii="Arial" w:hAnsi="Arial" w:cs="Arial"/>
          <w:sz w:val="22"/>
        </w:rPr>
        <w:t>)</w:t>
      </w:r>
      <w:r w:rsidRPr="0078790C">
        <w:rPr>
          <w:rFonts w:ascii="Arial" w:hAnsi="Arial" w:cs="Arial"/>
          <w:sz w:val="22"/>
        </w:rPr>
        <w:t>. Scaffolding the transition to residency: a qualitative study of coach and resident perspectives. </w:t>
      </w:r>
      <w:r w:rsidRPr="0078790C">
        <w:rPr>
          <w:rFonts w:ascii="Arial" w:hAnsi="Arial" w:cs="Arial"/>
          <w:i/>
          <w:iCs/>
          <w:sz w:val="22"/>
        </w:rPr>
        <w:t>Academic Medicine</w:t>
      </w:r>
      <w:r w:rsidRPr="0078790C">
        <w:rPr>
          <w:rFonts w:ascii="Arial" w:hAnsi="Arial" w:cs="Arial"/>
          <w:sz w:val="22"/>
        </w:rPr>
        <w:t>, </w:t>
      </w:r>
      <w:r w:rsidRPr="0078790C">
        <w:rPr>
          <w:rFonts w:ascii="Arial" w:hAnsi="Arial" w:cs="Arial"/>
          <w:i/>
          <w:iCs/>
          <w:sz w:val="22"/>
        </w:rPr>
        <w:t>99</w:t>
      </w:r>
      <w:r w:rsidRPr="0078790C">
        <w:rPr>
          <w:rFonts w:ascii="Arial" w:hAnsi="Arial" w:cs="Arial"/>
          <w:sz w:val="22"/>
        </w:rPr>
        <w:t>(1), pp.91-97.</w:t>
      </w:r>
    </w:p>
    <w:p w14:paraId="1E2537B3" w14:textId="500D7847" w:rsidR="00326105" w:rsidRPr="0078790C" w:rsidRDefault="00000000" w:rsidP="00880B2B">
      <w:pPr>
        <w:ind w:left="720" w:hanging="720"/>
        <w:rPr>
          <w:rFonts w:ascii="Arial" w:hAnsi="Arial" w:cs="Arial"/>
          <w:sz w:val="22"/>
        </w:rPr>
      </w:pPr>
      <w:r w:rsidRPr="0078790C">
        <w:rPr>
          <w:rFonts w:ascii="Arial" w:hAnsi="Arial" w:cs="Arial"/>
          <w:sz w:val="22"/>
        </w:rPr>
        <w:t xml:space="preserve">Piolatto, M., Bianchi, F., Rota, M., Marengoni, A., Akbaritabar, A. and Squazzoni, F., </w:t>
      </w:r>
      <w:r w:rsidR="00425B38" w:rsidRPr="0078790C">
        <w:rPr>
          <w:rFonts w:ascii="Arial" w:hAnsi="Arial" w:cs="Arial"/>
          <w:sz w:val="22"/>
        </w:rPr>
        <w:t>(</w:t>
      </w:r>
      <w:r w:rsidRPr="0078790C">
        <w:rPr>
          <w:rFonts w:ascii="Arial" w:hAnsi="Arial" w:cs="Arial"/>
          <w:sz w:val="22"/>
        </w:rPr>
        <w:t>2022</w:t>
      </w:r>
      <w:r w:rsidR="00425B38" w:rsidRPr="0078790C">
        <w:rPr>
          <w:rFonts w:ascii="Arial" w:hAnsi="Arial" w:cs="Arial"/>
          <w:sz w:val="22"/>
        </w:rPr>
        <w:t>)</w:t>
      </w:r>
      <w:r w:rsidRPr="0078790C">
        <w:rPr>
          <w:rFonts w:ascii="Arial" w:hAnsi="Arial" w:cs="Arial"/>
          <w:sz w:val="22"/>
        </w:rPr>
        <w:t>. The effect of social relationships on cognitive decline in older adults: an updated systematic review and meta-analysis of longitudinal cohort studies. </w:t>
      </w:r>
      <w:r w:rsidRPr="0078790C">
        <w:rPr>
          <w:rFonts w:ascii="Arial" w:hAnsi="Arial" w:cs="Arial"/>
          <w:i/>
          <w:iCs/>
          <w:sz w:val="22"/>
        </w:rPr>
        <w:t>BMC public health</w:t>
      </w:r>
      <w:r w:rsidRPr="0078790C">
        <w:rPr>
          <w:rFonts w:ascii="Arial" w:hAnsi="Arial" w:cs="Arial"/>
          <w:sz w:val="22"/>
        </w:rPr>
        <w:t>, </w:t>
      </w:r>
      <w:r w:rsidRPr="0078790C">
        <w:rPr>
          <w:rFonts w:ascii="Arial" w:hAnsi="Arial" w:cs="Arial"/>
          <w:i/>
          <w:iCs/>
          <w:sz w:val="22"/>
        </w:rPr>
        <w:t>22</w:t>
      </w:r>
      <w:r w:rsidRPr="0078790C">
        <w:rPr>
          <w:rFonts w:ascii="Arial" w:hAnsi="Arial" w:cs="Arial"/>
          <w:sz w:val="22"/>
        </w:rPr>
        <w:t>(1), p.278.</w:t>
      </w:r>
    </w:p>
    <w:p w14:paraId="14D68B3F" w14:textId="421388C9" w:rsidR="00326105" w:rsidRPr="0078790C" w:rsidRDefault="00000000" w:rsidP="00880B2B">
      <w:pPr>
        <w:ind w:left="720" w:hanging="720"/>
        <w:rPr>
          <w:rFonts w:ascii="Arial" w:hAnsi="Arial" w:cs="Arial"/>
          <w:sz w:val="22"/>
        </w:rPr>
      </w:pPr>
      <w:r w:rsidRPr="0078790C">
        <w:rPr>
          <w:rFonts w:ascii="Arial" w:hAnsi="Arial" w:cs="Arial"/>
          <w:sz w:val="22"/>
        </w:rPr>
        <w:t xml:space="preserve">Ryan, S., Chockalingam, M. and Brady, O., </w:t>
      </w:r>
      <w:r w:rsidR="00425B38" w:rsidRPr="0078790C">
        <w:rPr>
          <w:rFonts w:ascii="Arial" w:hAnsi="Arial" w:cs="Arial"/>
          <w:sz w:val="22"/>
        </w:rPr>
        <w:t>(</w:t>
      </w:r>
      <w:r w:rsidRPr="0078790C">
        <w:rPr>
          <w:rFonts w:ascii="Arial" w:hAnsi="Arial" w:cs="Arial"/>
          <w:sz w:val="22"/>
        </w:rPr>
        <w:t>2024</w:t>
      </w:r>
      <w:r w:rsidR="00425B38" w:rsidRPr="0078790C">
        <w:rPr>
          <w:rFonts w:ascii="Arial" w:hAnsi="Arial" w:cs="Arial"/>
          <w:sz w:val="22"/>
        </w:rPr>
        <w:t>)</w:t>
      </w:r>
      <w:r w:rsidRPr="0078790C">
        <w:rPr>
          <w:rFonts w:ascii="Arial" w:hAnsi="Arial" w:cs="Arial"/>
          <w:sz w:val="22"/>
        </w:rPr>
        <w:t>. Participant and caregiver experiences of an activities of daily living-focused cognitive stimulation program for individuals with mild-to-moderate dementia (CS-ADL). </w:t>
      </w:r>
      <w:r w:rsidRPr="0078790C">
        <w:rPr>
          <w:rFonts w:ascii="Arial" w:hAnsi="Arial" w:cs="Arial"/>
          <w:i/>
          <w:iCs/>
          <w:sz w:val="22"/>
        </w:rPr>
        <w:t>British Journal of Occupational Therapy</w:t>
      </w:r>
      <w:r w:rsidRPr="0078790C">
        <w:rPr>
          <w:rFonts w:ascii="Arial" w:hAnsi="Arial" w:cs="Arial"/>
          <w:sz w:val="22"/>
        </w:rPr>
        <w:t>, </w:t>
      </w:r>
      <w:r w:rsidRPr="0078790C">
        <w:rPr>
          <w:rFonts w:ascii="Arial" w:hAnsi="Arial" w:cs="Arial"/>
          <w:i/>
          <w:iCs/>
          <w:sz w:val="22"/>
        </w:rPr>
        <w:t>87</w:t>
      </w:r>
      <w:r w:rsidRPr="0078790C">
        <w:rPr>
          <w:rFonts w:ascii="Arial" w:hAnsi="Arial" w:cs="Arial"/>
          <w:sz w:val="22"/>
        </w:rPr>
        <w:t>(6), pp.373-382.</w:t>
      </w:r>
    </w:p>
    <w:p w14:paraId="05A8B2BA" w14:textId="77777777" w:rsidR="00326105" w:rsidRPr="0078790C" w:rsidRDefault="00000000" w:rsidP="00880B2B">
      <w:pPr>
        <w:ind w:left="720" w:hanging="720"/>
        <w:rPr>
          <w:rFonts w:ascii="Arial" w:hAnsi="Arial" w:cs="Arial"/>
          <w:sz w:val="22"/>
        </w:rPr>
      </w:pPr>
      <w:r w:rsidRPr="0078790C">
        <w:rPr>
          <w:rFonts w:ascii="Arial" w:hAnsi="Arial" w:cs="Arial"/>
          <w:sz w:val="22"/>
        </w:rPr>
        <w:lastRenderedPageBreak/>
        <w:t>Stokke, M., (2024). </w:t>
      </w:r>
      <w:r w:rsidRPr="0078790C">
        <w:rPr>
          <w:rFonts w:ascii="Arial" w:hAnsi="Arial" w:cs="Arial"/>
          <w:i/>
          <w:iCs/>
          <w:sz w:val="22"/>
        </w:rPr>
        <w:t>Fearing the Reaper: How Ego Integrity and Perceived Health Status Predict Death Anxiety in Older Adults</w:t>
      </w:r>
      <w:r w:rsidRPr="0078790C">
        <w:rPr>
          <w:rFonts w:ascii="Arial" w:hAnsi="Arial" w:cs="Arial"/>
          <w:sz w:val="22"/>
        </w:rPr>
        <w:t> (Doctoral dissertation, Alliant International University).</w:t>
      </w:r>
    </w:p>
    <w:sectPr w:rsidR="00326105" w:rsidRPr="0078790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92C77" w14:textId="77777777" w:rsidR="00334545" w:rsidRDefault="00334545">
      <w:pPr>
        <w:spacing w:after="0" w:line="240" w:lineRule="auto"/>
      </w:pPr>
      <w:r>
        <w:separator/>
      </w:r>
    </w:p>
  </w:endnote>
  <w:endnote w:type="continuationSeparator" w:id="0">
    <w:p w14:paraId="58F6335C" w14:textId="77777777" w:rsidR="00334545" w:rsidRDefault="00334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1E8F07" w14:textId="77777777" w:rsidR="00334545" w:rsidRDefault="00334545">
      <w:pPr>
        <w:spacing w:after="0" w:line="240" w:lineRule="auto"/>
      </w:pPr>
      <w:r>
        <w:separator/>
      </w:r>
    </w:p>
  </w:footnote>
  <w:footnote w:type="continuationSeparator" w:id="0">
    <w:p w14:paraId="5E6DBDD8" w14:textId="77777777" w:rsidR="00334545" w:rsidRDefault="00334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327924"/>
      <w:docPartObj>
        <w:docPartGallery w:val="Page Numbers (Top of Page)"/>
        <w:docPartUnique/>
      </w:docPartObj>
    </w:sdtPr>
    <w:sdtEndPr>
      <w:rPr>
        <w:noProof/>
      </w:rPr>
    </w:sdtEndPr>
    <w:sdtContent>
      <w:p w14:paraId="4A3AFE00" w14:textId="5CD469E2" w:rsidR="00540FF6" w:rsidRDefault="00000000">
        <w:pPr>
          <w:pStyle w:val="Header"/>
          <w:jc w:val="right"/>
        </w:pPr>
        <w:r>
          <w:fldChar w:fldCharType="begin"/>
        </w:r>
        <w:r>
          <w:instrText xml:space="preserve"> PAGE   \* MERGEFORMAT </w:instrText>
        </w:r>
        <w:r>
          <w:fldChar w:fldCharType="separate"/>
        </w:r>
        <w:r w:rsidR="00C20399">
          <w:rPr>
            <w:noProof/>
          </w:rPr>
          <w:t>3</w:t>
        </w:r>
        <w:r>
          <w:rPr>
            <w:noProof/>
          </w:rPr>
          <w:fldChar w:fldCharType="end"/>
        </w:r>
      </w:p>
    </w:sdtContent>
  </w:sdt>
  <w:p w14:paraId="5FB6753B" w14:textId="77777777" w:rsidR="00A87576" w:rsidRDefault="00A87576" w:rsidP="00702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F25EE"/>
    <w:multiLevelType w:val="multilevel"/>
    <w:tmpl w:val="9572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356BE"/>
    <w:multiLevelType w:val="multilevel"/>
    <w:tmpl w:val="04AC8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A11F25"/>
    <w:multiLevelType w:val="hybridMultilevel"/>
    <w:tmpl w:val="25F0AD82"/>
    <w:lvl w:ilvl="0" w:tplc="9F5C28A4">
      <w:start w:val="1"/>
      <w:numFmt w:val="bullet"/>
      <w:lvlText w:val=""/>
      <w:lvlJc w:val="left"/>
      <w:pPr>
        <w:ind w:left="720" w:hanging="360"/>
      </w:pPr>
      <w:rPr>
        <w:rFonts w:ascii="Symbol" w:hAnsi="Symbol" w:hint="default"/>
      </w:rPr>
    </w:lvl>
    <w:lvl w:ilvl="1" w:tplc="665EA042" w:tentative="1">
      <w:start w:val="1"/>
      <w:numFmt w:val="bullet"/>
      <w:lvlText w:val="o"/>
      <w:lvlJc w:val="left"/>
      <w:pPr>
        <w:ind w:left="1440" w:hanging="360"/>
      </w:pPr>
      <w:rPr>
        <w:rFonts w:ascii="Courier New" w:hAnsi="Courier New" w:cs="Courier New" w:hint="default"/>
      </w:rPr>
    </w:lvl>
    <w:lvl w:ilvl="2" w:tplc="AB6857C6" w:tentative="1">
      <w:start w:val="1"/>
      <w:numFmt w:val="bullet"/>
      <w:lvlText w:val=""/>
      <w:lvlJc w:val="left"/>
      <w:pPr>
        <w:ind w:left="2160" w:hanging="360"/>
      </w:pPr>
      <w:rPr>
        <w:rFonts w:ascii="Wingdings" w:hAnsi="Wingdings" w:hint="default"/>
      </w:rPr>
    </w:lvl>
    <w:lvl w:ilvl="3" w:tplc="A3662F22" w:tentative="1">
      <w:start w:val="1"/>
      <w:numFmt w:val="bullet"/>
      <w:lvlText w:val=""/>
      <w:lvlJc w:val="left"/>
      <w:pPr>
        <w:ind w:left="2880" w:hanging="360"/>
      </w:pPr>
      <w:rPr>
        <w:rFonts w:ascii="Symbol" w:hAnsi="Symbol" w:hint="default"/>
      </w:rPr>
    </w:lvl>
    <w:lvl w:ilvl="4" w:tplc="A6C0BE2E" w:tentative="1">
      <w:start w:val="1"/>
      <w:numFmt w:val="bullet"/>
      <w:lvlText w:val="o"/>
      <w:lvlJc w:val="left"/>
      <w:pPr>
        <w:ind w:left="3600" w:hanging="360"/>
      </w:pPr>
      <w:rPr>
        <w:rFonts w:ascii="Courier New" w:hAnsi="Courier New" w:cs="Courier New" w:hint="default"/>
      </w:rPr>
    </w:lvl>
    <w:lvl w:ilvl="5" w:tplc="9724CCEA" w:tentative="1">
      <w:start w:val="1"/>
      <w:numFmt w:val="bullet"/>
      <w:lvlText w:val=""/>
      <w:lvlJc w:val="left"/>
      <w:pPr>
        <w:ind w:left="4320" w:hanging="360"/>
      </w:pPr>
      <w:rPr>
        <w:rFonts w:ascii="Wingdings" w:hAnsi="Wingdings" w:hint="default"/>
      </w:rPr>
    </w:lvl>
    <w:lvl w:ilvl="6" w:tplc="DEBC94EC" w:tentative="1">
      <w:start w:val="1"/>
      <w:numFmt w:val="bullet"/>
      <w:lvlText w:val=""/>
      <w:lvlJc w:val="left"/>
      <w:pPr>
        <w:ind w:left="5040" w:hanging="360"/>
      </w:pPr>
      <w:rPr>
        <w:rFonts w:ascii="Symbol" w:hAnsi="Symbol" w:hint="default"/>
      </w:rPr>
    </w:lvl>
    <w:lvl w:ilvl="7" w:tplc="9EEEA938" w:tentative="1">
      <w:start w:val="1"/>
      <w:numFmt w:val="bullet"/>
      <w:lvlText w:val="o"/>
      <w:lvlJc w:val="left"/>
      <w:pPr>
        <w:ind w:left="5760" w:hanging="360"/>
      </w:pPr>
      <w:rPr>
        <w:rFonts w:ascii="Courier New" w:hAnsi="Courier New" w:cs="Courier New" w:hint="default"/>
      </w:rPr>
    </w:lvl>
    <w:lvl w:ilvl="8" w:tplc="52C4986C" w:tentative="1">
      <w:start w:val="1"/>
      <w:numFmt w:val="bullet"/>
      <w:lvlText w:val=""/>
      <w:lvlJc w:val="left"/>
      <w:pPr>
        <w:ind w:left="6480" w:hanging="360"/>
      </w:pPr>
      <w:rPr>
        <w:rFonts w:ascii="Wingdings" w:hAnsi="Wingdings" w:hint="default"/>
      </w:rPr>
    </w:lvl>
  </w:abstractNum>
  <w:abstractNum w:abstractNumId="3" w15:restartNumberingAfterBreak="0">
    <w:nsid w:val="0E6D2BCA"/>
    <w:multiLevelType w:val="multilevel"/>
    <w:tmpl w:val="3BCC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86BF2"/>
    <w:multiLevelType w:val="hybridMultilevel"/>
    <w:tmpl w:val="E5C8BE4E"/>
    <w:lvl w:ilvl="0" w:tplc="60284EC0">
      <w:start w:val="1"/>
      <w:numFmt w:val="bullet"/>
      <w:lvlText w:val=""/>
      <w:lvlJc w:val="left"/>
      <w:pPr>
        <w:ind w:left="720" w:hanging="360"/>
      </w:pPr>
      <w:rPr>
        <w:rFonts w:ascii="Symbol" w:hAnsi="Symbol" w:hint="default"/>
      </w:rPr>
    </w:lvl>
    <w:lvl w:ilvl="1" w:tplc="961631DC" w:tentative="1">
      <w:start w:val="1"/>
      <w:numFmt w:val="bullet"/>
      <w:lvlText w:val="o"/>
      <w:lvlJc w:val="left"/>
      <w:pPr>
        <w:ind w:left="1440" w:hanging="360"/>
      </w:pPr>
      <w:rPr>
        <w:rFonts w:ascii="Courier New" w:hAnsi="Courier New" w:cs="Courier New" w:hint="default"/>
      </w:rPr>
    </w:lvl>
    <w:lvl w:ilvl="2" w:tplc="23503FCE" w:tentative="1">
      <w:start w:val="1"/>
      <w:numFmt w:val="bullet"/>
      <w:lvlText w:val=""/>
      <w:lvlJc w:val="left"/>
      <w:pPr>
        <w:ind w:left="2160" w:hanging="360"/>
      </w:pPr>
      <w:rPr>
        <w:rFonts w:ascii="Wingdings" w:hAnsi="Wingdings" w:hint="default"/>
      </w:rPr>
    </w:lvl>
    <w:lvl w:ilvl="3" w:tplc="130E5446" w:tentative="1">
      <w:start w:val="1"/>
      <w:numFmt w:val="bullet"/>
      <w:lvlText w:val=""/>
      <w:lvlJc w:val="left"/>
      <w:pPr>
        <w:ind w:left="2880" w:hanging="360"/>
      </w:pPr>
      <w:rPr>
        <w:rFonts w:ascii="Symbol" w:hAnsi="Symbol" w:hint="default"/>
      </w:rPr>
    </w:lvl>
    <w:lvl w:ilvl="4" w:tplc="54C8E460" w:tentative="1">
      <w:start w:val="1"/>
      <w:numFmt w:val="bullet"/>
      <w:lvlText w:val="o"/>
      <w:lvlJc w:val="left"/>
      <w:pPr>
        <w:ind w:left="3600" w:hanging="360"/>
      </w:pPr>
      <w:rPr>
        <w:rFonts w:ascii="Courier New" w:hAnsi="Courier New" w:cs="Courier New" w:hint="default"/>
      </w:rPr>
    </w:lvl>
    <w:lvl w:ilvl="5" w:tplc="DFAC719E" w:tentative="1">
      <w:start w:val="1"/>
      <w:numFmt w:val="bullet"/>
      <w:lvlText w:val=""/>
      <w:lvlJc w:val="left"/>
      <w:pPr>
        <w:ind w:left="4320" w:hanging="360"/>
      </w:pPr>
      <w:rPr>
        <w:rFonts w:ascii="Wingdings" w:hAnsi="Wingdings" w:hint="default"/>
      </w:rPr>
    </w:lvl>
    <w:lvl w:ilvl="6" w:tplc="1D689FB2" w:tentative="1">
      <w:start w:val="1"/>
      <w:numFmt w:val="bullet"/>
      <w:lvlText w:val=""/>
      <w:lvlJc w:val="left"/>
      <w:pPr>
        <w:ind w:left="5040" w:hanging="360"/>
      </w:pPr>
      <w:rPr>
        <w:rFonts w:ascii="Symbol" w:hAnsi="Symbol" w:hint="default"/>
      </w:rPr>
    </w:lvl>
    <w:lvl w:ilvl="7" w:tplc="11D8CF06" w:tentative="1">
      <w:start w:val="1"/>
      <w:numFmt w:val="bullet"/>
      <w:lvlText w:val="o"/>
      <w:lvlJc w:val="left"/>
      <w:pPr>
        <w:ind w:left="5760" w:hanging="360"/>
      </w:pPr>
      <w:rPr>
        <w:rFonts w:ascii="Courier New" w:hAnsi="Courier New" w:cs="Courier New" w:hint="default"/>
      </w:rPr>
    </w:lvl>
    <w:lvl w:ilvl="8" w:tplc="A6CECAE2" w:tentative="1">
      <w:start w:val="1"/>
      <w:numFmt w:val="bullet"/>
      <w:lvlText w:val=""/>
      <w:lvlJc w:val="left"/>
      <w:pPr>
        <w:ind w:left="6480" w:hanging="360"/>
      </w:pPr>
      <w:rPr>
        <w:rFonts w:ascii="Wingdings" w:hAnsi="Wingdings" w:hint="default"/>
      </w:rPr>
    </w:lvl>
  </w:abstractNum>
  <w:abstractNum w:abstractNumId="5" w15:restartNumberingAfterBreak="0">
    <w:nsid w:val="16E87B57"/>
    <w:multiLevelType w:val="multilevel"/>
    <w:tmpl w:val="306C2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FA64BC"/>
    <w:multiLevelType w:val="multilevel"/>
    <w:tmpl w:val="BEA8C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1375E1"/>
    <w:multiLevelType w:val="multilevel"/>
    <w:tmpl w:val="EEE4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102D66"/>
    <w:multiLevelType w:val="multilevel"/>
    <w:tmpl w:val="B40E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C768B7"/>
    <w:multiLevelType w:val="multilevel"/>
    <w:tmpl w:val="02AA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BF006F"/>
    <w:multiLevelType w:val="hybridMultilevel"/>
    <w:tmpl w:val="AF4A2F3C"/>
    <w:lvl w:ilvl="0" w:tplc="EDD6F3B2">
      <w:start w:val="1"/>
      <w:numFmt w:val="bullet"/>
      <w:lvlText w:val=""/>
      <w:lvlJc w:val="left"/>
      <w:pPr>
        <w:ind w:left="720" w:hanging="360"/>
      </w:pPr>
      <w:rPr>
        <w:rFonts w:ascii="Symbol" w:hAnsi="Symbol" w:hint="default"/>
      </w:rPr>
    </w:lvl>
    <w:lvl w:ilvl="1" w:tplc="B78C1692" w:tentative="1">
      <w:start w:val="1"/>
      <w:numFmt w:val="bullet"/>
      <w:lvlText w:val="o"/>
      <w:lvlJc w:val="left"/>
      <w:pPr>
        <w:ind w:left="1440" w:hanging="360"/>
      </w:pPr>
      <w:rPr>
        <w:rFonts w:ascii="Courier New" w:hAnsi="Courier New" w:cs="Courier New" w:hint="default"/>
      </w:rPr>
    </w:lvl>
    <w:lvl w:ilvl="2" w:tplc="567E8C64" w:tentative="1">
      <w:start w:val="1"/>
      <w:numFmt w:val="bullet"/>
      <w:lvlText w:val=""/>
      <w:lvlJc w:val="left"/>
      <w:pPr>
        <w:ind w:left="2160" w:hanging="360"/>
      </w:pPr>
      <w:rPr>
        <w:rFonts w:ascii="Wingdings" w:hAnsi="Wingdings" w:hint="default"/>
      </w:rPr>
    </w:lvl>
    <w:lvl w:ilvl="3" w:tplc="3970F8D4" w:tentative="1">
      <w:start w:val="1"/>
      <w:numFmt w:val="bullet"/>
      <w:lvlText w:val=""/>
      <w:lvlJc w:val="left"/>
      <w:pPr>
        <w:ind w:left="2880" w:hanging="360"/>
      </w:pPr>
      <w:rPr>
        <w:rFonts w:ascii="Symbol" w:hAnsi="Symbol" w:hint="default"/>
      </w:rPr>
    </w:lvl>
    <w:lvl w:ilvl="4" w:tplc="793091F0" w:tentative="1">
      <w:start w:val="1"/>
      <w:numFmt w:val="bullet"/>
      <w:lvlText w:val="o"/>
      <w:lvlJc w:val="left"/>
      <w:pPr>
        <w:ind w:left="3600" w:hanging="360"/>
      </w:pPr>
      <w:rPr>
        <w:rFonts w:ascii="Courier New" w:hAnsi="Courier New" w:cs="Courier New" w:hint="default"/>
      </w:rPr>
    </w:lvl>
    <w:lvl w:ilvl="5" w:tplc="1FFA0C18" w:tentative="1">
      <w:start w:val="1"/>
      <w:numFmt w:val="bullet"/>
      <w:lvlText w:val=""/>
      <w:lvlJc w:val="left"/>
      <w:pPr>
        <w:ind w:left="4320" w:hanging="360"/>
      </w:pPr>
      <w:rPr>
        <w:rFonts w:ascii="Wingdings" w:hAnsi="Wingdings" w:hint="default"/>
      </w:rPr>
    </w:lvl>
    <w:lvl w:ilvl="6" w:tplc="3C26DCDC" w:tentative="1">
      <w:start w:val="1"/>
      <w:numFmt w:val="bullet"/>
      <w:lvlText w:val=""/>
      <w:lvlJc w:val="left"/>
      <w:pPr>
        <w:ind w:left="5040" w:hanging="360"/>
      </w:pPr>
      <w:rPr>
        <w:rFonts w:ascii="Symbol" w:hAnsi="Symbol" w:hint="default"/>
      </w:rPr>
    </w:lvl>
    <w:lvl w:ilvl="7" w:tplc="7E70F972" w:tentative="1">
      <w:start w:val="1"/>
      <w:numFmt w:val="bullet"/>
      <w:lvlText w:val="o"/>
      <w:lvlJc w:val="left"/>
      <w:pPr>
        <w:ind w:left="5760" w:hanging="360"/>
      </w:pPr>
      <w:rPr>
        <w:rFonts w:ascii="Courier New" w:hAnsi="Courier New" w:cs="Courier New" w:hint="default"/>
      </w:rPr>
    </w:lvl>
    <w:lvl w:ilvl="8" w:tplc="4D5E7DB4" w:tentative="1">
      <w:start w:val="1"/>
      <w:numFmt w:val="bullet"/>
      <w:lvlText w:val=""/>
      <w:lvlJc w:val="left"/>
      <w:pPr>
        <w:ind w:left="6480" w:hanging="360"/>
      </w:pPr>
      <w:rPr>
        <w:rFonts w:ascii="Wingdings" w:hAnsi="Wingdings" w:hint="default"/>
      </w:rPr>
    </w:lvl>
  </w:abstractNum>
  <w:abstractNum w:abstractNumId="11" w15:restartNumberingAfterBreak="0">
    <w:nsid w:val="54406888"/>
    <w:multiLevelType w:val="multilevel"/>
    <w:tmpl w:val="CF3CC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BC3FD1"/>
    <w:multiLevelType w:val="multilevel"/>
    <w:tmpl w:val="F8A8F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71407"/>
    <w:multiLevelType w:val="hybridMultilevel"/>
    <w:tmpl w:val="274E4772"/>
    <w:lvl w:ilvl="0" w:tplc="ED660F50">
      <w:start w:val="1"/>
      <w:numFmt w:val="decimal"/>
      <w:lvlText w:val="%1."/>
      <w:lvlJc w:val="left"/>
      <w:pPr>
        <w:ind w:left="720" w:hanging="360"/>
      </w:pPr>
    </w:lvl>
    <w:lvl w:ilvl="1" w:tplc="D718370A" w:tentative="1">
      <w:start w:val="1"/>
      <w:numFmt w:val="lowerLetter"/>
      <w:lvlText w:val="%2."/>
      <w:lvlJc w:val="left"/>
      <w:pPr>
        <w:ind w:left="1440" w:hanging="360"/>
      </w:pPr>
    </w:lvl>
    <w:lvl w:ilvl="2" w:tplc="D4902A10" w:tentative="1">
      <w:start w:val="1"/>
      <w:numFmt w:val="lowerRoman"/>
      <w:lvlText w:val="%3."/>
      <w:lvlJc w:val="right"/>
      <w:pPr>
        <w:ind w:left="2160" w:hanging="180"/>
      </w:pPr>
    </w:lvl>
    <w:lvl w:ilvl="3" w:tplc="351CD93C" w:tentative="1">
      <w:start w:val="1"/>
      <w:numFmt w:val="decimal"/>
      <w:lvlText w:val="%4."/>
      <w:lvlJc w:val="left"/>
      <w:pPr>
        <w:ind w:left="2880" w:hanging="360"/>
      </w:pPr>
    </w:lvl>
    <w:lvl w:ilvl="4" w:tplc="7826ADEE" w:tentative="1">
      <w:start w:val="1"/>
      <w:numFmt w:val="lowerLetter"/>
      <w:lvlText w:val="%5."/>
      <w:lvlJc w:val="left"/>
      <w:pPr>
        <w:ind w:left="3600" w:hanging="360"/>
      </w:pPr>
    </w:lvl>
    <w:lvl w:ilvl="5" w:tplc="FEF21D1E" w:tentative="1">
      <w:start w:val="1"/>
      <w:numFmt w:val="lowerRoman"/>
      <w:lvlText w:val="%6."/>
      <w:lvlJc w:val="right"/>
      <w:pPr>
        <w:ind w:left="4320" w:hanging="180"/>
      </w:pPr>
    </w:lvl>
    <w:lvl w:ilvl="6" w:tplc="6A6C1B52" w:tentative="1">
      <w:start w:val="1"/>
      <w:numFmt w:val="decimal"/>
      <w:lvlText w:val="%7."/>
      <w:lvlJc w:val="left"/>
      <w:pPr>
        <w:ind w:left="5040" w:hanging="360"/>
      </w:pPr>
    </w:lvl>
    <w:lvl w:ilvl="7" w:tplc="835E0C42" w:tentative="1">
      <w:start w:val="1"/>
      <w:numFmt w:val="lowerLetter"/>
      <w:lvlText w:val="%8."/>
      <w:lvlJc w:val="left"/>
      <w:pPr>
        <w:ind w:left="5760" w:hanging="360"/>
      </w:pPr>
    </w:lvl>
    <w:lvl w:ilvl="8" w:tplc="83DE6C22" w:tentative="1">
      <w:start w:val="1"/>
      <w:numFmt w:val="lowerRoman"/>
      <w:lvlText w:val="%9."/>
      <w:lvlJc w:val="right"/>
      <w:pPr>
        <w:ind w:left="6480" w:hanging="180"/>
      </w:pPr>
    </w:lvl>
  </w:abstractNum>
  <w:abstractNum w:abstractNumId="14" w15:restartNumberingAfterBreak="0">
    <w:nsid w:val="62812E73"/>
    <w:multiLevelType w:val="multilevel"/>
    <w:tmpl w:val="4072D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65630"/>
    <w:multiLevelType w:val="multilevel"/>
    <w:tmpl w:val="527E16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9E62FD"/>
    <w:multiLevelType w:val="multilevel"/>
    <w:tmpl w:val="A650B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C50E05"/>
    <w:multiLevelType w:val="multilevel"/>
    <w:tmpl w:val="093E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173040"/>
    <w:multiLevelType w:val="multilevel"/>
    <w:tmpl w:val="93828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464729"/>
    <w:multiLevelType w:val="multilevel"/>
    <w:tmpl w:val="47E45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9657733">
    <w:abstractNumId w:val="2"/>
  </w:num>
  <w:num w:numId="2" w16cid:durableId="1073165187">
    <w:abstractNumId w:val="4"/>
  </w:num>
  <w:num w:numId="3" w16cid:durableId="1398700905">
    <w:abstractNumId w:val="13"/>
  </w:num>
  <w:num w:numId="4" w16cid:durableId="829062796">
    <w:abstractNumId w:val="5"/>
  </w:num>
  <w:num w:numId="5" w16cid:durableId="1414744949">
    <w:abstractNumId w:val="17"/>
  </w:num>
  <w:num w:numId="6" w16cid:durableId="243224338">
    <w:abstractNumId w:val="18"/>
  </w:num>
  <w:num w:numId="7" w16cid:durableId="1302350372">
    <w:abstractNumId w:val="19"/>
  </w:num>
  <w:num w:numId="8" w16cid:durableId="2093041189">
    <w:abstractNumId w:val="11"/>
  </w:num>
  <w:num w:numId="9" w16cid:durableId="1456749936">
    <w:abstractNumId w:val="7"/>
  </w:num>
  <w:num w:numId="10" w16cid:durableId="642584499">
    <w:abstractNumId w:val="9"/>
  </w:num>
  <w:num w:numId="11" w16cid:durableId="1856142417">
    <w:abstractNumId w:val="14"/>
  </w:num>
  <w:num w:numId="12" w16cid:durableId="1676489767">
    <w:abstractNumId w:val="8"/>
  </w:num>
  <w:num w:numId="13" w16cid:durableId="1292394815">
    <w:abstractNumId w:val="1"/>
  </w:num>
  <w:num w:numId="14" w16cid:durableId="367922838">
    <w:abstractNumId w:val="3"/>
  </w:num>
  <w:num w:numId="15" w16cid:durableId="2118059841">
    <w:abstractNumId w:val="12"/>
  </w:num>
  <w:num w:numId="16" w16cid:durableId="318312927">
    <w:abstractNumId w:val="16"/>
  </w:num>
  <w:num w:numId="17" w16cid:durableId="1655379165">
    <w:abstractNumId w:val="6"/>
  </w:num>
  <w:num w:numId="18" w16cid:durableId="122626821">
    <w:abstractNumId w:val="10"/>
  </w:num>
  <w:num w:numId="19" w16cid:durableId="1858156993">
    <w:abstractNumId w:val="0"/>
  </w:num>
  <w:num w:numId="20" w16cid:durableId="3147250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040"/>
    <w:rsid w:val="000023DB"/>
    <w:rsid w:val="00017183"/>
    <w:rsid w:val="00022609"/>
    <w:rsid w:val="00034E85"/>
    <w:rsid w:val="0004018E"/>
    <w:rsid w:val="000403DC"/>
    <w:rsid w:val="00040DA7"/>
    <w:rsid w:val="00043794"/>
    <w:rsid w:val="00047AF9"/>
    <w:rsid w:val="00052862"/>
    <w:rsid w:val="000528D5"/>
    <w:rsid w:val="0006684D"/>
    <w:rsid w:val="00071CEB"/>
    <w:rsid w:val="000914D7"/>
    <w:rsid w:val="00092858"/>
    <w:rsid w:val="00093C6D"/>
    <w:rsid w:val="000A31C2"/>
    <w:rsid w:val="000A55A2"/>
    <w:rsid w:val="000B2B02"/>
    <w:rsid w:val="000D56EF"/>
    <w:rsid w:val="000D7692"/>
    <w:rsid w:val="000E4057"/>
    <w:rsid w:val="000F0C31"/>
    <w:rsid w:val="00102444"/>
    <w:rsid w:val="0010429D"/>
    <w:rsid w:val="00104C71"/>
    <w:rsid w:val="00107498"/>
    <w:rsid w:val="001209F1"/>
    <w:rsid w:val="00121C6C"/>
    <w:rsid w:val="00126435"/>
    <w:rsid w:val="00127FD4"/>
    <w:rsid w:val="00132CBA"/>
    <w:rsid w:val="00144F69"/>
    <w:rsid w:val="00145914"/>
    <w:rsid w:val="00145C7E"/>
    <w:rsid w:val="001574FE"/>
    <w:rsid w:val="00160724"/>
    <w:rsid w:val="0016696C"/>
    <w:rsid w:val="001722CD"/>
    <w:rsid w:val="001732CE"/>
    <w:rsid w:val="00174AAE"/>
    <w:rsid w:val="001817CB"/>
    <w:rsid w:val="0018235D"/>
    <w:rsid w:val="0018545A"/>
    <w:rsid w:val="001863CD"/>
    <w:rsid w:val="00191971"/>
    <w:rsid w:val="00192B0D"/>
    <w:rsid w:val="00194C93"/>
    <w:rsid w:val="001A21F0"/>
    <w:rsid w:val="001A3032"/>
    <w:rsid w:val="001A40D2"/>
    <w:rsid w:val="001B0942"/>
    <w:rsid w:val="001C159B"/>
    <w:rsid w:val="001D1B3E"/>
    <w:rsid w:val="001D4841"/>
    <w:rsid w:val="001D7C27"/>
    <w:rsid w:val="001E3BC1"/>
    <w:rsid w:val="001F7A24"/>
    <w:rsid w:val="00204F30"/>
    <w:rsid w:val="00205FBC"/>
    <w:rsid w:val="00212679"/>
    <w:rsid w:val="00214C8C"/>
    <w:rsid w:val="002151BF"/>
    <w:rsid w:val="002178F2"/>
    <w:rsid w:val="0022050C"/>
    <w:rsid w:val="0022354F"/>
    <w:rsid w:val="00243ED7"/>
    <w:rsid w:val="00250BAF"/>
    <w:rsid w:val="0025184E"/>
    <w:rsid w:val="00252656"/>
    <w:rsid w:val="00255F02"/>
    <w:rsid w:val="00256E5C"/>
    <w:rsid w:val="00257C58"/>
    <w:rsid w:val="002747A2"/>
    <w:rsid w:val="00281574"/>
    <w:rsid w:val="002817B2"/>
    <w:rsid w:val="0028677F"/>
    <w:rsid w:val="00287DEB"/>
    <w:rsid w:val="002D45C2"/>
    <w:rsid w:val="002D4E24"/>
    <w:rsid w:val="002F31F6"/>
    <w:rsid w:val="002F614E"/>
    <w:rsid w:val="00305DF5"/>
    <w:rsid w:val="00307E34"/>
    <w:rsid w:val="0032242F"/>
    <w:rsid w:val="00324C80"/>
    <w:rsid w:val="00326105"/>
    <w:rsid w:val="00334545"/>
    <w:rsid w:val="00350909"/>
    <w:rsid w:val="00354E9B"/>
    <w:rsid w:val="00360AA2"/>
    <w:rsid w:val="00371F12"/>
    <w:rsid w:val="00375D61"/>
    <w:rsid w:val="00381AFE"/>
    <w:rsid w:val="00392165"/>
    <w:rsid w:val="003966CB"/>
    <w:rsid w:val="00397A12"/>
    <w:rsid w:val="003A69A3"/>
    <w:rsid w:val="003B02B2"/>
    <w:rsid w:val="003B2E32"/>
    <w:rsid w:val="003B6220"/>
    <w:rsid w:val="003B6D98"/>
    <w:rsid w:val="003D3815"/>
    <w:rsid w:val="003F0F03"/>
    <w:rsid w:val="003F1E6B"/>
    <w:rsid w:val="003F2565"/>
    <w:rsid w:val="003F3465"/>
    <w:rsid w:val="00404500"/>
    <w:rsid w:val="00407E47"/>
    <w:rsid w:val="004218B8"/>
    <w:rsid w:val="00425B38"/>
    <w:rsid w:val="00440D8C"/>
    <w:rsid w:val="004454E5"/>
    <w:rsid w:val="00454DC2"/>
    <w:rsid w:val="00455AFD"/>
    <w:rsid w:val="00463A29"/>
    <w:rsid w:val="0046442B"/>
    <w:rsid w:val="00466B61"/>
    <w:rsid w:val="00466B91"/>
    <w:rsid w:val="004768E0"/>
    <w:rsid w:val="00486402"/>
    <w:rsid w:val="00493BF1"/>
    <w:rsid w:val="004959F3"/>
    <w:rsid w:val="0049655F"/>
    <w:rsid w:val="00496A07"/>
    <w:rsid w:val="004A02E4"/>
    <w:rsid w:val="004A351B"/>
    <w:rsid w:val="004A4D93"/>
    <w:rsid w:val="004A79E6"/>
    <w:rsid w:val="004B0727"/>
    <w:rsid w:val="004C085F"/>
    <w:rsid w:val="004C30B1"/>
    <w:rsid w:val="004C5212"/>
    <w:rsid w:val="004D1F75"/>
    <w:rsid w:val="004E381D"/>
    <w:rsid w:val="00503D16"/>
    <w:rsid w:val="00504319"/>
    <w:rsid w:val="00516AD4"/>
    <w:rsid w:val="00521BE3"/>
    <w:rsid w:val="005236E9"/>
    <w:rsid w:val="00524590"/>
    <w:rsid w:val="00531EA1"/>
    <w:rsid w:val="00532E4D"/>
    <w:rsid w:val="0053584D"/>
    <w:rsid w:val="0054023C"/>
    <w:rsid w:val="00540FF6"/>
    <w:rsid w:val="00546051"/>
    <w:rsid w:val="005475A8"/>
    <w:rsid w:val="00555E88"/>
    <w:rsid w:val="00562278"/>
    <w:rsid w:val="00582947"/>
    <w:rsid w:val="00582A61"/>
    <w:rsid w:val="00593409"/>
    <w:rsid w:val="005A0FCA"/>
    <w:rsid w:val="005A6D79"/>
    <w:rsid w:val="005B2A8C"/>
    <w:rsid w:val="005B61EA"/>
    <w:rsid w:val="005C0391"/>
    <w:rsid w:val="005C1D9B"/>
    <w:rsid w:val="005C5AC5"/>
    <w:rsid w:val="005C760A"/>
    <w:rsid w:val="005D52BC"/>
    <w:rsid w:val="005E1D3B"/>
    <w:rsid w:val="005E60A2"/>
    <w:rsid w:val="005F157F"/>
    <w:rsid w:val="005F1FBF"/>
    <w:rsid w:val="00602891"/>
    <w:rsid w:val="0060528A"/>
    <w:rsid w:val="006078A8"/>
    <w:rsid w:val="006468C0"/>
    <w:rsid w:val="006475B8"/>
    <w:rsid w:val="0065581E"/>
    <w:rsid w:val="006577ED"/>
    <w:rsid w:val="00683DEF"/>
    <w:rsid w:val="00693C5D"/>
    <w:rsid w:val="006A3C3F"/>
    <w:rsid w:val="006D7BF8"/>
    <w:rsid w:val="006E4C6E"/>
    <w:rsid w:val="006E6917"/>
    <w:rsid w:val="006E7D34"/>
    <w:rsid w:val="006F5378"/>
    <w:rsid w:val="006F789B"/>
    <w:rsid w:val="007029F9"/>
    <w:rsid w:val="00705F8D"/>
    <w:rsid w:val="00713C96"/>
    <w:rsid w:val="007267C4"/>
    <w:rsid w:val="0072733C"/>
    <w:rsid w:val="00730027"/>
    <w:rsid w:val="007356D7"/>
    <w:rsid w:val="00742BA4"/>
    <w:rsid w:val="0074328B"/>
    <w:rsid w:val="00745758"/>
    <w:rsid w:val="00746808"/>
    <w:rsid w:val="007521CF"/>
    <w:rsid w:val="007654EC"/>
    <w:rsid w:val="007656A8"/>
    <w:rsid w:val="007817DC"/>
    <w:rsid w:val="0078790C"/>
    <w:rsid w:val="00791442"/>
    <w:rsid w:val="007978B8"/>
    <w:rsid w:val="007A3A32"/>
    <w:rsid w:val="007B21A0"/>
    <w:rsid w:val="007B3780"/>
    <w:rsid w:val="007B7A24"/>
    <w:rsid w:val="007C0EA6"/>
    <w:rsid w:val="007C5313"/>
    <w:rsid w:val="007D0091"/>
    <w:rsid w:val="007E07BB"/>
    <w:rsid w:val="007E4EF3"/>
    <w:rsid w:val="007E58A7"/>
    <w:rsid w:val="007E74A7"/>
    <w:rsid w:val="007F54F4"/>
    <w:rsid w:val="008006A9"/>
    <w:rsid w:val="00823052"/>
    <w:rsid w:val="00840E87"/>
    <w:rsid w:val="00843E71"/>
    <w:rsid w:val="00853131"/>
    <w:rsid w:val="00854362"/>
    <w:rsid w:val="00856F31"/>
    <w:rsid w:val="008718F9"/>
    <w:rsid w:val="00880B2B"/>
    <w:rsid w:val="0088274F"/>
    <w:rsid w:val="00890900"/>
    <w:rsid w:val="00895611"/>
    <w:rsid w:val="00895B99"/>
    <w:rsid w:val="008A10E8"/>
    <w:rsid w:val="008D2528"/>
    <w:rsid w:val="008D27B5"/>
    <w:rsid w:val="008D404B"/>
    <w:rsid w:val="008E78C9"/>
    <w:rsid w:val="009029C8"/>
    <w:rsid w:val="0091407A"/>
    <w:rsid w:val="0091483F"/>
    <w:rsid w:val="0091704F"/>
    <w:rsid w:val="00921602"/>
    <w:rsid w:val="0092632C"/>
    <w:rsid w:val="00927825"/>
    <w:rsid w:val="00935075"/>
    <w:rsid w:val="00937C07"/>
    <w:rsid w:val="00937C4B"/>
    <w:rsid w:val="0094411A"/>
    <w:rsid w:val="00955871"/>
    <w:rsid w:val="009721F0"/>
    <w:rsid w:val="009748A6"/>
    <w:rsid w:val="00975903"/>
    <w:rsid w:val="009809F7"/>
    <w:rsid w:val="00983947"/>
    <w:rsid w:val="00991F89"/>
    <w:rsid w:val="0099341C"/>
    <w:rsid w:val="009953C5"/>
    <w:rsid w:val="009A4AE7"/>
    <w:rsid w:val="009A4EAD"/>
    <w:rsid w:val="009A5F09"/>
    <w:rsid w:val="009B6724"/>
    <w:rsid w:val="009C60F1"/>
    <w:rsid w:val="009D4611"/>
    <w:rsid w:val="009E075B"/>
    <w:rsid w:val="009F0F8E"/>
    <w:rsid w:val="009F6BDF"/>
    <w:rsid w:val="00A01FD8"/>
    <w:rsid w:val="00A030FF"/>
    <w:rsid w:val="00A05A71"/>
    <w:rsid w:val="00A0768B"/>
    <w:rsid w:val="00A105DC"/>
    <w:rsid w:val="00A2320E"/>
    <w:rsid w:val="00A3554F"/>
    <w:rsid w:val="00A478DB"/>
    <w:rsid w:val="00A53E0A"/>
    <w:rsid w:val="00A56384"/>
    <w:rsid w:val="00A610B5"/>
    <w:rsid w:val="00A662CF"/>
    <w:rsid w:val="00A671A7"/>
    <w:rsid w:val="00A67CE4"/>
    <w:rsid w:val="00A723F4"/>
    <w:rsid w:val="00A731A5"/>
    <w:rsid w:val="00A74605"/>
    <w:rsid w:val="00A812AD"/>
    <w:rsid w:val="00A83C7D"/>
    <w:rsid w:val="00A85BE5"/>
    <w:rsid w:val="00A85D5D"/>
    <w:rsid w:val="00A87576"/>
    <w:rsid w:val="00A87622"/>
    <w:rsid w:val="00A94AE9"/>
    <w:rsid w:val="00AD3547"/>
    <w:rsid w:val="00AD4684"/>
    <w:rsid w:val="00AD5B39"/>
    <w:rsid w:val="00AE4DEB"/>
    <w:rsid w:val="00AF01F3"/>
    <w:rsid w:val="00AF1065"/>
    <w:rsid w:val="00AF2544"/>
    <w:rsid w:val="00AF37DB"/>
    <w:rsid w:val="00B02E0D"/>
    <w:rsid w:val="00B04C54"/>
    <w:rsid w:val="00B071DB"/>
    <w:rsid w:val="00B12550"/>
    <w:rsid w:val="00B214DE"/>
    <w:rsid w:val="00B22C88"/>
    <w:rsid w:val="00B258D7"/>
    <w:rsid w:val="00B44CA7"/>
    <w:rsid w:val="00B45FD2"/>
    <w:rsid w:val="00B46594"/>
    <w:rsid w:val="00B47BEB"/>
    <w:rsid w:val="00B55170"/>
    <w:rsid w:val="00B602AA"/>
    <w:rsid w:val="00B83D0E"/>
    <w:rsid w:val="00B9395E"/>
    <w:rsid w:val="00B970AC"/>
    <w:rsid w:val="00BA4BE3"/>
    <w:rsid w:val="00BA5040"/>
    <w:rsid w:val="00BA6635"/>
    <w:rsid w:val="00BB3166"/>
    <w:rsid w:val="00BB43D6"/>
    <w:rsid w:val="00BC4BCC"/>
    <w:rsid w:val="00BC6237"/>
    <w:rsid w:val="00BC6E46"/>
    <w:rsid w:val="00BD56FB"/>
    <w:rsid w:val="00BD60FB"/>
    <w:rsid w:val="00BE1926"/>
    <w:rsid w:val="00C019D3"/>
    <w:rsid w:val="00C03848"/>
    <w:rsid w:val="00C07098"/>
    <w:rsid w:val="00C20399"/>
    <w:rsid w:val="00C234FB"/>
    <w:rsid w:val="00C23CE5"/>
    <w:rsid w:val="00C32034"/>
    <w:rsid w:val="00C33318"/>
    <w:rsid w:val="00C33BC9"/>
    <w:rsid w:val="00C404C2"/>
    <w:rsid w:val="00C40DF5"/>
    <w:rsid w:val="00C4185F"/>
    <w:rsid w:val="00C579D7"/>
    <w:rsid w:val="00C60C92"/>
    <w:rsid w:val="00C61A75"/>
    <w:rsid w:val="00C633F8"/>
    <w:rsid w:val="00C653A2"/>
    <w:rsid w:val="00C67B6F"/>
    <w:rsid w:val="00C67B82"/>
    <w:rsid w:val="00C71C6A"/>
    <w:rsid w:val="00C71DC8"/>
    <w:rsid w:val="00C76260"/>
    <w:rsid w:val="00C809C2"/>
    <w:rsid w:val="00C82C14"/>
    <w:rsid w:val="00C87318"/>
    <w:rsid w:val="00C91D4B"/>
    <w:rsid w:val="00C93757"/>
    <w:rsid w:val="00C9395F"/>
    <w:rsid w:val="00C93A96"/>
    <w:rsid w:val="00CA0925"/>
    <w:rsid w:val="00CA4D05"/>
    <w:rsid w:val="00CC6206"/>
    <w:rsid w:val="00CD574E"/>
    <w:rsid w:val="00CD6C96"/>
    <w:rsid w:val="00CE149A"/>
    <w:rsid w:val="00CE20FE"/>
    <w:rsid w:val="00CF30A3"/>
    <w:rsid w:val="00CF40DB"/>
    <w:rsid w:val="00D11C06"/>
    <w:rsid w:val="00D165ED"/>
    <w:rsid w:val="00D22219"/>
    <w:rsid w:val="00D33EED"/>
    <w:rsid w:val="00D410CC"/>
    <w:rsid w:val="00D41D4A"/>
    <w:rsid w:val="00D51288"/>
    <w:rsid w:val="00D66BDA"/>
    <w:rsid w:val="00D734A7"/>
    <w:rsid w:val="00D77FCD"/>
    <w:rsid w:val="00D82749"/>
    <w:rsid w:val="00D82995"/>
    <w:rsid w:val="00D84C2E"/>
    <w:rsid w:val="00D851A4"/>
    <w:rsid w:val="00DA15F3"/>
    <w:rsid w:val="00DB6CEB"/>
    <w:rsid w:val="00DC4C78"/>
    <w:rsid w:val="00DC57BE"/>
    <w:rsid w:val="00DD5E48"/>
    <w:rsid w:val="00DD6690"/>
    <w:rsid w:val="00DE1E73"/>
    <w:rsid w:val="00E102CA"/>
    <w:rsid w:val="00E13095"/>
    <w:rsid w:val="00E13BAC"/>
    <w:rsid w:val="00E30880"/>
    <w:rsid w:val="00E47C7D"/>
    <w:rsid w:val="00E549FC"/>
    <w:rsid w:val="00E56D9A"/>
    <w:rsid w:val="00E67E8C"/>
    <w:rsid w:val="00E7014C"/>
    <w:rsid w:val="00E74B69"/>
    <w:rsid w:val="00EB191A"/>
    <w:rsid w:val="00EB5E21"/>
    <w:rsid w:val="00EB6749"/>
    <w:rsid w:val="00ED18DB"/>
    <w:rsid w:val="00ED5C73"/>
    <w:rsid w:val="00ED63A9"/>
    <w:rsid w:val="00EF6D1E"/>
    <w:rsid w:val="00EF7B52"/>
    <w:rsid w:val="00F01B92"/>
    <w:rsid w:val="00F04923"/>
    <w:rsid w:val="00F1212A"/>
    <w:rsid w:val="00F14B87"/>
    <w:rsid w:val="00F150A3"/>
    <w:rsid w:val="00F21287"/>
    <w:rsid w:val="00F307B6"/>
    <w:rsid w:val="00F3521B"/>
    <w:rsid w:val="00F3599C"/>
    <w:rsid w:val="00F372DB"/>
    <w:rsid w:val="00F42366"/>
    <w:rsid w:val="00F42650"/>
    <w:rsid w:val="00F47358"/>
    <w:rsid w:val="00F47FFB"/>
    <w:rsid w:val="00F53176"/>
    <w:rsid w:val="00F577FE"/>
    <w:rsid w:val="00F60F9A"/>
    <w:rsid w:val="00F66F3F"/>
    <w:rsid w:val="00F720F0"/>
    <w:rsid w:val="00F76964"/>
    <w:rsid w:val="00F8491C"/>
    <w:rsid w:val="00F859EC"/>
    <w:rsid w:val="00F85FA7"/>
    <w:rsid w:val="00F9239F"/>
    <w:rsid w:val="00F9787E"/>
    <w:rsid w:val="00FA22EA"/>
    <w:rsid w:val="00FA69F4"/>
    <w:rsid w:val="00FB25FA"/>
    <w:rsid w:val="00FC32D4"/>
    <w:rsid w:val="00FC46A5"/>
    <w:rsid w:val="00FC501E"/>
    <w:rsid w:val="00FC7B1E"/>
    <w:rsid w:val="00FE1E13"/>
    <w:rsid w:val="00FE5044"/>
    <w:rsid w:val="00FF2BCC"/>
    <w:rsid w:val="00FF3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500"/>
    <w:pPr>
      <w:spacing w:line="276" w:lineRule="auto"/>
    </w:pPr>
    <w:rPr>
      <w:rFonts w:ascii="Times New Roman" w:hAnsi="Times New Roman"/>
      <w:sz w:val="24"/>
      <w:lang w:val="en-GB"/>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C7B1E"/>
    <w:pPr>
      <w:keepNext/>
      <w:keepLines/>
      <w:spacing w:after="240"/>
      <w:outlineLvl w:val="1"/>
    </w:pPr>
    <w:rPr>
      <w:rFonts w:ascii="Arial" w:eastAsiaTheme="majorEastAsia" w:hAnsi="Arial" w:cs="Arial"/>
      <w:i/>
      <w:sz w:val="22"/>
      <w:szCs w:val="26"/>
      <w:lang w:val="en-US"/>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ED18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F89"/>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FC7B1E"/>
    <w:rPr>
      <w:rFonts w:ascii="Arial" w:eastAsiaTheme="majorEastAsia" w:hAnsi="Arial" w:cs="Arial"/>
      <w:i/>
      <w:szCs w:val="26"/>
    </w:rPr>
  </w:style>
  <w:style w:type="character" w:customStyle="1" w:styleId="Heading3Char">
    <w:name w:val="Heading 3 Char"/>
    <w:basedOn w:val="DefaultParagraphFont"/>
    <w:link w:val="Heading3"/>
    <w:uiPriority w:val="9"/>
    <w:rsid w:val="00991F89"/>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customStyle="1" w:styleId="UnresolvedMention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customStyle="1" w:styleId="hhd2">
    <w:name w:val="hhd2"/>
    <w:basedOn w:val="Normal"/>
    <w:rsid w:val="00C33318"/>
    <w:pPr>
      <w:spacing w:before="100" w:beforeAutospacing="1" w:after="100" w:afterAutospacing="1" w:line="240" w:lineRule="auto"/>
    </w:pPr>
    <w:rPr>
      <w:rFonts w:eastAsia="Times New Roman" w:cs="Times New Roman"/>
      <w:szCs w:val="24"/>
    </w:rPr>
  </w:style>
  <w:style w:type="character" w:customStyle="1" w:styleId="Heading4Char">
    <w:name w:val="Heading 4 Char"/>
    <w:basedOn w:val="DefaultParagraphFont"/>
    <w:link w:val="Heading4"/>
    <w:uiPriority w:val="9"/>
    <w:semiHidden/>
    <w:rsid w:val="00ED18DB"/>
    <w:rPr>
      <w:rFonts w:asciiTheme="majorHAnsi" w:eastAsiaTheme="majorEastAsia" w:hAnsiTheme="majorHAnsi" w:cstheme="majorBidi"/>
      <w:i/>
      <w:iCs/>
      <w:color w:val="2F5496" w:themeColor="accent1" w:themeShade="BF"/>
      <w:sz w:val="24"/>
      <w:lang w:val="en-GB"/>
    </w:rPr>
  </w:style>
  <w:style w:type="paragraph" w:styleId="TOCHeading">
    <w:name w:val="TOC Heading"/>
    <w:basedOn w:val="Heading1"/>
    <w:next w:val="Normal"/>
    <w:uiPriority w:val="39"/>
    <w:unhideWhenUsed/>
    <w:qFormat/>
    <w:rsid w:val="004A4D93"/>
    <w:pPr>
      <w:spacing w:before="240" w:after="0" w:line="259" w:lineRule="auto"/>
      <w:outlineLvl w:val="9"/>
    </w:pPr>
    <w:rPr>
      <w:rFonts w:asciiTheme="majorHAnsi" w:hAnsiTheme="majorHAnsi"/>
      <w:b w:val="0"/>
      <w:i w:val="0"/>
      <w:color w:val="2F5496" w:themeColor="accent1" w:themeShade="BF"/>
      <w:sz w:val="32"/>
      <w:lang w:val="en-US"/>
    </w:rPr>
  </w:style>
  <w:style w:type="paragraph" w:styleId="TOC1">
    <w:name w:val="toc 1"/>
    <w:basedOn w:val="Normal"/>
    <w:next w:val="Normal"/>
    <w:autoRedefine/>
    <w:uiPriority w:val="39"/>
    <w:unhideWhenUsed/>
    <w:rsid w:val="004A4D93"/>
    <w:pPr>
      <w:spacing w:after="100"/>
    </w:pPr>
  </w:style>
  <w:style w:type="paragraph" w:styleId="TOC2">
    <w:name w:val="toc 2"/>
    <w:basedOn w:val="Normal"/>
    <w:next w:val="Normal"/>
    <w:autoRedefine/>
    <w:uiPriority w:val="39"/>
    <w:unhideWhenUsed/>
    <w:rsid w:val="004A4D93"/>
    <w:pPr>
      <w:spacing w:after="100"/>
      <w:ind w:left="240"/>
    </w:pPr>
  </w:style>
  <w:style w:type="table" w:styleId="TableGrid">
    <w:name w:val="Table Grid"/>
    <w:basedOn w:val="TableNormal"/>
    <w:uiPriority w:val="39"/>
    <w:rsid w:val="00194C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15B0D-B588-4173-BAF8-878344659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2118</Words>
  <Characters>12075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Ifat Hussain</dc:creator>
  <cp:lastModifiedBy>Ifat Hussain</cp:lastModifiedBy>
  <cp:revision>2</cp:revision>
  <dcterms:created xsi:type="dcterms:W3CDTF">2025-11-16T13:16:00Z</dcterms:created>
  <dcterms:modified xsi:type="dcterms:W3CDTF">2025-11-16T13:16:00Z</dcterms:modified>
</cp:coreProperties>
</file>