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648BD" w14:textId="77777777" w:rsidR="00C72950" w:rsidRDefault="00C72950" w:rsidP="00C72950"/>
    <w:p w14:paraId="46CD29C9" w14:textId="77777777" w:rsidR="00C72950" w:rsidRDefault="00C72950" w:rsidP="00E17258">
      <w:pPr>
        <w:spacing w:after="0" w:line="276" w:lineRule="auto"/>
        <w:ind w:right="531"/>
        <w:rPr>
          <w:rFonts w:ascii="Arial" w:eastAsia="Times New Roman" w:hAnsi="Arial" w:cs="Arial"/>
          <w:lang w:eastAsia="en-GB"/>
        </w:rPr>
      </w:pPr>
      <w:r>
        <w:rPr>
          <w:rFonts w:ascii="Arial" w:eastAsia="Times New Roman" w:hAnsi="Arial" w:cs="Arial"/>
          <w:b/>
          <w:bCs/>
          <w:lang w:eastAsia="en-GB"/>
        </w:rPr>
        <w:t>Essay one</w:t>
      </w:r>
      <w:r w:rsidRPr="00BC461A">
        <w:rPr>
          <w:rFonts w:ascii="Arial" w:eastAsia="Times New Roman" w:hAnsi="Arial" w:cs="Arial"/>
          <w:b/>
          <w:bCs/>
          <w:lang w:eastAsia="en-GB"/>
        </w:rPr>
        <w:t>:</w:t>
      </w:r>
    </w:p>
    <w:p w14:paraId="47C8E98C" w14:textId="4BCE47B5" w:rsidR="00C72950" w:rsidRPr="00A76BC3" w:rsidRDefault="00C72950" w:rsidP="00E17258">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How have the different values and cultural norms within diverse communities impacted upon policing? You should </w:t>
      </w:r>
      <w:r>
        <w:rPr>
          <w:rFonts w:ascii="Arial" w:eastAsia="Times New Roman" w:hAnsi="Arial" w:cs="Arial"/>
          <w:u w:val="single"/>
          <w:lang w:eastAsia="en-GB"/>
        </w:rPr>
        <w:t>evaluate</w:t>
      </w:r>
      <w:r>
        <w:rPr>
          <w:rFonts w:ascii="Arial" w:eastAsia="Times New Roman" w:hAnsi="Arial" w:cs="Arial"/>
          <w:lang w:eastAsia="en-GB"/>
        </w:rPr>
        <w:t xml:space="preserve"> how multi-culturalism has affected professional policies and standards (e.g. PACE, Code of Ethics) as well as policing practice (e.g. neighbourhood policing).</w:t>
      </w:r>
    </w:p>
    <w:p w14:paraId="3233B3EF" w14:textId="42B8B7B6" w:rsidR="00C72950" w:rsidRDefault="00C72950" w:rsidP="00C72950"/>
    <w:p w14:paraId="5C7EA4BA" w14:textId="77777777" w:rsidR="006E23F1" w:rsidRDefault="006E23F1" w:rsidP="006E23F1">
      <w:pPr>
        <w:rPr>
          <w:rFonts w:cstheme="minorHAnsi"/>
          <w:sz w:val="20"/>
          <w:szCs w:val="20"/>
        </w:rPr>
      </w:pPr>
      <w:r w:rsidRPr="00551C40">
        <w:rPr>
          <w:rFonts w:cstheme="minorHAnsi"/>
          <w:sz w:val="20"/>
          <w:szCs w:val="20"/>
        </w:rPr>
        <w:t xml:space="preserve">Multiculturalism is very much alive in the UK. As the latest ONS data suggests, it is clear to see that the UK population is becoming more culturally and ethnically diverse. The data comparing 2021 with 2011 shows that persons that describe themselves as White British fell </w:t>
      </w:r>
      <w:r>
        <w:rPr>
          <w:rFonts w:cstheme="minorHAnsi"/>
          <w:sz w:val="20"/>
          <w:szCs w:val="20"/>
        </w:rPr>
        <w:t>to</w:t>
      </w:r>
      <w:r w:rsidRPr="00551C40">
        <w:rPr>
          <w:rFonts w:cstheme="minorHAnsi"/>
          <w:sz w:val="20"/>
          <w:szCs w:val="20"/>
        </w:rPr>
        <w:t xml:space="preserve"> 81.7%</w:t>
      </w:r>
      <w:r>
        <w:rPr>
          <w:rFonts w:cstheme="minorHAnsi"/>
          <w:sz w:val="20"/>
          <w:szCs w:val="20"/>
        </w:rPr>
        <w:t xml:space="preserve"> of the population</w:t>
      </w:r>
      <w:r w:rsidRPr="00551C40">
        <w:rPr>
          <w:rFonts w:cstheme="minorHAnsi"/>
          <w:sz w:val="20"/>
          <w:szCs w:val="20"/>
        </w:rPr>
        <w:t xml:space="preserve">, whereas the persons describing themselves as Asian grew to 9.3% and persons that describe themselves as Black grew </w:t>
      </w:r>
      <w:r>
        <w:rPr>
          <w:rFonts w:cstheme="minorHAnsi"/>
          <w:sz w:val="20"/>
          <w:szCs w:val="20"/>
        </w:rPr>
        <w:t>to</w:t>
      </w:r>
      <w:r w:rsidRPr="00551C40">
        <w:rPr>
          <w:rFonts w:cstheme="minorHAnsi"/>
          <w:sz w:val="20"/>
          <w:szCs w:val="20"/>
        </w:rPr>
        <w:t xml:space="preserve"> 4%, there are also large increases for individuals who fall into the ‘Other Ethnic Background’ category (Office for National Statistics. (2022). However, multiculturalism is not simply the changes in demographic within a society but also an understanding of the “</w:t>
      </w:r>
      <w:r w:rsidRPr="00551C40">
        <w:rPr>
          <w:rFonts w:cstheme="minorHAnsi"/>
          <w:color w:val="333333"/>
          <w:sz w:val="20"/>
          <w:szCs w:val="20"/>
        </w:rPr>
        <w:t>complex range of issues associated with cultural and religious diversity in society” (</w:t>
      </w:r>
      <w:r w:rsidRPr="00551C40">
        <w:rPr>
          <w:rFonts w:cstheme="minorHAnsi"/>
          <w:color w:val="222222"/>
          <w:sz w:val="20"/>
          <w:szCs w:val="20"/>
          <w:shd w:val="clear" w:color="auto" w:fill="FFFFFF"/>
        </w:rPr>
        <w:t xml:space="preserve">Nye, M. 2007.) </w:t>
      </w:r>
      <w:r w:rsidRPr="00551C40">
        <w:rPr>
          <w:rFonts w:cstheme="minorHAnsi"/>
          <w:sz w:val="20"/>
          <w:szCs w:val="20"/>
        </w:rPr>
        <w:t>To meet the demands of this every changing contemporary society, UK police force's approach to policing must constantly change as the communities of the UK become increasingly complex and diverse.</w:t>
      </w:r>
    </w:p>
    <w:p w14:paraId="01824B8A" w14:textId="77777777" w:rsidR="006E23F1" w:rsidRPr="00551C40" w:rsidRDefault="006E23F1" w:rsidP="006E23F1">
      <w:pPr>
        <w:rPr>
          <w:rFonts w:cstheme="minorHAnsi"/>
          <w:sz w:val="20"/>
          <w:szCs w:val="20"/>
        </w:rPr>
      </w:pPr>
      <w:r w:rsidRPr="004563BF">
        <w:rPr>
          <w:rFonts w:cstheme="minorHAnsi"/>
          <w:sz w:val="20"/>
          <w:szCs w:val="20"/>
        </w:rPr>
        <w:t>“To recognise always that to secure and maintain the respect and approval of the public means also the securing of the willing co-operation of the public in the task of securing observance of law”</w:t>
      </w:r>
      <w:r>
        <w:rPr>
          <w:rFonts w:cstheme="minorHAnsi"/>
          <w:sz w:val="20"/>
          <w:szCs w:val="20"/>
        </w:rPr>
        <w:t xml:space="preserve"> (Peel, 1829).</w:t>
      </w:r>
    </w:p>
    <w:p w14:paraId="7E98AA0C" w14:textId="6CFE12BA" w:rsidR="006E23F1" w:rsidRDefault="006E23F1" w:rsidP="006E23F1">
      <w:pPr>
        <w:shd w:val="clear" w:color="auto" w:fill="FFFFFF"/>
        <w:spacing w:before="100" w:beforeAutospacing="1" w:after="100" w:afterAutospacing="1" w:line="240" w:lineRule="auto"/>
        <w:rPr>
          <w:rFonts w:cstheme="minorHAnsi"/>
          <w:sz w:val="20"/>
          <w:szCs w:val="20"/>
        </w:rPr>
      </w:pPr>
      <w:r w:rsidRPr="00F025CF">
        <w:rPr>
          <w:rFonts w:cstheme="minorHAnsi"/>
          <w:sz w:val="20"/>
          <w:szCs w:val="20"/>
        </w:rPr>
        <w:t xml:space="preserve">The ability for police to operate effectively is dependent on securing and building relationships within all of our communities as a means of building trust and legitimacy. </w:t>
      </w:r>
      <w:r>
        <w:rPr>
          <w:rFonts w:cstheme="minorHAnsi"/>
          <w:sz w:val="20"/>
          <w:szCs w:val="20"/>
        </w:rPr>
        <w:t xml:space="preserve">According to Tyler (2005) </w:t>
      </w:r>
      <w:r w:rsidRPr="007423C5">
        <w:rPr>
          <w:rFonts w:cstheme="minorHAnsi"/>
          <w:sz w:val="20"/>
          <w:szCs w:val="20"/>
        </w:rPr>
        <w:t>“Public trust and confidence in the police is generally low, with minority group members especially mistrustful of the police.”</w:t>
      </w:r>
      <w:r>
        <w:rPr>
          <w:rFonts w:cstheme="minorHAnsi"/>
          <w:sz w:val="20"/>
          <w:szCs w:val="20"/>
        </w:rPr>
        <w:t xml:space="preserve"> </w:t>
      </w:r>
      <w:r w:rsidRPr="00551C40">
        <w:rPr>
          <w:rFonts w:cstheme="minorHAnsi"/>
          <w:sz w:val="20"/>
          <w:szCs w:val="20"/>
        </w:rPr>
        <w:t>Since the Black Lives Matter rallies in the summer of 2020, there has been more focus on how police handle racial problems</w:t>
      </w:r>
      <w:r>
        <w:rPr>
          <w:rFonts w:cstheme="minorHAnsi"/>
          <w:sz w:val="20"/>
          <w:szCs w:val="20"/>
        </w:rPr>
        <w:t>, this is evident as t</w:t>
      </w:r>
      <w:r w:rsidRPr="00551C40">
        <w:rPr>
          <w:rFonts w:cstheme="minorHAnsi"/>
          <w:sz w:val="20"/>
          <w:szCs w:val="20"/>
        </w:rPr>
        <w:t>rust in UK police has decreased 8 percentage points to 44%, with BAME respondents falling even further to 37%</w:t>
      </w:r>
      <w:r>
        <w:rPr>
          <w:rFonts w:cstheme="minorHAnsi"/>
          <w:sz w:val="20"/>
          <w:szCs w:val="20"/>
        </w:rPr>
        <w:t xml:space="preserve"> (</w:t>
      </w:r>
      <w:r w:rsidRPr="00551C40">
        <w:rPr>
          <w:rFonts w:cstheme="minorHAnsi"/>
          <w:sz w:val="20"/>
          <w:szCs w:val="20"/>
        </w:rPr>
        <w:t>YouGov</w:t>
      </w:r>
      <w:r>
        <w:rPr>
          <w:rFonts w:cstheme="minorHAnsi"/>
          <w:sz w:val="20"/>
          <w:szCs w:val="20"/>
        </w:rPr>
        <w:t xml:space="preserve">, </w:t>
      </w:r>
      <w:r w:rsidRPr="00551C40">
        <w:rPr>
          <w:rFonts w:cstheme="minorHAnsi"/>
          <w:sz w:val="20"/>
          <w:szCs w:val="20"/>
        </w:rPr>
        <w:t>2022)</w:t>
      </w:r>
      <w:r>
        <w:rPr>
          <w:rFonts w:cstheme="minorHAnsi"/>
          <w:sz w:val="20"/>
          <w:szCs w:val="20"/>
        </w:rPr>
        <w:t>. According to Dodd (2021) t</w:t>
      </w:r>
      <w:r w:rsidRPr="00551C40">
        <w:rPr>
          <w:rFonts w:cstheme="minorHAnsi"/>
          <w:sz w:val="20"/>
          <w:szCs w:val="20"/>
        </w:rPr>
        <w:t>he NPCC have admitted that this increased mistrust of the police service has hampered its ability to fight crimes and have legitimacy with members of the public</w:t>
      </w:r>
      <w:r>
        <w:rPr>
          <w:rFonts w:cstheme="minorHAnsi"/>
          <w:sz w:val="20"/>
          <w:szCs w:val="20"/>
        </w:rPr>
        <w:t xml:space="preserve"> </w:t>
      </w:r>
      <w:r w:rsidRPr="00551C40">
        <w:rPr>
          <w:rFonts w:cstheme="minorHAnsi"/>
          <w:sz w:val="20"/>
          <w:szCs w:val="20"/>
        </w:rPr>
        <w:t>directly contravening the Peelian Principles</w:t>
      </w:r>
      <w:r>
        <w:rPr>
          <w:rFonts w:cstheme="minorHAnsi"/>
          <w:sz w:val="20"/>
          <w:szCs w:val="20"/>
        </w:rPr>
        <w:t>, which are as ever relevant today</w:t>
      </w:r>
      <w:r w:rsidRPr="00F025CF">
        <w:rPr>
          <w:rFonts w:cstheme="minorHAnsi"/>
          <w:sz w:val="20"/>
          <w:szCs w:val="20"/>
        </w:rPr>
        <w:t>. The ability for the police to operate effectively is dependent on securing and rebuilding relationships within all of our communities as a means of rebuilding trust and legitimacy</w:t>
      </w:r>
      <w:r>
        <w:rPr>
          <w:rFonts w:cstheme="minorHAnsi"/>
          <w:sz w:val="20"/>
          <w:szCs w:val="20"/>
        </w:rPr>
        <w:t xml:space="preserve"> (</w:t>
      </w:r>
      <w:r w:rsidRPr="005F00EA">
        <w:rPr>
          <w:rFonts w:cstheme="minorHAnsi"/>
          <w:sz w:val="20"/>
          <w:szCs w:val="20"/>
        </w:rPr>
        <w:t>Sunshine, J and Tyler, T.R., 2003)</w:t>
      </w:r>
      <w:r>
        <w:rPr>
          <w:rFonts w:cstheme="minorHAnsi"/>
          <w:sz w:val="20"/>
          <w:szCs w:val="20"/>
        </w:rPr>
        <w:t>.</w:t>
      </w:r>
    </w:p>
    <w:p w14:paraId="41C0820D" w14:textId="397B58EE" w:rsidR="006E23F1" w:rsidRDefault="006E23F1" w:rsidP="006E23F1">
      <w:pPr>
        <w:shd w:val="clear" w:color="auto" w:fill="FFFFFF"/>
        <w:spacing w:before="100" w:beforeAutospacing="1" w:after="100" w:afterAutospacing="1" w:line="240" w:lineRule="auto"/>
        <w:rPr>
          <w:sz w:val="20"/>
          <w:szCs w:val="20"/>
        </w:rPr>
      </w:pPr>
      <w:r>
        <w:rPr>
          <w:rFonts w:cstheme="minorHAnsi"/>
          <w:sz w:val="20"/>
          <w:szCs w:val="20"/>
        </w:rPr>
        <w:t xml:space="preserve">Goldsmith (2005) argues that the absence of public trust makes policing by consent almost impossible, and that lack of trust is the starting point for the requirement of reform. </w:t>
      </w:r>
      <w:r w:rsidRPr="00F025CF">
        <w:rPr>
          <w:sz w:val="20"/>
          <w:szCs w:val="20"/>
        </w:rPr>
        <w:t>The need for reform of policing policies and procedures is not ‘New News’ however, forces across the UK have historically been hamstrung by accusations of institutional racism</w:t>
      </w:r>
      <w:r>
        <w:rPr>
          <w:sz w:val="20"/>
          <w:szCs w:val="20"/>
        </w:rPr>
        <w:t>. The reform of UK policing therefore has not been from desire to reform but from a requirement to do so in order to retain its legitimacy, fuelled by two key events</w:t>
      </w:r>
      <w:r w:rsidRPr="00F025CF">
        <w:rPr>
          <w:sz w:val="20"/>
          <w:szCs w:val="20"/>
        </w:rPr>
        <w:t xml:space="preserve">. Most notably the 1981 Brixton riots which led to the </w:t>
      </w:r>
      <w:r>
        <w:rPr>
          <w:sz w:val="20"/>
          <w:szCs w:val="20"/>
        </w:rPr>
        <w:t xml:space="preserve">formal inquiry and publication of the </w:t>
      </w:r>
      <w:r w:rsidRPr="00F025CF">
        <w:rPr>
          <w:sz w:val="20"/>
          <w:szCs w:val="20"/>
        </w:rPr>
        <w:t xml:space="preserve">Lord Scarman report. Following his inquiry into the cause of the riots, Scarman (1981) stated that there was no such thing as "institutional racism," but he emphasised the impact of "racial disadvantage" and "racial discrimination “and that positive discrimination was "a price worth paying" to address racial disadvantage. </w:t>
      </w:r>
      <w:r>
        <w:rPr>
          <w:sz w:val="20"/>
          <w:szCs w:val="20"/>
        </w:rPr>
        <w:t>The report has received fierce criticism with critics arguing that the report was “fundamentally flawed, simply echoing the racist pathologies of black people” (Gilroy, 1987).</w:t>
      </w:r>
      <w:r w:rsidR="007909FC">
        <w:rPr>
          <w:sz w:val="20"/>
          <w:szCs w:val="20"/>
        </w:rPr>
        <w:t xml:space="preserve"> </w:t>
      </w:r>
      <w:r>
        <w:rPr>
          <w:sz w:val="20"/>
          <w:szCs w:val="20"/>
        </w:rPr>
        <w:t>According to Law (2015), t</w:t>
      </w:r>
      <w:r w:rsidRPr="003B5231">
        <w:rPr>
          <w:sz w:val="20"/>
          <w:szCs w:val="20"/>
        </w:rPr>
        <w:t>he report was symbolically</w:t>
      </w:r>
      <w:r>
        <w:rPr>
          <w:sz w:val="20"/>
          <w:szCs w:val="20"/>
        </w:rPr>
        <w:t xml:space="preserve"> </w:t>
      </w:r>
      <w:r w:rsidRPr="003B5231">
        <w:rPr>
          <w:sz w:val="20"/>
          <w:szCs w:val="20"/>
        </w:rPr>
        <w:t>approved by William Whitelaw, the home secretary, but the Thatcher administration mainly disregarded it, failing to make the necessary policy changes to systematically address racial inequality as Scarman had suggested.</w:t>
      </w:r>
      <w:r w:rsidR="007909FC">
        <w:rPr>
          <w:sz w:val="20"/>
          <w:szCs w:val="20"/>
        </w:rPr>
        <w:t xml:space="preserve"> One key change that was enacted was the repeal of the controversial ‘Sus’ law in favour of Stop and Search powers as recognised in PACE 1984, the ‘Sus’ law being seen to disproportionately target BAME members of public (</w:t>
      </w:r>
      <w:r w:rsidR="007909FC" w:rsidRPr="007909FC">
        <w:rPr>
          <w:sz w:val="20"/>
          <w:szCs w:val="20"/>
        </w:rPr>
        <w:t>Eddo-Lodge, R., 2020)</w:t>
      </w:r>
    </w:p>
    <w:p w14:paraId="1149FD20" w14:textId="77777777" w:rsidR="006E23F1" w:rsidRDefault="006E23F1" w:rsidP="006E23F1">
      <w:pPr>
        <w:shd w:val="clear" w:color="auto" w:fill="FFFFFF"/>
        <w:spacing w:before="100" w:beforeAutospacing="1" w:after="100" w:afterAutospacing="1" w:line="240" w:lineRule="auto"/>
        <w:rPr>
          <w:sz w:val="20"/>
          <w:szCs w:val="20"/>
        </w:rPr>
      </w:pPr>
      <w:r>
        <w:rPr>
          <w:sz w:val="20"/>
          <w:szCs w:val="20"/>
        </w:rPr>
        <w:t>The necessity for reform was reinforced just a few years later. The failure to address the recommendation of Lord Scarman became apparent following the inquiry into the death of Stephen Lawrence in 1993.</w:t>
      </w:r>
      <w:r w:rsidRPr="00F025CF">
        <w:rPr>
          <w:sz w:val="20"/>
          <w:szCs w:val="20"/>
        </w:rPr>
        <w:t xml:space="preserve"> </w:t>
      </w:r>
      <w:r>
        <w:rPr>
          <w:sz w:val="20"/>
          <w:szCs w:val="20"/>
        </w:rPr>
        <w:t xml:space="preserve">The publication of the Macpherson report highlighted to the public that </w:t>
      </w:r>
      <w:r w:rsidRPr="00F025CF">
        <w:rPr>
          <w:sz w:val="20"/>
          <w:szCs w:val="20"/>
        </w:rPr>
        <w:t>the investigation ha</w:t>
      </w:r>
      <w:r>
        <w:rPr>
          <w:sz w:val="20"/>
          <w:szCs w:val="20"/>
        </w:rPr>
        <w:t>d</w:t>
      </w:r>
      <w:r w:rsidRPr="00F025CF">
        <w:rPr>
          <w:sz w:val="20"/>
          <w:szCs w:val="20"/>
        </w:rPr>
        <w:t xml:space="preserve"> been “marred by</w:t>
      </w:r>
      <w:r w:rsidRPr="00F025CF">
        <w:rPr>
          <w:rFonts w:cstheme="minorHAnsi"/>
          <w:color w:val="121212"/>
          <w:sz w:val="20"/>
          <w:szCs w:val="20"/>
          <w:shd w:val="clear" w:color="auto" w:fill="FFF4F2"/>
        </w:rPr>
        <w:t xml:space="preserve"> </w:t>
      </w:r>
      <w:r w:rsidRPr="00F025CF">
        <w:rPr>
          <w:sz w:val="20"/>
          <w:szCs w:val="20"/>
        </w:rPr>
        <w:t xml:space="preserve">professional incompetence, institutional racism and a failure of leadership” (Travis, A 2013). </w:t>
      </w:r>
      <w:r>
        <w:rPr>
          <w:sz w:val="20"/>
          <w:szCs w:val="20"/>
        </w:rPr>
        <w:t>According to Rowe (2013) t</w:t>
      </w:r>
      <w:r w:rsidRPr="00A40F0F">
        <w:rPr>
          <w:sz w:val="20"/>
          <w:szCs w:val="20"/>
        </w:rPr>
        <w:t xml:space="preserve">he Macpherson report's attribution of the investigation shortcomings to institutional racism drew a link to pre-existing ideas about the need to reform some elements of practise and how officers interact </w:t>
      </w:r>
      <w:r w:rsidRPr="00A40F0F">
        <w:rPr>
          <w:sz w:val="20"/>
          <w:szCs w:val="20"/>
        </w:rPr>
        <w:lastRenderedPageBreak/>
        <w:t>with ethnic minorities.</w:t>
      </w:r>
      <w:r>
        <w:rPr>
          <w:sz w:val="20"/>
          <w:szCs w:val="20"/>
        </w:rPr>
        <w:t xml:space="preserve"> </w:t>
      </w:r>
      <w:r w:rsidRPr="00F025CF">
        <w:rPr>
          <w:sz w:val="20"/>
          <w:szCs w:val="20"/>
        </w:rPr>
        <w:t>Macpherson (1999) recommended 70 changes be made to how forces operated in the UK to work towards eliminating racial prejudice within policing, including the introduction of targets for BAME recruitment, retention, and promotion</w:t>
      </w:r>
      <w:r>
        <w:rPr>
          <w:sz w:val="20"/>
          <w:szCs w:val="20"/>
        </w:rPr>
        <w:t>. Srinivasan and Hearn (2001) argue that “</w:t>
      </w:r>
      <w:r w:rsidRPr="001112E5">
        <w:rPr>
          <w:sz w:val="20"/>
          <w:szCs w:val="20"/>
        </w:rPr>
        <w:t>only through understanding people's needs, expectations and fears can compatibility between police and society be achieved</w:t>
      </w:r>
      <w:r>
        <w:rPr>
          <w:sz w:val="20"/>
          <w:szCs w:val="20"/>
        </w:rPr>
        <w:t xml:space="preserve">”, this view is mirrored by Henry (2007) who argues that </w:t>
      </w:r>
      <w:r w:rsidRPr="00423877">
        <w:rPr>
          <w:sz w:val="20"/>
          <w:szCs w:val="20"/>
        </w:rPr>
        <w:t>Racial beliefs would be challenged and the organization's credibility in the eyes of members of ethnic minority groups would increase if there were a higher percentage of ethnic minority police personnel.</w:t>
      </w:r>
      <w:r>
        <w:rPr>
          <w:sz w:val="20"/>
          <w:szCs w:val="20"/>
        </w:rPr>
        <w:t xml:space="preserve"> However, it is argued that the policies to recruit a more diverse work force in the wake of the report were simply “Window dressing, </w:t>
      </w:r>
      <w:r w:rsidRPr="00423877">
        <w:rPr>
          <w:sz w:val="20"/>
          <w:szCs w:val="20"/>
        </w:rPr>
        <w:t>in that they contrive to give the appearance of progress, while actually achieving little”</w:t>
      </w:r>
      <w:r>
        <w:rPr>
          <w:sz w:val="20"/>
          <w:szCs w:val="20"/>
        </w:rPr>
        <w:t xml:space="preserve"> (Cashmore, 2002).</w:t>
      </w:r>
    </w:p>
    <w:p w14:paraId="5E806447" w14:textId="77777777" w:rsidR="006E23F1" w:rsidRPr="00F025CF" w:rsidRDefault="006E23F1" w:rsidP="006E23F1">
      <w:pPr>
        <w:shd w:val="clear" w:color="auto" w:fill="FFFFFF"/>
        <w:spacing w:before="100" w:beforeAutospacing="1" w:after="100" w:afterAutospacing="1" w:line="240" w:lineRule="auto"/>
        <w:rPr>
          <w:sz w:val="20"/>
          <w:szCs w:val="20"/>
        </w:rPr>
      </w:pPr>
      <w:r w:rsidRPr="00F025CF">
        <w:rPr>
          <w:i/>
          <w:iCs/>
          <w:sz w:val="20"/>
          <w:szCs w:val="20"/>
        </w:rPr>
        <w:t>“This Vision is about more than making savings or incremental reform; our ambition is to make transformative change across the whole of policing. The public, and improving policing for them, are at the heart of this Vision”</w:t>
      </w:r>
      <w:r w:rsidRPr="00F025CF">
        <w:rPr>
          <w:sz w:val="20"/>
          <w:szCs w:val="20"/>
        </w:rPr>
        <w:t xml:space="preserve"> (Policing Vision 2025).</w:t>
      </w:r>
    </w:p>
    <w:p w14:paraId="436C9EC7" w14:textId="6C6974B1" w:rsidR="006E23F1" w:rsidRPr="005C0888" w:rsidRDefault="006E23F1" w:rsidP="005C0888">
      <w:pPr>
        <w:shd w:val="clear" w:color="auto" w:fill="FFFFFF"/>
        <w:spacing w:before="100" w:beforeAutospacing="1" w:after="100" w:afterAutospacing="1" w:line="240" w:lineRule="auto"/>
        <w:rPr>
          <w:sz w:val="20"/>
          <w:szCs w:val="20"/>
        </w:rPr>
      </w:pPr>
      <w:r w:rsidRPr="00F025CF">
        <w:rPr>
          <w:sz w:val="20"/>
          <w:szCs w:val="20"/>
        </w:rPr>
        <w:t>According to latest UK.GOV data; 92.7% of police officers were White as of the end of March 2020, while 7.3% came from Asian, Black, Mixed, and other ethnic backgrounds. Between 2007 and 2020, the proportion of police officers from every ethnic minority group increased, with Asian police officers seeing the largest increase (from 1.5 to 3.1%) (Source – GOV.UK, 2021). The restoration of trust in UK policing requires the building of a more representative workforce that better represents modern day communities and the moving away from a ‘one size fits all mentality’. However, how police address policing issues in these communities should be guided by a thorough awareness of the cultural variances present there. A key lever for change in the UK is the ‘Policing Vision 2025’</w:t>
      </w:r>
      <w:r>
        <w:rPr>
          <w:sz w:val="20"/>
          <w:szCs w:val="20"/>
        </w:rPr>
        <w:t>, t</w:t>
      </w:r>
      <w:r w:rsidRPr="00F025CF">
        <w:rPr>
          <w:sz w:val="20"/>
          <w:szCs w:val="20"/>
        </w:rPr>
        <w:t xml:space="preserve">he vision has workforce and neighbourhood policing at its heart, it recognises the intrinsic link between the two and focusses on how forces can operate more efficiently by </w:t>
      </w:r>
      <w:r>
        <w:rPr>
          <w:sz w:val="20"/>
          <w:szCs w:val="20"/>
        </w:rPr>
        <w:t xml:space="preserve">achieving a greater understanding </w:t>
      </w:r>
      <w:r w:rsidRPr="00F025CF">
        <w:rPr>
          <w:sz w:val="20"/>
          <w:szCs w:val="20"/>
        </w:rPr>
        <w:t xml:space="preserve">of the diverse cultures present in multi-ethnic and multicultural areas. Increasing cultural </w:t>
      </w:r>
      <w:r>
        <w:rPr>
          <w:sz w:val="20"/>
          <w:szCs w:val="20"/>
        </w:rPr>
        <w:t>understanding</w:t>
      </w:r>
      <w:r w:rsidRPr="00F025CF">
        <w:rPr>
          <w:sz w:val="20"/>
          <w:szCs w:val="20"/>
        </w:rPr>
        <w:t xml:space="preserve"> </w:t>
      </w:r>
      <w:r>
        <w:rPr>
          <w:sz w:val="20"/>
          <w:szCs w:val="20"/>
        </w:rPr>
        <w:t>will</w:t>
      </w:r>
      <w:r w:rsidRPr="00F025CF">
        <w:rPr>
          <w:sz w:val="20"/>
          <w:szCs w:val="20"/>
        </w:rPr>
        <w:t xml:space="preserve"> help</w:t>
      </w:r>
      <w:r>
        <w:rPr>
          <w:sz w:val="20"/>
          <w:szCs w:val="20"/>
        </w:rPr>
        <w:t xml:space="preserve">, not only to </w:t>
      </w:r>
      <w:r w:rsidRPr="00F025CF">
        <w:rPr>
          <w:sz w:val="20"/>
          <w:szCs w:val="20"/>
        </w:rPr>
        <w:t xml:space="preserve">find the best ways for police to deal with issues in local communities, </w:t>
      </w:r>
      <w:r>
        <w:rPr>
          <w:sz w:val="20"/>
          <w:szCs w:val="20"/>
        </w:rPr>
        <w:t xml:space="preserve">but the increasing in trust and confidence </w:t>
      </w:r>
      <w:r w:rsidR="004C1647">
        <w:rPr>
          <w:sz w:val="20"/>
          <w:szCs w:val="20"/>
        </w:rPr>
        <w:t>gained</w:t>
      </w:r>
      <w:r>
        <w:rPr>
          <w:sz w:val="20"/>
          <w:szCs w:val="20"/>
        </w:rPr>
        <w:t xml:space="preserve"> will help to target larger scale national and international threats</w:t>
      </w:r>
      <w:r w:rsidR="004C1647">
        <w:rPr>
          <w:sz w:val="20"/>
          <w:szCs w:val="20"/>
        </w:rPr>
        <w:t>.</w:t>
      </w:r>
    </w:p>
    <w:p w14:paraId="6F096612" w14:textId="6AAD4F7D" w:rsidR="00A5527B" w:rsidRPr="009A01AE" w:rsidRDefault="00926127" w:rsidP="006A2B21">
      <w:pPr>
        <w:shd w:val="clear" w:color="auto" w:fill="FFFFFF"/>
        <w:spacing w:before="100" w:beforeAutospacing="1" w:after="100" w:afterAutospacing="1" w:line="240" w:lineRule="auto"/>
        <w:rPr>
          <w:b/>
          <w:bCs/>
          <w:i/>
          <w:iCs/>
          <w:u w:val="single"/>
        </w:rPr>
      </w:pPr>
      <w:r w:rsidRPr="009A01AE">
        <w:rPr>
          <w:b/>
          <w:bCs/>
          <w:i/>
          <w:iCs/>
          <w:u w:val="single"/>
        </w:rPr>
        <w:t xml:space="preserve">Word Count: </w:t>
      </w:r>
      <w:r w:rsidR="006E23F1">
        <w:rPr>
          <w:b/>
          <w:bCs/>
          <w:i/>
          <w:iCs/>
          <w:u w:val="single"/>
        </w:rPr>
        <w:t>1</w:t>
      </w:r>
      <w:r w:rsidR="004C1647">
        <w:rPr>
          <w:b/>
          <w:bCs/>
          <w:i/>
          <w:iCs/>
          <w:u w:val="single"/>
        </w:rPr>
        <w:t>100</w:t>
      </w:r>
      <w:r w:rsidRPr="009A01AE">
        <w:rPr>
          <w:b/>
          <w:bCs/>
          <w:i/>
          <w:iCs/>
          <w:u w:val="single"/>
        </w:rPr>
        <w:t>.</w:t>
      </w:r>
    </w:p>
    <w:p w14:paraId="124E3B6A" w14:textId="77777777" w:rsidR="00926127" w:rsidRDefault="00926127" w:rsidP="00926127">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584F10F5"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06302C0"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6F6B6DE"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1D03082"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00D48F8"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D5713F9"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EFAD662"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805847B"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4CE742A"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354B761"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5E07C1C"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677A9E2"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90CC944"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BFE8C1F"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749B180"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65BDD72"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3B80C7A"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1AF8063"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8C6F23C"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33857BF"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CBE6247"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59049EA" w14:textId="77777777" w:rsidR="005C0888" w:rsidRDefault="005C0888" w:rsidP="00E17258">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6AE7F7C" w14:textId="5B706641" w:rsidR="00926127" w:rsidRPr="006C3C20" w:rsidRDefault="00926127" w:rsidP="00E17258">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6C3C20">
        <w:rPr>
          <w:rFonts w:ascii="Arial" w:eastAsia="Times New Roman" w:hAnsi="Arial" w:cs="Arial"/>
          <w:b/>
          <w:bCs/>
          <w:lang w:eastAsia="en-GB"/>
        </w:rPr>
        <w:t>Essay two:</w:t>
      </w:r>
      <w:r w:rsidRPr="006C3C20">
        <w:rPr>
          <w:rFonts w:ascii="Arial" w:eastAsia="Times New Roman" w:hAnsi="Arial" w:cs="Arial"/>
          <w:lang w:eastAsia="en-GB"/>
        </w:rPr>
        <w:t xml:space="preserve"> </w:t>
      </w:r>
    </w:p>
    <w:p w14:paraId="2F5D86CC" w14:textId="77777777" w:rsidR="00926127" w:rsidRPr="00503777" w:rsidRDefault="00926127" w:rsidP="00E17258">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What makes vulnerable young people and adults more at risk of exploitation by criminal gangs? </w:t>
      </w:r>
      <w:r>
        <w:rPr>
          <w:rFonts w:ascii="Arial" w:eastAsia="Times New Roman" w:hAnsi="Arial" w:cs="Arial"/>
          <w:u w:val="single"/>
          <w:lang w:eastAsia="en-GB"/>
        </w:rPr>
        <w:t>E</w:t>
      </w:r>
      <w:r w:rsidRPr="00072198">
        <w:rPr>
          <w:rFonts w:ascii="Arial" w:eastAsia="Times New Roman" w:hAnsi="Arial" w:cs="Arial"/>
          <w:u w:val="single"/>
          <w:lang w:eastAsia="en-GB"/>
        </w:rPr>
        <w:t>xamine</w:t>
      </w:r>
      <w:r>
        <w:rPr>
          <w:rFonts w:ascii="Arial" w:eastAsia="Times New Roman" w:hAnsi="Arial" w:cs="Arial"/>
          <w:lang w:eastAsia="en-GB"/>
        </w:rPr>
        <w:t xml:space="preserve"> both the psychological and socio-economic characteristics of victims of exploitation.</w:t>
      </w:r>
    </w:p>
    <w:p w14:paraId="28451086" w14:textId="77777777" w:rsidR="00E17258" w:rsidRDefault="00E17258" w:rsidP="009772E0">
      <w:pPr>
        <w:rPr>
          <w:sz w:val="20"/>
          <w:szCs w:val="20"/>
        </w:rPr>
      </w:pPr>
    </w:p>
    <w:p w14:paraId="606CD46A" w14:textId="4A1DD5A0" w:rsidR="00E17258" w:rsidRDefault="00E17258" w:rsidP="009772E0">
      <w:pPr>
        <w:rPr>
          <w:sz w:val="20"/>
          <w:szCs w:val="20"/>
        </w:rPr>
      </w:pPr>
      <w:r w:rsidRPr="00F025CF">
        <w:rPr>
          <w:rFonts w:cstheme="minorHAnsi"/>
          <w:b/>
          <w:bCs/>
          <w:i/>
          <w:iCs/>
          <w:sz w:val="20"/>
          <w:szCs w:val="20"/>
        </w:rPr>
        <w:t>“</w:t>
      </w:r>
      <w:r w:rsidRPr="00F025CF">
        <w:rPr>
          <w:rFonts w:cstheme="minorHAnsi"/>
          <w:b/>
          <w:bCs/>
          <w:i/>
          <w:iCs/>
          <w:color w:val="333333"/>
          <w:sz w:val="20"/>
          <w:szCs w:val="20"/>
          <w:shd w:val="clear" w:color="auto" w:fill="FFFFFF"/>
        </w:rPr>
        <w:t>County Line is a term used to describe gangs and organised criminal networks involved in exporting illegal drugs into one or more importing areas using dedicated mobile phone lines or other form of “deal line”. They are likely to exploit children and vulnerable adults to move the drugs and money and they will often use coercion, intimidation, violence (including sexual violence) and weapons” (</w:t>
      </w:r>
      <w:r w:rsidRPr="00F025CF">
        <w:rPr>
          <w:rFonts w:cstheme="minorHAnsi"/>
          <w:sz w:val="20"/>
          <w:szCs w:val="20"/>
        </w:rPr>
        <w:t>National Crime Agency. (Unknown).</w:t>
      </w:r>
    </w:p>
    <w:p w14:paraId="68F470D3" w14:textId="7C97A39E" w:rsidR="00BF2EF4" w:rsidRPr="00F025CF" w:rsidRDefault="00BF2EF4" w:rsidP="009772E0">
      <w:pPr>
        <w:rPr>
          <w:rFonts w:cstheme="minorHAnsi"/>
          <w:sz w:val="20"/>
          <w:szCs w:val="20"/>
        </w:rPr>
      </w:pPr>
      <w:r w:rsidRPr="00F025CF">
        <w:rPr>
          <w:sz w:val="20"/>
          <w:szCs w:val="20"/>
        </w:rPr>
        <w:t xml:space="preserve">It is common knowledge that criminal gang activity in the United Kingdom is on the rise. According to NCA (National Crime Agency) research, high end criminal gang activity, often known as 'County Lines,' increased 528% between 2015 and 2018, with just 7 police forces identifying County Lines in 2015 </w:t>
      </w:r>
      <w:r w:rsidR="005A40B4">
        <w:rPr>
          <w:sz w:val="20"/>
          <w:szCs w:val="20"/>
        </w:rPr>
        <w:t>compared to</w:t>
      </w:r>
      <w:r w:rsidRPr="00F025CF">
        <w:rPr>
          <w:sz w:val="20"/>
          <w:szCs w:val="20"/>
        </w:rPr>
        <w:t xml:space="preserve"> 44</w:t>
      </w:r>
      <w:r w:rsidR="005A40B4">
        <w:rPr>
          <w:sz w:val="20"/>
          <w:szCs w:val="20"/>
        </w:rPr>
        <w:t xml:space="preserve"> forces</w:t>
      </w:r>
      <w:r w:rsidRPr="00F025CF">
        <w:rPr>
          <w:sz w:val="20"/>
          <w:szCs w:val="20"/>
        </w:rPr>
        <w:t xml:space="preserve">, including BTP, registering activity in 2018. (Grierson, J. 2019). 'County Lines' gang activity has been brought to the forefront of people's minds, becoming a household name thanks to the popular BBC drama 'Line of Duty,' and, while this programme went some way toward highlighting the tactics used by these gangs, it did little to raise awareness of the exploitation of young and vulnerable people and the impact this exploitation has on their lives. </w:t>
      </w:r>
      <w:r w:rsidR="00A90220" w:rsidRPr="00F025CF">
        <w:rPr>
          <w:sz w:val="20"/>
          <w:szCs w:val="20"/>
        </w:rPr>
        <w:t>County line drug gangs are highly organised and frequently "hire" a large number of people in order to keep the danger to those at the top of the organisation to a minimum</w:t>
      </w:r>
      <w:r w:rsidR="006A7B6E">
        <w:rPr>
          <w:sz w:val="20"/>
          <w:szCs w:val="20"/>
        </w:rPr>
        <w:t xml:space="preserve">, whilst reaping all of the benefits </w:t>
      </w:r>
      <w:r w:rsidR="00A90220" w:rsidRPr="00F025CF">
        <w:rPr>
          <w:sz w:val="20"/>
          <w:szCs w:val="20"/>
        </w:rPr>
        <w:t>and raising the risk to those at the bottom significantly. For this reason, County Line drug gangs frequently target young or vulnerable people to carry out the work because they are seen as disposable and easily replaced.</w:t>
      </w:r>
    </w:p>
    <w:p w14:paraId="62496D3B" w14:textId="31DD9888" w:rsidR="00BF2EF4" w:rsidRDefault="001D79F6" w:rsidP="009772E0">
      <w:pPr>
        <w:rPr>
          <w:rFonts w:cstheme="minorHAnsi"/>
          <w:sz w:val="20"/>
          <w:szCs w:val="20"/>
        </w:rPr>
      </w:pPr>
      <w:r w:rsidRPr="00F025CF">
        <w:rPr>
          <w:sz w:val="20"/>
          <w:szCs w:val="20"/>
        </w:rPr>
        <w:t xml:space="preserve">According to COP (The College of Policing) </w:t>
      </w:r>
      <w:r w:rsidRPr="00E22C50">
        <w:rPr>
          <w:i/>
          <w:iCs/>
          <w:sz w:val="20"/>
          <w:szCs w:val="20"/>
        </w:rPr>
        <w:t xml:space="preserve">“A person is vulnerable if, as a result of their circumstances, they are unable to take care or protect themselves, or others, from harm or exploitation” </w:t>
      </w:r>
      <w:r w:rsidRPr="00E22C50">
        <w:rPr>
          <w:rFonts w:cstheme="minorHAnsi"/>
          <w:i/>
          <w:iCs/>
          <w:sz w:val="20"/>
          <w:szCs w:val="20"/>
        </w:rPr>
        <w:t>College of Policing. (2021)</w:t>
      </w:r>
      <w:r w:rsidRPr="00E22C50">
        <w:rPr>
          <w:i/>
          <w:iCs/>
          <w:sz w:val="20"/>
          <w:szCs w:val="20"/>
        </w:rPr>
        <w:t>.</w:t>
      </w:r>
      <w:r w:rsidRPr="00F025CF">
        <w:rPr>
          <w:sz w:val="20"/>
          <w:szCs w:val="20"/>
        </w:rPr>
        <w:t xml:space="preserve"> Organisations are unable to put an exact number on how many children or vulnerable persons are involved in county lines activity however the </w:t>
      </w:r>
      <w:r w:rsidR="00245D25" w:rsidRPr="00F025CF">
        <w:rPr>
          <w:sz w:val="20"/>
          <w:szCs w:val="20"/>
        </w:rPr>
        <w:t>Children’s</w:t>
      </w:r>
      <w:r w:rsidRPr="00F025CF">
        <w:rPr>
          <w:sz w:val="20"/>
          <w:szCs w:val="20"/>
        </w:rPr>
        <w:t xml:space="preserve"> commissioner of England suggests that 313,000 children aged 10-17 know someone they would define as a street gang member</w:t>
      </w:r>
      <w:r w:rsidR="00245D25" w:rsidRPr="00F025CF">
        <w:rPr>
          <w:sz w:val="20"/>
          <w:szCs w:val="20"/>
        </w:rPr>
        <w:t xml:space="preserve">, with 34,000 </w:t>
      </w:r>
      <w:r w:rsidR="005A40B4">
        <w:rPr>
          <w:sz w:val="20"/>
          <w:szCs w:val="20"/>
        </w:rPr>
        <w:t xml:space="preserve">are </w:t>
      </w:r>
      <w:r w:rsidR="00245D25" w:rsidRPr="00F025CF">
        <w:rPr>
          <w:sz w:val="20"/>
          <w:szCs w:val="20"/>
        </w:rPr>
        <w:t>either in a gang or on the periphery of a gang and have experienced violence in the past 12 months (</w:t>
      </w:r>
      <w:r w:rsidR="00245D25" w:rsidRPr="00F025CF">
        <w:rPr>
          <w:rFonts w:cstheme="minorHAnsi"/>
          <w:sz w:val="20"/>
          <w:szCs w:val="20"/>
        </w:rPr>
        <w:t>Children’s Commissioner. (2019).</w:t>
      </w:r>
      <w:r w:rsidR="007A6516" w:rsidRPr="00F025CF">
        <w:rPr>
          <w:rFonts w:cstheme="minorHAnsi"/>
          <w:sz w:val="20"/>
          <w:szCs w:val="20"/>
        </w:rPr>
        <w:t xml:space="preserve"> </w:t>
      </w:r>
      <w:r w:rsidR="00B169D6" w:rsidRPr="00B169D6">
        <w:rPr>
          <w:rFonts w:cstheme="minorHAnsi"/>
          <w:sz w:val="20"/>
          <w:szCs w:val="20"/>
        </w:rPr>
        <w:t xml:space="preserve">There are several physiological and socioeconomic aspects that make children and young people suitable targets for criminal gangs to exploit. The temptation of </w:t>
      </w:r>
      <w:r w:rsidR="006A7B6E">
        <w:rPr>
          <w:rFonts w:cstheme="minorHAnsi"/>
          <w:sz w:val="20"/>
          <w:szCs w:val="20"/>
        </w:rPr>
        <w:t>increased s</w:t>
      </w:r>
      <w:r w:rsidR="00B169D6" w:rsidRPr="00B169D6">
        <w:rPr>
          <w:rFonts w:cstheme="minorHAnsi"/>
          <w:sz w:val="20"/>
          <w:szCs w:val="20"/>
        </w:rPr>
        <w:t xml:space="preserve">ocial </w:t>
      </w:r>
      <w:r w:rsidR="006A7B6E">
        <w:rPr>
          <w:rFonts w:cstheme="minorHAnsi"/>
          <w:sz w:val="20"/>
          <w:szCs w:val="20"/>
        </w:rPr>
        <w:t>s</w:t>
      </w:r>
      <w:r w:rsidR="00B169D6" w:rsidRPr="00B169D6">
        <w:rPr>
          <w:rFonts w:cstheme="minorHAnsi"/>
          <w:sz w:val="20"/>
          <w:szCs w:val="20"/>
        </w:rPr>
        <w:t xml:space="preserve">tatus, </w:t>
      </w:r>
      <w:r w:rsidR="006A7B6E">
        <w:rPr>
          <w:rFonts w:cstheme="minorHAnsi"/>
          <w:sz w:val="20"/>
          <w:szCs w:val="20"/>
        </w:rPr>
        <w:t>p</w:t>
      </w:r>
      <w:r w:rsidR="00B169D6" w:rsidRPr="00B169D6">
        <w:rPr>
          <w:rFonts w:cstheme="minorHAnsi"/>
          <w:sz w:val="20"/>
          <w:szCs w:val="20"/>
        </w:rPr>
        <w:t>rotection</w:t>
      </w:r>
      <w:r w:rsidR="006A7B6E">
        <w:rPr>
          <w:rFonts w:cstheme="minorHAnsi"/>
          <w:sz w:val="20"/>
          <w:szCs w:val="20"/>
        </w:rPr>
        <w:t xml:space="preserve"> from other gangs or aggressive persons</w:t>
      </w:r>
      <w:r w:rsidR="00B169D6" w:rsidRPr="00B169D6">
        <w:rPr>
          <w:rFonts w:cstheme="minorHAnsi"/>
          <w:sz w:val="20"/>
          <w:szCs w:val="20"/>
        </w:rPr>
        <w:t xml:space="preserve">, and </w:t>
      </w:r>
      <w:r w:rsidR="006A7B6E">
        <w:rPr>
          <w:rFonts w:cstheme="minorHAnsi"/>
          <w:sz w:val="20"/>
          <w:szCs w:val="20"/>
        </w:rPr>
        <w:t>f</w:t>
      </w:r>
      <w:r w:rsidR="00B169D6" w:rsidRPr="00B169D6">
        <w:rPr>
          <w:rFonts w:cstheme="minorHAnsi"/>
          <w:sz w:val="20"/>
          <w:szCs w:val="20"/>
        </w:rPr>
        <w:t xml:space="preserve">inancial </w:t>
      </w:r>
      <w:r w:rsidR="006A7B6E">
        <w:rPr>
          <w:rFonts w:cstheme="minorHAnsi"/>
          <w:sz w:val="20"/>
          <w:szCs w:val="20"/>
        </w:rPr>
        <w:t>reward</w:t>
      </w:r>
      <w:r w:rsidR="00B169D6" w:rsidRPr="00B169D6">
        <w:rPr>
          <w:rFonts w:cstheme="minorHAnsi"/>
          <w:sz w:val="20"/>
          <w:szCs w:val="20"/>
        </w:rPr>
        <w:t xml:space="preserve"> in exchange </w:t>
      </w:r>
      <w:r w:rsidR="005A78F1">
        <w:rPr>
          <w:rFonts w:cstheme="minorHAnsi"/>
          <w:sz w:val="20"/>
          <w:szCs w:val="20"/>
        </w:rPr>
        <w:t xml:space="preserve">acting as drug runners </w:t>
      </w:r>
      <w:r w:rsidR="006A7B6E">
        <w:rPr>
          <w:rFonts w:cstheme="minorHAnsi"/>
          <w:sz w:val="20"/>
          <w:szCs w:val="20"/>
        </w:rPr>
        <w:t xml:space="preserve">would </w:t>
      </w:r>
      <w:r w:rsidR="00B169D6" w:rsidRPr="00B169D6">
        <w:rPr>
          <w:rFonts w:cstheme="minorHAnsi"/>
          <w:sz w:val="20"/>
          <w:szCs w:val="20"/>
        </w:rPr>
        <w:t>appear to be an easy win for a vulnerable individual.</w:t>
      </w:r>
      <w:r w:rsidR="007059BD">
        <w:rPr>
          <w:rFonts w:cstheme="minorHAnsi"/>
          <w:sz w:val="20"/>
          <w:szCs w:val="20"/>
        </w:rPr>
        <w:t xml:space="preserve"> </w:t>
      </w:r>
      <w:r w:rsidR="005A78F1" w:rsidRPr="005A78F1">
        <w:rPr>
          <w:rFonts w:cstheme="minorHAnsi"/>
          <w:sz w:val="20"/>
          <w:szCs w:val="20"/>
        </w:rPr>
        <w:t>Children are targeted for a variety of reasons, including a lack of a stable family environment as a result of domestic violence, parental substance abuse, mental health concerns, and, in some circumstances, crime. Children with</w:t>
      </w:r>
      <w:r w:rsidR="00B16179">
        <w:rPr>
          <w:rFonts w:cstheme="minorHAnsi"/>
          <w:sz w:val="20"/>
          <w:szCs w:val="20"/>
        </w:rPr>
        <w:t xml:space="preserve"> physical or mental</w:t>
      </w:r>
      <w:r w:rsidR="005A78F1" w:rsidRPr="005A78F1">
        <w:rPr>
          <w:rFonts w:cstheme="minorHAnsi"/>
          <w:sz w:val="20"/>
          <w:szCs w:val="20"/>
        </w:rPr>
        <w:t xml:space="preserve"> impairments are also targeted, as are those who suffer from social isolation; being welcomed into a group context and then being wanted and required may provide them with a strong feeling of purpose. Some children participate and are unaware of the gravity of </w:t>
      </w:r>
      <w:r w:rsidR="00E17258">
        <w:rPr>
          <w:rFonts w:cstheme="minorHAnsi"/>
          <w:sz w:val="20"/>
          <w:szCs w:val="20"/>
        </w:rPr>
        <w:t>what they are doing</w:t>
      </w:r>
      <w:r w:rsidR="005A78F1" w:rsidRPr="005A78F1">
        <w:rPr>
          <w:rFonts w:cstheme="minorHAnsi"/>
          <w:sz w:val="20"/>
          <w:szCs w:val="20"/>
        </w:rPr>
        <w:t xml:space="preserve">. Others </w:t>
      </w:r>
      <w:r w:rsidR="00E17258">
        <w:rPr>
          <w:rFonts w:cstheme="minorHAnsi"/>
          <w:sz w:val="20"/>
          <w:szCs w:val="20"/>
        </w:rPr>
        <w:t>get involved</w:t>
      </w:r>
      <w:r w:rsidR="005A78F1" w:rsidRPr="005A78F1">
        <w:rPr>
          <w:rFonts w:cstheme="minorHAnsi"/>
          <w:sz w:val="20"/>
          <w:szCs w:val="20"/>
        </w:rPr>
        <w:t xml:space="preserve"> for the sake of social standing or to impress friends who are also members of the organisation.</w:t>
      </w:r>
      <w:r w:rsidR="00B16179">
        <w:rPr>
          <w:rFonts w:cstheme="minorHAnsi"/>
          <w:sz w:val="20"/>
          <w:szCs w:val="20"/>
        </w:rPr>
        <w:t xml:space="preserve"> This is described perfectly by </w:t>
      </w:r>
      <w:r w:rsidR="00470E57" w:rsidRPr="00F025CF">
        <w:rPr>
          <w:rFonts w:cstheme="minorHAnsi"/>
          <w:sz w:val="20"/>
          <w:szCs w:val="20"/>
        </w:rPr>
        <w:t>Theobald and Farrington</w:t>
      </w:r>
      <w:r w:rsidR="00B16179">
        <w:rPr>
          <w:rFonts w:cstheme="minorHAnsi"/>
          <w:sz w:val="20"/>
          <w:szCs w:val="20"/>
        </w:rPr>
        <w:t xml:space="preserve"> who</w:t>
      </w:r>
      <w:r w:rsidR="00470E57" w:rsidRPr="00F025CF">
        <w:rPr>
          <w:rFonts w:cstheme="minorHAnsi"/>
          <w:sz w:val="20"/>
          <w:szCs w:val="20"/>
        </w:rPr>
        <w:t xml:space="preserve"> wrote that there are 5 main reasons that young persons would get involved in offending including 1). Impulsivity</w:t>
      </w:r>
      <w:r w:rsidR="00193747">
        <w:rPr>
          <w:rFonts w:cstheme="minorHAnsi"/>
          <w:sz w:val="20"/>
          <w:szCs w:val="20"/>
        </w:rPr>
        <w:t>,</w:t>
      </w:r>
      <w:r w:rsidR="00470E57" w:rsidRPr="00F025CF">
        <w:rPr>
          <w:rFonts w:cstheme="minorHAnsi"/>
          <w:sz w:val="20"/>
          <w:szCs w:val="20"/>
        </w:rPr>
        <w:t xml:space="preserve"> 2)</w:t>
      </w:r>
      <w:r w:rsidR="00193747">
        <w:rPr>
          <w:rFonts w:cstheme="minorHAnsi"/>
          <w:sz w:val="20"/>
          <w:szCs w:val="20"/>
        </w:rPr>
        <w:t>.</w:t>
      </w:r>
      <w:r w:rsidR="00470E57" w:rsidRPr="00F025CF">
        <w:rPr>
          <w:rFonts w:cstheme="minorHAnsi"/>
          <w:sz w:val="20"/>
          <w:szCs w:val="20"/>
        </w:rPr>
        <w:t xml:space="preserve"> Lack of Knowledge</w:t>
      </w:r>
      <w:r w:rsidR="00193747">
        <w:rPr>
          <w:rFonts w:cstheme="minorHAnsi"/>
          <w:sz w:val="20"/>
          <w:szCs w:val="20"/>
        </w:rPr>
        <w:t>,</w:t>
      </w:r>
      <w:r w:rsidR="00470E57" w:rsidRPr="00F025CF">
        <w:rPr>
          <w:rFonts w:cstheme="minorHAnsi"/>
          <w:sz w:val="20"/>
          <w:szCs w:val="20"/>
        </w:rPr>
        <w:t xml:space="preserve"> 3). Boredom</w:t>
      </w:r>
      <w:r w:rsidR="00193747">
        <w:rPr>
          <w:rFonts w:cstheme="minorHAnsi"/>
          <w:sz w:val="20"/>
          <w:szCs w:val="20"/>
        </w:rPr>
        <w:t>,</w:t>
      </w:r>
      <w:r w:rsidR="00470E57" w:rsidRPr="00F025CF">
        <w:rPr>
          <w:rFonts w:cstheme="minorHAnsi"/>
          <w:sz w:val="20"/>
          <w:szCs w:val="20"/>
        </w:rPr>
        <w:t xml:space="preserve"> 4). Peer Pressure</w:t>
      </w:r>
      <w:r w:rsidR="005A40B4">
        <w:rPr>
          <w:rFonts w:cstheme="minorHAnsi"/>
          <w:sz w:val="20"/>
          <w:szCs w:val="20"/>
        </w:rPr>
        <w:t xml:space="preserve"> </w:t>
      </w:r>
      <w:r w:rsidR="00470E57" w:rsidRPr="00F025CF">
        <w:rPr>
          <w:rFonts w:cstheme="minorHAnsi"/>
          <w:sz w:val="20"/>
          <w:szCs w:val="20"/>
        </w:rPr>
        <w:t>and 5). Low Child Rearing Standards</w:t>
      </w:r>
      <w:r w:rsidR="005A40B4">
        <w:rPr>
          <w:rFonts w:cstheme="minorHAnsi"/>
          <w:sz w:val="20"/>
          <w:szCs w:val="20"/>
        </w:rPr>
        <w:t xml:space="preserve"> – or an absence of a suitable guardian</w:t>
      </w:r>
      <w:r w:rsidR="00470E57" w:rsidRPr="00F025CF">
        <w:rPr>
          <w:rFonts w:cstheme="minorHAnsi"/>
          <w:sz w:val="20"/>
          <w:szCs w:val="20"/>
        </w:rPr>
        <w:t>. (Theobald, D., Farrington, D.P. (2014)</w:t>
      </w:r>
      <w:r w:rsidR="00B169D6">
        <w:rPr>
          <w:rFonts w:cstheme="minorHAnsi"/>
          <w:sz w:val="20"/>
          <w:szCs w:val="20"/>
        </w:rPr>
        <w:t>.</w:t>
      </w:r>
      <w:r w:rsidR="00F025CF">
        <w:rPr>
          <w:rFonts w:cstheme="minorHAnsi"/>
          <w:sz w:val="20"/>
          <w:szCs w:val="20"/>
        </w:rPr>
        <w:t xml:space="preserve"> </w:t>
      </w:r>
      <w:r w:rsidR="005D02C4" w:rsidRPr="005D02C4">
        <w:rPr>
          <w:rFonts w:cstheme="minorHAnsi"/>
          <w:sz w:val="20"/>
          <w:szCs w:val="20"/>
        </w:rPr>
        <w:t xml:space="preserve">Routine Activity Theory, first proposed by Lawrence Cohen and Marcus Felson in 1979, holds that crime or criminal activity is the result of a convergence of three </w:t>
      </w:r>
      <w:r w:rsidR="00E17258">
        <w:rPr>
          <w:rFonts w:cstheme="minorHAnsi"/>
          <w:sz w:val="20"/>
          <w:szCs w:val="20"/>
        </w:rPr>
        <w:t>differing</w:t>
      </w:r>
      <w:r w:rsidR="005D02C4" w:rsidRPr="005D02C4">
        <w:rPr>
          <w:rFonts w:cstheme="minorHAnsi"/>
          <w:sz w:val="20"/>
          <w:szCs w:val="20"/>
        </w:rPr>
        <w:t xml:space="preserve"> variables: </w:t>
      </w:r>
      <w:r w:rsidR="00E17258">
        <w:rPr>
          <w:rFonts w:cstheme="minorHAnsi"/>
          <w:sz w:val="20"/>
          <w:szCs w:val="20"/>
        </w:rPr>
        <w:t xml:space="preserve">a significantly </w:t>
      </w:r>
      <w:r w:rsidR="005D02C4" w:rsidRPr="005D02C4">
        <w:rPr>
          <w:rFonts w:cstheme="minorHAnsi"/>
          <w:sz w:val="20"/>
          <w:szCs w:val="20"/>
        </w:rPr>
        <w:t xml:space="preserve">motivated offender, </w:t>
      </w:r>
      <w:r w:rsidR="00E17258">
        <w:rPr>
          <w:rFonts w:cstheme="minorHAnsi"/>
          <w:sz w:val="20"/>
          <w:szCs w:val="20"/>
        </w:rPr>
        <w:t xml:space="preserve">an </w:t>
      </w:r>
      <w:r w:rsidR="005D02C4" w:rsidRPr="005D02C4">
        <w:rPr>
          <w:rFonts w:cstheme="minorHAnsi"/>
          <w:sz w:val="20"/>
          <w:szCs w:val="20"/>
        </w:rPr>
        <w:t>appropriate target (</w:t>
      </w:r>
      <w:r w:rsidR="00E17258">
        <w:rPr>
          <w:rFonts w:cstheme="minorHAnsi"/>
          <w:sz w:val="20"/>
          <w:szCs w:val="20"/>
        </w:rPr>
        <w:t>for example, a vulnerable person</w:t>
      </w:r>
      <w:r w:rsidR="005D02C4" w:rsidRPr="005D02C4">
        <w:rPr>
          <w:rFonts w:cstheme="minorHAnsi"/>
          <w:sz w:val="20"/>
          <w:szCs w:val="20"/>
        </w:rPr>
        <w:t xml:space="preserve">), and </w:t>
      </w:r>
      <w:r w:rsidR="00E17258">
        <w:rPr>
          <w:rFonts w:cstheme="minorHAnsi"/>
          <w:sz w:val="20"/>
          <w:szCs w:val="20"/>
        </w:rPr>
        <w:t>the absence or</w:t>
      </w:r>
      <w:r w:rsidR="005D02C4" w:rsidRPr="005D02C4">
        <w:rPr>
          <w:rFonts w:cstheme="minorHAnsi"/>
          <w:sz w:val="20"/>
          <w:szCs w:val="20"/>
        </w:rPr>
        <w:t xml:space="preserve"> lack of</w:t>
      </w:r>
      <w:r w:rsidR="00E17258">
        <w:rPr>
          <w:rFonts w:cstheme="minorHAnsi"/>
          <w:sz w:val="20"/>
          <w:szCs w:val="20"/>
        </w:rPr>
        <w:t xml:space="preserve"> a suitable</w:t>
      </w:r>
      <w:r w:rsidR="005D02C4" w:rsidRPr="005D02C4">
        <w:rPr>
          <w:rFonts w:cstheme="minorHAnsi"/>
          <w:sz w:val="20"/>
          <w:szCs w:val="20"/>
        </w:rPr>
        <w:t xml:space="preserve"> guardian (i.e., individuals who can act to prevent crime against </w:t>
      </w:r>
      <w:r w:rsidR="00E17258">
        <w:rPr>
          <w:rFonts w:cstheme="minorHAnsi"/>
          <w:sz w:val="20"/>
          <w:szCs w:val="20"/>
        </w:rPr>
        <w:t xml:space="preserve">a </w:t>
      </w:r>
      <w:r w:rsidR="005D02C4" w:rsidRPr="005D02C4">
        <w:rPr>
          <w:rFonts w:cstheme="minorHAnsi"/>
          <w:sz w:val="20"/>
          <w:szCs w:val="20"/>
        </w:rPr>
        <w:t xml:space="preserve">person or property). In summary, the </w:t>
      </w:r>
      <w:r w:rsidR="00E17258">
        <w:rPr>
          <w:rFonts w:cstheme="minorHAnsi"/>
          <w:sz w:val="20"/>
          <w:szCs w:val="20"/>
        </w:rPr>
        <w:t xml:space="preserve">potential for </w:t>
      </w:r>
      <w:r w:rsidR="005D02C4" w:rsidRPr="005D02C4">
        <w:rPr>
          <w:rFonts w:cstheme="minorHAnsi"/>
          <w:sz w:val="20"/>
          <w:szCs w:val="20"/>
        </w:rPr>
        <w:t xml:space="preserve">crime </w:t>
      </w:r>
      <w:r w:rsidR="00E17258">
        <w:rPr>
          <w:rFonts w:cstheme="minorHAnsi"/>
          <w:sz w:val="20"/>
          <w:szCs w:val="20"/>
        </w:rPr>
        <w:t>is exasperated</w:t>
      </w:r>
      <w:r w:rsidR="005D02C4" w:rsidRPr="005D02C4">
        <w:rPr>
          <w:rFonts w:cstheme="minorHAnsi"/>
          <w:sz w:val="20"/>
          <w:szCs w:val="20"/>
        </w:rPr>
        <w:t xml:space="preserve"> when a person or</w:t>
      </w:r>
      <w:r w:rsidR="00E17258">
        <w:rPr>
          <w:rFonts w:cstheme="minorHAnsi"/>
          <w:sz w:val="20"/>
          <w:szCs w:val="20"/>
        </w:rPr>
        <w:t xml:space="preserve"> group of</w:t>
      </w:r>
      <w:r w:rsidR="005D02C4" w:rsidRPr="005D02C4">
        <w:rPr>
          <w:rFonts w:cstheme="minorHAnsi"/>
          <w:sz w:val="20"/>
          <w:szCs w:val="20"/>
        </w:rPr>
        <w:t xml:space="preserve"> </w:t>
      </w:r>
      <w:r w:rsidR="00E17258" w:rsidRPr="005D02C4">
        <w:rPr>
          <w:rFonts w:cstheme="minorHAnsi"/>
          <w:sz w:val="20"/>
          <w:szCs w:val="20"/>
        </w:rPr>
        <w:t>individuals</w:t>
      </w:r>
      <w:r w:rsidR="00E17258">
        <w:rPr>
          <w:rFonts w:cstheme="minorHAnsi"/>
          <w:sz w:val="20"/>
          <w:szCs w:val="20"/>
        </w:rPr>
        <w:t>,</w:t>
      </w:r>
      <w:r w:rsidR="005D02C4" w:rsidRPr="005D02C4">
        <w:rPr>
          <w:rFonts w:cstheme="minorHAnsi"/>
          <w:sz w:val="20"/>
          <w:szCs w:val="20"/>
        </w:rPr>
        <w:t xml:space="preserve"> motivated to commit a crime</w:t>
      </w:r>
      <w:r w:rsidR="00E17258">
        <w:rPr>
          <w:rFonts w:cstheme="minorHAnsi"/>
          <w:sz w:val="20"/>
          <w:szCs w:val="20"/>
        </w:rPr>
        <w:t>,</w:t>
      </w:r>
      <w:r w:rsidR="005D02C4" w:rsidRPr="005D02C4">
        <w:rPr>
          <w:rFonts w:cstheme="minorHAnsi"/>
          <w:sz w:val="20"/>
          <w:szCs w:val="20"/>
        </w:rPr>
        <w:t xml:space="preserve"> coexist with a person or individuals who are viable targets but lack credible guardians; unfortunately, many younger people lack credible guardians and are becoming increasingly vulnerable to exploitation.</w:t>
      </w:r>
    </w:p>
    <w:p w14:paraId="2738562E" w14:textId="77777777" w:rsidR="00DB7656" w:rsidRDefault="00DB7656" w:rsidP="009772E0">
      <w:pPr>
        <w:rPr>
          <w:rFonts w:cstheme="minorHAnsi"/>
          <w:sz w:val="20"/>
          <w:szCs w:val="20"/>
        </w:rPr>
      </w:pPr>
    </w:p>
    <w:p w14:paraId="6C35BF27" w14:textId="77777777" w:rsidR="00DB7656" w:rsidRDefault="00DB7656" w:rsidP="009772E0">
      <w:pPr>
        <w:rPr>
          <w:rFonts w:cstheme="minorHAnsi"/>
          <w:sz w:val="20"/>
          <w:szCs w:val="20"/>
        </w:rPr>
      </w:pPr>
    </w:p>
    <w:p w14:paraId="24B88029" w14:textId="374EFC67" w:rsidR="00EC3B06" w:rsidRPr="007059BD" w:rsidRDefault="005D02C4" w:rsidP="009772E0">
      <w:pPr>
        <w:rPr>
          <w:rFonts w:cstheme="minorHAnsi"/>
          <w:sz w:val="20"/>
          <w:szCs w:val="20"/>
        </w:rPr>
      </w:pPr>
      <w:r>
        <w:rPr>
          <w:rFonts w:cstheme="minorHAnsi"/>
          <w:sz w:val="20"/>
          <w:szCs w:val="20"/>
        </w:rPr>
        <w:t xml:space="preserve">It is not just children that are at risk of exploitation, however. Many vulnerable adults become victims of exploitation for much the same reasons as vulnerable children whether this is due to mental or physical health issues, or they fall victim of addiction driven by their lifestyle. The lifestyle theory of victimisation says that many individuals are targeted because of their lifestyle choices, these choices exposing them to criminal activity for example alcohol or drug addiction. </w:t>
      </w:r>
      <w:r w:rsidRPr="005D02C4">
        <w:rPr>
          <w:rFonts w:cstheme="minorHAnsi"/>
          <w:sz w:val="20"/>
          <w:szCs w:val="20"/>
        </w:rPr>
        <w:t xml:space="preserve">Adults who struggle with addiction become excellent targets for these people because they easily and quickly get enslaved by debt after using the drugs provided and owing money to the gang. These people frequently become </w:t>
      </w:r>
      <w:r>
        <w:rPr>
          <w:rFonts w:cstheme="minorHAnsi"/>
          <w:sz w:val="20"/>
          <w:szCs w:val="20"/>
        </w:rPr>
        <w:t>Cuckooed</w:t>
      </w:r>
      <w:r w:rsidRPr="005D02C4">
        <w:rPr>
          <w:rFonts w:cstheme="minorHAnsi"/>
          <w:sz w:val="20"/>
          <w:szCs w:val="20"/>
        </w:rPr>
        <w:t>. The term "cuckooing" refers to when a gang takes over a person's home and utilises it to conceal drugs, cash, and other illegal items, and these helpless people are unable to fight back and recover control of their own homes because of their addiction or disability.</w:t>
      </w:r>
    </w:p>
    <w:p w14:paraId="557D79C0" w14:textId="650B7EFF" w:rsidR="00BF2EF4" w:rsidRPr="00E22C50" w:rsidRDefault="00193747" w:rsidP="009772E0">
      <w:pPr>
        <w:rPr>
          <w:rFonts w:cstheme="minorHAnsi"/>
          <w:sz w:val="20"/>
          <w:szCs w:val="20"/>
        </w:rPr>
      </w:pPr>
      <w:r w:rsidRPr="00193747">
        <w:rPr>
          <w:rFonts w:cstheme="minorHAnsi"/>
          <w:sz w:val="20"/>
          <w:szCs w:val="20"/>
        </w:rPr>
        <w:t xml:space="preserve">However, there is a concerted multiagency effort to eradicate County Lines activity from the UK which is beginning to bear fruit. </w:t>
      </w:r>
      <w:r>
        <w:rPr>
          <w:rFonts w:cstheme="minorHAnsi"/>
          <w:sz w:val="20"/>
          <w:szCs w:val="20"/>
        </w:rPr>
        <w:t xml:space="preserve">A recent UK wide </w:t>
      </w:r>
      <w:r w:rsidR="00905C09">
        <w:rPr>
          <w:rFonts w:cstheme="minorHAnsi"/>
          <w:sz w:val="20"/>
          <w:szCs w:val="20"/>
        </w:rPr>
        <w:t xml:space="preserve">operation dubbed ‘County Lines Intensification Week’ saw over 172 county lines shut down, </w:t>
      </w:r>
      <w:r w:rsidR="00905C09" w:rsidRPr="00905C09">
        <w:rPr>
          <w:rFonts w:cstheme="minorHAnsi"/>
          <w:sz w:val="20"/>
          <w:szCs w:val="20"/>
        </w:rPr>
        <w:t>1,360 people being arrested – and 321 weapons, more than £2.7 million worth of Class A and B drugs, and some £987,562 in cash all seized</w:t>
      </w:r>
      <w:r w:rsidR="00905C09">
        <w:rPr>
          <w:rFonts w:cstheme="minorHAnsi"/>
          <w:sz w:val="20"/>
          <w:szCs w:val="20"/>
        </w:rPr>
        <w:t xml:space="preserve"> (</w:t>
      </w:r>
      <w:r w:rsidR="00905C09" w:rsidRPr="00905C09">
        <w:rPr>
          <w:rFonts w:cstheme="minorHAnsi"/>
          <w:sz w:val="20"/>
          <w:szCs w:val="20"/>
        </w:rPr>
        <w:t>Echo. 2022).</w:t>
      </w:r>
      <w:r w:rsidR="00905C09">
        <w:rPr>
          <w:rFonts w:cstheme="minorHAnsi"/>
          <w:sz w:val="20"/>
          <w:szCs w:val="20"/>
        </w:rPr>
        <w:t xml:space="preserve"> More importantly 1255 vulnerable persons were safeguarded </w:t>
      </w:r>
      <w:r w:rsidR="0052232C">
        <w:rPr>
          <w:rFonts w:cstheme="minorHAnsi"/>
          <w:sz w:val="20"/>
          <w:szCs w:val="20"/>
        </w:rPr>
        <w:t xml:space="preserve">Deputy Assistant Commissioner of the NPCC Dan Mcnulty Said </w:t>
      </w:r>
      <w:r w:rsidR="0052232C" w:rsidRPr="00E22C50">
        <w:rPr>
          <w:rFonts w:cstheme="minorHAnsi"/>
          <w:sz w:val="20"/>
          <w:szCs w:val="20"/>
        </w:rPr>
        <w:t>“</w:t>
      </w:r>
      <w:r w:rsidR="0052232C" w:rsidRPr="00E22C50">
        <w:rPr>
          <w:rFonts w:ascii="Calibri" w:hAnsi="Calibri" w:cs="Calibri"/>
          <w:i/>
          <w:iCs/>
          <w:color w:val="333333"/>
          <w:sz w:val="20"/>
          <w:szCs w:val="20"/>
          <w:shd w:val="clear" w:color="auto" w:fill="FFFFFF"/>
        </w:rPr>
        <w:t xml:space="preserve">We have seen that 1255 vulnerable adults and children have been safeguarded from these violent county lines criminals. They have been engaged with by police officers working closely with relevant services, agencies and charities, and referred to the most relevant partner agency for them so they can now look at a brighter future away from crime and violence” </w:t>
      </w:r>
      <w:r w:rsidR="00CC03CA" w:rsidRPr="00E22C50">
        <w:rPr>
          <w:rFonts w:cstheme="minorHAnsi"/>
          <w:sz w:val="20"/>
          <w:szCs w:val="20"/>
        </w:rPr>
        <w:t>NPCC. (2022). </w:t>
      </w:r>
    </w:p>
    <w:p w14:paraId="31394512" w14:textId="13B6C0B4" w:rsidR="00BF2EF4" w:rsidRPr="009A01AE" w:rsidRDefault="005D02C4" w:rsidP="009772E0">
      <w:pPr>
        <w:rPr>
          <w:b/>
          <w:bCs/>
          <w:i/>
          <w:iCs/>
          <w:u w:val="single"/>
        </w:rPr>
      </w:pPr>
      <w:r w:rsidRPr="009A01AE">
        <w:rPr>
          <w:b/>
          <w:bCs/>
          <w:i/>
          <w:iCs/>
          <w:u w:val="single"/>
        </w:rPr>
        <w:t>Word Count: 99</w:t>
      </w:r>
      <w:r w:rsidR="00E17258">
        <w:rPr>
          <w:b/>
          <w:bCs/>
          <w:i/>
          <w:iCs/>
          <w:u w:val="single"/>
        </w:rPr>
        <w:t>6</w:t>
      </w:r>
    </w:p>
    <w:p w14:paraId="247D65ED" w14:textId="22090558" w:rsidR="00BF2EF4" w:rsidRDefault="00BF2EF4" w:rsidP="009772E0"/>
    <w:p w14:paraId="2C73D8E3" w14:textId="77777777" w:rsidR="005C0888" w:rsidRDefault="005C0888" w:rsidP="00E17258">
      <w:pPr>
        <w:spacing w:after="0" w:line="276" w:lineRule="auto"/>
        <w:ind w:right="531"/>
        <w:jc w:val="both"/>
        <w:rPr>
          <w:rFonts w:ascii="Arial" w:eastAsia="Times New Roman" w:hAnsi="Arial" w:cs="Arial"/>
          <w:b/>
          <w:bCs/>
          <w:lang w:eastAsia="en-GB"/>
        </w:rPr>
      </w:pPr>
    </w:p>
    <w:p w14:paraId="0565E12D" w14:textId="77777777" w:rsidR="005C0888" w:rsidRDefault="005C0888" w:rsidP="00E17258">
      <w:pPr>
        <w:spacing w:after="0" w:line="276" w:lineRule="auto"/>
        <w:ind w:right="531"/>
        <w:jc w:val="both"/>
        <w:rPr>
          <w:rFonts w:ascii="Arial" w:eastAsia="Times New Roman" w:hAnsi="Arial" w:cs="Arial"/>
          <w:b/>
          <w:bCs/>
          <w:lang w:eastAsia="en-GB"/>
        </w:rPr>
      </w:pPr>
    </w:p>
    <w:p w14:paraId="26DDE92C" w14:textId="77777777" w:rsidR="005C0888" w:rsidRDefault="005C0888" w:rsidP="00E17258">
      <w:pPr>
        <w:spacing w:after="0" w:line="276" w:lineRule="auto"/>
        <w:ind w:right="531"/>
        <w:jc w:val="both"/>
        <w:rPr>
          <w:rFonts w:ascii="Arial" w:eastAsia="Times New Roman" w:hAnsi="Arial" w:cs="Arial"/>
          <w:b/>
          <w:bCs/>
          <w:lang w:eastAsia="en-GB"/>
        </w:rPr>
      </w:pPr>
    </w:p>
    <w:p w14:paraId="00891944" w14:textId="77777777" w:rsidR="005C0888" w:rsidRDefault="005C0888" w:rsidP="00E17258">
      <w:pPr>
        <w:spacing w:after="0" w:line="276" w:lineRule="auto"/>
        <w:ind w:right="531"/>
        <w:jc w:val="both"/>
        <w:rPr>
          <w:rFonts w:ascii="Arial" w:eastAsia="Times New Roman" w:hAnsi="Arial" w:cs="Arial"/>
          <w:b/>
          <w:bCs/>
          <w:lang w:eastAsia="en-GB"/>
        </w:rPr>
      </w:pPr>
    </w:p>
    <w:p w14:paraId="20568268" w14:textId="77777777" w:rsidR="005C0888" w:rsidRDefault="005C0888" w:rsidP="00E17258">
      <w:pPr>
        <w:spacing w:after="0" w:line="276" w:lineRule="auto"/>
        <w:ind w:right="531"/>
        <w:jc w:val="both"/>
        <w:rPr>
          <w:rFonts w:ascii="Arial" w:eastAsia="Times New Roman" w:hAnsi="Arial" w:cs="Arial"/>
          <w:b/>
          <w:bCs/>
          <w:lang w:eastAsia="en-GB"/>
        </w:rPr>
      </w:pPr>
    </w:p>
    <w:p w14:paraId="6973818D" w14:textId="77777777" w:rsidR="005C0888" w:rsidRDefault="005C0888" w:rsidP="00E17258">
      <w:pPr>
        <w:spacing w:after="0" w:line="276" w:lineRule="auto"/>
        <w:ind w:right="531"/>
        <w:jc w:val="both"/>
        <w:rPr>
          <w:rFonts w:ascii="Arial" w:eastAsia="Times New Roman" w:hAnsi="Arial" w:cs="Arial"/>
          <w:b/>
          <w:bCs/>
          <w:lang w:eastAsia="en-GB"/>
        </w:rPr>
      </w:pPr>
    </w:p>
    <w:p w14:paraId="583DFE68" w14:textId="77777777" w:rsidR="005C0888" w:rsidRDefault="005C0888" w:rsidP="00E17258">
      <w:pPr>
        <w:spacing w:after="0" w:line="276" w:lineRule="auto"/>
        <w:ind w:right="531"/>
        <w:jc w:val="both"/>
        <w:rPr>
          <w:rFonts w:ascii="Arial" w:eastAsia="Times New Roman" w:hAnsi="Arial" w:cs="Arial"/>
          <w:b/>
          <w:bCs/>
          <w:lang w:eastAsia="en-GB"/>
        </w:rPr>
      </w:pPr>
    </w:p>
    <w:p w14:paraId="3C19E6F4" w14:textId="77777777" w:rsidR="005C0888" w:rsidRDefault="005C0888" w:rsidP="00E17258">
      <w:pPr>
        <w:spacing w:after="0" w:line="276" w:lineRule="auto"/>
        <w:ind w:right="531"/>
        <w:jc w:val="both"/>
        <w:rPr>
          <w:rFonts w:ascii="Arial" w:eastAsia="Times New Roman" w:hAnsi="Arial" w:cs="Arial"/>
          <w:b/>
          <w:bCs/>
          <w:lang w:eastAsia="en-GB"/>
        </w:rPr>
      </w:pPr>
    </w:p>
    <w:p w14:paraId="3799BEE5" w14:textId="77777777" w:rsidR="005C0888" w:rsidRDefault="005C0888" w:rsidP="00E17258">
      <w:pPr>
        <w:spacing w:after="0" w:line="276" w:lineRule="auto"/>
        <w:ind w:right="531"/>
        <w:jc w:val="both"/>
        <w:rPr>
          <w:rFonts w:ascii="Arial" w:eastAsia="Times New Roman" w:hAnsi="Arial" w:cs="Arial"/>
          <w:b/>
          <w:bCs/>
          <w:lang w:eastAsia="en-GB"/>
        </w:rPr>
      </w:pPr>
    </w:p>
    <w:p w14:paraId="668ED193" w14:textId="77777777" w:rsidR="005C0888" w:rsidRDefault="005C0888" w:rsidP="00E17258">
      <w:pPr>
        <w:spacing w:after="0" w:line="276" w:lineRule="auto"/>
        <w:ind w:right="531"/>
        <w:jc w:val="both"/>
        <w:rPr>
          <w:rFonts w:ascii="Arial" w:eastAsia="Times New Roman" w:hAnsi="Arial" w:cs="Arial"/>
          <w:b/>
          <w:bCs/>
          <w:lang w:eastAsia="en-GB"/>
        </w:rPr>
      </w:pPr>
    </w:p>
    <w:p w14:paraId="0F4570C2" w14:textId="77777777" w:rsidR="005C0888" w:rsidRDefault="005C0888" w:rsidP="00E17258">
      <w:pPr>
        <w:spacing w:after="0" w:line="276" w:lineRule="auto"/>
        <w:ind w:right="531"/>
        <w:jc w:val="both"/>
        <w:rPr>
          <w:rFonts w:ascii="Arial" w:eastAsia="Times New Roman" w:hAnsi="Arial" w:cs="Arial"/>
          <w:b/>
          <w:bCs/>
          <w:lang w:eastAsia="en-GB"/>
        </w:rPr>
      </w:pPr>
    </w:p>
    <w:p w14:paraId="0174396A" w14:textId="77777777" w:rsidR="005C0888" w:rsidRDefault="005C0888" w:rsidP="00E17258">
      <w:pPr>
        <w:spacing w:after="0" w:line="276" w:lineRule="auto"/>
        <w:ind w:right="531"/>
        <w:jc w:val="both"/>
        <w:rPr>
          <w:rFonts w:ascii="Arial" w:eastAsia="Times New Roman" w:hAnsi="Arial" w:cs="Arial"/>
          <w:b/>
          <w:bCs/>
          <w:lang w:eastAsia="en-GB"/>
        </w:rPr>
      </w:pPr>
    </w:p>
    <w:p w14:paraId="2D1C6ACE" w14:textId="77777777" w:rsidR="005C0888" w:rsidRDefault="005C0888" w:rsidP="00E17258">
      <w:pPr>
        <w:spacing w:after="0" w:line="276" w:lineRule="auto"/>
        <w:ind w:right="531"/>
        <w:jc w:val="both"/>
        <w:rPr>
          <w:rFonts w:ascii="Arial" w:eastAsia="Times New Roman" w:hAnsi="Arial" w:cs="Arial"/>
          <w:b/>
          <w:bCs/>
          <w:lang w:eastAsia="en-GB"/>
        </w:rPr>
      </w:pPr>
    </w:p>
    <w:p w14:paraId="72C47233" w14:textId="77777777" w:rsidR="005C0888" w:rsidRDefault="005C0888" w:rsidP="00E17258">
      <w:pPr>
        <w:spacing w:after="0" w:line="276" w:lineRule="auto"/>
        <w:ind w:right="531"/>
        <w:jc w:val="both"/>
        <w:rPr>
          <w:rFonts w:ascii="Arial" w:eastAsia="Times New Roman" w:hAnsi="Arial" w:cs="Arial"/>
          <w:b/>
          <w:bCs/>
          <w:lang w:eastAsia="en-GB"/>
        </w:rPr>
      </w:pPr>
    </w:p>
    <w:p w14:paraId="30DE7658" w14:textId="77777777" w:rsidR="005C0888" w:rsidRDefault="005C0888" w:rsidP="00E17258">
      <w:pPr>
        <w:spacing w:after="0" w:line="276" w:lineRule="auto"/>
        <w:ind w:right="531"/>
        <w:jc w:val="both"/>
        <w:rPr>
          <w:rFonts w:ascii="Arial" w:eastAsia="Times New Roman" w:hAnsi="Arial" w:cs="Arial"/>
          <w:b/>
          <w:bCs/>
          <w:lang w:eastAsia="en-GB"/>
        </w:rPr>
      </w:pPr>
    </w:p>
    <w:p w14:paraId="75C2CD40" w14:textId="77777777" w:rsidR="005C0888" w:rsidRDefault="005C0888" w:rsidP="00E17258">
      <w:pPr>
        <w:spacing w:after="0" w:line="276" w:lineRule="auto"/>
        <w:ind w:right="531"/>
        <w:jc w:val="both"/>
        <w:rPr>
          <w:rFonts w:ascii="Arial" w:eastAsia="Times New Roman" w:hAnsi="Arial" w:cs="Arial"/>
          <w:b/>
          <w:bCs/>
          <w:lang w:eastAsia="en-GB"/>
        </w:rPr>
      </w:pPr>
    </w:p>
    <w:p w14:paraId="03D2E8E1" w14:textId="77777777" w:rsidR="005C0888" w:rsidRDefault="005C0888" w:rsidP="00E17258">
      <w:pPr>
        <w:spacing w:after="0" w:line="276" w:lineRule="auto"/>
        <w:ind w:right="531"/>
        <w:jc w:val="both"/>
        <w:rPr>
          <w:rFonts w:ascii="Arial" w:eastAsia="Times New Roman" w:hAnsi="Arial" w:cs="Arial"/>
          <w:b/>
          <w:bCs/>
          <w:lang w:eastAsia="en-GB"/>
        </w:rPr>
      </w:pPr>
    </w:p>
    <w:p w14:paraId="2C15FDC4" w14:textId="77777777" w:rsidR="005C0888" w:rsidRDefault="005C0888" w:rsidP="00E17258">
      <w:pPr>
        <w:spacing w:after="0" w:line="276" w:lineRule="auto"/>
        <w:ind w:right="531"/>
        <w:jc w:val="both"/>
        <w:rPr>
          <w:rFonts w:ascii="Arial" w:eastAsia="Times New Roman" w:hAnsi="Arial" w:cs="Arial"/>
          <w:b/>
          <w:bCs/>
          <w:lang w:eastAsia="en-GB"/>
        </w:rPr>
      </w:pPr>
    </w:p>
    <w:p w14:paraId="594F7885" w14:textId="77777777" w:rsidR="005C0888" w:rsidRDefault="005C0888" w:rsidP="00E17258">
      <w:pPr>
        <w:spacing w:after="0" w:line="276" w:lineRule="auto"/>
        <w:ind w:right="531"/>
        <w:jc w:val="both"/>
        <w:rPr>
          <w:rFonts w:ascii="Arial" w:eastAsia="Times New Roman" w:hAnsi="Arial" w:cs="Arial"/>
          <w:b/>
          <w:bCs/>
          <w:lang w:eastAsia="en-GB"/>
        </w:rPr>
      </w:pPr>
    </w:p>
    <w:p w14:paraId="2A93E312" w14:textId="77777777" w:rsidR="005C0888" w:rsidRDefault="005C0888" w:rsidP="00E17258">
      <w:pPr>
        <w:spacing w:after="0" w:line="276" w:lineRule="auto"/>
        <w:ind w:right="531"/>
        <w:jc w:val="both"/>
        <w:rPr>
          <w:rFonts w:ascii="Arial" w:eastAsia="Times New Roman" w:hAnsi="Arial" w:cs="Arial"/>
          <w:b/>
          <w:bCs/>
          <w:lang w:eastAsia="en-GB"/>
        </w:rPr>
      </w:pPr>
    </w:p>
    <w:p w14:paraId="355AB326" w14:textId="77777777" w:rsidR="005C0888" w:rsidRDefault="005C0888" w:rsidP="00E17258">
      <w:pPr>
        <w:spacing w:after="0" w:line="276" w:lineRule="auto"/>
        <w:ind w:right="531"/>
        <w:jc w:val="both"/>
        <w:rPr>
          <w:rFonts w:ascii="Arial" w:eastAsia="Times New Roman" w:hAnsi="Arial" w:cs="Arial"/>
          <w:b/>
          <w:bCs/>
          <w:lang w:eastAsia="en-GB"/>
        </w:rPr>
      </w:pPr>
    </w:p>
    <w:p w14:paraId="168E9063" w14:textId="77777777" w:rsidR="005C0888" w:rsidRDefault="005C0888" w:rsidP="00E17258">
      <w:pPr>
        <w:spacing w:after="0" w:line="276" w:lineRule="auto"/>
        <w:ind w:right="531"/>
        <w:jc w:val="both"/>
        <w:rPr>
          <w:rFonts w:ascii="Arial" w:eastAsia="Times New Roman" w:hAnsi="Arial" w:cs="Arial"/>
          <w:b/>
          <w:bCs/>
          <w:lang w:eastAsia="en-GB"/>
        </w:rPr>
      </w:pPr>
    </w:p>
    <w:p w14:paraId="720106B8" w14:textId="77777777" w:rsidR="005C0888" w:rsidRDefault="005C0888" w:rsidP="00E17258">
      <w:pPr>
        <w:spacing w:after="0" w:line="276" w:lineRule="auto"/>
        <w:ind w:right="531"/>
        <w:jc w:val="both"/>
        <w:rPr>
          <w:rFonts w:ascii="Arial" w:eastAsia="Times New Roman" w:hAnsi="Arial" w:cs="Arial"/>
          <w:b/>
          <w:bCs/>
          <w:lang w:eastAsia="en-GB"/>
        </w:rPr>
      </w:pPr>
    </w:p>
    <w:p w14:paraId="3A27DA25" w14:textId="77777777" w:rsidR="005C0888" w:rsidRDefault="005C0888" w:rsidP="00E17258">
      <w:pPr>
        <w:spacing w:after="0" w:line="276" w:lineRule="auto"/>
        <w:ind w:right="531"/>
        <w:jc w:val="both"/>
        <w:rPr>
          <w:rFonts w:ascii="Arial" w:eastAsia="Times New Roman" w:hAnsi="Arial" w:cs="Arial"/>
          <w:b/>
          <w:bCs/>
          <w:lang w:eastAsia="en-GB"/>
        </w:rPr>
      </w:pPr>
    </w:p>
    <w:p w14:paraId="66B89A0F" w14:textId="77777777" w:rsidR="005C0888" w:rsidRDefault="005C0888" w:rsidP="00E17258">
      <w:pPr>
        <w:spacing w:after="0" w:line="276" w:lineRule="auto"/>
        <w:ind w:right="531"/>
        <w:jc w:val="both"/>
        <w:rPr>
          <w:rFonts w:ascii="Arial" w:eastAsia="Times New Roman" w:hAnsi="Arial" w:cs="Arial"/>
          <w:b/>
          <w:bCs/>
          <w:lang w:eastAsia="en-GB"/>
        </w:rPr>
      </w:pPr>
    </w:p>
    <w:p w14:paraId="07CC9AF1" w14:textId="77777777" w:rsidR="005C0888" w:rsidRDefault="005C0888" w:rsidP="00E17258">
      <w:pPr>
        <w:spacing w:after="0" w:line="276" w:lineRule="auto"/>
        <w:ind w:right="531"/>
        <w:jc w:val="both"/>
        <w:rPr>
          <w:rFonts w:ascii="Arial" w:eastAsia="Times New Roman" w:hAnsi="Arial" w:cs="Arial"/>
          <w:b/>
          <w:bCs/>
          <w:lang w:eastAsia="en-GB"/>
        </w:rPr>
      </w:pPr>
    </w:p>
    <w:p w14:paraId="19510910" w14:textId="77777777" w:rsidR="00DB7656" w:rsidRDefault="00DB7656" w:rsidP="00E17258">
      <w:pPr>
        <w:spacing w:after="0" w:line="276" w:lineRule="auto"/>
        <w:ind w:right="531"/>
        <w:jc w:val="both"/>
        <w:rPr>
          <w:rFonts w:ascii="Arial" w:eastAsia="Times New Roman" w:hAnsi="Arial" w:cs="Arial"/>
          <w:b/>
          <w:bCs/>
          <w:lang w:eastAsia="en-GB"/>
        </w:rPr>
      </w:pPr>
    </w:p>
    <w:p w14:paraId="1D299989" w14:textId="77777777" w:rsidR="00DB7656" w:rsidRDefault="00DB7656" w:rsidP="00E17258">
      <w:pPr>
        <w:spacing w:after="0" w:line="276" w:lineRule="auto"/>
        <w:ind w:right="531"/>
        <w:jc w:val="both"/>
        <w:rPr>
          <w:rFonts w:ascii="Arial" w:eastAsia="Times New Roman" w:hAnsi="Arial" w:cs="Arial"/>
          <w:b/>
          <w:bCs/>
          <w:lang w:eastAsia="en-GB"/>
        </w:rPr>
      </w:pPr>
    </w:p>
    <w:p w14:paraId="7F9C81B2" w14:textId="54D57D02" w:rsidR="00A33449" w:rsidRPr="006C3C20" w:rsidRDefault="00A33449" w:rsidP="00E17258">
      <w:pPr>
        <w:spacing w:after="0" w:line="276" w:lineRule="auto"/>
        <w:ind w:right="531"/>
        <w:jc w:val="both"/>
        <w:rPr>
          <w:rFonts w:ascii="Arial" w:eastAsia="Times New Roman" w:hAnsi="Arial" w:cs="Arial"/>
          <w:b/>
          <w:bCs/>
          <w:lang w:eastAsia="en-GB"/>
        </w:rPr>
      </w:pPr>
      <w:r w:rsidRPr="006C3C20">
        <w:rPr>
          <w:rFonts w:ascii="Arial" w:eastAsia="Times New Roman" w:hAnsi="Arial" w:cs="Arial"/>
          <w:b/>
          <w:bCs/>
          <w:lang w:eastAsia="en-GB"/>
        </w:rPr>
        <w:t xml:space="preserve">Essay three: </w:t>
      </w:r>
    </w:p>
    <w:p w14:paraId="32287F01" w14:textId="77777777" w:rsidR="00A33449" w:rsidRDefault="00A33449" w:rsidP="00E17258">
      <w:pPr>
        <w:spacing w:after="0" w:line="276" w:lineRule="auto"/>
        <w:ind w:right="531"/>
        <w:rPr>
          <w:rFonts w:ascii="Arial" w:eastAsia="Times New Roman" w:hAnsi="Arial" w:cs="Arial"/>
          <w:lang w:eastAsia="en-GB"/>
        </w:rPr>
      </w:pPr>
      <w:r w:rsidRPr="00730A53">
        <w:rPr>
          <w:rFonts w:ascii="Arial" w:eastAsia="Times New Roman" w:hAnsi="Arial" w:cs="Arial"/>
          <w:u w:val="single"/>
          <w:lang w:eastAsia="en-GB"/>
        </w:rPr>
        <w:t>How effective</w:t>
      </w:r>
      <w:r>
        <w:rPr>
          <w:rFonts w:ascii="Arial" w:eastAsia="Times New Roman" w:hAnsi="Arial" w:cs="Arial"/>
          <w:lang w:eastAsia="en-GB"/>
        </w:rPr>
        <w:t xml:space="preserve"> is MAPPA as a means of managing offenders?</w:t>
      </w:r>
    </w:p>
    <w:p w14:paraId="10000735" w14:textId="77777777" w:rsidR="00A73B1A" w:rsidRDefault="00A73B1A" w:rsidP="000C741A">
      <w:pPr>
        <w:overflowPunct w:val="0"/>
        <w:autoSpaceDE w:val="0"/>
        <w:autoSpaceDN w:val="0"/>
        <w:adjustRightInd w:val="0"/>
        <w:spacing w:after="0" w:line="276" w:lineRule="auto"/>
        <w:ind w:right="531"/>
        <w:textAlignment w:val="baseline"/>
        <w:rPr>
          <w:rFonts w:eastAsia="Times New Roman" w:cstheme="minorHAnsi"/>
          <w:sz w:val="20"/>
          <w:szCs w:val="20"/>
          <w:lang w:eastAsia="en-GB"/>
        </w:rPr>
      </w:pPr>
    </w:p>
    <w:p w14:paraId="3F4FFFCA" w14:textId="2F193BEF" w:rsidR="00A33449" w:rsidRDefault="00F107EC" w:rsidP="000C741A">
      <w:pPr>
        <w:overflowPunct w:val="0"/>
        <w:autoSpaceDE w:val="0"/>
        <w:autoSpaceDN w:val="0"/>
        <w:adjustRightInd w:val="0"/>
        <w:spacing w:after="0" w:line="276" w:lineRule="auto"/>
        <w:ind w:right="531"/>
        <w:textAlignment w:val="baseline"/>
        <w:rPr>
          <w:rFonts w:eastAsia="Times New Roman" w:cstheme="minorHAnsi"/>
          <w:sz w:val="20"/>
          <w:szCs w:val="20"/>
          <w:lang w:eastAsia="en-GB"/>
        </w:rPr>
      </w:pPr>
      <w:r>
        <w:rPr>
          <w:rFonts w:eastAsia="Times New Roman" w:cstheme="minorHAnsi"/>
          <w:sz w:val="20"/>
          <w:szCs w:val="20"/>
          <w:lang w:eastAsia="en-GB"/>
        </w:rPr>
        <w:t>It should be noted that, w</w:t>
      </w:r>
      <w:r w:rsidR="00F547EC" w:rsidRPr="00E4159E">
        <w:rPr>
          <w:rFonts w:eastAsia="Times New Roman" w:cstheme="minorHAnsi"/>
          <w:sz w:val="20"/>
          <w:szCs w:val="20"/>
          <w:lang w:eastAsia="en-GB"/>
        </w:rPr>
        <w:t>hile criminal justice agencies can never completely eradicate danger, the public expect</w:t>
      </w:r>
      <w:r w:rsidR="00F547EC">
        <w:rPr>
          <w:rFonts w:eastAsia="Times New Roman" w:cstheme="minorHAnsi"/>
          <w:sz w:val="20"/>
          <w:szCs w:val="20"/>
          <w:lang w:eastAsia="en-GB"/>
        </w:rPr>
        <w:t>s</w:t>
      </w:r>
      <w:r w:rsidR="00F547EC" w:rsidRPr="00E4159E">
        <w:rPr>
          <w:rFonts w:eastAsia="Times New Roman" w:cstheme="minorHAnsi"/>
          <w:sz w:val="20"/>
          <w:szCs w:val="20"/>
          <w:lang w:eastAsia="en-GB"/>
        </w:rPr>
        <w:t xml:space="preserve"> them to take reasonable precautions to lessen the possibility </w:t>
      </w:r>
      <w:r w:rsidR="00F547EC">
        <w:rPr>
          <w:rFonts w:eastAsia="Times New Roman" w:cstheme="minorHAnsi"/>
          <w:sz w:val="20"/>
          <w:szCs w:val="20"/>
          <w:lang w:eastAsia="en-GB"/>
        </w:rPr>
        <w:t xml:space="preserve">of danger </w:t>
      </w:r>
      <w:r w:rsidR="00F547EC" w:rsidRPr="00E4159E">
        <w:rPr>
          <w:rFonts w:eastAsia="Times New Roman" w:cstheme="minorHAnsi"/>
          <w:sz w:val="20"/>
          <w:szCs w:val="20"/>
          <w:lang w:eastAsia="en-GB"/>
        </w:rPr>
        <w:t xml:space="preserve">from </w:t>
      </w:r>
      <w:r w:rsidR="00F547EC">
        <w:rPr>
          <w:rFonts w:eastAsia="Times New Roman" w:cstheme="minorHAnsi"/>
          <w:sz w:val="20"/>
          <w:szCs w:val="20"/>
          <w:lang w:eastAsia="en-GB"/>
        </w:rPr>
        <w:t>high risk offenders.</w:t>
      </w:r>
      <w:r w:rsidR="00C80538">
        <w:rPr>
          <w:rFonts w:eastAsia="Times New Roman" w:cstheme="minorHAnsi"/>
          <w:sz w:val="20"/>
          <w:szCs w:val="20"/>
          <w:lang w:eastAsia="en-GB"/>
        </w:rPr>
        <w:t xml:space="preserve"> </w:t>
      </w:r>
      <w:r w:rsidR="000C741A">
        <w:rPr>
          <w:rFonts w:eastAsia="Times New Roman" w:cstheme="minorHAnsi"/>
          <w:sz w:val="20"/>
          <w:szCs w:val="20"/>
          <w:lang w:eastAsia="en-GB"/>
        </w:rPr>
        <w:t>Established under</w:t>
      </w:r>
      <w:r w:rsidR="00EA5265" w:rsidRPr="00EA5265">
        <w:t xml:space="preserve"> </w:t>
      </w:r>
      <w:r w:rsidR="00452015" w:rsidRPr="00452015">
        <w:rPr>
          <w:rFonts w:eastAsia="Times New Roman" w:cstheme="minorHAnsi"/>
          <w:sz w:val="20"/>
          <w:szCs w:val="20"/>
          <w:lang w:eastAsia="en-GB"/>
        </w:rPr>
        <w:t>section</w:t>
      </w:r>
      <w:r w:rsidR="00452015">
        <w:t xml:space="preserve"> </w:t>
      </w:r>
      <w:r w:rsidR="00EA5265" w:rsidRPr="00EA5265">
        <w:rPr>
          <w:rFonts w:eastAsia="Times New Roman" w:cstheme="minorHAnsi"/>
          <w:sz w:val="20"/>
          <w:szCs w:val="20"/>
          <w:lang w:eastAsia="en-GB"/>
        </w:rPr>
        <w:t xml:space="preserve">67 </w:t>
      </w:r>
      <w:r w:rsidR="00F52D73">
        <w:rPr>
          <w:rFonts w:eastAsia="Times New Roman" w:cstheme="minorHAnsi"/>
          <w:sz w:val="20"/>
          <w:szCs w:val="20"/>
          <w:lang w:eastAsia="en-GB"/>
        </w:rPr>
        <w:t>&amp;</w:t>
      </w:r>
      <w:r w:rsidR="00EA5265" w:rsidRPr="00EA5265">
        <w:rPr>
          <w:rFonts w:eastAsia="Times New Roman" w:cstheme="minorHAnsi"/>
          <w:sz w:val="20"/>
          <w:szCs w:val="20"/>
          <w:lang w:eastAsia="en-GB"/>
        </w:rPr>
        <w:t xml:space="preserve"> 68 of the Criminal Justice and Court Services Act (2000)</w:t>
      </w:r>
      <w:r w:rsidR="000C741A">
        <w:rPr>
          <w:rFonts w:eastAsia="Times New Roman" w:cstheme="minorHAnsi"/>
          <w:sz w:val="20"/>
          <w:szCs w:val="20"/>
          <w:lang w:eastAsia="en-GB"/>
        </w:rPr>
        <w:t xml:space="preserve">, </w:t>
      </w:r>
      <w:r w:rsidR="000C741A" w:rsidRPr="000C741A">
        <w:rPr>
          <w:rFonts w:eastAsia="Times New Roman" w:cstheme="minorHAnsi"/>
          <w:sz w:val="20"/>
          <w:szCs w:val="20"/>
          <w:lang w:eastAsia="en-GB"/>
        </w:rPr>
        <w:t>MAPPA</w:t>
      </w:r>
      <w:r w:rsidR="00FF6A9D">
        <w:rPr>
          <w:rFonts w:eastAsia="Times New Roman" w:cstheme="minorHAnsi"/>
          <w:sz w:val="20"/>
          <w:szCs w:val="20"/>
          <w:lang w:eastAsia="en-GB"/>
        </w:rPr>
        <w:t xml:space="preserve"> </w:t>
      </w:r>
      <w:r w:rsidR="00DE1FCC">
        <w:rPr>
          <w:rFonts w:eastAsia="Times New Roman" w:cstheme="minorHAnsi"/>
          <w:sz w:val="20"/>
          <w:szCs w:val="20"/>
          <w:lang w:eastAsia="en-GB"/>
        </w:rPr>
        <w:t xml:space="preserve">created </w:t>
      </w:r>
      <w:r w:rsidR="000C741A" w:rsidRPr="000C741A">
        <w:rPr>
          <w:rFonts w:eastAsia="Times New Roman" w:cstheme="minorHAnsi"/>
          <w:sz w:val="20"/>
          <w:szCs w:val="20"/>
          <w:lang w:eastAsia="en-GB"/>
        </w:rPr>
        <w:t xml:space="preserve">a series of legal procedures for determining and controlling the danger presented by </w:t>
      </w:r>
      <w:r w:rsidR="00F52D73">
        <w:rPr>
          <w:rFonts w:eastAsia="Times New Roman" w:cstheme="minorHAnsi"/>
          <w:sz w:val="20"/>
          <w:szCs w:val="20"/>
          <w:lang w:eastAsia="en-GB"/>
        </w:rPr>
        <w:t>Sexual and Violent offenders</w:t>
      </w:r>
      <w:r w:rsidR="00C80538">
        <w:rPr>
          <w:rFonts w:eastAsia="Times New Roman" w:cstheme="minorHAnsi"/>
          <w:sz w:val="20"/>
          <w:szCs w:val="20"/>
          <w:lang w:eastAsia="en-GB"/>
        </w:rPr>
        <w:t xml:space="preserve"> upon release into the community</w:t>
      </w:r>
      <w:r w:rsidR="000C741A" w:rsidRPr="000C741A">
        <w:rPr>
          <w:rFonts w:eastAsia="Times New Roman" w:cstheme="minorHAnsi"/>
          <w:sz w:val="20"/>
          <w:szCs w:val="20"/>
          <w:lang w:eastAsia="en-GB"/>
        </w:rPr>
        <w:t>.</w:t>
      </w:r>
      <w:r w:rsidR="00EA5265">
        <w:rPr>
          <w:rFonts w:eastAsia="Times New Roman" w:cstheme="minorHAnsi"/>
          <w:sz w:val="20"/>
          <w:szCs w:val="20"/>
          <w:lang w:eastAsia="en-GB"/>
        </w:rPr>
        <w:t xml:space="preserve"> Originally involving</w:t>
      </w:r>
      <w:r w:rsidR="00F52D73">
        <w:rPr>
          <w:rFonts w:eastAsia="Times New Roman" w:cstheme="minorHAnsi"/>
          <w:sz w:val="20"/>
          <w:szCs w:val="20"/>
          <w:lang w:eastAsia="en-GB"/>
        </w:rPr>
        <w:t xml:space="preserve"> </w:t>
      </w:r>
      <w:r w:rsidR="001624F3">
        <w:rPr>
          <w:rFonts w:eastAsia="Times New Roman" w:cstheme="minorHAnsi"/>
          <w:sz w:val="20"/>
          <w:szCs w:val="20"/>
          <w:lang w:eastAsia="en-GB"/>
        </w:rPr>
        <w:t>only,</w:t>
      </w:r>
      <w:r w:rsidR="00EA5265">
        <w:rPr>
          <w:rFonts w:eastAsia="Times New Roman" w:cstheme="minorHAnsi"/>
          <w:sz w:val="20"/>
          <w:szCs w:val="20"/>
          <w:lang w:eastAsia="en-GB"/>
        </w:rPr>
        <w:t xml:space="preserve"> the Police and Probation services, the Criminal Justice Act (2003)</w:t>
      </w:r>
      <w:r w:rsidR="000C741A">
        <w:rPr>
          <w:rFonts w:eastAsia="Times New Roman" w:cstheme="minorHAnsi"/>
          <w:sz w:val="20"/>
          <w:szCs w:val="20"/>
          <w:lang w:eastAsia="en-GB"/>
        </w:rPr>
        <w:t xml:space="preserve"> </w:t>
      </w:r>
      <w:r w:rsidR="00EA5265">
        <w:rPr>
          <w:rFonts w:eastAsia="Times New Roman" w:cstheme="minorHAnsi"/>
          <w:sz w:val="20"/>
          <w:szCs w:val="20"/>
          <w:lang w:eastAsia="en-GB"/>
        </w:rPr>
        <w:t xml:space="preserve">added the </w:t>
      </w:r>
      <w:r w:rsidR="000C741A" w:rsidRPr="000C741A">
        <w:rPr>
          <w:rFonts w:eastAsia="Times New Roman" w:cstheme="minorHAnsi"/>
          <w:sz w:val="20"/>
          <w:szCs w:val="20"/>
          <w:lang w:eastAsia="en-GB"/>
        </w:rPr>
        <w:t>prison</w:t>
      </w:r>
      <w:r w:rsidR="00EA5265">
        <w:rPr>
          <w:rFonts w:eastAsia="Times New Roman" w:cstheme="minorHAnsi"/>
          <w:sz w:val="20"/>
          <w:szCs w:val="20"/>
          <w:lang w:eastAsia="en-GB"/>
        </w:rPr>
        <w:t xml:space="preserve"> service</w:t>
      </w:r>
      <w:r w:rsidR="000C741A" w:rsidRPr="000C741A">
        <w:rPr>
          <w:rFonts w:eastAsia="Times New Roman" w:cstheme="minorHAnsi"/>
          <w:sz w:val="20"/>
          <w:szCs w:val="20"/>
          <w:lang w:eastAsia="en-GB"/>
        </w:rPr>
        <w:t xml:space="preserve">, </w:t>
      </w:r>
      <w:r w:rsidR="00452015">
        <w:rPr>
          <w:rFonts w:eastAsia="Times New Roman" w:cstheme="minorHAnsi"/>
          <w:sz w:val="20"/>
          <w:szCs w:val="20"/>
          <w:lang w:eastAsia="en-GB"/>
        </w:rPr>
        <w:t>placing a statutory obligation for services to wo</w:t>
      </w:r>
      <w:r w:rsidR="000C741A">
        <w:rPr>
          <w:rFonts w:eastAsia="Times New Roman" w:cstheme="minorHAnsi"/>
          <w:sz w:val="20"/>
          <w:szCs w:val="20"/>
          <w:lang w:eastAsia="en-GB"/>
        </w:rPr>
        <w:t xml:space="preserve">rk cross functionally to </w:t>
      </w:r>
      <w:r w:rsidR="000C741A" w:rsidRPr="000C741A">
        <w:rPr>
          <w:rFonts w:eastAsia="Times New Roman" w:cstheme="minorHAnsi"/>
          <w:sz w:val="20"/>
          <w:szCs w:val="20"/>
          <w:lang w:eastAsia="en-GB"/>
        </w:rPr>
        <w:t>establish the MAPPA Responsible Authority</w:t>
      </w:r>
      <w:r w:rsidR="00452015">
        <w:rPr>
          <w:rFonts w:eastAsia="Times New Roman" w:cstheme="minorHAnsi"/>
          <w:sz w:val="20"/>
          <w:szCs w:val="20"/>
          <w:lang w:eastAsia="en-GB"/>
        </w:rPr>
        <w:t>, a</w:t>
      </w:r>
      <w:r w:rsidR="00452015" w:rsidRPr="00452015">
        <w:rPr>
          <w:rFonts w:eastAsia="Times New Roman" w:cstheme="minorHAnsi"/>
          <w:sz w:val="20"/>
          <w:szCs w:val="20"/>
          <w:lang w:eastAsia="en-GB"/>
        </w:rPr>
        <w:t>s explained in the MAPPA Guidance (</w:t>
      </w:r>
      <w:r w:rsidR="00954AF8">
        <w:rPr>
          <w:rFonts w:eastAsia="Times New Roman" w:cstheme="minorHAnsi"/>
          <w:sz w:val="20"/>
          <w:szCs w:val="20"/>
          <w:lang w:eastAsia="en-GB"/>
        </w:rPr>
        <w:t xml:space="preserve">MOJ, </w:t>
      </w:r>
      <w:r w:rsidR="00452015" w:rsidRPr="00452015">
        <w:rPr>
          <w:rFonts w:eastAsia="Times New Roman" w:cstheme="minorHAnsi"/>
          <w:sz w:val="20"/>
          <w:szCs w:val="20"/>
          <w:lang w:eastAsia="en-GB"/>
        </w:rPr>
        <w:t>2012)</w:t>
      </w:r>
      <w:r w:rsidR="00E4159E" w:rsidRPr="00E4159E">
        <w:rPr>
          <w:rFonts w:eastAsia="Times New Roman" w:cstheme="minorHAnsi"/>
          <w:sz w:val="20"/>
          <w:szCs w:val="20"/>
          <w:lang w:eastAsia="en-GB"/>
        </w:rPr>
        <w:t>.</w:t>
      </w:r>
      <w:r w:rsidR="00ED5CBE">
        <w:rPr>
          <w:rFonts w:eastAsia="Times New Roman" w:cstheme="minorHAnsi"/>
          <w:sz w:val="20"/>
          <w:szCs w:val="20"/>
          <w:lang w:eastAsia="en-GB"/>
        </w:rPr>
        <w:t xml:space="preserve"> </w:t>
      </w:r>
      <w:r w:rsidR="00DE1FCC">
        <w:rPr>
          <w:rFonts w:eastAsia="Times New Roman" w:cstheme="minorHAnsi"/>
          <w:sz w:val="20"/>
          <w:szCs w:val="20"/>
          <w:lang w:eastAsia="en-GB"/>
        </w:rPr>
        <w:t>L</w:t>
      </w:r>
      <w:r w:rsidR="00452015">
        <w:rPr>
          <w:rFonts w:eastAsia="Times New Roman" w:cstheme="minorHAnsi"/>
          <w:sz w:val="20"/>
          <w:szCs w:val="20"/>
          <w:lang w:eastAsia="en-GB"/>
        </w:rPr>
        <w:t>ocal authorities were</w:t>
      </w:r>
      <w:r w:rsidR="00DE1FCC">
        <w:rPr>
          <w:rFonts w:eastAsia="Times New Roman" w:cstheme="minorHAnsi"/>
          <w:sz w:val="20"/>
          <w:szCs w:val="20"/>
          <w:lang w:eastAsia="en-GB"/>
        </w:rPr>
        <w:t xml:space="preserve"> also</w:t>
      </w:r>
      <w:r w:rsidR="00452015">
        <w:rPr>
          <w:rFonts w:eastAsia="Times New Roman" w:cstheme="minorHAnsi"/>
          <w:sz w:val="20"/>
          <w:szCs w:val="20"/>
          <w:lang w:eastAsia="en-GB"/>
        </w:rPr>
        <w:t xml:space="preserve"> handed a duty to cooperate with the relevant services to manag</w:t>
      </w:r>
      <w:r w:rsidR="00954AF8">
        <w:rPr>
          <w:rFonts w:eastAsia="Times New Roman" w:cstheme="minorHAnsi"/>
          <w:sz w:val="20"/>
          <w:szCs w:val="20"/>
          <w:lang w:eastAsia="en-GB"/>
        </w:rPr>
        <w:t>e</w:t>
      </w:r>
      <w:r w:rsidR="00452015">
        <w:rPr>
          <w:rFonts w:eastAsia="Times New Roman" w:cstheme="minorHAnsi"/>
          <w:sz w:val="20"/>
          <w:szCs w:val="20"/>
          <w:lang w:eastAsia="en-GB"/>
        </w:rPr>
        <w:t xml:space="preserve"> the risk posed by offenders by</w:t>
      </w:r>
      <w:r w:rsidR="00E4159E" w:rsidRPr="00E4159E">
        <w:rPr>
          <w:rFonts w:eastAsia="Times New Roman" w:cstheme="minorHAnsi"/>
          <w:sz w:val="20"/>
          <w:szCs w:val="20"/>
          <w:lang w:eastAsia="en-GB"/>
        </w:rPr>
        <w:t xml:space="preserve"> effective information exchange</w:t>
      </w:r>
      <w:r w:rsidR="00EA5265">
        <w:rPr>
          <w:rFonts w:eastAsia="Times New Roman" w:cstheme="minorHAnsi"/>
          <w:sz w:val="20"/>
          <w:szCs w:val="20"/>
          <w:lang w:eastAsia="en-GB"/>
        </w:rPr>
        <w:t xml:space="preserve">, </w:t>
      </w:r>
      <w:r w:rsidR="008B60E8" w:rsidRPr="00E4159E">
        <w:rPr>
          <w:rFonts w:eastAsia="Times New Roman" w:cstheme="minorHAnsi"/>
          <w:sz w:val="20"/>
          <w:szCs w:val="20"/>
          <w:lang w:eastAsia="en-GB"/>
        </w:rPr>
        <w:t>clear</w:t>
      </w:r>
      <w:r w:rsidR="00EA5265">
        <w:rPr>
          <w:rFonts w:eastAsia="Times New Roman" w:cstheme="minorHAnsi"/>
          <w:sz w:val="20"/>
          <w:szCs w:val="20"/>
          <w:lang w:eastAsia="en-GB"/>
        </w:rPr>
        <w:t>ing</w:t>
      </w:r>
      <w:r w:rsidR="008B60E8" w:rsidRPr="00E4159E">
        <w:rPr>
          <w:rFonts w:eastAsia="Times New Roman" w:cstheme="minorHAnsi"/>
          <w:sz w:val="20"/>
          <w:szCs w:val="20"/>
          <w:lang w:eastAsia="en-GB"/>
        </w:rPr>
        <w:t xml:space="preserve"> the path for improved communication and collaboration outside of the regular meeting framework</w:t>
      </w:r>
      <w:r w:rsidR="008B60E8">
        <w:rPr>
          <w:rFonts w:eastAsia="Times New Roman" w:cstheme="minorHAnsi"/>
          <w:sz w:val="20"/>
          <w:szCs w:val="20"/>
          <w:lang w:eastAsia="en-GB"/>
        </w:rPr>
        <w:t xml:space="preserve"> </w:t>
      </w:r>
      <w:r w:rsidR="00E4159E" w:rsidRPr="00E4159E">
        <w:rPr>
          <w:rFonts w:eastAsia="Times New Roman" w:cstheme="minorHAnsi"/>
          <w:sz w:val="20"/>
          <w:szCs w:val="20"/>
          <w:lang w:eastAsia="en-GB"/>
        </w:rPr>
        <w:t xml:space="preserve">in order to </w:t>
      </w:r>
      <w:r w:rsidR="00E4159E">
        <w:rPr>
          <w:rFonts w:eastAsia="Times New Roman" w:cstheme="minorHAnsi"/>
          <w:sz w:val="20"/>
          <w:szCs w:val="20"/>
          <w:lang w:eastAsia="en-GB"/>
        </w:rPr>
        <w:t>minimise the risk posed by serious offenders</w:t>
      </w:r>
      <w:r w:rsidR="00E4159E" w:rsidRPr="00E4159E">
        <w:rPr>
          <w:rFonts w:eastAsia="Times New Roman" w:cstheme="minorHAnsi"/>
          <w:sz w:val="20"/>
          <w:szCs w:val="20"/>
          <w:lang w:eastAsia="en-GB"/>
        </w:rPr>
        <w:t xml:space="preserve">. </w:t>
      </w:r>
      <w:r w:rsidR="00F547EC">
        <w:rPr>
          <w:rFonts w:eastAsia="Times New Roman" w:cstheme="minorHAnsi"/>
          <w:sz w:val="20"/>
          <w:szCs w:val="20"/>
          <w:lang w:eastAsia="en-GB"/>
        </w:rPr>
        <w:t>F</w:t>
      </w:r>
      <w:r w:rsidR="001624F3">
        <w:rPr>
          <w:rFonts w:eastAsia="Times New Roman" w:cstheme="minorHAnsi"/>
          <w:sz w:val="20"/>
          <w:szCs w:val="20"/>
          <w:lang w:eastAsia="en-GB"/>
        </w:rPr>
        <w:t>ollowing</w:t>
      </w:r>
      <w:r w:rsidR="00FE12AF">
        <w:rPr>
          <w:rFonts w:eastAsia="Times New Roman" w:cstheme="minorHAnsi"/>
          <w:sz w:val="20"/>
          <w:szCs w:val="20"/>
          <w:lang w:eastAsia="en-GB"/>
        </w:rPr>
        <w:t xml:space="preserve"> the high profile death of Sarah Payne in 2000,</w:t>
      </w:r>
      <w:r w:rsidR="001624F3">
        <w:rPr>
          <w:rFonts w:eastAsia="Times New Roman" w:cstheme="minorHAnsi"/>
          <w:sz w:val="20"/>
          <w:szCs w:val="20"/>
          <w:lang w:eastAsia="en-GB"/>
        </w:rPr>
        <w:t xml:space="preserve"> demands for more community involvement in the process of </w:t>
      </w:r>
      <w:r w:rsidR="00FE12AF">
        <w:rPr>
          <w:rFonts w:eastAsia="Times New Roman" w:cstheme="minorHAnsi"/>
          <w:sz w:val="20"/>
          <w:szCs w:val="20"/>
          <w:lang w:eastAsia="en-GB"/>
        </w:rPr>
        <w:t>rehabilitation</w:t>
      </w:r>
      <w:r w:rsidR="001624F3">
        <w:rPr>
          <w:rFonts w:eastAsia="Times New Roman" w:cstheme="minorHAnsi"/>
          <w:sz w:val="20"/>
          <w:szCs w:val="20"/>
          <w:lang w:eastAsia="en-GB"/>
        </w:rPr>
        <w:t xml:space="preserve"> and management of offenders </w:t>
      </w:r>
      <w:r w:rsidR="00FE12AF">
        <w:rPr>
          <w:rFonts w:eastAsia="Times New Roman" w:cstheme="minorHAnsi"/>
          <w:sz w:val="20"/>
          <w:szCs w:val="20"/>
          <w:lang w:eastAsia="en-GB"/>
        </w:rPr>
        <w:t>drove the inclusion of community representation in the local MAPPA boards (</w:t>
      </w:r>
      <w:r w:rsidR="00FE12AF" w:rsidRPr="00FE12AF">
        <w:rPr>
          <w:rFonts w:eastAsia="Times New Roman" w:cstheme="minorHAnsi"/>
          <w:sz w:val="20"/>
          <w:szCs w:val="20"/>
          <w:lang w:eastAsia="en-GB"/>
        </w:rPr>
        <w:t>Kemshall and Maguire 200</w:t>
      </w:r>
      <w:r w:rsidR="00FE12AF">
        <w:rPr>
          <w:rFonts w:eastAsia="Times New Roman" w:cstheme="minorHAnsi"/>
          <w:sz w:val="20"/>
          <w:szCs w:val="20"/>
          <w:lang w:eastAsia="en-GB"/>
        </w:rPr>
        <w:t>1</w:t>
      </w:r>
      <w:r w:rsidR="00FE12AF" w:rsidRPr="00FE12AF">
        <w:rPr>
          <w:rFonts w:eastAsia="Times New Roman" w:cstheme="minorHAnsi"/>
          <w:sz w:val="20"/>
          <w:szCs w:val="20"/>
          <w:lang w:eastAsia="en-GB"/>
        </w:rPr>
        <w:t>.)</w:t>
      </w:r>
    </w:p>
    <w:p w14:paraId="245823F6" w14:textId="64685C85" w:rsidR="008B60E8" w:rsidRDefault="008B60E8" w:rsidP="000C741A">
      <w:pPr>
        <w:overflowPunct w:val="0"/>
        <w:autoSpaceDE w:val="0"/>
        <w:autoSpaceDN w:val="0"/>
        <w:adjustRightInd w:val="0"/>
        <w:spacing w:after="0" w:line="276" w:lineRule="auto"/>
        <w:ind w:right="531"/>
        <w:textAlignment w:val="baseline"/>
        <w:rPr>
          <w:rFonts w:eastAsia="Times New Roman" w:cstheme="minorHAnsi"/>
          <w:sz w:val="20"/>
          <w:szCs w:val="20"/>
          <w:lang w:eastAsia="en-GB"/>
        </w:rPr>
      </w:pPr>
    </w:p>
    <w:p w14:paraId="5108955F" w14:textId="2FE8B89A" w:rsidR="00795346" w:rsidRDefault="00F107EC" w:rsidP="008B60E8">
      <w:pPr>
        <w:overflowPunct w:val="0"/>
        <w:autoSpaceDE w:val="0"/>
        <w:autoSpaceDN w:val="0"/>
        <w:adjustRightInd w:val="0"/>
        <w:spacing w:after="0" w:line="276" w:lineRule="auto"/>
        <w:ind w:right="531"/>
        <w:textAlignment w:val="baseline"/>
        <w:rPr>
          <w:rFonts w:eastAsia="Times New Roman" w:cstheme="minorHAnsi"/>
          <w:sz w:val="20"/>
          <w:szCs w:val="20"/>
          <w:lang w:eastAsia="en-GB"/>
        </w:rPr>
      </w:pPr>
      <w:r>
        <w:rPr>
          <w:rFonts w:eastAsia="Times New Roman" w:cstheme="minorHAnsi"/>
          <w:sz w:val="20"/>
          <w:szCs w:val="20"/>
          <w:lang w:eastAsia="en-GB"/>
        </w:rPr>
        <w:t>Whilst th</w:t>
      </w:r>
      <w:r w:rsidR="004E0DBB">
        <w:rPr>
          <w:rFonts w:eastAsia="Times New Roman" w:cstheme="minorHAnsi"/>
          <w:sz w:val="20"/>
          <w:szCs w:val="20"/>
          <w:lang w:eastAsia="en-GB"/>
        </w:rPr>
        <w:t xml:space="preserve">e creation of the new MAPPA agreements cemented the governments approach to manging high risk offenders, multi-agency approaches were not a new thing. </w:t>
      </w:r>
      <w:r w:rsidR="004E0DBB" w:rsidRPr="004E0DBB">
        <w:rPr>
          <w:rFonts w:eastAsia="Times New Roman" w:cstheme="minorHAnsi"/>
          <w:sz w:val="20"/>
          <w:szCs w:val="20"/>
          <w:lang w:eastAsia="en-GB"/>
        </w:rPr>
        <w:t xml:space="preserve">For numerous years, </w:t>
      </w:r>
      <w:r w:rsidR="004E0DBB">
        <w:rPr>
          <w:rFonts w:eastAsia="Times New Roman" w:cstheme="minorHAnsi"/>
          <w:sz w:val="20"/>
          <w:szCs w:val="20"/>
          <w:lang w:eastAsia="en-GB"/>
        </w:rPr>
        <w:t xml:space="preserve">several forces in the UK </w:t>
      </w:r>
      <w:r w:rsidR="004E0DBB" w:rsidRPr="004E0DBB">
        <w:rPr>
          <w:rFonts w:eastAsia="Times New Roman" w:cstheme="minorHAnsi"/>
          <w:sz w:val="20"/>
          <w:szCs w:val="20"/>
          <w:lang w:eastAsia="en-GB"/>
        </w:rPr>
        <w:t>ha</w:t>
      </w:r>
      <w:r w:rsidR="004E0DBB">
        <w:rPr>
          <w:rFonts w:eastAsia="Times New Roman" w:cstheme="minorHAnsi"/>
          <w:sz w:val="20"/>
          <w:szCs w:val="20"/>
          <w:lang w:eastAsia="en-GB"/>
        </w:rPr>
        <w:t>d</w:t>
      </w:r>
      <w:r w:rsidR="004E0DBB" w:rsidRPr="004E0DBB">
        <w:rPr>
          <w:rFonts w:eastAsia="Times New Roman" w:cstheme="minorHAnsi"/>
          <w:sz w:val="20"/>
          <w:szCs w:val="20"/>
          <w:lang w:eastAsia="en-GB"/>
        </w:rPr>
        <w:t xml:space="preserve"> run similar</w:t>
      </w:r>
      <w:r w:rsidR="00DE1FCC">
        <w:rPr>
          <w:rFonts w:eastAsia="Times New Roman" w:cstheme="minorHAnsi"/>
          <w:sz w:val="20"/>
          <w:szCs w:val="20"/>
          <w:lang w:eastAsia="en-GB"/>
        </w:rPr>
        <w:t xml:space="preserve"> schemes, o</w:t>
      </w:r>
      <w:r w:rsidR="004E0DBB" w:rsidRPr="004E0DBB">
        <w:rPr>
          <w:rFonts w:eastAsia="Times New Roman" w:cstheme="minorHAnsi"/>
          <w:sz w:val="20"/>
          <w:szCs w:val="20"/>
          <w:lang w:eastAsia="en-GB"/>
        </w:rPr>
        <w:t xml:space="preserve">thers formed new partnerships and panels in response to the Sex Offenders Act of 1997, which mandated that all police forces become responsible for </w:t>
      </w:r>
      <w:r w:rsidR="004E0DBB">
        <w:rPr>
          <w:rFonts w:eastAsia="Times New Roman" w:cstheme="minorHAnsi"/>
          <w:sz w:val="20"/>
          <w:szCs w:val="20"/>
          <w:lang w:eastAsia="en-GB"/>
        </w:rPr>
        <w:t xml:space="preserve">managing </w:t>
      </w:r>
      <w:r w:rsidR="004E0DBB" w:rsidRPr="004E0DBB">
        <w:rPr>
          <w:rFonts w:eastAsia="Times New Roman" w:cstheme="minorHAnsi"/>
          <w:sz w:val="20"/>
          <w:szCs w:val="20"/>
          <w:lang w:eastAsia="en-GB"/>
        </w:rPr>
        <w:t>convicted sex offenders living in their area and assessing and managing the risk they posed in consultation with the probation service.</w:t>
      </w:r>
      <w:r w:rsidR="004E0DBB">
        <w:rPr>
          <w:rFonts w:eastAsia="Times New Roman" w:cstheme="minorHAnsi"/>
          <w:sz w:val="20"/>
          <w:szCs w:val="20"/>
          <w:lang w:eastAsia="en-GB"/>
        </w:rPr>
        <w:t xml:space="preserve"> </w:t>
      </w:r>
      <w:r w:rsidR="006A6B21">
        <w:rPr>
          <w:rFonts w:eastAsia="Times New Roman" w:cstheme="minorHAnsi"/>
          <w:sz w:val="20"/>
          <w:szCs w:val="20"/>
          <w:lang w:eastAsia="en-GB"/>
        </w:rPr>
        <w:t>Despite this</w:t>
      </w:r>
      <w:r w:rsidR="00291BB1">
        <w:rPr>
          <w:rFonts w:eastAsia="Times New Roman" w:cstheme="minorHAnsi"/>
          <w:sz w:val="20"/>
          <w:szCs w:val="20"/>
          <w:lang w:eastAsia="en-GB"/>
        </w:rPr>
        <w:t>,</w:t>
      </w:r>
      <w:r w:rsidR="006A6B21">
        <w:rPr>
          <w:rFonts w:eastAsia="Times New Roman" w:cstheme="minorHAnsi"/>
          <w:sz w:val="20"/>
          <w:szCs w:val="20"/>
          <w:lang w:eastAsia="en-GB"/>
        </w:rPr>
        <w:t xml:space="preserve"> following a review into MAPPA implementation,</w:t>
      </w:r>
      <w:r w:rsidR="00291BB1">
        <w:rPr>
          <w:rFonts w:eastAsia="Times New Roman" w:cstheme="minorHAnsi"/>
          <w:sz w:val="20"/>
          <w:szCs w:val="20"/>
          <w:lang w:eastAsia="en-GB"/>
        </w:rPr>
        <w:t xml:space="preserve"> </w:t>
      </w:r>
      <w:r w:rsidR="004E0DBB">
        <w:rPr>
          <w:rFonts w:eastAsia="Times New Roman" w:cstheme="minorHAnsi"/>
          <w:sz w:val="20"/>
          <w:szCs w:val="20"/>
          <w:lang w:eastAsia="en-GB"/>
        </w:rPr>
        <w:t>Maguire et al. (2001) found the</w:t>
      </w:r>
      <w:r w:rsidR="00291BB1">
        <w:rPr>
          <w:rFonts w:eastAsia="Times New Roman" w:cstheme="minorHAnsi"/>
          <w:sz w:val="20"/>
          <w:szCs w:val="20"/>
          <w:lang w:eastAsia="en-GB"/>
        </w:rPr>
        <w:t>re</w:t>
      </w:r>
      <w:r w:rsidR="004E0DBB">
        <w:rPr>
          <w:rFonts w:eastAsia="Times New Roman" w:cstheme="minorHAnsi"/>
          <w:sz w:val="20"/>
          <w:szCs w:val="20"/>
          <w:lang w:eastAsia="en-GB"/>
        </w:rPr>
        <w:t xml:space="preserve"> to be </w:t>
      </w:r>
      <w:r w:rsidR="00291BB1">
        <w:rPr>
          <w:rFonts w:eastAsia="Times New Roman" w:cstheme="minorHAnsi"/>
          <w:sz w:val="20"/>
          <w:szCs w:val="20"/>
          <w:lang w:eastAsia="en-GB"/>
        </w:rPr>
        <w:t>considerable</w:t>
      </w:r>
      <w:r w:rsidR="00291BB1" w:rsidRPr="00291BB1">
        <w:rPr>
          <w:rFonts w:eastAsia="Times New Roman" w:cstheme="minorHAnsi"/>
          <w:sz w:val="20"/>
          <w:szCs w:val="20"/>
          <w:lang w:eastAsia="en-GB"/>
        </w:rPr>
        <w:t xml:space="preserve"> differences and a general lack of understanding across </w:t>
      </w:r>
      <w:r w:rsidR="00291BB1">
        <w:rPr>
          <w:rFonts w:eastAsia="Times New Roman" w:cstheme="minorHAnsi"/>
          <w:sz w:val="20"/>
          <w:szCs w:val="20"/>
          <w:lang w:eastAsia="en-GB"/>
        </w:rPr>
        <w:t>authorities</w:t>
      </w:r>
      <w:r w:rsidR="00291BB1" w:rsidRPr="00291BB1">
        <w:rPr>
          <w:rFonts w:eastAsia="Times New Roman" w:cstheme="minorHAnsi"/>
          <w:sz w:val="20"/>
          <w:szCs w:val="20"/>
          <w:lang w:eastAsia="en-GB"/>
        </w:rPr>
        <w:t xml:space="preserve"> on who was in charge of what tasks, which offenders should be involved in the process, how risk should be assessed and managed, and how cases should be monitored and followed up.</w:t>
      </w:r>
      <w:r w:rsidR="002F297C">
        <w:rPr>
          <w:rFonts w:eastAsia="Times New Roman" w:cstheme="minorHAnsi"/>
          <w:sz w:val="20"/>
          <w:szCs w:val="20"/>
          <w:lang w:eastAsia="en-GB"/>
        </w:rPr>
        <w:t xml:space="preserve"> </w:t>
      </w:r>
      <w:r w:rsidR="006A6B21">
        <w:rPr>
          <w:rFonts w:eastAsia="Times New Roman" w:cstheme="minorHAnsi"/>
          <w:sz w:val="20"/>
          <w:szCs w:val="20"/>
          <w:lang w:eastAsia="en-GB"/>
        </w:rPr>
        <w:t>The main issue seen by Maguire et al. (2001) was that a number of agencies were thrust together with a clear lack of structure or guidance</w:t>
      </w:r>
      <w:r w:rsidR="00876426">
        <w:rPr>
          <w:rFonts w:eastAsia="Times New Roman" w:cstheme="minorHAnsi"/>
          <w:sz w:val="20"/>
          <w:szCs w:val="20"/>
          <w:lang w:eastAsia="en-GB"/>
        </w:rPr>
        <w:t xml:space="preserve"> on how to work </w:t>
      </w:r>
      <w:r w:rsidR="00DE1FCC">
        <w:rPr>
          <w:rFonts w:eastAsia="Times New Roman" w:cstheme="minorHAnsi"/>
          <w:sz w:val="20"/>
          <w:szCs w:val="20"/>
          <w:lang w:eastAsia="en-GB"/>
        </w:rPr>
        <w:t>collaboratively</w:t>
      </w:r>
      <w:r w:rsidR="006A6B21">
        <w:rPr>
          <w:rFonts w:eastAsia="Times New Roman" w:cstheme="minorHAnsi"/>
          <w:sz w:val="20"/>
          <w:szCs w:val="20"/>
          <w:lang w:eastAsia="en-GB"/>
        </w:rPr>
        <w:t>.</w:t>
      </w:r>
      <w:r w:rsidR="00876426">
        <w:rPr>
          <w:rFonts w:eastAsia="Times New Roman" w:cstheme="minorHAnsi"/>
          <w:sz w:val="20"/>
          <w:szCs w:val="20"/>
          <w:lang w:eastAsia="en-GB"/>
        </w:rPr>
        <w:t xml:space="preserve"> Significant issues were noted around co-operation between agencies with regards to identification of offenders and information sharing about them</w:t>
      </w:r>
      <w:r w:rsidR="00795346">
        <w:rPr>
          <w:rFonts w:eastAsia="Times New Roman" w:cstheme="minorHAnsi"/>
          <w:sz w:val="20"/>
          <w:szCs w:val="20"/>
          <w:lang w:eastAsia="en-GB"/>
        </w:rPr>
        <w:t xml:space="preserve">. </w:t>
      </w:r>
      <w:r w:rsidR="0058068E">
        <w:rPr>
          <w:rFonts w:eastAsia="Times New Roman" w:cstheme="minorHAnsi"/>
          <w:sz w:val="20"/>
          <w:szCs w:val="20"/>
          <w:lang w:eastAsia="en-GB"/>
        </w:rPr>
        <w:t>Sloper</w:t>
      </w:r>
      <w:r w:rsidR="00DE1FCC">
        <w:rPr>
          <w:rFonts w:eastAsia="Times New Roman" w:cstheme="minorHAnsi"/>
          <w:sz w:val="20"/>
          <w:szCs w:val="20"/>
          <w:lang w:eastAsia="en-GB"/>
        </w:rPr>
        <w:t xml:space="preserve"> </w:t>
      </w:r>
      <w:r w:rsidR="0058068E">
        <w:rPr>
          <w:rFonts w:eastAsia="Times New Roman" w:cstheme="minorHAnsi"/>
          <w:sz w:val="20"/>
          <w:szCs w:val="20"/>
          <w:lang w:eastAsia="en-GB"/>
        </w:rPr>
        <w:t>(2004)</w:t>
      </w:r>
      <w:r>
        <w:rPr>
          <w:rFonts w:eastAsia="Times New Roman" w:cstheme="minorHAnsi"/>
          <w:sz w:val="20"/>
          <w:szCs w:val="20"/>
          <w:lang w:eastAsia="en-GB"/>
        </w:rPr>
        <w:t xml:space="preserve"> argues that there was little evidence to show that the current wa</w:t>
      </w:r>
      <w:r w:rsidR="0058068E">
        <w:rPr>
          <w:rFonts w:eastAsia="Times New Roman" w:cstheme="minorHAnsi"/>
          <w:sz w:val="20"/>
          <w:szCs w:val="20"/>
          <w:lang w:eastAsia="en-GB"/>
        </w:rPr>
        <w:t>y</w:t>
      </w:r>
      <w:r>
        <w:rPr>
          <w:rFonts w:eastAsia="Times New Roman" w:cstheme="minorHAnsi"/>
          <w:sz w:val="20"/>
          <w:szCs w:val="20"/>
          <w:lang w:eastAsia="en-GB"/>
        </w:rPr>
        <w:t xml:space="preserve"> of multi-agency agreements</w:t>
      </w:r>
      <w:r w:rsidR="0058068E">
        <w:rPr>
          <w:rFonts w:eastAsia="Times New Roman" w:cstheme="minorHAnsi"/>
          <w:sz w:val="20"/>
          <w:szCs w:val="20"/>
          <w:lang w:eastAsia="en-GB"/>
        </w:rPr>
        <w:t xml:space="preserve"> </w:t>
      </w:r>
      <w:r w:rsidR="00F96117">
        <w:rPr>
          <w:rFonts w:eastAsia="Times New Roman" w:cstheme="minorHAnsi"/>
          <w:sz w:val="20"/>
          <w:szCs w:val="20"/>
          <w:lang w:eastAsia="en-GB"/>
        </w:rPr>
        <w:t>was</w:t>
      </w:r>
      <w:r>
        <w:rPr>
          <w:rFonts w:eastAsia="Times New Roman" w:cstheme="minorHAnsi"/>
          <w:sz w:val="20"/>
          <w:szCs w:val="20"/>
          <w:lang w:eastAsia="en-GB"/>
        </w:rPr>
        <w:t xml:space="preserve"> working and that </w:t>
      </w:r>
      <w:r w:rsidR="0058068E">
        <w:rPr>
          <w:rFonts w:eastAsia="Times New Roman" w:cstheme="minorHAnsi"/>
          <w:sz w:val="20"/>
          <w:szCs w:val="20"/>
          <w:lang w:eastAsia="en-GB"/>
        </w:rPr>
        <w:t>clearer and consistent commitment to sharing information w</w:t>
      </w:r>
      <w:r w:rsidR="00DE1FCC">
        <w:rPr>
          <w:rFonts w:eastAsia="Times New Roman" w:cstheme="minorHAnsi"/>
          <w:sz w:val="20"/>
          <w:szCs w:val="20"/>
          <w:lang w:eastAsia="en-GB"/>
        </w:rPr>
        <w:t>as</w:t>
      </w:r>
      <w:r w:rsidR="0058068E">
        <w:rPr>
          <w:rFonts w:eastAsia="Times New Roman" w:cstheme="minorHAnsi"/>
          <w:sz w:val="20"/>
          <w:szCs w:val="20"/>
          <w:lang w:eastAsia="en-GB"/>
        </w:rPr>
        <w:t xml:space="preserve"> needed. It is clear from th</w:t>
      </w:r>
      <w:r w:rsidR="00DE1FCC">
        <w:rPr>
          <w:rFonts w:eastAsia="Times New Roman" w:cstheme="minorHAnsi"/>
          <w:sz w:val="20"/>
          <w:szCs w:val="20"/>
          <w:lang w:eastAsia="en-GB"/>
        </w:rPr>
        <w:t>is</w:t>
      </w:r>
      <w:r w:rsidR="0058068E">
        <w:rPr>
          <w:rFonts w:eastAsia="Times New Roman" w:cstheme="minorHAnsi"/>
          <w:sz w:val="20"/>
          <w:szCs w:val="20"/>
          <w:lang w:eastAsia="en-GB"/>
        </w:rPr>
        <w:t xml:space="preserve"> research that whilst there is a desire to make it work the arrangements work, there is a need for stronger leadership</w:t>
      </w:r>
      <w:r w:rsidR="00DE1FCC">
        <w:rPr>
          <w:rFonts w:eastAsia="Times New Roman" w:cstheme="minorHAnsi"/>
          <w:sz w:val="20"/>
          <w:szCs w:val="20"/>
          <w:lang w:eastAsia="en-GB"/>
        </w:rPr>
        <w:t xml:space="preserve"> and investment</w:t>
      </w:r>
      <w:r w:rsidR="0058068E">
        <w:rPr>
          <w:rFonts w:eastAsia="Times New Roman" w:cstheme="minorHAnsi"/>
          <w:sz w:val="20"/>
          <w:szCs w:val="20"/>
          <w:lang w:eastAsia="en-GB"/>
        </w:rPr>
        <w:t xml:space="preserve"> to establish </w:t>
      </w:r>
      <w:r w:rsidR="00DE1FCC">
        <w:rPr>
          <w:rFonts w:eastAsia="Times New Roman" w:cstheme="minorHAnsi"/>
          <w:sz w:val="20"/>
          <w:szCs w:val="20"/>
          <w:lang w:eastAsia="en-GB"/>
        </w:rPr>
        <w:t xml:space="preserve">more effective ways of </w:t>
      </w:r>
      <w:r w:rsidR="0058068E">
        <w:rPr>
          <w:rFonts w:eastAsia="Times New Roman" w:cstheme="minorHAnsi"/>
          <w:sz w:val="20"/>
          <w:szCs w:val="20"/>
          <w:lang w:eastAsia="en-GB"/>
        </w:rPr>
        <w:t xml:space="preserve">working.  </w:t>
      </w:r>
    </w:p>
    <w:p w14:paraId="19B9CBF5" w14:textId="77777777" w:rsidR="00795346" w:rsidRDefault="00795346" w:rsidP="008B60E8">
      <w:pPr>
        <w:overflowPunct w:val="0"/>
        <w:autoSpaceDE w:val="0"/>
        <w:autoSpaceDN w:val="0"/>
        <w:adjustRightInd w:val="0"/>
        <w:spacing w:after="0" w:line="276" w:lineRule="auto"/>
        <w:ind w:right="531"/>
        <w:textAlignment w:val="baseline"/>
        <w:rPr>
          <w:rFonts w:eastAsia="Times New Roman" w:cstheme="minorHAnsi"/>
          <w:sz w:val="20"/>
          <w:szCs w:val="20"/>
          <w:lang w:eastAsia="en-GB"/>
        </w:rPr>
      </w:pPr>
    </w:p>
    <w:p w14:paraId="3C43CDA3" w14:textId="34E545D6" w:rsidR="004E0DBB" w:rsidRDefault="00795346" w:rsidP="008B60E8">
      <w:pPr>
        <w:overflowPunct w:val="0"/>
        <w:autoSpaceDE w:val="0"/>
        <w:autoSpaceDN w:val="0"/>
        <w:adjustRightInd w:val="0"/>
        <w:spacing w:after="0" w:line="276" w:lineRule="auto"/>
        <w:ind w:right="531"/>
        <w:textAlignment w:val="baseline"/>
        <w:rPr>
          <w:rFonts w:eastAsia="Times New Roman" w:cstheme="minorHAnsi"/>
          <w:sz w:val="20"/>
          <w:szCs w:val="20"/>
          <w:lang w:eastAsia="en-GB"/>
        </w:rPr>
      </w:pPr>
      <w:r>
        <w:rPr>
          <w:rFonts w:eastAsia="Times New Roman" w:cstheme="minorHAnsi"/>
          <w:sz w:val="20"/>
          <w:szCs w:val="20"/>
          <w:lang w:eastAsia="en-GB"/>
        </w:rPr>
        <w:t xml:space="preserve">Bellamy et al. (2008) argues that “Despite </w:t>
      </w:r>
      <w:r w:rsidRPr="00795346">
        <w:rPr>
          <w:rFonts w:eastAsia="Times New Roman" w:cstheme="minorHAnsi"/>
          <w:sz w:val="20"/>
          <w:szCs w:val="20"/>
          <w:lang w:eastAsia="en-GB"/>
        </w:rPr>
        <w:t>considerable national policy effort to encourage better information-sharing</w:t>
      </w:r>
      <w:r>
        <w:rPr>
          <w:rFonts w:eastAsia="Times New Roman" w:cstheme="minorHAnsi"/>
          <w:sz w:val="20"/>
          <w:szCs w:val="20"/>
          <w:lang w:eastAsia="en-GB"/>
        </w:rPr>
        <w:t xml:space="preserve">” there </w:t>
      </w:r>
      <w:r w:rsidR="0058068E">
        <w:rPr>
          <w:rFonts w:eastAsia="Times New Roman" w:cstheme="minorHAnsi"/>
          <w:sz w:val="20"/>
          <w:szCs w:val="20"/>
          <w:lang w:eastAsia="en-GB"/>
        </w:rPr>
        <w:t>was</w:t>
      </w:r>
      <w:r>
        <w:rPr>
          <w:rFonts w:eastAsia="Times New Roman" w:cstheme="minorHAnsi"/>
          <w:sz w:val="20"/>
          <w:szCs w:val="20"/>
          <w:lang w:eastAsia="en-GB"/>
        </w:rPr>
        <w:t xml:space="preserve"> growing concern that continued failings in information sharing could have a devasting effect to public confidence and safety.</w:t>
      </w:r>
      <w:r w:rsidR="00DB7656">
        <w:rPr>
          <w:rFonts w:eastAsia="Times New Roman" w:cstheme="minorHAnsi"/>
          <w:sz w:val="20"/>
          <w:szCs w:val="20"/>
          <w:lang w:eastAsia="en-GB"/>
        </w:rPr>
        <w:t xml:space="preserve"> </w:t>
      </w:r>
      <w:r w:rsidR="00E27D4C">
        <w:rPr>
          <w:rFonts w:eastAsia="Times New Roman" w:cstheme="minorHAnsi"/>
          <w:sz w:val="20"/>
          <w:szCs w:val="20"/>
          <w:lang w:eastAsia="en-GB"/>
        </w:rPr>
        <w:t>Following the</w:t>
      </w:r>
      <w:r>
        <w:rPr>
          <w:rFonts w:eastAsia="Times New Roman" w:cstheme="minorHAnsi"/>
          <w:sz w:val="20"/>
          <w:szCs w:val="20"/>
          <w:lang w:eastAsia="en-GB"/>
        </w:rPr>
        <w:t xml:space="preserve"> double murder of Holly Wells and Jessica Chapman in Soham 2002</w:t>
      </w:r>
      <w:r w:rsidR="00E27D4C">
        <w:rPr>
          <w:rFonts w:eastAsia="Times New Roman" w:cstheme="minorHAnsi"/>
          <w:sz w:val="20"/>
          <w:szCs w:val="20"/>
          <w:lang w:eastAsia="en-GB"/>
        </w:rPr>
        <w:t xml:space="preserve">, Sir Christopher Kelly </w:t>
      </w:r>
      <w:r w:rsidR="003C7831">
        <w:rPr>
          <w:rFonts w:eastAsia="Times New Roman" w:cstheme="minorHAnsi"/>
          <w:sz w:val="20"/>
          <w:szCs w:val="20"/>
          <w:lang w:eastAsia="en-GB"/>
        </w:rPr>
        <w:t>highlighted</w:t>
      </w:r>
      <w:r w:rsidR="00E27D4C">
        <w:rPr>
          <w:rFonts w:ascii="Georgia" w:hAnsi="Georgia"/>
          <w:color w:val="121212"/>
          <w:sz w:val="26"/>
          <w:szCs w:val="26"/>
          <w:shd w:val="clear" w:color="auto" w:fill="FFFFFF"/>
        </w:rPr>
        <w:t xml:space="preserve"> </w:t>
      </w:r>
      <w:r w:rsidR="00E27D4C" w:rsidRPr="003C7831">
        <w:rPr>
          <w:rFonts w:eastAsia="Times New Roman" w:cstheme="minorHAnsi"/>
          <w:sz w:val="20"/>
          <w:szCs w:val="20"/>
          <w:lang w:eastAsia="en-GB"/>
        </w:rPr>
        <w:t>“significant shortcomings and inconsistencies in the way information was shared”</w:t>
      </w:r>
      <w:r w:rsidR="003C7831">
        <w:rPr>
          <w:rFonts w:eastAsia="Times New Roman" w:cstheme="minorHAnsi"/>
          <w:sz w:val="20"/>
          <w:szCs w:val="20"/>
          <w:lang w:eastAsia="en-GB"/>
        </w:rPr>
        <w:t xml:space="preserve"> shining a light on the issues being faced by partner agencies. Sir Christopher made note that </w:t>
      </w:r>
      <w:r w:rsidR="00DE1FCC">
        <w:rPr>
          <w:rFonts w:eastAsia="Times New Roman" w:cstheme="minorHAnsi"/>
          <w:sz w:val="20"/>
          <w:szCs w:val="20"/>
          <w:lang w:eastAsia="en-GB"/>
        </w:rPr>
        <w:t xml:space="preserve">failures </w:t>
      </w:r>
      <w:r w:rsidR="003C7831">
        <w:rPr>
          <w:rFonts w:eastAsia="Times New Roman" w:cstheme="minorHAnsi"/>
          <w:sz w:val="20"/>
          <w:szCs w:val="20"/>
          <w:lang w:eastAsia="en-GB"/>
        </w:rPr>
        <w:t>by social services to</w:t>
      </w:r>
      <w:r w:rsidR="00DE1FCC">
        <w:rPr>
          <w:rFonts w:eastAsia="Times New Roman" w:cstheme="minorHAnsi"/>
          <w:sz w:val="20"/>
          <w:szCs w:val="20"/>
          <w:lang w:eastAsia="en-GB"/>
        </w:rPr>
        <w:t xml:space="preserve"> provide</w:t>
      </w:r>
      <w:r w:rsidR="003C7831">
        <w:rPr>
          <w:rFonts w:eastAsia="Times New Roman" w:cstheme="minorHAnsi"/>
          <w:sz w:val="20"/>
          <w:szCs w:val="20"/>
          <w:lang w:eastAsia="en-GB"/>
        </w:rPr>
        <w:t xml:space="preserve"> the police</w:t>
      </w:r>
      <w:r w:rsidR="00DE1FCC">
        <w:rPr>
          <w:rFonts w:eastAsia="Times New Roman" w:cstheme="minorHAnsi"/>
          <w:sz w:val="20"/>
          <w:szCs w:val="20"/>
          <w:lang w:eastAsia="en-GB"/>
        </w:rPr>
        <w:t xml:space="preserve"> information</w:t>
      </w:r>
      <w:r w:rsidR="003C7831">
        <w:rPr>
          <w:rFonts w:eastAsia="Times New Roman" w:cstheme="minorHAnsi"/>
          <w:sz w:val="20"/>
          <w:szCs w:val="20"/>
          <w:lang w:eastAsia="en-GB"/>
        </w:rPr>
        <w:t xml:space="preserve"> around the sexual offences committed by Ian Huntley </w:t>
      </w:r>
      <w:r w:rsidR="00B37A85">
        <w:rPr>
          <w:rFonts w:eastAsia="Times New Roman" w:cstheme="minorHAnsi"/>
          <w:sz w:val="20"/>
          <w:szCs w:val="20"/>
          <w:lang w:eastAsia="en-GB"/>
        </w:rPr>
        <w:t>previously</w:t>
      </w:r>
      <w:r w:rsidR="00DE1FCC">
        <w:rPr>
          <w:rFonts w:eastAsia="Times New Roman" w:cstheme="minorHAnsi"/>
          <w:sz w:val="20"/>
          <w:szCs w:val="20"/>
          <w:lang w:eastAsia="en-GB"/>
        </w:rPr>
        <w:t>,</w:t>
      </w:r>
      <w:r w:rsidR="007B53F7">
        <w:rPr>
          <w:rFonts w:eastAsia="Times New Roman" w:cstheme="minorHAnsi"/>
          <w:sz w:val="20"/>
          <w:szCs w:val="20"/>
          <w:lang w:eastAsia="en-GB"/>
        </w:rPr>
        <w:t xml:space="preserve"> provided a</w:t>
      </w:r>
      <w:r w:rsidR="00DE1FCC">
        <w:rPr>
          <w:rFonts w:eastAsia="Times New Roman" w:cstheme="minorHAnsi"/>
          <w:sz w:val="20"/>
          <w:szCs w:val="20"/>
          <w:lang w:eastAsia="en-GB"/>
        </w:rPr>
        <w:t xml:space="preserve"> significant</w:t>
      </w:r>
      <w:r w:rsidR="007B53F7">
        <w:rPr>
          <w:rFonts w:eastAsia="Times New Roman" w:cstheme="minorHAnsi"/>
          <w:sz w:val="20"/>
          <w:szCs w:val="20"/>
          <w:lang w:eastAsia="en-GB"/>
        </w:rPr>
        <w:t xml:space="preserve"> missed opportunity to prevent this tragedy</w:t>
      </w:r>
      <w:r w:rsidR="00B37A85">
        <w:rPr>
          <w:rFonts w:eastAsia="Times New Roman" w:cstheme="minorHAnsi"/>
          <w:sz w:val="20"/>
          <w:szCs w:val="20"/>
          <w:lang w:eastAsia="en-GB"/>
        </w:rPr>
        <w:t>. In total Huntley was reported to the police 11 and social services a further 5 times however these offences were never shared</w:t>
      </w:r>
      <w:r w:rsidR="00F96117">
        <w:rPr>
          <w:rFonts w:eastAsia="Times New Roman" w:cstheme="minorHAnsi"/>
          <w:sz w:val="20"/>
          <w:szCs w:val="20"/>
          <w:lang w:eastAsia="en-GB"/>
        </w:rPr>
        <w:t xml:space="preserve"> between agencies</w:t>
      </w:r>
      <w:r w:rsidR="00B37A85">
        <w:rPr>
          <w:rFonts w:eastAsia="Times New Roman" w:cstheme="minorHAnsi"/>
          <w:sz w:val="20"/>
          <w:szCs w:val="20"/>
          <w:lang w:eastAsia="en-GB"/>
        </w:rPr>
        <w:t xml:space="preserve">. </w:t>
      </w:r>
      <w:r w:rsidR="007B53F7">
        <w:rPr>
          <w:rFonts w:eastAsia="Times New Roman" w:cstheme="minorHAnsi"/>
          <w:sz w:val="20"/>
          <w:szCs w:val="20"/>
          <w:lang w:eastAsia="en-GB"/>
        </w:rPr>
        <w:t xml:space="preserve">Partner agencies achieved an “Important milestone” in 2004, when ViSOR was launched as the first integrated IT system </w:t>
      </w:r>
      <w:r w:rsidR="00DE1FCC">
        <w:rPr>
          <w:rFonts w:eastAsia="Times New Roman" w:cstheme="minorHAnsi"/>
          <w:sz w:val="20"/>
          <w:szCs w:val="20"/>
          <w:lang w:eastAsia="en-GB"/>
        </w:rPr>
        <w:t xml:space="preserve">to </w:t>
      </w:r>
      <w:r w:rsidR="007B53F7" w:rsidRPr="007B53F7">
        <w:rPr>
          <w:rFonts w:eastAsia="Times New Roman" w:cstheme="minorHAnsi"/>
          <w:sz w:val="20"/>
          <w:szCs w:val="20"/>
          <w:lang w:eastAsia="en-GB"/>
        </w:rPr>
        <w:t>help police investi</w:t>
      </w:r>
      <w:r w:rsidR="007B53F7">
        <w:rPr>
          <w:rFonts w:eastAsia="Times New Roman" w:cstheme="minorHAnsi"/>
          <w:sz w:val="20"/>
          <w:szCs w:val="20"/>
          <w:lang w:eastAsia="en-GB"/>
        </w:rPr>
        <w:t>gate</w:t>
      </w:r>
      <w:r w:rsidR="007B53F7" w:rsidRPr="007B53F7">
        <w:rPr>
          <w:rFonts w:eastAsia="Times New Roman" w:cstheme="minorHAnsi"/>
          <w:sz w:val="20"/>
          <w:szCs w:val="20"/>
          <w:lang w:eastAsia="en-GB"/>
        </w:rPr>
        <w:t xml:space="preserve"> when significant offences have happened as well as enable the surveillance of </w:t>
      </w:r>
      <w:r w:rsidR="007B53F7" w:rsidRPr="007B53F7">
        <w:rPr>
          <w:rFonts w:eastAsia="Times New Roman" w:cstheme="minorHAnsi"/>
          <w:sz w:val="20"/>
          <w:szCs w:val="20"/>
          <w:lang w:eastAsia="en-GB"/>
        </w:rPr>
        <w:lastRenderedPageBreak/>
        <w:t>known sexual and violent offenders in the community and after their release from jail (Edwards 2003).</w:t>
      </w:r>
      <w:r w:rsidR="00DB7656">
        <w:rPr>
          <w:rFonts w:eastAsia="Times New Roman" w:cstheme="minorHAnsi"/>
          <w:sz w:val="20"/>
          <w:szCs w:val="20"/>
          <w:lang w:eastAsia="en-GB"/>
        </w:rPr>
        <w:t xml:space="preserve"> However, there is still work to do with regard to the sharing of data, Cairns et al. (2011) highlighted that whilst there is a desire to share information, the Data Protection Act 1998 acts as a deterrent for agencies to share through fear of repercussion</w:t>
      </w:r>
      <w:r w:rsidR="00FF6A9D">
        <w:rPr>
          <w:rFonts w:eastAsia="Times New Roman" w:cstheme="minorHAnsi"/>
          <w:sz w:val="20"/>
          <w:szCs w:val="20"/>
          <w:lang w:eastAsia="en-GB"/>
        </w:rPr>
        <w:t>.</w:t>
      </w:r>
    </w:p>
    <w:p w14:paraId="4AA8BD7C" w14:textId="467A1749" w:rsidR="00FE0A1C" w:rsidRDefault="00FE0A1C" w:rsidP="008B60E8">
      <w:pPr>
        <w:overflowPunct w:val="0"/>
        <w:autoSpaceDE w:val="0"/>
        <w:autoSpaceDN w:val="0"/>
        <w:adjustRightInd w:val="0"/>
        <w:spacing w:after="0" w:line="276" w:lineRule="auto"/>
        <w:ind w:right="531"/>
        <w:textAlignment w:val="baseline"/>
        <w:rPr>
          <w:rFonts w:eastAsia="Times New Roman" w:cstheme="minorHAnsi"/>
          <w:sz w:val="20"/>
          <w:szCs w:val="20"/>
          <w:lang w:eastAsia="en-GB"/>
        </w:rPr>
      </w:pPr>
    </w:p>
    <w:p w14:paraId="387644A5" w14:textId="0C6045D1" w:rsidR="005B537F" w:rsidRDefault="00A72932" w:rsidP="005B537F">
      <w:pPr>
        <w:overflowPunct w:val="0"/>
        <w:autoSpaceDE w:val="0"/>
        <w:autoSpaceDN w:val="0"/>
        <w:adjustRightInd w:val="0"/>
        <w:spacing w:after="0" w:line="276" w:lineRule="auto"/>
        <w:ind w:right="531"/>
        <w:textAlignment w:val="baseline"/>
        <w:rPr>
          <w:rFonts w:eastAsia="Times New Roman" w:cstheme="minorHAnsi"/>
          <w:sz w:val="20"/>
          <w:szCs w:val="20"/>
          <w:lang w:eastAsia="en-GB"/>
        </w:rPr>
      </w:pPr>
      <w:r>
        <w:rPr>
          <w:rFonts w:eastAsia="Times New Roman" w:cstheme="minorHAnsi"/>
          <w:sz w:val="20"/>
          <w:szCs w:val="20"/>
          <w:lang w:eastAsia="en-GB"/>
        </w:rPr>
        <w:t>Offenders that are MAPPA eligible continue to gro</w:t>
      </w:r>
      <w:r w:rsidR="00954AF8">
        <w:rPr>
          <w:rFonts w:eastAsia="Times New Roman" w:cstheme="minorHAnsi"/>
          <w:sz w:val="20"/>
          <w:szCs w:val="20"/>
          <w:lang w:eastAsia="en-GB"/>
        </w:rPr>
        <w:t>w. A</w:t>
      </w:r>
      <w:r>
        <w:rPr>
          <w:rFonts w:eastAsia="Times New Roman" w:cstheme="minorHAnsi"/>
          <w:sz w:val="20"/>
          <w:szCs w:val="20"/>
          <w:lang w:eastAsia="en-GB"/>
        </w:rPr>
        <w:t>c</w:t>
      </w:r>
      <w:r w:rsidR="001F3B71">
        <w:rPr>
          <w:rFonts w:eastAsia="Times New Roman" w:cstheme="minorHAnsi"/>
          <w:sz w:val="20"/>
          <w:szCs w:val="20"/>
          <w:lang w:eastAsia="en-GB"/>
        </w:rPr>
        <w:t xml:space="preserve">cording to the MOJ 2021/22 Annual Report, </w:t>
      </w:r>
      <w:r>
        <w:rPr>
          <w:rFonts w:eastAsia="Times New Roman" w:cstheme="minorHAnsi"/>
          <w:sz w:val="20"/>
          <w:szCs w:val="20"/>
          <w:lang w:eastAsia="en-GB"/>
        </w:rPr>
        <w:t xml:space="preserve">the </w:t>
      </w:r>
      <w:r w:rsidR="00635A60" w:rsidRPr="001F3B71">
        <w:rPr>
          <w:rFonts w:eastAsia="Times New Roman" w:cstheme="minorHAnsi"/>
          <w:sz w:val="20"/>
          <w:szCs w:val="20"/>
          <w:lang w:eastAsia="en-GB"/>
        </w:rPr>
        <w:t>MAPPA population was at 89,438 on 31 March 2022</w:t>
      </w:r>
      <w:r w:rsidR="001F3B71">
        <w:rPr>
          <w:rFonts w:eastAsia="Times New Roman" w:cstheme="minorHAnsi"/>
          <w:sz w:val="20"/>
          <w:szCs w:val="20"/>
          <w:lang w:eastAsia="en-GB"/>
        </w:rPr>
        <w:t xml:space="preserve">, up 67% since 2012. </w:t>
      </w:r>
      <w:r w:rsidR="001F3B71">
        <w:rPr>
          <w:rFonts w:cstheme="minorHAnsi"/>
          <w:sz w:val="20"/>
          <w:szCs w:val="20"/>
        </w:rPr>
        <w:t>The greatest increase being seen in Category 1 (+4% to 66,741) with increase</w:t>
      </w:r>
      <w:r w:rsidR="00954AF8">
        <w:rPr>
          <w:rFonts w:cstheme="minorHAnsi"/>
          <w:sz w:val="20"/>
          <w:szCs w:val="20"/>
        </w:rPr>
        <w:t>s</w:t>
      </w:r>
      <w:r w:rsidR="001F3B71">
        <w:rPr>
          <w:rFonts w:cstheme="minorHAnsi"/>
          <w:sz w:val="20"/>
          <w:szCs w:val="20"/>
        </w:rPr>
        <w:t xml:space="preserve"> seen across Category 2 (+1% to 22,304), driven by increases of instances of violent crimes and robberies</w:t>
      </w:r>
      <w:r w:rsidR="0084104F">
        <w:rPr>
          <w:rFonts w:cstheme="minorHAnsi"/>
          <w:sz w:val="20"/>
          <w:szCs w:val="20"/>
        </w:rPr>
        <w:t>,</w:t>
      </w:r>
      <w:r w:rsidR="001F3B71">
        <w:rPr>
          <w:rFonts w:cstheme="minorHAnsi"/>
          <w:sz w:val="20"/>
          <w:szCs w:val="20"/>
        </w:rPr>
        <w:t xml:space="preserve"> and Category 3 (+1% to 393), driven by the inclusion of Domestic Abuse perpetrators </w:t>
      </w:r>
      <w:r w:rsidR="006472B0">
        <w:rPr>
          <w:rFonts w:cstheme="minorHAnsi"/>
          <w:sz w:val="20"/>
          <w:szCs w:val="20"/>
        </w:rPr>
        <w:t>(</w:t>
      </w:r>
      <w:r w:rsidR="001F3B71" w:rsidRPr="001F3B71">
        <w:rPr>
          <w:rFonts w:cstheme="minorHAnsi"/>
          <w:sz w:val="20"/>
          <w:szCs w:val="20"/>
        </w:rPr>
        <w:t>M</w:t>
      </w:r>
      <w:r w:rsidR="001F3B71">
        <w:rPr>
          <w:rFonts w:cstheme="minorHAnsi"/>
          <w:sz w:val="20"/>
          <w:szCs w:val="20"/>
        </w:rPr>
        <w:t xml:space="preserve">inistry of Justice. </w:t>
      </w:r>
      <w:r w:rsidR="001F3B71" w:rsidRPr="001F3B71">
        <w:rPr>
          <w:rFonts w:cstheme="minorHAnsi"/>
          <w:sz w:val="20"/>
          <w:szCs w:val="20"/>
        </w:rPr>
        <w:t>2022)</w:t>
      </w:r>
      <w:r w:rsidR="001F3B71">
        <w:rPr>
          <w:rFonts w:cstheme="minorHAnsi"/>
          <w:sz w:val="20"/>
          <w:szCs w:val="20"/>
        </w:rPr>
        <w:t>.</w:t>
      </w:r>
      <w:r w:rsidR="005B537F">
        <w:rPr>
          <w:rFonts w:cstheme="minorHAnsi"/>
          <w:sz w:val="20"/>
          <w:szCs w:val="20"/>
        </w:rPr>
        <w:t xml:space="preserve"> It is difficult to pinpoint the success of MAPPA, a</w:t>
      </w:r>
      <w:r w:rsidR="005B537F" w:rsidRPr="00356AEA">
        <w:rPr>
          <w:rFonts w:cstheme="minorHAnsi"/>
          <w:sz w:val="20"/>
          <w:szCs w:val="20"/>
        </w:rPr>
        <w:t xml:space="preserve">ccording to a 2015 Ministry of Justice </w:t>
      </w:r>
      <w:r w:rsidR="005B537F">
        <w:rPr>
          <w:rFonts w:cstheme="minorHAnsi"/>
          <w:sz w:val="20"/>
          <w:szCs w:val="20"/>
        </w:rPr>
        <w:t xml:space="preserve">report into </w:t>
      </w:r>
      <w:r w:rsidR="005B537F" w:rsidRPr="00356AEA">
        <w:rPr>
          <w:rFonts w:cstheme="minorHAnsi"/>
          <w:sz w:val="20"/>
          <w:szCs w:val="20"/>
        </w:rPr>
        <w:t xml:space="preserve">reoffending (Bryant, Peck, and Lovbakke, 2015), </w:t>
      </w:r>
      <w:r w:rsidR="005B537F">
        <w:rPr>
          <w:rFonts w:cstheme="minorHAnsi"/>
          <w:sz w:val="20"/>
          <w:szCs w:val="20"/>
        </w:rPr>
        <w:t xml:space="preserve">stating </w:t>
      </w:r>
      <w:r w:rsidR="005B537F" w:rsidRPr="00356AEA">
        <w:rPr>
          <w:rFonts w:cstheme="minorHAnsi"/>
          <w:sz w:val="20"/>
          <w:szCs w:val="20"/>
        </w:rPr>
        <w:t xml:space="preserve">it was not </w:t>
      </w:r>
      <w:r w:rsidR="005B537F">
        <w:rPr>
          <w:rFonts w:cstheme="minorHAnsi"/>
          <w:sz w:val="20"/>
          <w:szCs w:val="20"/>
        </w:rPr>
        <w:t>accurately able to establish the</w:t>
      </w:r>
      <w:r w:rsidR="005B537F" w:rsidRPr="00356AEA">
        <w:rPr>
          <w:rFonts w:cstheme="minorHAnsi"/>
          <w:sz w:val="20"/>
          <w:szCs w:val="20"/>
        </w:rPr>
        <w:t xml:space="preserve"> effect of MAPPA on reoffending owing to the limitations of the data </w:t>
      </w:r>
      <w:r w:rsidR="005B537F">
        <w:rPr>
          <w:rFonts w:cstheme="minorHAnsi"/>
          <w:sz w:val="20"/>
          <w:szCs w:val="20"/>
        </w:rPr>
        <w:t>available</w:t>
      </w:r>
      <w:r w:rsidR="005B537F" w:rsidRPr="00356AEA">
        <w:rPr>
          <w:rFonts w:cstheme="minorHAnsi"/>
          <w:sz w:val="20"/>
          <w:szCs w:val="20"/>
        </w:rPr>
        <w:t>. However, it discovered that MAPPA could have contributed to lowering reoffending, and it was optimistic about the possibility of multi-agency cooperation to promote the efficient management of offenders in the community</w:t>
      </w:r>
      <w:r w:rsidR="005B537F">
        <w:rPr>
          <w:rFonts w:cstheme="minorHAnsi"/>
          <w:sz w:val="20"/>
          <w:szCs w:val="20"/>
        </w:rPr>
        <w:t>. Hilder and Kemshall (2013) noting an “</w:t>
      </w:r>
      <w:r w:rsidR="005B537F" w:rsidRPr="005B537F">
        <w:rPr>
          <w:rFonts w:cstheme="minorHAnsi"/>
          <w:sz w:val="20"/>
          <w:szCs w:val="20"/>
        </w:rPr>
        <w:t>improved standard for risk management” and “the increased emphasis on engaging high-risk offenders in risk management plans”</w:t>
      </w:r>
      <w:r w:rsidR="005B537F">
        <w:rPr>
          <w:rFonts w:cstheme="minorHAnsi"/>
          <w:sz w:val="20"/>
          <w:szCs w:val="20"/>
        </w:rPr>
        <w:t xml:space="preserve"> as being a driver of this.</w:t>
      </w:r>
    </w:p>
    <w:p w14:paraId="7350E690" w14:textId="64631414" w:rsidR="004A0EE3" w:rsidRDefault="00157241" w:rsidP="001F3B71">
      <w:pPr>
        <w:overflowPunct w:val="0"/>
        <w:autoSpaceDE w:val="0"/>
        <w:autoSpaceDN w:val="0"/>
        <w:adjustRightInd w:val="0"/>
        <w:spacing w:after="0" w:line="276" w:lineRule="auto"/>
        <w:ind w:right="531"/>
        <w:textAlignment w:val="baseline"/>
        <w:rPr>
          <w:rFonts w:cstheme="minorHAnsi"/>
          <w:sz w:val="20"/>
          <w:szCs w:val="20"/>
        </w:rPr>
      </w:pPr>
      <w:r>
        <w:rPr>
          <w:rFonts w:cstheme="minorHAnsi"/>
          <w:sz w:val="20"/>
          <w:szCs w:val="20"/>
        </w:rPr>
        <w:t xml:space="preserve"> </w:t>
      </w:r>
    </w:p>
    <w:p w14:paraId="3C69BA88" w14:textId="4312334C" w:rsidR="00BB51DE" w:rsidRPr="007B5631" w:rsidRDefault="006355F9" w:rsidP="001F3B71">
      <w:pPr>
        <w:overflowPunct w:val="0"/>
        <w:autoSpaceDE w:val="0"/>
        <w:autoSpaceDN w:val="0"/>
        <w:adjustRightInd w:val="0"/>
        <w:spacing w:after="0" w:line="276" w:lineRule="auto"/>
        <w:ind w:right="531"/>
        <w:textAlignment w:val="baseline"/>
        <w:rPr>
          <w:rFonts w:cstheme="minorHAnsi"/>
          <w:sz w:val="20"/>
          <w:szCs w:val="20"/>
        </w:rPr>
      </w:pPr>
      <w:r>
        <w:rPr>
          <w:rFonts w:cstheme="minorHAnsi"/>
          <w:sz w:val="20"/>
          <w:szCs w:val="20"/>
        </w:rPr>
        <w:t>Notably the</w:t>
      </w:r>
      <w:r w:rsidR="00F4519A">
        <w:rPr>
          <w:rFonts w:cstheme="minorHAnsi"/>
          <w:sz w:val="20"/>
          <w:szCs w:val="20"/>
        </w:rPr>
        <w:t>re are some high profile cases which have brought the management of offenders to the fore front of people minds</w:t>
      </w:r>
      <w:r w:rsidR="00BA57D9">
        <w:rPr>
          <w:rFonts w:cstheme="minorHAnsi"/>
          <w:sz w:val="20"/>
          <w:szCs w:val="20"/>
        </w:rPr>
        <w:t xml:space="preserve">, again highlighting the further work required to make the arrangements a </w:t>
      </w:r>
      <w:r w:rsidR="00940D7B">
        <w:rPr>
          <w:rFonts w:cstheme="minorHAnsi"/>
          <w:sz w:val="20"/>
          <w:szCs w:val="20"/>
        </w:rPr>
        <w:t>success</w:t>
      </w:r>
      <w:r w:rsidR="00F4519A">
        <w:rPr>
          <w:rFonts w:cstheme="minorHAnsi"/>
          <w:sz w:val="20"/>
          <w:szCs w:val="20"/>
        </w:rPr>
        <w:t>.</w:t>
      </w:r>
      <w:r w:rsidR="009E14A0">
        <w:rPr>
          <w:rFonts w:cstheme="minorHAnsi"/>
          <w:sz w:val="20"/>
          <w:szCs w:val="20"/>
        </w:rPr>
        <w:t xml:space="preserve"> The 2019 Fishmongers </w:t>
      </w:r>
      <w:r w:rsidR="007B5631">
        <w:rPr>
          <w:rFonts w:cstheme="minorHAnsi"/>
          <w:sz w:val="20"/>
          <w:szCs w:val="20"/>
        </w:rPr>
        <w:t>Terror a</w:t>
      </w:r>
      <w:r w:rsidR="009E14A0">
        <w:rPr>
          <w:rFonts w:cstheme="minorHAnsi"/>
          <w:sz w:val="20"/>
          <w:szCs w:val="20"/>
        </w:rPr>
        <w:t>ttack in London</w:t>
      </w:r>
      <w:r w:rsidR="007B5631">
        <w:rPr>
          <w:rFonts w:cstheme="minorHAnsi"/>
          <w:sz w:val="20"/>
          <w:szCs w:val="20"/>
        </w:rPr>
        <w:t xml:space="preserve"> carried out by Usman Khan</w:t>
      </w:r>
      <w:r w:rsidR="00E45DC6">
        <w:rPr>
          <w:rFonts w:cstheme="minorHAnsi"/>
          <w:sz w:val="20"/>
          <w:szCs w:val="20"/>
        </w:rPr>
        <w:t>, who was subject to MAPPA,</w:t>
      </w:r>
      <w:r w:rsidR="009E14A0">
        <w:rPr>
          <w:rFonts w:cstheme="minorHAnsi"/>
          <w:sz w:val="20"/>
          <w:szCs w:val="20"/>
        </w:rPr>
        <w:t xml:space="preserve"> led to a review of how Terror Suspects were managed </w:t>
      </w:r>
      <w:r w:rsidR="007B5631">
        <w:rPr>
          <w:rFonts w:cstheme="minorHAnsi"/>
          <w:sz w:val="20"/>
          <w:szCs w:val="20"/>
        </w:rPr>
        <w:t>in society</w:t>
      </w:r>
      <w:r w:rsidR="009E14A0">
        <w:rPr>
          <w:rFonts w:cstheme="minorHAnsi"/>
          <w:sz w:val="20"/>
          <w:szCs w:val="20"/>
        </w:rPr>
        <w:t xml:space="preserve">, this independent review was led by Jonathan Hall QC who </w:t>
      </w:r>
      <w:r w:rsidR="007B5631">
        <w:rPr>
          <w:rFonts w:cstheme="minorHAnsi"/>
          <w:sz w:val="20"/>
          <w:szCs w:val="20"/>
        </w:rPr>
        <w:t>made a number of recommendations</w:t>
      </w:r>
      <w:r w:rsidR="00BA57D9">
        <w:rPr>
          <w:rFonts w:cstheme="minorHAnsi"/>
          <w:sz w:val="20"/>
          <w:szCs w:val="20"/>
        </w:rPr>
        <w:t xml:space="preserve"> </w:t>
      </w:r>
      <w:r w:rsidR="00BA57D9" w:rsidRPr="00A63E68">
        <w:rPr>
          <w:rFonts w:cstheme="minorHAnsi"/>
          <w:sz w:val="20"/>
          <w:szCs w:val="20"/>
        </w:rPr>
        <w:t>including</w:t>
      </w:r>
      <w:r w:rsidR="007B5631" w:rsidRPr="00A63E68">
        <w:rPr>
          <w:rFonts w:cstheme="minorHAnsi"/>
          <w:sz w:val="20"/>
          <w:szCs w:val="20"/>
        </w:rPr>
        <w:t xml:space="preserve"> </w:t>
      </w:r>
      <w:r w:rsidR="007B5631" w:rsidRPr="00A63E68">
        <w:rPr>
          <w:rFonts w:cstheme="minorHAnsi"/>
          <w:i/>
          <w:iCs/>
          <w:sz w:val="20"/>
          <w:szCs w:val="20"/>
        </w:rPr>
        <w:t>“create a discrete new MAPPA category, Category 4</w:t>
      </w:r>
      <w:r w:rsidR="00BA57D9" w:rsidRPr="00A63E68">
        <w:rPr>
          <w:rFonts w:cstheme="minorHAnsi"/>
          <w:i/>
          <w:iCs/>
          <w:sz w:val="20"/>
          <w:szCs w:val="20"/>
        </w:rPr>
        <w:t>”</w:t>
      </w:r>
      <w:r w:rsidR="007B5631" w:rsidRPr="007B5631">
        <w:rPr>
          <w:rFonts w:cstheme="minorHAnsi"/>
          <w:b/>
          <w:bCs/>
          <w:i/>
          <w:iCs/>
          <w:sz w:val="20"/>
          <w:szCs w:val="20"/>
        </w:rPr>
        <w:t xml:space="preserve"> </w:t>
      </w:r>
      <w:r w:rsidR="007B5631">
        <w:rPr>
          <w:rFonts w:cstheme="minorHAnsi"/>
          <w:sz w:val="20"/>
          <w:szCs w:val="20"/>
        </w:rPr>
        <w:t>(Buckland</w:t>
      </w:r>
      <w:r w:rsidR="00FF6A9D">
        <w:rPr>
          <w:rFonts w:cstheme="minorHAnsi"/>
          <w:sz w:val="20"/>
          <w:szCs w:val="20"/>
        </w:rPr>
        <w:t xml:space="preserve">. </w:t>
      </w:r>
      <w:r w:rsidR="00CA1FA1">
        <w:rPr>
          <w:rFonts w:cstheme="minorHAnsi"/>
          <w:sz w:val="20"/>
          <w:szCs w:val="20"/>
        </w:rPr>
        <w:t>2020)</w:t>
      </w:r>
      <w:r w:rsidR="00BA57D9">
        <w:rPr>
          <w:rFonts w:cstheme="minorHAnsi"/>
          <w:sz w:val="20"/>
          <w:szCs w:val="20"/>
        </w:rPr>
        <w:t xml:space="preserve"> this, additional category, being created specifically to manage and monitor persons capable of committing offences under the terrorism act – even if they haven’t been convicted of an offence.</w:t>
      </w:r>
      <w:r w:rsidR="00A72932">
        <w:rPr>
          <w:rFonts w:cstheme="minorHAnsi"/>
          <w:sz w:val="20"/>
          <w:szCs w:val="20"/>
        </w:rPr>
        <w:t xml:space="preserve"> </w:t>
      </w:r>
      <w:r w:rsidR="00E45DC6">
        <w:rPr>
          <w:rFonts w:cstheme="minorHAnsi"/>
          <w:sz w:val="20"/>
          <w:szCs w:val="20"/>
        </w:rPr>
        <w:t xml:space="preserve">In his independent review, </w:t>
      </w:r>
      <w:r w:rsidR="00A72932">
        <w:rPr>
          <w:rFonts w:cstheme="minorHAnsi"/>
          <w:sz w:val="20"/>
          <w:szCs w:val="20"/>
        </w:rPr>
        <w:t xml:space="preserve">Hall also highlighted </w:t>
      </w:r>
      <w:r w:rsidR="00AE1BA7">
        <w:rPr>
          <w:rFonts w:cstheme="minorHAnsi"/>
          <w:sz w:val="20"/>
          <w:szCs w:val="20"/>
        </w:rPr>
        <w:t xml:space="preserve">that </w:t>
      </w:r>
      <w:r w:rsidR="00E45DC6">
        <w:rPr>
          <w:rFonts w:cstheme="minorHAnsi"/>
          <w:sz w:val="20"/>
          <w:szCs w:val="20"/>
        </w:rPr>
        <w:t xml:space="preserve">the requirements placed on authorities who have a duty to cooperate were not being met, citing uncertainty around what </w:t>
      </w:r>
      <w:r w:rsidR="00CA2D32">
        <w:rPr>
          <w:rFonts w:cstheme="minorHAnsi"/>
          <w:sz w:val="20"/>
          <w:szCs w:val="20"/>
        </w:rPr>
        <w:t xml:space="preserve">information </w:t>
      </w:r>
      <w:r w:rsidR="00E45DC6">
        <w:rPr>
          <w:rFonts w:cstheme="minorHAnsi"/>
          <w:sz w:val="20"/>
          <w:szCs w:val="20"/>
        </w:rPr>
        <w:t xml:space="preserve">should be divulged as part of the enhanced information sharing </w:t>
      </w:r>
      <w:r w:rsidR="00BB51DE">
        <w:rPr>
          <w:rFonts w:cstheme="minorHAnsi"/>
          <w:sz w:val="20"/>
          <w:szCs w:val="20"/>
        </w:rPr>
        <w:t xml:space="preserve">agreement </w:t>
      </w:r>
      <w:r w:rsidR="00E45DC6">
        <w:rPr>
          <w:rFonts w:cstheme="minorHAnsi"/>
          <w:sz w:val="20"/>
          <w:szCs w:val="20"/>
        </w:rPr>
        <w:t>in place</w:t>
      </w:r>
      <w:r w:rsidR="00CA2D32">
        <w:rPr>
          <w:rFonts w:cstheme="minorHAnsi"/>
          <w:sz w:val="20"/>
          <w:szCs w:val="20"/>
        </w:rPr>
        <w:t xml:space="preserve"> (</w:t>
      </w:r>
      <w:r w:rsidR="00CA2D32" w:rsidRPr="00CA2D32">
        <w:rPr>
          <w:rFonts w:cstheme="minorHAnsi"/>
          <w:sz w:val="20"/>
          <w:szCs w:val="20"/>
        </w:rPr>
        <w:t>Jonathan Hall. 2020)</w:t>
      </w:r>
      <w:r w:rsidR="00BB51DE">
        <w:rPr>
          <w:rFonts w:cstheme="minorHAnsi"/>
          <w:sz w:val="20"/>
          <w:szCs w:val="20"/>
        </w:rPr>
        <w:t>, Hall’s recommendations were recognised by the UK government and cemented in legislation as part of the Police, Crime and Sentencing and Courts Act 2022</w:t>
      </w:r>
      <w:r w:rsidR="00AE1BA7">
        <w:rPr>
          <w:rFonts w:cstheme="minorHAnsi"/>
          <w:sz w:val="20"/>
          <w:szCs w:val="20"/>
        </w:rPr>
        <w:t xml:space="preserve"> </w:t>
      </w:r>
      <w:r w:rsidR="00934730">
        <w:rPr>
          <w:rFonts w:cstheme="minorHAnsi"/>
          <w:sz w:val="20"/>
          <w:szCs w:val="20"/>
        </w:rPr>
        <w:t>(</w:t>
      </w:r>
      <w:r w:rsidR="00AE1BA7" w:rsidRPr="00BB51DE">
        <w:rPr>
          <w:rFonts w:cstheme="minorHAnsi"/>
          <w:sz w:val="20"/>
          <w:szCs w:val="20"/>
        </w:rPr>
        <w:t>Home Office</w:t>
      </w:r>
      <w:r w:rsidR="00934730">
        <w:rPr>
          <w:rFonts w:cstheme="minorHAnsi"/>
          <w:sz w:val="20"/>
          <w:szCs w:val="20"/>
        </w:rPr>
        <w:t xml:space="preserve">, </w:t>
      </w:r>
      <w:r w:rsidR="00AE1BA7" w:rsidRPr="00BB51DE">
        <w:rPr>
          <w:rFonts w:cstheme="minorHAnsi"/>
          <w:sz w:val="20"/>
          <w:szCs w:val="20"/>
        </w:rPr>
        <w:t>2022).</w:t>
      </w:r>
      <w:r w:rsidR="00FF6A9D">
        <w:rPr>
          <w:rFonts w:cstheme="minorHAnsi"/>
          <w:sz w:val="20"/>
          <w:szCs w:val="20"/>
        </w:rPr>
        <w:t xml:space="preserve"> </w:t>
      </w:r>
      <w:r w:rsidR="00211E68">
        <w:rPr>
          <w:rFonts w:cstheme="minorHAnsi"/>
          <w:sz w:val="20"/>
          <w:szCs w:val="20"/>
        </w:rPr>
        <w:t>According to HM Inspectorate of Probation</w:t>
      </w:r>
      <w:r w:rsidR="00FA076F">
        <w:rPr>
          <w:rFonts w:cstheme="minorHAnsi"/>
          <w:sz w:val="20"/>
          <w:szCs w:val="20"/>
        </w:rPr>
        <w:t xml:space="preserve"> report (2022)</w:t>
      </w:r>
      <w:r w:rsidR="00211E68">
        <w:rPr>
          <w:rFonts w:cstheme="minorHAnsi"/>
          <w:sz w:val="20"/>
          <w:szCs w:val="20"/>
        </w:rPr>
        <w:t xml:space="preserve">, </w:t>
      </w:r>
      <w:r w:rsidR="00BB51DE" w:rsidRPr="00BB51DE">
        <w:rPr>
          <w:rFonts w:cstheme="minorHAnsi"/>
          <w:sz w:val="20"/>
          <w:szCs w:val="20"/>
        </w:rPr>
        <w:t xml:space="preserve">MAPPA has </w:t>
      </w:r>
      <w:r w:rsidR="00934730">
        <w:rPr>
          <w:rFonts w:cstheme="minorHAnsi"/>
          <w:sz w:val="20"/>
          <w:szCs w:val="20"/>
        </w:rPr>
        <w:t>s</w:t>
      </w:r>
      <w:r w:rsidR="00BB51DE" w:rsidRPr="00BB51DE">
        <w:rPr>
          <w:rFonts w:cstheme="minorHAnsi"/>
          <w:sz w:val="20"/>
          <w:szCs w:val="20"/>
        </w:rPr>
        <w:t xml:space="preserve">een a significant advancement </w:t>
      </w:r>
      <w:r w:rsidR="00211E68">
        <w:rPr>
          <w:rFonts w:cstheme="minorHAnsi"/>
          <w:sz w:val="20"/>
          <w:szCs w:val="20"/>
        </w:rPr>
        <w:t xml:space="preserve">in its ability </w:t>
      </w:r>
      <w:r w:rsidR="00BB51DE" w:rsidRPr="00BB51DE">
        <w:rPr>
          <w:rFonts w:cstheme="minorHAnsi"/>
          <w:sz w:val="20"/>
          <w:szCs w:val="20"/>
        </w:rPr>
        <w:t>to handle violent and sexual offenders</w:t>
      </w:r>
      <w:r w:rsidR="00FA076F">
        <w:rPr>
          <w:rFonts w:cstheme="minorHAnsi"/>
          <w:sz w:val="20"/>
          <w:szCs w:val="20"/>
        </w:rPr>
        <w:t xml:space="preserve"> </w:t>
      </w:r>
      <w:r w:rsidR="00BB51DE" w:rsidRPr="00BB51DE">
        <w:rPr>
          <w:rFonts w:cstheme="minorHAnsi"/>
          <w:sz w:val="20"/>
          <w:szCs w:val="20"/>
        </w:rPr>
        <w:t>and to safeguard the publi</w:t>
      </w:r>
      <w:r w:rsidR="00125A13">
        <w:rPr>
          <w:rFonts w:cstheme="minorHAnsi"/>
          <w:sz w:val="20"/>
          <w:szCs w:val="20"/>
        </w:rPr>
        <w:t>c and, a</w:t>
      </w:r>
      <w:r w:rsidR="00211E68" w:rsidRPr="00BB51DE">
        <w:rPr>
          <w:rFonts w:cstheme="minorHAnsi"/>
          <w:sz w:val="20"/>
          <w:szCs w:val="20"/>
        </w:rPr>
        <w:t>lthough it has been noted that MAPPA</w:t>
      </w:r>
      <w:r w:rsidR="00F96117">
        <w:rPr>
          <w:rFonts w:cstheme="minorHAnsi"/>
          <w:sz w:val="20"/>
          <w:szCs w:val="20"/>
        </w:rPr>
        <w:t xml:space="preserve"> </w:t>
      </w:r>
      <w:r w:rsidR="00211E68" w:rsidRPr="00BB51DE">
        <w:rPr>
          <w:rFonts w:cstheme="minorHAnsi"/>
          <w:sz w:val="20"/>
          <w:szCs w:val="20"/>
        </w:rPr>
        <w:t>have improved since its start</w:t>
      </w:r>
      <w:r w:rsidR="00FA076F">
        <w:rPr>
          <w:rFonts w:cstheme="minorHAnsi"/>
          <w:sz w:val="20"/>
          <w:szCs w:val="20"/>
        </w:rPr>
        <w:t xml:space="preserve"> there is clearly still some way to go. </w:t>
      </w:r>
    </w:p>
    <w:p w14:paraId="06426407" w14:textId="77777777" w:rsidR="00A33449" w:rsidRDefault="00A33449"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00EBB33D" w14:textId="121748CD" w:rsidR="00A33449" w:rsidRPr="00934730" w:rsidRDefault="00934730" w:rsidP="00934730">
      <w:pPr>
        <w:rPr>
          <w:b/>
          <w:bCs/>
          <w:i/>
          <w:iCs/>
          <w:u w:val="single"/>
        </w:rPr>
      </w:pPr>
      <w:r w:rsidRPr="00934730">
        <w:rPr>
          <w:b/>
          <w:bCs/>
          <w:i/>
          <w:iCs/>
          <w:u w:val="single"/>
        </w:rPr>
        <w:t>Word count 10</w:t>
      </w:r>
      <w:r w:rsidR="00F96117">
        <w:rPr>
          <w:b/>
          <w:bCs/>
          <w:i/>
          <w:iCs/>
          <w:u w:val="single"/>
        </w:rPr>
        <w:t>97</w:t>
      </w:r>
    </w:p>
    <w:p w14:paraId="7774790F" w14:textId="77777777" w:rsidR="00A33449" w:rsidRDefault="00A33449"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4216B950" w14:textId="77777777" w:rsidR="00A33449" w:rsidRDefault="00A33449"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520CA99E" w14:textId="77777777" w:rsidR="00A33449" w:rsidRDefault="00A33449"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41A4549B" w14:textId="77777777" w:rsidR="00A33449" w:rsidRDefault="00A33449"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58864E9E" w14:textId="77777777" w:rsidR="00A33449" w:rsidRDefault="00A33449"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61CADBBB" w14:textId="77777777" w:rsidR="00954AF8" w:rsidRDefault="00954AF8"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7E4B6E7B" w14:textId="77777777" w:rsidR="00954AF8" w:rsidRDefault="00954AF8"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0C45FFAA" w14:textId="77777777" w:rsidR="00954AF8" w:rsidRDefault="00954AF8"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3580EC75" w14:textId="77777777" w:rsidR="00954AF8" w:rsidRDefault="00954AF8"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3D4A1A73" w14:textId="77777777" w:rsidR="00954AF8" w:rsidRDefault="00954AF8"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26BE8801" w14:textId="77777777" w:rsidR="00954AF8" w:rsidRDefault="00954AF8"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669B54EE" w14:textId="77777777" w:rsidR="00954AF8" w:rsidRDefault="00954AF8"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070F510D" w14:textId="77777777" w:rsidR="00F96117" w:rsidRDefault="00F96117"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3D3DC40A" w14:textId="77777777" w:rsidR="00F96117" w:rsidRDefault="00F96117" w:rsidP="00A33449">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600A70BC" w14:textId="7D0829EF" w:rsidR="00A33449" w:rsidRPr="006C3C20" w:rsidRDefault="00A33449" w:rsidP="008F62E9">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6C3C20">
        <w:rPr>
          <w:rFonts w:ascii="Arial" w:eastAsia="Times New Roman" w:hAnsi="Arial" w:cs="Arial"/>
          <w:b/>
          <w:bCs/>
          <w:lang w:eastAsia="en-GB"/>
        </w:rPr>
        <w:t>Essay four:</w:t>
      </w:r>
      <w:r w:rsidRPr="006C3C20">
        <w:rPr>
          <w:rFonts w:ascii="Arial" w:eastAsia="Times New Roman" w:hAnsi="Arial" w:cs="Arial"/>
          <w:lang w:eastAsia="en-GB"/>
        </w:rPr>
        <w:t xml:space="preserve"> </w:t>
      </w:r>
    </w:p>
    <w:p w14:paraId="0B93BFF4" w14:textId="77777777" w:rsidR="00A33449" w:rsidRPr="008808D6" w:rsidRDefault="00A33449" w:rsidP="008F62E9">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Why is it necessary for independent bodies (i.e. IOPC) to hold police officers accountable?</w:t>
      </w:r>
    </w:p>
    <w:p w14:paraId="14C17427" w14:textId="77777777" w:rsidR="00604F3A" w:rsidRDefault="00604F3A" w:rsidP="009772E0">
      <w:pPr>
        <w:rPr>
          <w:rFonts w:cstheme="minorHAnsi"/>
          <w:b/>
          <w:bCs/>
          <w:i/>
          <w:iCs/>
          <w:sz w:val="20"/>
          <w:szCs w:val="20"/>
        </w:rPr>
      </w:pPr>
    </w:p>
    <w:p w14:paraId="139D11AA" w14:textId="77777777" w:rsidR="00B52A80" w:rsidRPr="008F62E9" w:rsidRDefault="00940D7B" w:rsidP="00B52A80">
      <w:pPr>
        <w:rPr>
          <w:rFonts w:cstheme="minorHAnsi"/>
          <w:sz w:val="20"/>
          <w:szCs w:val="20"/>
        </w:rPr>
      </w:pPr>
      <w:r w:rsidRPr="008F62E9">
        <w:rPr>
          <w:rFonts w:cstheme="minorHAnsi"/>
          <w:sz w:val="20"/>
          <w:szCs w:val="20"/>
        </w:rPr>
        <w:t>“To recognise always that the power of the police to fulfil their functions and duties is dependent on public approval of their existence, actions and behaviour, and on their ability to secure and maintain public respect.”. (Peel, 1829).</w:t>
      </w:r>
    </w:p>
    <w:p w14:paraId="27AF5E96" w14:textId="44100C86" w:rsidR="005B16BC" w:rsidRDefault="0075270D" w:rsidP="00A858E6">
      <w:pPr>
        <w:rPr>
          <w:rFonts w:cstheme="minorHAnsi"/>
          <w:sz w:val="20"/>
          <w:szCs w:val="20"/>
        </w:rPr>
      </w:pPr>
      <w:r w:rsidRPr="006273D1">
        <w:rPr>
          <w:rFonts w:cstheme="minorHAnsi"/>
          <w:sz w:val="20"/>
          <w:szCs w:val="20"/>
        </w:rPr>
        <w:t xml:space="preserve">Since its inception in 1829, there has been </w:t>
      </w:r>
      <w:r w:rsidR="00430E0E" w:rsidRPr="006273D1">
        <w:rPr>
          <w:rFonts w:cstheme="minorHAnsi"/>
          <w:sz w:val="20"/>
          <w:szCs w:val="20"/>
        </w:rPr>
        <w:t>scepticism</w:t>
      </w:r>
      <w:r w:rsidRPr="006273D1">
        <w:rPr>
          <w:rFonts w:cstheme="minorHAnsi"/>
          <w:sz w:val="20"/>
          <w:szCs w:val="20"/>
        </w:rPr>
        <w:t xml:space="preserve"> around the </w:t>
      </w:r>
      <w:r w:rsidR="00430E0E" w:rsidRPr="006273D1">
        <w:rPr>
          <w:rFonts w:cstheme="minorHAnsi"/>
          <w:sz w:val="20"/>
          <w:szCs w:val="20"/>
        </w:rPr>
        <w:t xml:space="preserve">transparency and authority </w:t>
      </w:r>
      <w:r w:rsidRPr="006273D1">
        <w:rPr>
          <w:rFonts w:cstheme="minorHAnsi"/>
          <w:sz w:val="20"/>
          <w:szCs w:val="20"/>
        </w:rPr>
        <w:t>of Police Forces in the UK</w:t>
      </w:r>
      <w:r w:rsidR="00430E0E" w:rsidRPr="006273D1">
        <w:rPr>
          <w:rFonts w:cstheme="minorHAnsi"/>
          <w:sz w:val="20"/>
          <w:szCs w:val="20"/>
        </w:rPr>
        <w:t>, w</w:t>
      </w:r>
      <w:r w:rsidRPr="006273D1">
        <w:rPr>
          <w:rFonts w:cstheme="minorHAnsi"/>
          <w:sz w:val="20"/>
          <w:szCs w:val="20"/>
        </w:rPr>
        <w:t>hen Robert Peel founded the Metropolitan Police, it was viewed with great concern that it would be used as an extension of the ability of the government to oppress members of society. (Matthews, The Principles of Policing (2023)).</w:t>
      </w:r>
      <w:r w:rsidR="009D3CFB">
        <w:rPr>
          <w:rFonts w:cstheme="minorHAnsi"/>
          <w:sz w:val="20"/>
          <w:szCs w:val="20"/>
        </w:rPr>
        <w:t xml:space="preserve"> </w:t>
      </w:r>
      <w:r w:rsidRPr="006273D1">
        <w:rPr>
          <w:rFonts w:cstheme="minorHAnsi"/>
          <w:sz w:val="20"/>
          <w:szCs w:val="20"/>
        </w:rPr>
        <w:t>Peel</w:t>
      </w:r>
      <w:r w:rsidR="00430E0E" w:rsidRPr="006273D1">
        <w:rPr>
          <w:rFonts w:cstheme="minorHAnsi"/>
          <w:sz w:val="20"/>
          <w:szCs w:val="20"/>
        </w:rPr>
        <w:t>, knowing th</w:t>
      </w:r>
      <w:r w:rsidR="009D3CFB">
        <w:rPr>
          <w:rFonts w:cstheme="minorHAnsi"/>
          <w:sz w:val="20"/>
          <w:szCs w:val="20"/>
        </w:rPr>
        <w:t>at there were concerns</w:t>
      </w:r>
      <w:r w:rsidR="00430E0E" w:rsidRPr="006273D1">
        <w:rPr>
          <w:rFonts w:cstheme="minorHAnsi"/>
          <w:sz w:val="20"/>
          <w:szCs w:val="20"/>
        </w:rPr>
        <w:t>,</w:t>
      </w:r>
      <w:r w:rsidRPr="006273D1">
        <w:rPr>
          <w:rFonts w:cstheme="minorHAnsi"/>
          <w:sz w:val="20"/>
          <w:szCs w:val="20"/>
        </w:rPr>
        <w:t xml:space="preserve"> made effort to reassure the public that the police were intended to serve them, not the government. According to the phrase "policing by consent," the legitimacy of </w:t>
      </w:r>
      <w:r w:rsidR="006273D1" w:rsidRPr="006273D1">
        <w:rPr>
          <w:rFonts w:cstheme="minorHAnsi"/>
          <w:sz w:val="20"/>
          <w:szCs w:val="20"/>
        </w:rPr>
        <w:t>police</w:t>
      </w:r>
      <w:r w:rsidRPr="006273D1">
        <w:rPr>
          <w:rFonts w:cstheme="minorHAnsi"/>
          <w:sz w:val="20"/>
          <w:szCs w:val="20"/>
        </w:rPr>
        <w:t xml:space="preserve"> in the eyes of the public is dependent on a broad-based level of support that results from transparency regarding their </w:t>
      </w:r>
      <w:r w:rsidR="006273D1">
        <w:rPr>
          <w:rFonts w:cstheme="minorHAnsi"/>
          <w:sz w:val="20"/>
          <w:szCs w:val="20"/>
        </w:rPr>
        <w:t xml:space="preserve">accountability </w:t>
      </w:r>
      <w:r w:rsidR="00430E0E" w:rsidRPr="006273D1">
        <w:rPr>
          <w:rFonts w:cstheme="minorHAnsi"/>
          <w:sz w:val="20"/>
          <w:szCs w:val="20"/>
        </w:rPr>
        <w:t>and</w:t>
      </w:r>
      <w:r w:rsidRPr="006273D1">
        <w:rPr>
          <w:rFonts w:cstheme="minorHAnsi"/>
          <w:sz w:val="20"/>
          <w:szCs w:val="20"/>
        </w:rPr>
        <w:t xml:space="preserve"> </w:t>
      </w:r>
      <w:r w:rsidR="006273D1" w:rsidRPr="006273D1">
        <w:rPr>
          <w:rFonts w:cstheme="minorHAnsi"/>
          <w:sz w:val="20"/>
          <w:szCs w:val="20"/>
        </w:rPr>
        <w:t xml:space="preserve">their </w:t>
      </w:r>
      <w:r w:rsidRPr="006273D1">
        <w:rPr>
          <w:rFonts w:cstheme="minorHAnsi"/>
          <w:sz w:val="20"/>
          <w:szCs w:val="20"/>
        </w:rPr>
        <w:t>honesty</w:t>
      </w:r>
      <w:r w:rsidR="006273D1" w:rsidRPr="006273D1">
        <w:rPr>
          <w:rFonts w:cstheme="minorHAnsi"/>
          <w:sz w:val="20"/>
          <w:szCs w:val="20"/>
        </w:rPr>
        <w:t xml:space="preserve"> and integrity</w:t>
      </w:r>
      <w:r w:rsidR="00430E0E" w:rsidRPr="006273D1">
        <w:rPr>
          <w:rFonts w:cstheme="minorHAnsi"/>
          <w:sz w:val="20"/>
          <w:szCs w:val="20"/>
        </w:rPr>
        <w:t xml:space="preserve"> when holding the office of constable</w:t>
      </w:r>
      <w:r w:rsidR="00EB044F" w:rsidRPr="006273D1">
        <w:rPr>
          <w:rFonts w:cstheme="minorHAnsi"/>
          <w:sz w:val="20"/>
          <w:szCs w:val="20"/>
        </w:rPr>
        <w:t>.</w:t>
      </w:r>
      <w:r w:rsidR="00EB044F">
        <w:rPr>
          <w:rFonts w:cstheme="minorHAnsi"/>
          <w:sz w:val="20"/>
          <w:szCs w:val="20"/>
        </w:rPr>
        <w:t xml:space="preserve"> </w:t>
      </w:r>
      <w:r w:rsidR="00DD63A6">
        <w:rPr>
          <w:rFonts w:cstheme="minorHAnsi"/>
          <w:sz w:val="20"/>
          <w:szCs w:val="20"/>
        </w:rPr>
        <w:t xml:space="preserve">Accountability is described as </w:t>
      </w:r>
      <w:r w:rsidR="008F62E9">
        <w:rPr>
          <w:rFonts w:cstheme="minorHAnsi"/>
          <w:sz w:val="20"/>
          <w:szCs w:val="20"/>
        </w:rPr>
        <w:t>“</w:t>
      </w:r>
      <w:r w:rsidR="008F62E9" w:rsidRPr="008F62E9">
        <w:rPr>
          <w:rFonts w:cstheme="minorHAnsi"/>
          <w:sz w:val="20"/>
          <w:szCs w:val="20"/>
        </w:rPr>
        <w:t>a readiness to have one’s actions judged by others and, where appropriate, accept responsibility for error</w:t>
      </w:r>
      <w:r w:rsidR="008F62E9" w:rsidRPr="008F62E9">
        <w:rPr>
          <w:rFonts w:cstheme="minorHAnsi"/>
          <w:sz w:val="20"/>
          <w:szCs w:val="20"/>
        </w:rPr>
        <w:t>”</w:t>
      </w:r>
      <w:r w:rsidR="008F62E9">
        <w:rPr>
          <w:rFonts w:cstheme="minorHAnsi"/>
          <w:sz w:val="20"/>
          <w:szCs w:val="20"/>
        </w:rPr>
        <w:t xml:space="preserve"> (Hurst. Unknown). </w:t>
      </w:r>
      <w:r w:rsidR="005B16BC">
        <w:rPr>
          <w:rFonts w:cstheme="minorHAnsi"/>
          <w:sz w:val="20"/>
          <w:szCs w:val="20"/>
        </w:rPr>
        <w:t xml:space="preserve">According to Smith (2007, P33) there are three key pillars to enhancing legitimacy in </w:t>
      </w:r>
      <w:r w:rsidR="005B16BC">
        <w:rPr>
          <w:rFonts w:cstheme="minorHAnsi"/>
          <w:sz w:val="20"/>
          <w:szCs w:val="20"/>
        </w:rPr>
        <w:t>policing</w:t>
      </w:r>
      <w:r w:rsidR="005B16BC">
        <w:rPr>
          <w:rFonts w:cstheme="minorHAnsi"/>
          <w:sz w:val="20"/>
          <w:szCs w:val="20"/>
        </w:rPr>
        <w:t>, “Trust, Good Practice and Professional Culture”.</w:t>
      </w:r>
      <w:r w:rsidR="005B16BC">
        <w:rPr>
          <w:rFonts w:cstheme="minorHAnsi"/>
          <w:sz w:val="20"/>
          <w:szCs w:val="20"/>
        </w:rPr>
        <w:t xml:space="preserve"> </w:t>
      </w:r>
      <w:r w:rsidR="00984FB1">
        <w:rPr>
          <w:rFonts w:cstheme="minorHAnsi"/>
          <w:sz w:val="20"/>
          <w:szCs w:val="20"/>
        </w:rPr>
        <w:t xml:space="preserve">In essence, in order for forces to retain legitimacy in the eyes of the public they need to be willing to accept judgement and responsibility for the part they play in incidents or their interactions with members of the public. </w:t>
      </w:r>
      <w:r w:rsidR="008D3A3C">
        <w:rPr>
          <w:rFonts w:cstheme="minorHAnsi"/>
          <w:sz w:val="20"/>
          <w:szCs w:val="20"/>
        </w:rPr>
        <w:t>Jackson et al (2012) argue that without that support from the wider public “the job of the police is made harder and the avowed objectives of less crime and disorder placed ever further from reach”.</w:t>
      </w:r>
    </w:p>
    <w:p w14:paraId="1344E060" w14:textId="18C7C2D9" w:rsidR="003905BE" w:rsidRDefault="005B16BC" w:rsidP="000A6992">
      <w:pPr>
        <w:rPr>
          <w:rFonts w:cstheme="minorHAnsi"/>
          <w:sz w:val="20"/>
          <w:szCs w:val="20"/>
        </w:rPr>
      </w:pPr>
      <w:r w:rsidRPr="00A94AC8">
        <w:rPr>
          <w:rFonts w:cstheme="minorHAnsi"/>
          <w:sz w:val="20"/>
          <w:szCs w:val="20"/>
        </w:rPr>
        <w:t>According to a study by</w:t>
      </w:r>
      <w:r>
        <w:rPr>
          <w:rFonts w:cstheme="minorHAnsi"/>
          <w:sz w:val="20"/>
          <w:szCs w:val="20"/>
        </w:rPr>
        <w:t xml:space="preserve"> </w:t>
      </w:r>
      <w:r w:rsidRPr="00A94AC8">
        <w:rPr>
          <w:rFonts w:cstheme="minorHAnsi"/>
          <w:sz w:val="20"/>
          <w:szCs w:val="20"/>
        </w:rPr>
        <w:t xml:space="preserve">Velasquez et al, </w:t>
      </w:r>
      <w:r>
        <w:rPr>
          <w:rFonts w:cstheme="minorHAnsi"/>
          <w:sz w:val="20"/>
          <w:szCs w:val="20"/>
        </w:rPr>
        <w:t>(</w:t>
      </w:r>
      <w:r w:rsidRPr="00A94AC8">
        <w:rPr>
          <w:rFonts w:cstheme="minorHAnsi"/>
          <w:sz w:val="20"/>
          <w:szCs w:val="20"/>
        </w:rPr>
        <w:t>2010</w:t>
      </w:r>
      <w:r>
        <w:rPr>
          <w:rFonts w:cstheme="minorHAnsi"/>
          <w:sz w:val="20"/>
          <w:szCs w:val="20"/>
        </w:rPr>
        <w:t>);</w:t>
      </w:r>
      <w:r w:rsidRPr="00A94AC8">
        <w:rPr>
          <w:rFonts w:cstheme="minorHAnsi"/>
          <w:sz w:val="20"/>
          <w:szCs w:val="20"/>
        </w:rPr>
        <w:t xml:space="preserve"> Ethics is based on well-founded standards of right and wrong that prescribe what humans ought to do, usually in terms of rights, obligations, benefits to society, fairness, or specific virtues</w:t>
      </w:r>
      <w:r>
        <w:rPr>
          <w:rFonts w:ascii="Segoe UI" w:hAnsi="Segoe UI" w:cs="Segoe UI"/>
          <w:color w:val="212529"/>
          <w:shd w:val="clear" w:color="auto" w:fill="FFFFFF"/>
        </w:rPr>
        <w:t>.</w:t>
      </w:r>
      <w:r>
        <w:rPr>
          <w:rFonts w:cstheme="minorHAnsi"/>
          <w:sz w:val="20"/>
          <w:szCs w:val="20"/>
        </w:rPr>
        <w:t xml:space="preserve"> Building on the nine Peelian Principles, t</w:t>
      </w:r>
      <w:r w:rsidR="003F6A8E">
        <w:rPr>
          <w:rFonts w:cstheme="minorHAnsi"/>
          <w:color w:val="212529"/>
          <w:sz w:val="20"/>
          <w:szCs w:val="20"/>
          <w:shd w:val="clear" w:color="auto" w:fill="FFFFFF"/>
        </w:rPr>
        <w:t xml:space="preserve">he inception of the Code of Ethics in 2014 by the </w:t>
      </w:r>
      <w:r w:rsidR="00AD6528" w:rsidRPr="00AD6528">
        <w:rPr>
          <w:rFonts w:cstheme="minorHAnsi"/>
          <w:sz w:val="20"/>
          <w:szCs w:val="20"/>
        </w:rPr>
        <w:t>College of Polic</w:t>
      </w:r>
      <w:r w:rsidR="00AD6528">
        <w:rPr>
          <w:rFonts w:cstheme="minorHAnsi"/>
          <w:sz w:val="20"/>
          <w:szCs w:val="20"/>
        </w:rPr>
        <w:t>ing</w:t>
      </w:r>
      <w:r w:rsidR="004141EE">
        <w:rPr>
          <w:rFonts w:cstheme="minorHAnsi"/>
          <w:sz w:val="20"/>
          <w:szCs w:val="20"/>
        </w:rPr>
        <w:t xml:space="preserve"> </w:t>
      </w:r>
      <w:r w:rsidR="00AD6528" w:rsidRPr="00AD6528">
        <w:rPr>
          <w:rFonts w:cstheme="minorHAnsi"/>
          <w:sz w:val="20"/>
          <w:szCs w:val="20"/>
        </w:rPr>
        <w:t>establishe</w:t>
      </w:r>
      <w:r w:rsidR="003F6A8E">
        <w:rPr>
          <w:rFonts w:cstheme="minorHAnsi"/>
          <w:sz w:val="20"/>
          <w:szCs w:val="20"/>
        </w:rPr>
        <w:t xml:space="preserve">d </w:t>
      </w:r>
      <w:r w:rsidR="00AD6528" w:rsidRPr="00AD6528">
        <w:rPr>
          <w:rFonts w:cstheme="minorHAnsi"/>
          <w:sz w:val="20"/>
          <w:szCs w:val="20"/>
        </w:rPr>
        <w:t>and outline</w:t>
      </w:r>
      <w:r w:rsidR="003F6A8E">
        <w:rPr>
          <w:rFonts w:cstheme="minorHAnsi"/>
          <w:sz w:val="20"/>
          <w:szCs w:val="20"/>
        </w:rPr>
        <w:t>d</w:t>
      </w:r>
      <w:r w:rsidR="00AD6528" w:rsidRPr="00AD6528">
        <w:rPr>
          <w:rFonts w:cstheme="minorHAnsi"/>
          <w:sz w:val="20"/>
          <w:szCs w:val="20"/>
        </w:rPr>
        <w:t xml:space="preserve"> the exceptional standards of conduct</w:t>
      </w:r>
      <w:r w:rsidR="003F6A8E">
        <w:rPr>
          <w:rFonts w:cstheme="minorHAnsi"/>
          <w:sz w:val="20"/>
          <w:szCs w:val="20"/>
        </w:rPr>
        <w:t xml:space="preserve"> expecte</w:t>
      </w:r>
      <w:r w:rsidR="00EF6F4B">
        <w:rPr>
          <w:rFonts w:cstheme="minorHAnsi"/>
          <w:sz w:val="20"/>
          <w:szCs w:val="20"/>
        </w:rPr>
        <w:t xml:space="preserve">d whilst </w:t>
      </w:r>
      <w:r w:rsidR="003F6A8E">
        <w:rPr>
          <w:rFonts w:cstheme="minorHAnsi"/>
          <w:sz w:val="20"/>
          <w:szCs w:val="20"/>
        </w:rPr>
        <w:t>instill</w:t>
      </w:r>
      <w:r w:rsidR="00EF6F4B">
        <w:rPr>
          <w:rFonts w:cstheme="minorHAnsi"/>
          <w:sz w:val="20"/>
          <w:szCs w:val="20"/>
        </w:rPr>
        <w:t>ing</w:t>
      </w:r>
      <w:r w:rsidR="003F6A8E">
        <w:rPr>
          <w:rFonts w:cstheme="minorHAnsi"/>
          <w:sz w:val="20"/>
          <w:szCs w:val="20"/>
        </w:rPr>
        <w:t xml:space="preserve"> an increased level of accountability amongst serving officers</w:t>
      </w:r>
      <w:r w:rsidR="00EF6F4B">
        <w:rPr>
          <w:rFonts w:cstheme="minorHAnsi"/>
          <w:sz w:val="20"/>
          <w:szCs w:val="20"/>
        </w:rPr>
        <w:t xml:space="preserve"> and staff</w:t>
      </w:r>
      <w:r w:rsidR="004141EE">
        <w:rPr>
          <w:rFonts w:cstheme="minorHAnsi"/>
          <w:sz w:val="20"/>
          <w:szCs w:val="20"/>
        </w:rPr>
        <w:t xml:space="preserve">. </w:t>
      </w:r>
      <w:r w:rsidR="00084D53">
        <w:rPr>
          <w:rFonts w:cstheme="minorHAnsi"/>
          <w:sz w:val="20"/>
          <w:szCs w:val="20"/>
        </w:rPr>
        <w:t>Holding officers accountable for their actions is essential in</w:t>
      </w:r>
      <w:r w:rsidR="00B52550">
        <w:rPr>
          <w:rFonts w:cstheme="minorHAnsi"/>
          <w:sz w:val="20"/>
          <w:szCs w:val="20"/>
        </w:rPr>
        <w:t xml:space="preserve"> not just the upholding of professional standards, but in</w:t>
      </w:r>
      <w:r w:rsidR="00084D53">
        <w:rPr>
          <w:rFonts w:cstheme="minorHAnsi"/>
          <w:sz w:val="20"/>
          <w:szCs w:val="20"/>
        </w:rPr>
        <w:t xml:space="preserve"> building trust with the communities that they serve</w:t>
      </w:r>
      <w:r w:rsidR="000A6992">
        <w:rPr>
          <w:rFonts w:cstheme="minorHAnsi"/>
          <w:sz w:val="20"/>
          <w:szCs w:val="20"/>
        </w:rPr>
        <w:t xml:space="preserve">. </w:t>
      </w:r>
      <w:r w:rsidRPr="005B16BC">
        <w:rPr>
          <w:rFonts w:cstheme="minorHAnsi"/>
          <w:sz w:val="20"/>
          <w:szCs w:val="20"/>
        </w:rPr>
        <w:t>Tyler, T. R. (2004)</w:t>
      </w:r>
      <w:r>
        <w:rPr>
          <w:rFonts w:cstheme="minorHAnsi"/>
          <w:sz w:val="20"/>
          <w:szCs w:val="20"/>
        </w:rPr>
        <w:t xml:space="preserve"> argues that to support the building of legitimacy there needs to be process driven accountabilit</w:t>
      </w:r>
      <w:r w:rsidR="000A6992">
        <w:rPr>
          <w:rFonts w:cstheme="minorHAnsi"/>
          <w:sz w:val="20"/>
          <w:szCs w:val="20"/>
        </w:rPr>
        <w:t xml:space="preserve">y and </w:t>
      </w:r>
      <w:r w:rsidR="000A6992" w:rsidRPr="000A6992">
        <w:rPr>
          <w:rFonts w:cstheme="minorHAnsi"/>
          <w:sz w:val="20"/>
          <w:szCs w:val="20"/>
        </w:rPr>
        <w:t>public evaluations on the way the police use their power</w:t>
      </w:r>
      <w:r w:rsidR="000A6992">
        <w:rPr>
          <w:rFonts w:cstheme="minorHAnsi"/>
          <w:sz w:val="20"/>
          <w:szCs w:val="20"/>
        </w:rPr>
        <w:t xml:space="preserve">. </w:t>
      </w:r>
      <w:r w:rsidR="00642BA5">
        <w:rPr>
          <w:rFonts w:cstheme="minorHAnsi"/>
          <w:sz w:val="20"/>
          <w:szCs w:val="20"/>
        </w:rPr>
        <w:t xml:space="preserve">Embedded within each force are Professional standards department whose role it is to receive, record, investigate and resolve publics complaints and, whilst these departments go </w:t>
      </w:r>
      <w:r w:rsidR="000A6992">
        <w:rPr>
          <w:rFonts w:cstheme="minorHAnsi"/>
          <w:sz w:val="20"/>
          <w:szCs w:val="20"/>
        </w:rPr>
        <w:t>a long</w:t>
      </w:r>
      <w:r w:rsidR="00642BA5">
        <w:rPr>
          <w:rFonts w:cstheme="minorHAnsi"/>
          <w:sz w:val="20"/>
          <w:szCs w:val="20"/>
        </w:rPr>
        <w:t xml:space="preserve"> way to retain some measure of trust in the community, they can be seen as being biased as they are not wholly </w:t>
      </w:r>
      <w:r w:rsidR="00212CB2">
        <w:rPr>
          <w:rFonts w:cstheme="minorHAnsi"/>
          <w:sz w:val="20"/>
          <w:szCs w:val="20"/>
        </w:rPr>
        <w:t xml:space="preserve">independent. There is an ongoing argument as to if police officers are capable of investigating themselves, </w:t>
      </w:r>
      <w:r w:rsidR="000A6992">
        <w:rPr>
          <w:rFonts w:cstheme="minorHAnsi"/>
          <w:sz w:val="20"/>
          <w:szCs w:val="20"/>
        </w:rPr>
        <w:t>due to issues around bias and</w:t>
      </w:r>
      <w:r w:rsidR="00507269">
        <w:rPr>
          <w:rFonts w:cstheme="minorHAnsi"/>
          <w:sz w:val="20"/>
          <w:szCs w:val="20"/>
        </w:rPr>
        <w:t xml:space="preserve"> loyalty</w:t>
      </w:r>
      <w:r w:rsidR="000A6992">
        <w:rPr>
          <w:rFonts w:cstheme="minorHAnsi"/>
          <w:sz w:val="20"/>
          <w:szCs w:val="20"/>
        </w:rPr>
        <w:t xml:space="preserve">, there is also a case </w:t>
      </w:r>
      <w:r w:rsidR="00507269">
        <w:rPr>
          <w:rFonts w:cstheme="minorHAnsi"/>
          <w:sz w:val="20"/>
          <w:szCs w:val="20"/>
        </w:rPr>
        <w:t xml:space="preserve">of brotherhood and </w:t>
      </w:r>
      <w:r w:rsidR="00212CB2" w:rsidRPr="00212CB2">
        <w:rPr>
          <w:rFonts w:cstheme="minorHAnsi"/>
          <w:sz w:val="20"/>
          <w:szCs w:val="20"/>
        </w:rPr>
        <w:t>solidarity against external criticism</w:t>
      </w:r>
      <w:r w:rsidR="00371891">
        <w:rPr>
          <w:rFonts w:cstheme="minorHAnsi"/>
          <w:sz w:val="20"/>
          <w:szCs w:val="20"/>
        </w:rPr>
        <w:t>,</w:t>
      </w:r>
      <w:r w:rsidR="00212CB2" w:rsidRPr="00212CB2">
        <w:rPr>
          <w:rFonts w:cstheme="minorHAnsi"/>
          <w:b/>
          <w:bCs/>
          <w:i/>
          <w:iCs/>
          <w:sz w:val="20"/>
          <w:szCs w:val="20"/>
        </w:rPr>
        <w:t xml:space="preserve"> “The current trend toward civilian-based investigative models developed largely as a result of growing public and political frustration.</w:t>
      </w:r>
      <w:r w:rsidR="00212CB2">
        <w:rPr>
          <w:rFonts w:cstheme="minorHAnsi"/>
          <w:b/>
          <w:bCs/>
          <w:i/>
          <w:iCs/>
          <w:sz w:val="20"/>
          <w:szCs w:val="20"/>
        </w:rPr>
        <w:t>”</w:t>
      </w:r>
      <w:r w:rsidR="006449BE">
        <w:rPr>
          <w:rFonts w:cstheme="minorHAnsi"/>
          <w:b/>
          <w:bCs/>
          <w:i/>
          <w:iCs/>
          <w:sz w:val="20"/>
          <w:szCs w:val="20"/>
        </w:rPr>
        <w:t xml:space="preserve"> </w:t>
      </w:r>
      <w:r w:rsidR="006449BE" w:rsidRPr="006449BE">
        <w:rPr>
          <w:rFonts w:cstheme="minorHAnsi"/>
          <w:sz w:val="20"/>
          <w:szCs w:val="20"/>
        </w:rPr>
        <w:t>(Murphy and McKenna, Unknown)</w:t>
      </w:r>
      <w:r w:rsidR="006449BE">
        <w:rPr>
          <w:rFonts w:cstheme="minorHAnsi"/>
          <w:sz w:val="20"/>
          <w:szCs w:val="20"/>
        </w:rPr>
        <w:t xml:space="preserve">. </w:t>
      </w:r>
      <w:r w:rsidR="00B85286">
        <w:rPr>
          <w:rFonts w:cstheme="minorHAnsi"/>
          <w:sz w:val="20"/>
          <w:szCs w:val="20"/>
        </w:rPr>
        <w:t>Therefore, it is argued that</w:t>
      </w:r>
      <w:r w:rsidR="006449BE">
        <w:rPr>
          <w:rFonts w:cstheme="minorHAnsi"/>
          <w:sz w:val="20"/>
          <w:szCs w:val="20"/>
        </w:rPr>
        <w:t xml:space="preserve"> the only way to be truly accountable is to be open to external scrutiny. </w:t>
      </w:r>
      <w:r w:rsidR="003905BE">
        <w:rPr>
          <w:rFonts w:cstheme="minorHAnsi"/>
          <w:sz w:val="20"/>
          <w:szCs w:val="20"/>
        </w:rPr>
        <w:t>Enter the IOPC.</w:t>
      </w:r>
    </w:p>
    <w:p w14:paraId="31B82B90" w14:textId="67300EFE" w:rsidR="00972B9B" w:rsidRPr="00AF6944" w:rsidRDefault="00B85286" w:rsidP="00AF6944">
      <w:pPr>
        <w:shd w:val="clear" w:color="auto" w:fill="FFFFFF"/>
        <w:spacing w:before="100" w:beforeAutospacing="1" w:after="100" w:afterAutospacing="1" w:line="240" w:lineRule="auto"/>
        <w:rPr>
          <w:rFonts w:cstheme="minorHAnsi"/>
          <w:sz w:val="20"/>
          <w:szCs w:val="20"/>
        </w:rPr>
      </w:pPr>
      <w:r w:rsidRPr="00B85286">
        <w:rPr>
          <w:rFonts w:cstheme="minorHAnsi"/>
          <w:sz w:val="20"/>
          <w:szCs w:val="20"/>
        </w:rPr>
        <w:t xml:space="preserve">The Independent Office for Police Conduct (IOPC) replaced the </w:t>
      </w:r>
      <w:r w:rsidR="004141EE">
        <w:rPr>
          <w:rFonts w:cstheme="minorHAnsi"/>
          <w:sz w:val="20"/>
          <w:szCs w:val="20"/>
        </w:rPr>
        <w:t xml:space="preserve">Independent Police Complaints </w:t>
      </w:r>
      <w:r w:rsidR="001538E4">
        <w:rPr>
          <w:rFonts w:cstheme="minorHAnsi"/>
          <w:sz w:val="20"/>
          <w:szCs w:val="20"/>
        </w:rPr>
        <w:t xml:space="preserve">Commission </w:t>
      </w:r>
      <w:r w:rsidR="001538E4" w:rsidRPr="00B85286">
        <w:rPr>
          <w:rFonts w:cstheme="minorHAnsi"/>
          <w:sz w:val="20"/>
          <w:szCs w:val="20"/>
        </w:rPr>
        <w:t>in</w:t>
      </w:r>
      <w:r w:rsidRPr="00B85286">
        <w:rPr>
          <w:rFonts w:cstheme="minorHAnsi"/>
          <w:sz w:val="20"/>
          <w:szCs w:val="20"/>
        </w:rPr>
        <w:t xml:space="preserve"> 2018</w:t>
      </w:r>
      <w:r w:rsidR="004141EE">
        <w:rPr>
          <w:rFonts w:cstheme="minorHAnsi"/>
          <w:sz w:val="20"/>
          <w:szCs w:val="20"/>
        </w:rPr>
        <w:t xml:space="preserve">. </w:t>
      </w:r>
      <w:r w:rsidR="003905BE">
        <w:rPr>
          <w:rFonts w:cstheme="minorHAnsi"/>
          <w:sz w:val="20"/>
          <w:szCs w:val="20"/>
        </w:rPr>
        <w:t xml:space="preserve">The IOPC are an independent body </w:t>
      </w:r>
      <w:r w:rsidRPr="00B85286">
        <w:rPr>
          <w:rFonts w:cstheme="minorHAnsi"/>
          <w:sz w:val="20"/>
          <w:szCs w:val="20"/>
        </w:rPr>
        <w:t>responsible for overseeing the system for handling complaints made against </w:t>
      </w:r>
      <w:hyperlink r:id="rId7" w:tooltip="Law enforcement in the United Kingdom" w:history="1">
        <w:r w:rsidRPr="00B85286">
          <w:rPr>
            <w:rFonts w:cstheme="minorHAnsi"/>
            <w:sz w:val="20"/>
            <w:szCs w:val="20"/>
          </w:rPr>
          <w:t>police</w:t>
        </w:r>
      </w:hyperlink>
      <w:r w:rsidRPr="00B85286">
        <w:rPr>
          <w:rFonts w:cstheme="minorHAnsi"/>
          <w:sz w:val="20"/>
          <w:szCs w:val="20"/>
        </w:rPr>
        <w:t xml:space="preserve"> forces in England and </w:t>
      </w:r>
      <w:r>
        <w:rPr>
          <w:rFonts w:cstheme="minorHAnsi"/>
          <w:sz w:val="20"/>
          <w:szCs w:val="20"/>
        </w:rPr>
        <w:t xml:space="preserve">Wales, </w:t>
      </w:r>
      <w:r w:rsidRPr="00B85286">
        <w:rPr>
          <w:rFonts w:cstheme="minorHAnsi"/>
          <w:sz w:val="20"/>
          <w:szCs w:val="20"/>
        </w:rPr>
        <w:t>conduct</w:t>
      </w:r>
      <w:r>
        <w:rPr>
          <w:rFonts w:cstheme="minorHAnsi"/>
          <w:sz w:val="20"/>
          <w:szCs w:val="20"/>
        </w:rPr>
        <w:t>ing</w:t>
      </w:r>
      <w:r w:rsidRPr="00B85286">
        <w:rPr>
          <w:rFonts w:cstheme="minorHAnsi"/>
          <w:sz w:val="20"/>
          <w:szCs w:val="20"/>
        </w:rPr>
        <w:t xml:space="preserve"> independent investigations of serious allegations of misconduct or criminal offences by police officers and other law enforcement officers.</w:t>
      </w:r>
      <w:r w:rsidR="00AF6944">
        <w:rPr>
          <w:rFonts w:cstheme="minorHAnsi"/>
          <w:sz w:val="20"/>
          <w:szCs w:val="20"/>
        </w:rPr>
        <w:t xml:space="preserve"> The mission statement of the IOPC holds that its principal aim is</w:t>
      </w:r>
      <w:r>
        <w:rPr>
          <w:rFonts w:cstheme="minorHAnsi"/>
          <w:sz w:val="20"/>
          <w:szCs w:val="20"/>
        </w:rPr>
        <w:t xml:space="preserve"> </w:t>
      </w:r>
      <w:r w:rsidR="003905BE" w:rsidRPr="003905BE">
        <w:rPr>
          <w:rFonts w:cstheme="minorHAnsi"/>
          <w:b/>
          <w:bCs/>
          <w:i/>
          <w:iCs/>
          <w:sz w:val="20"/>
          <w:szCs w:val="20"/>
        </w:rPr>
        <w:t>“</w:t>
      </w:r>
      <w:r w:rsidR="00AF6944" w:rsidRPr="003905BE">
        <w:rPr>
          <w:rFonts w:cstheme="minorHAnsi"/>
          <w:b/>
          <w:bCs/>
          <w:i/>
          <w:iCs/>
          <w:sz w:val="20"/>
          <w:szCs w:val="20"/>
        </w:rPr>
        <w:t>To</w:t>
      </w:r>
      <w:r w:rsidR="003905BE" w:rsidRPr="003905BE">
        <w:rPr>
          <w:rFonts w:cstheme="minorHAnsi"/>
          <w:b/>
          <w:bCs/>
          <w:i/>
          <w:iCs/>
          <w:sz w:val="20"/>
          <w:szCs w:val="20"/>
        </w:rPr>
        <w:t xml:space="preserve"> improve public confidence in policing by ensuring the police are accountable for their actions and lessons are learnt.”</w:t>
      </w:r>
      <w:r>
        <w:rPr>
          <w:rFonts w:cstheme="minorHAnsi"/>
          <w:b/>
          <w:bCs/>
          <w:i/>
          <w:iCs/>
          <w:sz w:val="20"/>
          <w:szCs w:val="20"/>
        </w:rPr>
        <w:t xml:space="preserve"> (Michael Lockwood, 2020)</w:t>
      </w:r>
      <w:r w:rsidRPr="00B85286">
        <w:rPr>
          <w:rFonts w:cstheme="minorHAnsi"/>
          <w:sz w:val="20"/>
          <w:szCs w:val="20"/>
        </w:rPr>
        <w:t xml:space="preserve">. </w:t>
      </w:r>
      <w:r w:rsidR="00AF6944">
        <w:rPr>
          <w:rFonts w:cstheme="minorHAnsi"/>
          <w:sz w:val="20"/>
          <w:szCs w:val="20"/>
        </w:rPr>
        <w:t xml:space="preserve">The IOPC are not limited to investigating police, their powers have been extended to included Police and Crime Commissioners, The NCA and even the </w:t>
      </w:r>
      <w:r w:rsidR="00AF6944" w:rsidRPr="00972B9B">
        <w:rPr>
          <w:rFonts w:cstheme="minorHAnsi"/>
          <w:sz w:val="20"/>
          <w:szCs w:val="20"/>
        </w:rPr>
        <w:t>London Mayor’s Office for Policing and Crime</w:t>
      </w:r>
      <w:r w:rsidR="00AF6944">
        <w:rPr>
          <w:rFonts w:cstheme="minorHAnsi"/>
          <w:sz w:val="20"/>
          <w:szCs w:val="20"/>
        </w:rPr>
        <w:t xml:space="preserve">. Once an allegation has been referred, the IOPC will carry out a full investigation into the allegations and made the necessary recommendations for recompense, this could be from a verbal/written warning, through to criminal conviction should it be deemed that a criminal offence has taken place. </w:t>
      </w:r>
      <w:r w:rsidR="00AF6944">
        <w:rPr>
          <w:rFonts w:cstheme="minorHAnsi"/>
          <w:sz w:val="20"/>
          <w:szCs w:val="20"/>
        </w:rPr>
        <w:t xml:space="preserve"> </w:t>
      </w:r>
      <w:r>
        <w:rPr>
          <w:rFonts w:cstheme="minorHAnsi"/>
          <w:sz w:val="20"/>
          <w:szCs w:val="20"/>
        </w:rPr>
        <w:t xml:space="preserve">Forces </w:t>
      </w:r>
      <w:r w:rsidR="00972B9B">
        <w:rPr>
          <w:rFonts w:cstheme="minorHAnsi"/>
          <w:sz w:val="20"/>
          <w:szCs w:val="20"/>
        </w:rPr>
        <w:t xml:space="preserve">are required, by law, to report certain allegations to the IOPC for </w:t>
      </w:r>
      <w:r w:rsidR="00AF6944">
        <w:rPr>
          <w:rFonts w:cstheme="minorHAnsi"/>
          <w:sz w:val="20"/>
          <w:szCs w:val="20"/>
        </w:rPr>
        <w:lastRenderedPageBreak/>
        <w:t>example, a</w:t>
      </w:r>
      <w:r w:rsidR="00972B9B" w:rsidRPr="00AF6944">
        <w:rPr>
          <w:rFonts w:cstheme="minorHAnsi"/>
          <w:sz w:val="20"/>
          <w:szCs w:val="20"/>
        </w:rPr>
        <w:t>llegations of serious corruption or assault</w:t>
      </w:r>
      <w:r w:rsidR="00AF6944">
        <w:rPr>
          <w:rFonts w:cstheme="minorHAnsi"/>
          <w:sz w:val="20"/>
          <w:szCs w:val="20"/>
        </w:rPr>
        <w:t>, a</w:t>
      </w:r>
      <w:r w:rsidR="00972B9B" w:rsidRPr="00AF6944">
        <w:rPr>
          <w:rFonts w:cstheme="minorHAnsi"/>
          <w:sz w:val="20"/>
          <w:szCs w:val="20"/>
        </w:rPr>
        <w:t xml:space="preserve">llegations of </w:t>
      </w:r>
      <w:r w:rsidR="00AF6944">
        <w:rPr>
          <w:rFonts w:cstheme="minorHAnsi"/>
          <w:sz w:val="20"/>
          <w:szCs w:val="20"/>
        </w:rPr>
        <w:t>m</w:t>
      </w:r>
      <w:r w:rsidR="00972B9B" w:rsidRPr="00AF6944">
        <w:rPr>
          <w:rFonts w:cstheme="minorHAnsi"/>
          <w:sz w:val="20"/>
          <w:szCs w:val="20"/>
        </w:rPr>
        <w:t>isconduct – e.g., any suggestion that a criminal offenc</w:t>
      </w:r>
      <w:r w:rsidR="00AF6944">
        <w:rPr>
          <w:rFonts w:cstheme="minorHAnsi"/>
          <w:sz w:val="20"/>
          <w:szCs w:val="20"/>
        </w:rPr>
        <w:t>e and finally, i</w:t>
      </w:r>
      <w:r w:rsidR="00972B9B" w:rsidRPr="00AF6944">
        <w:rPr>
          <w:rFonts w:cstheme="minorHAnsi"/>
          <w:sz w:val="20"/>
          <w:szCs w:val="20"/>
        </w:rPr>
        <w:t xml:space="preserve">f someone has been injured or died following </w:t>
      </w:r>
      <w:r w:rsidR="00E63A10" w:rsidRPr="00AF6944">
        <w:rPr>
          <w:rFonts w:cstheme="minorHAnsi"/>
          <w:sz w:val="20"/>
          <w:szCs w:val="20"/>
        </w:rPr>
        <w:t>P</w:t>
      </w:r>
      <w:r w:rsidR="00972B9B" w:rsidRPr="00AF6944">
        <w:rPr>
          <w:rFonts w:cstheme="minorHAnsi"/>
          <w:sz w:val="20"/>
          <w:szCs w:val="20"/>
        </w:rPr>
        <w:t>olice contact.</w:t>
      </w:r>
    </w:p>
    <w:p w14:paraId="7C30538C" w14:textId="73C4565D" w:rsidR="00972B9B" w:rsidRPr="00972B9B" w:rsidRDefault="00E63A10" w:rsidP="00972B9B">
      <w:pPr>
        <w:shd w:val="clear" w:color="auto" w:fill="FFFFFF"/>
        <w:spacing w:before="100" w:beforeAutospacing="1" w:after="100" w:afterAutospacing="1" w:line="240" w:lineRule="auto"/>
        <w:rPr>
          <w:rFonts w:cstheme="minorHAnsi"/>
          <w:sz w:val="20"/>
          <w:szCs w:val="20"/>
        </w:rPr>
      </w:pPr>
      <w:r>
        <w:rPr>
          <w:rFonts w:cstheme="minorHAnsi"/>
          <w:sz w:val="20"/>
          <w:szCs w:val="20"/>
        </w:rPr>
        <w:t xml:space="preserve">One of the highest profile cases the IOPC investigated was into the Hillsborough Disaster, where following the conclusion of the </w:t>
      </w:r>
      <w:r w:rsidR="00297D50">
        <w:rPr>
          <w:rFonts w:cstheme="minorHAnsi"/>
          <w:sz w:val="20"/>
          <w:szCs w:val="20"/>
        </w:rPr>
        <w:t xml:space="preserve">Hillsborough Independent Panel in 2012, the IOPC received referrals from 3 separate forces. </w:t>
      </w:r>
      <w:r w:rsidR="00297D50" w:rsidRPr="00297D50">
        <w:rPr>
          <w:rFonts w:cstheme="minorHAnsi"/>
          <w:sz w:val="20"/>
          <w:szCs w:val="20"/>
        </w:rPr>
        <w:t>As a result of the investigation, a criminal trial started on 19 April 2021 and concluded on 26 May 2021 with three former high ranking officers charged with preventing the course of justice</w:t>
      </w:r>
      <w:r w:rsidR="004141EE">
        <w:rPr>
          <w:rFonts w:cstheme="minorHAnsi"/>
          <w:sz w:val="20"/>
          <w:szCs w:val="20"/>
        </w:rPr>
        <w:t xml:space="preserve"> </w:t>
      </w:r>
      <w:r w:rsidR="00297D50">
        <w:rPr>
          <w:rFonts w:cstheme="minorHAnsi"/>
          <w:sz w:val="20"/>
          <w:szCs w:val="20"/>
        </w:rPr>
        <w:t>(IOPC, 2018).</w:t>
      </w:r>
      <w:r w:rsidR="005E5E3E">
        <w:rPr>
          <w:rFonts w:cstheme="minorHAnsi"/>
          <w:sz w:val="20"/>
          <w:szCs w:val="20"/>
        </w:rPr>
        <w:t xml:space="preserve"> </w:t>
      </w:r>
      <w:r w:rsidR="00844DF9">
        <w:rPr>
          <w:rFonts w:cstheme="minorHAnsi"/>
          <w:sz w:val="20"/>
          <w:szCs w:val="20"/>
        </w:rPr>
        <w:t>The IOPC investigation into former police officers and how forces handled the Hillsborough disaster is but one of a number of examples how of why independent scrutiny is key to build trust with UK police forces.</w:t>
      </w:r>
      <w:r w:rsidR="00A50587">
        <w:rPr>
          <w:rFonts w:cstheme="minorHAnsi"/>
          <w:sz w:val="20"/>
          <w:szCs w:val="20"/>
        </w:rPr>
        <w:t xml:space="preserve"> Recent incidents have further increased scrutiny of UK policing, including the high profile murder of Sarah Everard by a serving Metropolitan police officer. This incident sent shockwaves through the UK population causing trust to be eroded further between the public and the police</w:t>
      </w:r>
      <w:r w:rsidR="008D4808">
        <w:rPr>
          <w:rFonts w:cstheme="minorHAnsi"/>
          <w:sz w:val="20"/>
          <w:szCs w:val="20"/>
        </w:rPr>
        <w:t xml:space="preserve">. </w:t>
      </w:r>
      <w:r w:rsidR="00844DF9" w:rsidRPr="00844DF9">
        <w:rPr>
          <w:rFonts w:cstheme="minorHAnsi"/>
          <w:sz w:val="20"/>
          <w:szCs w:val="20"/>
        </w:rPr>
        <w:t xml:space="preserve">Police have considerable </w:t>
      </w:r>
      <w:r w:rsidR="00844DF9">
        <w:rPr>
          <w:rFonts w:cstheme="minorHAnsi"/>
          <w:sz w:val="20"/>
          <w:szCs w:val="20"/>
        </w:rPr>
        <w:t xml:space="preserve">powers </w:t>
      </w:r>
      <w:r w:rsidR="00844DF9" w:rsidRPr="00844DF9">
        <w:rPr>
          <w:rFonts w:cstheme="minorHAnsi"/>
          <w:sz w:val="20"/>
          <w:szCs w:val="20"/>
        </w:rPr>
        <w:t>that</w:t>
      </w:r>
      <w:r w:rsidR="00844DF9">
        <w:rPr>
          <w:rFonts w:cstheme="minorHAnsi"/>
          <w:sz w:val="20"/>
          <w:szCs w:val="20"/>
        </w:rPr>
        <w:t xml:space="preserve"> could impact a</w:t>
      </w:r>
      <w:r w:rsidR="00844DF9" w:rsidRPr="00844DF9">
        <w:rPr>
          <w:rFonts w:cstheme="minorHAnsi"/>
          <w:sz w:val="20"/>
          <w:szCs w:val="20"/>
        </w:rPr>
        <w:t xml:space="preserve"> </w:t>
      </w:r>
      <w:r w:rsidR="00844DF9">
        <w:rPr>
          <w:rFonts w:cstheme="minorHAnsi"/>
          <w:sz w:val="20"/>
          <w:szCs w:val="20"/>
        </w:rPr>
        <w:t>person’s liberty</w:t>
      </w:r>
      <w:r w:rsidR="00844DF9" w:rsidRPr="00844DF9">
        <w:rPr>
          <w:rFonts w:cstheme="minorHAnsi"/>
          <w:sz w:val="20"/>
          <w:szCs w:val="20"/>
        </w:rPr>
        <w:t xml:space="preserve"> and freedom</w:t>
      </w:r>
      <w:r w:rsidR="00844DF9">
        <w:rPr>
          <w:rFonts w:cstheme="minorHAnsi"/>
          <w:sz w:val="20"/>
          <w:szCs w:val="20"/>
        </w:rPr>
        <w:t>, t</w:t>
      </w:r>
      <w:r w:rsidR="00844DF9" w:rsidRPr="00844DF9">
        <w:rPr>
          <w:rFonts w:cstheme="minorHAnsi"/>
          <w:sz w:val="20"/>
          <w:szCs w:val="20"/>
        </w:rPr>
        <w:t xml:space="preserve">his </w:t>
      </w:r>
      <w:r w:rsidR="00844DF9">
        <w:rPr>
          <w:rFonts w:cstheme="minorHAnsi"/>
          <w:sz w:val="20"/>
          <w:szCs w:val="20"/>
        </w:rPr>
        <w:t xml:space="preserve">undoubtably </w:t>
      </w:r>
      <w:r w:rsidR="00844DF9" w:rsidRPr="00844DF9">
        <w:rPr>
          <w:rFonts w:cstheme="minorHAnsi"/>
          <w:sz w:val="20"/>
          <w:szCs w:val="20"/>
        </w:rPr>
        <w:t>calls for accountability</w:t>
      </w:r>
      <w:r w:rsidR="00844DF9">
        <w:rPr>
          <w:rFonts w:cstheme="minorHAnsi"/>
          <w:sz w:val="20"/>
          <w:szCs w:val="20"/>
        </w:rPr>
        <w:t xml:space="preserve"> and trust</w:t>
      </w:r>
      <w:r w:rsidR="00844DF9" w:rsidRPr="00844DF9">
        <w:rPr>
          <w:rFonts w:cstheme="minorHAnsi"/>
          <w:sz w:val="20"/>
          <w:szCs w:val="20"/>
        </w:rPr>
        <w:t>.</w:t>
      </w:r>
      <w:r w:rsidR="00844DF9">
        <w:rPr>
          <w:rFonts w:cstheme="minorHAnsi"/>
          <w:sz w:val="20"/>
          <w:szCs w:val="20"/>
        </w:rPr>
        <w:t xml:space="preserve"> To build trust i</w:t>
      </w:r>
      <w:r w:rsidR="00844DF9" w:rsidRPr="00844DF9">
        <w:rPr>
          <w:rFonts w:cstheme="minorHAnsi"/>
          <w:sz w:val="20"/>
          <w:szCs w:val="20"/>
        </w:rPr>
        <w:t xml:space="preserve">t is crucial that the </w:t>
      </w:r>
      <w:r w:rsidR="00844DF9">
        <w:rPr>
          <w:rFonts w:cstheme="minorHAnsi"/>
          <w:sz w:val="20"/>
          <w:szCs w:val="20"/>
        </w:rPr>
        <w:t>public</w:t>
      </w:r>
      <w:r w:rsidR="00844DF9" w:rsidRPr="00844DF9">
        <w:rPr>
          <w:rFonts w:cstheme="minorHAnsi"/>
          <w:sz w:val="20"/>
          <w:szCs w:val="20"/>
        </w:rPr>
        <w:t xml:space="preserve"> believe that authorities are </w:t>
      </w:r>
      <w:r w:rsidR="00844DF9">
        <w:rPr>
          <w:rFonts w:cstheme="minorHAnsi"/>
          <w:sz w:val="20"/>
          <w:szCs w:val="20"/>
        </w:rPr>
        <w:t>being held to account for their actions</w:t>
      </w:r>
      <w:r w:rsidR="008D4808">
        <w:rPr>
          <w:rFonts w:cstheme="minorHAnsi"/>
          <w:sz w:val="20"/>
          <w:szCs w:val="20"/>
        </w:rPr>
        <w:t xml:space="preserve"> and therefore accountability by an independent body free of bias or objectivity is key to ensure growth of public confidence.</w:t>
      </w:r>
    </w:p>
    <w:p w14:paraId="26EFF5D5" w14:textId="77777777" w:rsidR="00972B9B" w:rsidRPr="00B85286" w:rsidRDefault="00972B9B" w:rsidP="00EB044F">
      <w:pPr>
        <w:shd w:val="clear" w:color="auto" w:fill="FFFFFF"/>
        <w:spacing w:before="100" w:beforeAutospacing="1" w:after="100" w:afterAutospacing="1" w:line="240" w:lineRule="auto"/>
        <w:rPr>
          <w:rFonts w:cstheme="minorHAnsi"/>
          <w:sz w:val="20"/>
          <w:szCs w:val="20"/>
        </w:rPr>
      </w:pPr>
    </w:p>
    <w:p w14:paraId="642E8E57" w14:textId="76829000" w:rsidR="00A33449" w:rsidRDefault="004141EE" w:rsidP="009772E0">
      <w:pPr>
        <w:rPr>
          <w:b/>
          <w:bCs/>
          <w:i/>
          <w:iCs/>
          <w:u w:val="single"/>
        </w:rPr>
      </w:pPr>
      <w:r w:rsidRPr="00934730">
        <w:rPr>
          <w:b/>
          <w:bCs/>
          <w:i/>
          <w:iCs/>
          <w:u w:val="single"/>
        </w:rPr>
        <w:t xml:space="preserve">Word count </w:t>
      </w:r>
      <w:r>
        <w:rPr>
          <w:b/>
          <w:bCs/>
          <w:i/>
          <w:iCs/>
          <w:u w:val="single"/>
        </w:rPr>
        <w:t>9</w:t>
      </w:r>
      <w:r w:rsidR="008D4808">
        <w:rPr>
          <w:b/>
          <w:bCs/>
          <w:i/>
          <w:iCs/>
          <w:u w:val="single"/>
        </w:rPr>
        <w:t>5</w:t>
      </w:r>
      <w:r w:rsidR="001538E4">
        <w:rPr>
          <w:b/>
          <w:bCs/>
          <w:i/>
          <w:iCs/>
          <w:u w:val="single"/>
        </w:rPr>
        <w:t>9</w:t>
      </w:r>
    </w:p>
    <w:p w14:paraId="4C521C99" w14:textId="77777777" w:rsidR="001538E4" w:rsidRPr="001538E4" w:rsidRDefault="001538E4" w:rsidP="009772E0">
      <w:pPr>
        <w:rPr>
          <w:b/>
          <w:bCs/>
          <w:i/>
          <w:iCs/>
          <w:u w:val="single"/>
        </w:rPr>
      </w:pPr>
    </w:p>
    <w:p w14:paraId="387F08BD" w14:textId="77777777" w:rsidR="001538E4" w:rsidRDefault="001538E4" w:rsidP="009772E0">
      <w:pPr>
        <w:rPr>
          <w:b/>
          <w:bCs/>
          <w:i/>
          <w:iCs/>
          <w:u w:val="single"/>
        </w:rPr>
      </w:pPr>
    </w:p>
    <w:p w14:paraId="32D4DD94" w14:textId="77777777" w:rsidR="001538E4" w:rsidRDefault="001538E4" w:rsidP="009772E0">
      <w:pPr>
        <w:rPr>
          <w:b/>
          <w:bCs/>
          <w:i/>
          <w:iCs/>
          <w:u w:val="single"/>
        </w:rPr>
      </w:pPr>
    </w:p>
    <w:p w14:paraId="1A637C51" w14:textId="77777777" w:rsidR="001538E4" w:rsidRDefault="001538E4" w:rsidP="009772E0">
      <w:pPr>
        <w:rPr>
          <w:b/>
          <w:bCs/>
          <w:i/>
          <w:iCs/>
          <w:u w:val="single"/>
        </w:rPr>
      </w:pPr>
    </w:p>
    <w:p w14:paraId="50BB93EF" w14:textId="77777777" w:rsidR="001538E4" w:rsidRDefault="001538E4" w:rsidP="009772E0">
      <w:pPr>
        <w:rPr>
          <w:b/>
          <w:bCs/>
          <w:i/>
          <w:iCs/>
          <w:u w:val="single"/>
        </w:rPr>
      </w:pPr>
    </w:p>
    <w:p w14:paraId="443BD1A2" w14:textId="77777777" w:rsidR="001538E4" w:rsidRDefault="001538E4" w:rsidP="009772E0">
      <w:pPr>
        <w:rPr>
          <w:b/>
          <w:bCs/>
          <w:i/>
          <w:iCs/>
          <w:u w:val="single"/>
        </w:rPr>
      </w:pPr>
    </w:p>
    <w:p w14:paraId="244960C1" w14:textId="77777777" w:rsidR="001538E4" w:rsidRDefault="001538E4" w:rsidP="009772E0">
      <w:pPr>
        <w:rPr>
          <w:b/>
          <w:bCs/>
          <w:i/>
          <w:iCs/>
          <w:u w:val="single"/>
        </w:rPr>
      </w:pPr>
    </w:p>
    <w:p w14:paraId="70E28F51" w14:textId="77777777" w:rsidR="001538E4" w:rsidRDefault="001538E4" w:rsidP="009772E0">
      <w:pPr>
        <w:rPr>
          <w:b/>
          <w:bCs/>
          <w:i/>
          <w:iCs/>
          <w:u w:val="single"/>
        </w:rPr>
      </w:pPr>
    </w:p>
    <w:p w14:paraId="43F6BB5B" w14:textId="77777777" w:rsidR="001538E4" w:rsidRDefault="001538E4" w:rsidP="009772E0">
      <w:pPr>
        <w:rPr>
          <w:b/>
          <w:bCs/>
          <w:i/>
          <w:iCs/>
          <w:u w:val="single"/>
        </w:rPr>
      </w:pPr>
    </w:p>
    <w:p w14:paraId="6E56ED32" w14:textId="77777777" w:rsidR="001538E4" w:rsidRDefault="001538E4" w:rsidP="009772E0">
      <w:pPr>
        <w:rPr>
          <w:b/>
          <w:bCs/>
          <w:i/>
          <w:iCs/>
          <w:u w:val="single"/>
        </w:rPr>
      </w:pPr>
    </w:p>
    <w:p w14:paraId="1BD3616B" w14:textId="77777777" w:rsidR="001538E4" w:rsidRDefault="001538E4" w:rsidP="009772E0">
      <w:pPr>
        <w:rPr>
          <w:b/>
          <w:bCs/>
          <w:i/>
          <w:iCs/>
          <w:u w:val="single"/>
        </w:rPr>
      </w:pPr>
    </w:p>
    <w:p w14:paraId="02061A7A" w14:textId="77777777" w:rsidR="001538E4" w:rsidRDefault="001538E4" w:rsidP="009772E0">
      <w:pPr>
        <w:rPr>
          <w:b/>
          <w:bCs/>
          <w:i/>
          <w:iCs/>
          <w:u w:val="single"/>
        </w:rPr>
      </w:pPr>
    </w:p>
    <w:p w14:paraId="0E6E487C" w14:textId="77777777" w:rsidR="001538E4" w:rsidRDefault="001538E4" w:rsidP="009772E0">
      <w:pPr>
        <w:rPr>
          <w:b/>
          <w:bCs/>
          <w:i/>
          <w:iCs/>
          <w:u w:val="single"/>
        </w:rPr>
      </w:pPr>
    </w:p>
    <w:p w14:paraId="105468B8" w14:textId="77777777" w:rsidR="001538E4" w:rsidRDefault="001538E4" w:rsidP="009772E0">
      <w:pPr>
        <w:rPr>
          <w:b/>
          <w:bCs/>
          <w:i/>
          <w:iCs/>
          <w:u w:val="single"/>
        </w:rPr>
      </w:pPr>
    </w:p>
    <w:p w14:paraId="2F90A16D" w14:textId="77777777" w:rsidR="001538E4" w:rsidRDefault="001538E4" w:rsidP="009772E0">
      <w:pPr>
        <w:rPr>
          <w:b/>
          <w:bCs/>
          <w:i/>
          <w:iCs/>
          <w:u w:val="single"/>
        </w:rPr>
      </w:pPr>
    </w:p>
    <w:p w14:paraId="06346C59" w14:textId="77777777" w:rsidR="001538E4" w:rsidRDefault="001538E4" w:rsidP="009772E0">
      <w:pPr>
        <w:rPr>
          <w:b/>
          <w:bCs/>
          <w:i/>
          <w:iCs/>
          <w:u w:val="single"/>
        </w:rPr>
      </w:pPr>
    </w:p>
    <w:p w14:paraId="794BD750" w14:textId="77777777" w:rsidR="001538E4" w:rsidRDefault="001538E4" w:rsidP="009772E0">
      <w:pPr>
        <w:rPr>
          <w:b/>
          <w:bCs/>
          <w:i/>
          <w:iCs/>
          <w:u w:val="single"/>
        </w:rPr>
      </w:pPr>
    </w:p>
    <w:p w14:paraId="4D5E6AAC" w14:textId="77777777" w:rsidR="001538E4" w:rsidRDefault="001538E4" w:rsidP="009772E0">
      <w:pPr>
        <w:rPr>
          <w:b/>
          <w:bCs/>
          <w:i/>
          <w:iCs/>
          <w:u w:val="single"/>
        </w:rPr>
      </w:pPr>
    </w:p>
    <w:p w14:paraId="3DA6576D" w14:textId="77777777" w:rsidR="001538E4" w:rsidRDefault="001538E4" w:rsidP="009772E0">
      <w:pPr>
        <w:rPr>
          <w:b/>
          <w:bCs/>
          <w:i/>
          <w:iCs/>
          <w:u w:val="single"/>
        </w:rPr>
      </w:pPr>
    </w:p>
    <w:p w14:paraId="6A75661D" w14:textId="77777777" w:rsidR="001538E4" w:rsidRDefault="001538E4" w:rsidP="009772E0">
      <w:pPr>
        <w:rPr>
          <w:b/>
          <w:bCs/>
          <w:i/>
          <w:iCs/>
          <w:u w:val="single"/>
        </w:rPr>
      </w:pPr>
    </w:p>
    <w:p w14:paraId="4CFD0C63" w14:textId="776A10A6" w:rsidR="00EE247A" w:rsidRDefault="00926127" w:rsidP="009772E0">
      <w:pPr>
        <w:rPr>
          <w:b/>
          <w:bCs/>
          <w:i/>
          <w:iCs/>
          <w:u w:val="single"/>
        </w:rPr>
      </w:pPr>
      <w:r w:rsidRPr="00D10D54">
        <w:rPr>
          <w:b/>
          <w:bCs/>
          <w:i/>
          <w:iCs/>
          <w:u w:val="single"/>
        </w:rPr>
        <w:lastRenderedPageBreak/>
        <w:t>Bibliograph</w:t>
      </w:r>
      <w:r w:rsidR="00426D47">
        <w:rPr>
          <w:b/>
          <w:bCs/>
          <w:i/>
          <w:iCs/>
          <w:u w:val="single"/>
        </w:rPr>
        <w:t>y</w:t>
      </w:r>
    </w:p>
    <w:p w14:paraId="7A030413" w14:textId="3B0DA4F8" w:rsidR="00426D47" w:rsidRPr="00426D47" w:rsidRDefault="00426D47" w:rsidP="009772E0">
      <w:pPr>
        <w:rPr>
          <w:rFonts w:cstheme="minorHAnsi"/>
          <w:sz w:val="20"/>
          <w:szCs w:val="20"/>
        </w:rPr>
      </w:pPr>
      <w:r w:rsidRPr="00795346">
        <w:rPr>
          <w:rFonts w:cstheme="minorHAnsi"/>
          <w:sz w:val="20"/>
          <w:szCs w:val="20"/>
        </w:rPr>
        <w:t>BELLAMY, C., 6, P., RAAB, C., WARREN, A. and HEENEY, C. (2008), INFORMATION-SHARING AND CONFIDENTIALITY IN SOCIAL POLICY: REGULATING MULTI-AGENCY WORKING. Public Administration, 86: 737-759. </w:t>
      </w:r>
      <w:hyperlink r:id="rId8" w:history="1">
        <w:r w:rsidRPr="00795346">
          <w:rPr>
            <w:rFonts w:cstheme="minorHAnsi"/>
            <w:sz w:val="20"/>
            <w:szCs w:val="20"/>
          </w:rPr>
          <w:t>https://doi.org/10.1111/j.1467-9299.2008.00723.x</w:t>
        </w:r>
      </w:hyperlink>
      <w:r>
        <w:rPr>
          <w:rFonts w:cstheme="minorHAnsi"/>
          <w:sz w:val="20"/>
          <w:szCs w:val="20"/>
        </w:rPr>
        <w:t xml:space="preserve"> [Accessed 26 January 2023)</w:t>
      </w:r>
    </w:p>
    <w:p w14:paraId="47B3F27C" w14:textId="286D7AC5" w:rsidR="008D4808" w:rsidRDefault="008D4808" w:rsidP="008D4808">
      <w:pPr>
        <w:rPr>
          <w:rFonts w:cstheme="minorHAnsi"/>
          <w:sz w:val="20"/>
          <w:szCs w:val="20"/>
        </w:rPr>
      </w:pPr>
      <w:r w:rsidRPr="004331D4">
        <w:rPr>
          <w:rFonts w:cstheme="minorHAnsi"/>
          <w:sz w:val="20"/>
          <w:szCs w:val="20"/>
        </w:rPr>
        <w:t>Blue Light Academy. (2022). Maintaining Professional Standards. [Online]. UWTSD. Available at: https://moodle.uwtsd.ac.uk/mod/scorm/player.php?a=2924¤torg=BLAPA_Task_03_Maintaining_Professional_Standards_ORG&amp;s [Accessed 12 January 2023].</w:t>
      </w:r>
    </w:p>
    <w:p w14:paraId="0B0B984F" w14:textId="4DC727FD" w:rsidR="00426D47" w:rsidRDefault="00426D47" w:rsidP="008D4808">
      <w:pPr>
        <w:rPr>
          <w:rFonts w:cstheme="minorHAnsi"/>
          <w:sz w:val="20"/>
          <w:szCs w:val="20"/>
        </w:rPr>
      </w:pPr>
      <w:r w:rsidRPr="00157241">
        <w:rPr>
          <w:rFonts w:cstheme="minorHAnsi"/>
          <w:sz w:val="20"/>
          <w:szCs w:val="20"/>
        </w:rPr>
        <w:t>Bryant, Peck and Lovbakke. (2015). Reoffending Analysis of MAPPA Eligible Offenders. [Online]. GOV.uk. Last Updated: 2015. Available at: https://assets.publishing.service.gov.uk/government/uploads/system/uploads/attachment_data/file/4071 [Accessed 11 January 2023].</w:t>
      </w:r>
    </w:p>
    <w:p w14:paraId="6C5604A0" w14:textId="45273186" w:rsidR="00426D47" w:rsidRDefault="00426D47" w:rsidP="008D4808">
      <w:pPr>
        <w:rPr>
          <w:rFonts w:cstheme="minorHAnsi"/>
          <w:sz w:val="20"/>
          <w:szCs w:val="20"/>
        </w:rPr>
      </w:pPr>
      <w:r>
        <w:rPr>
          <w:rFonts w:cstheme="minorHAnsi"/>
          <w:sz w:val="20"/>
          <w:szCs w:val="20"/>
        </w:rPr>
        <w:t>Buckland, Robert 2020 – Letter to Johnathan Hall, 9</w:t>
      </w:r>
      <w:r w:rsidRPr="00CA1FA1">
        <w:rPr>
          <w:rFonts w:cstheme="minorHAnsi"/>
          <w:sz w:val="20"/>
          <w:szCs w:val="20"/>
          <w:vertAlign w:val="superscript"/>
        </w:rPr>
        <w:t>th</w:t>
      </w:r>
      <w:r>
        <w:rPr>
          <w:rFonts w:cstheme="minorHAnsi"/>
          <w:sz w:val="20"/>
          <w:szCs w:val="20"/>
        </w:rPr>
        <w:t xml:space="preserve"> December</w:t>
      </w:r>
      <w:r>
        <w:rPr>
          <w:rFonts w:cstheme="minorHAnsi"/>
          <w:sz w:val="20"/>
          <w:szCs w:val="20"/>
        </w:rPr>
        <w:t xml:space="preserve"> 2021</w:t>
      </w:r>
    </w:p>
    <w:p w14:paraId="60507835" w14:textId="01D4CA4A" w:rsidR="00426D47" w:rsidRDefault="00426D47" w:rsidP="00426D47">
      <w:pPr>
        <w:rPr>
          <w:rFonts w:cstheme="minorHAnsi"/>
          <w:sz w:val="20"/>
          <w:szCs w:val="20"/>
        </w:rPr>
      </w:pPr>
      <w:r w:rsidRPr="007B53F7">
        <w:rPr>
          <w:rFonts w:cstheme="minorHAnsi"/>
          <w:sz w:val="20"/>
          <w:szCs w:val="20"/>
        </w:rPr>
        <w:t>Cairns, Ashley; Jackson, Tom; Cooke, Louise (2011): The factors involved in sharing information between public agencies. Loughborough University. Conference contribution. https://hdl.handle.net/2134/11699 </w:t>
      </w:r>
      <w:r w:rsidRPr="003C7831">
        <w:rPr>
          <w:rFonts w:cstheme="minorHAnsi"/>
          <w:sz w:val="20"/>
          <w:szCs w:val="20"/>
        </w:rPr>
        <w:t>[Accessed 26 January 2023].</w:t>
      </w:r>
    </w:p>
    <w:p w14:paraId="5B613A12" w14:textId="0BDA161B" w:rsidR="00426D47" w:rsidRDefault="00426D47" w:rsidP="00426D47">
      <w:pPr>
        <w:rPr>
          <w:rFonts w:cstheme="minorHAnsi"/>
          <w:sz w:val="20"/>
          <w:szCs w:val="20"/>
        </w:rPr>
      </w:pPr>
      <w:r w:rsidRPr="00FA076F">
        <w:rPr>
          <w:rFonts w:cstheme="minorHAnsi"/>
          <w:sz w:val="20"/>
          <w:szCs w:val="20"/>
        </w:rPr>
        <w:t>Charlie Taylor. (2022). 20 years of Multi-Agency Public Protection Arrangements (MAPPA). [Online]. HM Inspectorate of Probation. Last Updated: July 2022. Available at: https://www.justiceinspectorates.gov.uk/hmiprobation/media/press-releases/2022/07/mappa/ [Accessed 11 January 2023].</w:t>
      </w:r>
    </w:p>
    <w:p w14:paraId="7813B1FE" w14:textId="72655519" w:rsidR="008D4808" w:rsidRDefault="008D4808" w:rsidP="008D4808">
      <w:pPr>
        <w:rPr>
          <w:rFonts w:cstheme="minorHAnsi"/>
          <w:sz w:val="20"/>
          <w:szCs w:val="20"/>
        </w:rPr>
      </w:pPr>
      <w:r w:rsidRPr="00245D25">
        <w:rPr>
          <w:rFonts w:cstheme="minorHAnsi"/>
          <w:sz w:val="20"/>
          <w:szCs w:val="20"/>
        </w:rPr>
        <w:t>Children’s Commissioner. (2019). Keeping Kids Safe. Improving safeguarding responses to gang violence and criminal exploitation. February 2019, p.6.</w:t>
      </w:r>
    </w:p>
    <w:p w14:paraId="58524159" w14:textId="19079010" w:rsidR="008D4808" w:rsidRDefault="008D4808" w:rsidP="008D4808">
      <w:pPr>
        <w:rPr>
          <w:rFonts w:cstheme="minorHAnsi"/>
          <w:sz w:val="20"/>
          <w:szCs w:val="20"/>
        </w:rPr>
      </w:pPr>
      <w:r w:rsidRPr="001D79F6">
        <w:rPr>
          <w:rFonts w:cstheme="minorHAnsi"/>
          <w:sz w:val="20"/>
          <w:szCs w:val="20"/>
        </w:rPr>
        <w:t>College of Policing. (2021). Introduction to vulnerability-related risk. [Online]. College of Policing. Last Updated: 18 November 2021. Available at: https://www.college.police.uk/guidance/vulnerability-related-risks/introduction-vulnerability-relate [Accessed 28 November 2022].</w:t>
      </w:r>
    </w:p>
    <w:p w14:paraId="522E8011" w14:textId="13D498BD" w:rsidR="00426D47" w:rsidRDefault="00426D47" w:rsidP="008D4808">
      <w:pPr>
        <w:rPr>
          <w:rFonts w:cstheme="minorHAnsi"/>
          <w:sz w:val="20"/>
          <w:szCs w:val="20"/>
        </w:rPr>
      </w:pPr>
      <w:r w:rsidRPr="007B53F7">
        <w:rPr>
          <w:rFonts w:cstheme="minorHAnsi"/>
          <w:sz w:val="20"/>
          <w:szCs w:val="20"/>
        </w:rPr>
        <w:t>David Edwards (2003) ViSOR – Violent and Sex Offender Register, Criminal Justice Matters, 51:1, 28, DOI: </w:t>
      </w:r>
      <w:hyperlink r:id="rId9" w:history="1">
        <w:r w:rsidRPr="007B53F7">
          <w:rPr>
            <w:rFonts w:cstheme="minorHAnsi"/>
            <w:sz w:val="20"/>
            <w:szCs w:val="20"/>
          </w:rPr>
          <w:t>10.1080/09627250308553519</w:t>
        </w:r>
      </w:hyperlink>
    </w:p>
    <w:p w14:paraId="4D5F1277" w14:textId="6260766D" w:rsidR="008D4808" w:rsidRDefault="008D4808" w:rsidP="008D4808">
      <w:pPr>
        <w:rPr>
          <w:rFonts w:cstheme="minorHAnsi"/>
          <w:sz w:val="20"/>
          <w:szCs w:val="20"/>
        </w:rPr>
      </w:pPr>
      <w:r w:rsidRPr="005D01DB">
        <w:rPr>
          <w:rFonts w:cstheme="minorHAnsi"/>
          <w:sz w:val="20"/>
          <w:szCs w:val="20"/>
        </w:rPr>
        <w:t>Dodd, V - Dodd, V. (2021). UK police chiefs consider public admission of institutional racism. The Guardian. [Online]. 12th December 2021. Available at https://www.theguardian.com/uk-news/2021/dec/12/uk-police-leaders-debate-public-admission-institutional-racism [Accessed 17/11/2022].</w:t>
      </w:r>
    </w:p>
    <w:p w14:paraId="29AC2D5C" w14:textId="4B92FF3C" w:rsidR="00D309C7" w:rsidRDefault="00D309C7" w:rsidP="008D4808">
      <w:pPr>
        <w:rPr>
          <w:rFonts w:cstheme="minorHAnsi"/>
          <w:sz w:val="20"/>
          <w:szCs w:val="20"/>
        </w:rPr>
      </w:pPr>
      <w:r w:rsidRPr="00905C09">
        <w:rPr>
          <w:rFonts w:cstheme="minorHAnsi"/>
          <w:sz w:val="20"/>
          <w:szCs w:val="20"/>
        </w:rPr>
        <w:t>Echo. (2022). More county lines closed than ever before in week of police action against drugs. [Online]. Echo News. Last Updated: 13th October 2022. Available at: https://www.echo-news.co.uk/news/national/23044244.county-lines-closed-ever-week-police-action-drugs [Accessed 29 November 2022].</w:t>
      </w:r>
    </w:p>
    <w:p w14:paraId="703DAB3A" w14:textId="32304031" w:rsidR="008D4808" w:rsidRDefault="008D4808" w:rsidP="008D4808">
      <w:pPr>
        <w:rPr>
          <w:rFonts w:cstheme="minorHAnsi"/>
          <w:sz w:val="20"/>
          <w:szCs w:val="20"/>
        </w:rPr>
      </w:pPr>
      <w:r w:rsidRPr="004C1647">
        <w:rPr>
          <w:rFonts w:cstheme="minorHAnsi"/>
          <w:sz w:val="20"/>
          <w:szCs w:val="20"/>
        </w:rPr>
        <w:t>Eddo-lodge, R. (2020). Why I’m no longer talking to white people about race. London: Bloomsbury. pp.33-36.</w:t>
      </w:r>
    </w:p>
    <w:p w14:paraId="2567BFDE" w14:textId="78F2AD42" w:rsidR="00D309C7" w:rsidRDefault="00D309C7" w:rsidP="008D4808">
      <w:pPr>
        <w:rPr>
          <w:rFonts w:cstheme="minorHAnsi"/>
          <w:sz w:val="20"/>
          <w:szCs w:val="20"/>
        </w:rPr>
      </w:pPr>
      <w:r w:rsidRPr="00857E07">
        <w:rPr>
          <w:rFonts w:cstheme="minorHAnsi"/>
          <w:sz w:val="20"/>
          <w:szCs w:val="20"/>
        </w:rPr>
        <w:t>Ellis Cashmore (2002) Behind the window dressing: Ethnic minority police perspectives on cultural diversity, Journal of Ethnic and Migration Studies, 28:2, 327-341, DOI: </w:t>
      </w:r>
      <w:hyperlink r:id="rId10" w:history="1">
        <w:r w:rsidRPr="00857E07">
          <w:rPr>
            <w:rFonts w:cstheme="minorHAnsi"/>
            <w:sz w:val="20"/>
            <w:szCs w:val="20"/>
          </w:rPr>
          <w:t>10.1080/13691830220124369</w:t>
        </w:r>
      </w:hyperlink>
    </w:p>
    <w:p w14:paraId="10EDBB89" w14:textId="3670D245" w:rsidR="00426D47" w:rsidRDefault="00426D47" w:rsidP="008D4808">
      <w:pPr>
        <w:rPr>
          <w:rFonts w:cstheme="minorHAnsi"/>
          <w:sz w:val="20"/>
          <w:szCs w:val="20"/>
        </w:rPr>
      </w:pPr>
      <w:r w:rsidRPr="008F62E9">
        <w:rPr>
          <w:rFonts w:cstheme="minorHAnsi"/>
          <w:sz w:val="20"/>
          <w:szCs w:val="20"/>
        </w:rPr>
        <w:t>Geoff Hunt</w:t>
      </w:r>
      <w:r>
        <w:rPr>
          <w:rFonts w:cstheme="minorHAnsi"/>
          <w:sz w:val="20"/>
          <w:szCs w:val="20"/>
        </w:rPr>
        <w:t xml:space="preserve"> (Unknown)</w:t>
      </w:r>
      <w:r w:rsidRPr="008F62E9">
        <w:rPr>
          <w:rFonts w:cstheme="minorHAnsi"/>
          <w:sz w:val="20"/>
          <w:szCs w:val="20"/>
        </w:rPr>
        <w:t>, “Accountability,” http://www.freedomtocare.org/</w:t>
      </w:r>
      <w:r>
        <w:rPr>
          <w:rFonts w:cstheme="minorHAnsi"/>
          <w:sz w:val="20"/>
          <w:szCs w:val="20"/>
        </w:rPr>
        <w:t xml:space="preserve"> . </w:t>
      </w:r>
      <w:r w:rsidRPr="0093684A">
        <w:rPr>
          <w:rFonts w:cstheme="minorHAnsi"/>
          <w:sz w:val="20"/>
          <w:szCs w:val="20"/>
        </w:rPr>
        <w:t xml:space="preserve">[Accessed </w:t>
      </w:r>
      <w:r>
        <w:rPr>
          <w:rFonts w:cstheme="minorHAnsi"/>
          <w:sz w:val="20"/>
          <w:szCs w:val="20"/>
        </w:rPr>
        <w:t>30</w:t>
      </w:r>
      <w:r w:rsidRPr="0093684A">
        <w:rPr>
          <w:rFonts w:cstheme="minorHAnsi"/>
          <w:sz w:val="20"/>
          <w:szCs w:val="20"/>
        </w:rPr>
        <w:t xml:space="preserve"> January 2023].</w:t>
      </w:r>
    </w:p>
    <w:p w14:paraId="40BA12B1" w14:textId="3F8F90AF" w:rsidR="008D4808" w:rsidRDefault="008D4808" w:rsidP="008D4808">
      <w:pPr>
        <w:rPr>
          <w:rFonts w:cstheme="minorHAnsi"/>
          <w:sz w:val="20"/>
          <w:szCs w:val="20"/>
        </w:rPr>
      </w:pPr>
      <w:r w:rsidRPr="00A018CF">
        <w:rPr>
          <w:rFonts w:cstheme="minorHAnsi"/>
          <w:sz w:val="20"/>
          <w:szCs w:val="20"/>
        </w:rPr>
        <w:t>Gilroy, P. (2003). There Ain't No Black in the Union Jack (2nd ed.). Routledge.</w:t>
      </w:r>
      <w:r>
        <w:rPr>
          <w:rFonts w:cstheme="minorHAnsi"/>
          <w:sz w:val="20"/>
          <w:szCs w:val="20"/>
        </w:rPr>
        <w:t xml:space="preserve"> </w:t>
      </w:r>
      <w:r w:rsidRPr="008D4808">
        <w:rPr>
          <w:rFonts w:cstheme="minorHAnsi"/>
          <w:sz w:val="20"/>
          <w:szCs w:val="20"/>
        </w:rPr>
        <w:t>https://doi.org/10.4324/9780203995075</w:t>
      </w:r>
      <w:r>
        <w:rPr>
          <w:rFonts w:cstheme="minorHAnsi"/>
          <w:sz w:val="20"/>
          <w:szCs w:val="20"/>
        </w:rPr>
        <w:t xml:space="preserve"> </w:t>
      </w:r>
      <w:r w:rsidRPr="00F5308A">
        <w:rPr>
          <w:rFonts w:cstheme="minorHAnsi"/>
          <w:sz w:val="20"/>
          <w:szCs w:val="20"/>
        </w:rPr>
        <w:t>[Accessed 24 January 2023].</w:t>
      </w:r>
    </w:p>
    <w:p w14:paraId="5922E4B5" w14:textId="06132DEE" w:rsidR="008D4808" w:rsidRDefault="008D4808" w:rsidP="008D4808">
      <w:pPr>
        <w:rPr>
          <w:rFonts w:cstheme="minorHAnsi"/>
          <w:sz w:val="20"/>
          <w:szCs w:val="20"/>
        </w:rPr>
      </w:pPr>
      <w:r w:rsidRPr="002D7AAD">
        <w:rPr>
          <w:rFonts w:cstheme="minorHAnsi"/>
          <w:sz w:val="20"/>
          <w:szCs w:val="20"/>
        </w:rPr>
        <w:t xml:space="preserve">Goldsmith, A., 2005. Police reform and the problem of trust. Theoretical criminology, 9(4), pp.443-470. </w:t>
      </w:r>
      <w:hyperlink r:id="rId11" w:history="1">
        <w:r w:rsidRPr="005F00EA">
          <w:rPr>
            <w:rFonts w:cstheme="minorHAnsi"/>
            <w:sz w:val="20"/>
            <w:szCs w:val="20"/>
          </w:rPr>
          <w:t>https://doi.org/10.1177/1362480605057727</w:t>
        </w:r>
      </w:hyperlink>
      <w:r w:rsidRPr="002D7AAD">
        <w:rPr>
          <w:rFonts w:cstheme="minorHAnsi"/>
          <w:sz w:val="20"/>
          <w:szCs w:val="20"/>
        </w:rPr>
        <w:t xml:space="preserve"> </w:t>
      </w:r>
      <w:r w:rsidRPr="00F5308A">
        <w:rPr>
          <w:rFonts w:cstheme="minorHAnsi"/>
          <w:sz w:val="20"/>
          <w:szCs w:val="20"/>
        </w:rPr>
        <w:t>[Accessed 24 January 2023].</w:t>
      </w:r>
    </w:p>
    <w:p w14:paraId="28D5AC00" w14:textId="218C03F1" w:rsidR="008D4808" w:rsidRDefault="008D4808" w:rsidP="008D4808">
      <w:pPr>
        <w:rPr>
          <w:rFonts w:cstheme="minorHAnsi"/>
          <w:sz w:val="20"/>
          <w:szCs w:val="20"/>
        </w:rPr>
      </w:pPr>
      <w:r w:rsidRPr="00174548">
        <w:rPr>
          <w:rFonts w:cstheme="minorHAnsi"/>
          <w:sz w:val="20"/>
          <w:szCs w:val="20"/>
        </w:rPr>
        <w:lastRenderedPageBreak/>
        <w:t>Grierson, J. (2019). Reports of county lines child exploitation likely to increase, say police. The Guardian. [Online]. 16 September 2019. Available at https://www.theguardian.com/uk-news/2019/sep/16/county-lines-child-exploitation-police [Accessed 28/11/2022].</w:t>
      </w:r>
    </w:p>
    <w:p w14:paraId="56E97921" w14:textId="344A0DA4" w:rsidR="008D4808" w:rsidRDefault="008D4808" w:rsidP="008D4808">
      <w:pPr>
        <w:rPr>
          <w:rFonts w:cstheme="minorHAnsi"/>
          <w:sz w:val="20"/>
          <w:szCs w:val="20"/>
        </w:rPr>
      </w:pPr>
      <w:r w:rsidRPr="00423877">
        <w:rPr>
          <w:rFonts w:cstheme="minorHAnsi"/>
          <w:sz w:val="20"/>
          <w:szCs w:val="20"/>
        </w:rPr>
        <w:t>Henry, A. (2007). Policing and Ethnic Minorities. Transformations of Policing. 1(1), pp.1-33. [Online]. Available at: https://doi.org/10.4324/9781315235776 [Accessed 24 January 2023].</w:t>
      </w:r>
    </w:p>
    <w:p w14:paraId="43DAC9AE" w14:textId="652190D5" w:rsidR="00426D47" w:rsidRDefault="00426D47" w:rsidP="00426D47">
      <w:pPr>
        <w:rPr>
          <w:rFonts w:cstheme="minorHAnsi"/>
          <w:sz w:val="20"/>
          <w:szCs w:val="20"/>
        </w:rPr>
      </w:pPr>
      <w:r w:rsidRPr="005B537F">
        <w:rPr>
          <w:rFonts w:cstheme="minorHAnsi"/>
          <w:sz w:val="20"/>
          <w:szCs w:val="20"/>
        </w:rPr>
        <w:t>Hilder, S. and Kemshall, H. (2013). Multi-Agency Approaches to Effective Risk Management in the Community in England and Wales. In What Works in Offender Rehabilitation (eds L.A. Craig, L. Dixon and T.A. Gannon). </w:t>
      </w:r>
      <w:hyperlink r:id="rId12" w:history="1">
        <w:r w:rsidRPr="005B537F">
          <w:rPr>
            <w:rFonts w:cstheme="minorHAnsi"/>
            <w:sz w:val="20"/>
            <w:szCs w:val="20"/>
          </w:rPr>
          <w:t>https://doi.org/10.1002/9781118320655.ch24</w:t>
        </w:r>
      </w:hyperlink>
      <w:r>
        <w:rPr>
          <w:rFonts w:cstheme="minorHAnsi"/>
          <w:sz w:val="20"/>
          <w:szCs w:val="20"/>
        </w:rPr>
        <w:t xml:space="preserve"> </w:t>
      </w:r>
      <w:r w:rsidRPr="00157241">
        <w:rPr>
          <w:rFonts w:cstheme="minorHAnsi"/>
          <w:sz w:val="20"/>
          <w:szCs w:val="20"/>
        </w:rPr>
        <w:t xml:space="preserve">[Accessed </w:t>
      </w:r>
      <w:r>
        <w:rPr>
          <w:rFonts w:cstheme="minorHAnsi"/>
          <w:sz w:val="20"/>
          <w:szCs w:val="20"/>
        </w:rPr>
        <w:t>26</w:t>
      </w:r>
      <w:r w:rsidRPr="00157241">
        <w:rPr>
          <w:rFonts w:cstheme="minorHAnsi"/>
          <w:sz w:val="20"/>
          <w:szCs w:val="20"/>
        </w:rPr>
        <w:t xml:space="preserve"> January 2023].</w:t>
      </w:r>
    </w:p>
    <w:p w14:paraId="53BE37E9" w14:textId="49DF1138" w:rsidR="00426D47" w:rsidRDefault="00426D47" w:rsidP="00426D47">
      <w:pPr>
        <w:rPr>
          <w:rFonts w:cstheme="minorHAnsi"/>
          <w:sz w:val="20"/>
          <w:szCs w:val="20"/>
        </w:rPr>
      </w:pPr>
      <w:r w:rsidRPr="0093684A">
        <w:rPr>
          <w:rFonts w:cstheme="minorHAnsi"/>
          <w:sz w:val="20"/>
          <w:szCs w:val="20"/>
        </w:rPr>
        <w:t>Home Office. (2012). Definition of policing by consent. [Online].</w:t>
      </w:r>
      <w:r>
        <w:rPr>
          <w:rFonts w:ascii="Noto Sans" w:hAnsi="Noto Sans" w:cs="Noto Sans"/>
          <w:color w:val="000000"/>
          <w:sz w:val="30"/>
          <w:szCs w:val="30"/>
          <w:shd w:val="clear" w:color="auto" w:fill="FFFFFF"/>
        </w:rPr>
        <w:t xml:space="preserve"> </w:t>
      </w:r>
      <w:r w:rsidRPr="0093684A">
        <w:rPr>
          <w:rFonts w:cstheme="minorHAnsi"/>
          <w:sz w:val="20"/>
          <w:szCs w:val="20"/>
        </w:rPr>
        <w:t>Gov.uk. Last Updated: 10 December 2012. Available at: https://www.gov.uk/government/publications/policing-by-consent/definition-of-policing-by-consent [Accessed 12 January 2023].</w:t>
      </w:r>
    </w:p>
    <w:p w14:paraId="3B77F8F2" w14:textId="7212006C" w:rsidR="00426D47" w:rsidRDefault="00426D47" w:rsidP="00426D47">
      <w:pPr>
        <w:rPr>
          <w:rFonts w:cstheme="minorHAnsi"/>
          <w:sz w:val="20"/>
          <w:szCs w:val="20"/>
        </w:rPr>
      </w:pPr>
      <w:r w:rsidRPr="00BB51DE">
        <w:rPr>
          <w:rFonts w:cstheme="minorHAnsi"/>
          <w:sz w:val="20"/>
          <w:szCs w:val="20"/>
        </w:rPr>
        <w:t>Home Office. (2022). Management of terrorist offenders: Police, Crime, Sentencing and Courts Act 2022 factsheet. [Online]. GOV.UK. Last Updated: 20 August 2022. Available at: https://www.gov.uk/government/publications/police-crime-sentencing-and-courts-bill-2021-factsheets/p [Accessed 11 January 2023].</w:t>
      </w:r>
    </w:p>
    <w:p w14:paraId="20727470" w14:textId="77777777" w:rsidR="00426D47" w:rsidRDefault="00426D47" w:rsidP="00426D47">
      <w:pPr>
        <w:rPr>
          <w:rFonts w:cstheme="minorHAnsi"/>
          <w:sz w:val="20"/>
          <w:szCs w:val="20"/>
        </w:rPr>
      </w:pPr>
      <w:r w:rsidRPr="00297D50">
        <w:rPr>
          <w:rFonts w:cstheme="minorHAnsi"/>
          <w:sz w:val="20"/>
          <w:szCs w:val="20"/>
        </w:rPr>
        <w:t>IOPC. (2018). Hillsborough investigation. [Online]. IOPC. Last Updated: 7th January 2018. Available at: https://www.policeconduct.gov.uk/investigations/hillsborough-investigation#criminaltrial [Accessed 12 January 2023].</w:t>
      </w:r>
    </w:p>
    <w:p w14:paraId="37A718E2" w14:textId="5EA32F89" w:rsidR="00426D47" w:rsidRDefault="00426D47" w:rsidP="00426D47">
      <w:pPr>
        <w:rPr>
          <w:rFonts w:cstheme="minorHAnsi"/>
          <w:sz w:val="20"/>
          <w:szCs w:val="20"/>
        </w:rPr>
      </w:pPr>
      <w:r w:rsidRPr="008D3A3C">
        <w:rPr>
          <w:rFonts w:cstheme="minorHAnsi"/>
          <w:sz w:val="20"/>
          <w:szCs w:val="20"/>
        </w:rPr>
        <w:t xml:space="preserve">Jackson, J., Bradford, B., Stanko, B., &amp; Hohl, K. (2012). Just Authority?: Trust in the Police in England and Wales (1st ed.). Willan. </w:t>
      </w:r>
      <w:hyperlink r:id="rId13" w:history="1">
        <w:r w:rsidRPr="008D3A3C">
          <w:rPr>
            <w:rFonts w:cstheme="minorHAnsi"/>
            <w:sz w:val="20"/>
            <w:szCs w:val="20"/>
          </w:rPr>
          <w:t>https://doi.org/10.4324/9780203105610</w:t>
        </w:r>
      </w:hyperlink>
      <w:r w:rsidRPr="008D3A3C">
        <w:rPr>
          <w:rFonts w:cstheme="minorHAnsi"/>
          <w:sz w:val="20"/>
          <w:szCs w:val="20"/>
        </w:rPr>
        <w:t xml:space="preserve"> </w:t>
      </w:r>
      <w:r w:rsidRPr="00297D50">
        <w:rPr>
          <w:rFonts w:cstheme="minorHAnsi"/>
          <w:sz w:val="20"/>
          <w:szCs w:val="20"/>
        </w:rPr>
        <w:t xml:space="preserve">[Accessed </w:t>
      </w:r>
      <w:r>
        <w:rPr>
          <w:rFonts w:cstheme="minorHAnsi"/>
          <w:sz w:val="20"/>
          <w:szCs w:val="20"/>
        </w:rPr>
        <w:t>30</w:t>
      </w:r>
      <w:r w:rsidRPr="00297D50">
        <w:rPr>
          <w:rFonts w:cstheme="minorHAnsi"/>
          <w:sz w:val="20"/>
          <w:szCs w:val="20"/>
        </w:rPr>
        <w:t xml:space="preserve"> January 2023].</w:t>
      </w:r>
    </w:p>
    <w:p w14:paraId="17FA2273" w14:textId="57BEA26F" w:rsidR="00426D47" w:rsidRDefault="00426D47" w:rsidP="008D4808">
      <w:pPr>
        <w:rPr>
          <w:rFonts w:cstheme="minorHAnsi"/>
          <w:sz w:val="20"/>
          <w:szCs w:val="20"/>
        </w:rPr>
      </w:pPr>
      <w:r w:rsidRPr="00CA2D32">
        <w:rPr>
          <w:rFonts w:cstheme="minorHAnsi"/>
          <w:sz w:val="20"/>
          <w:szCs w:val="20"/>
        </w:rPr>
        <w:t>Jonathan Hall. (2020). Terrorist Risk Offenders: Independent Review of Statutory Multi-Agency Public Protection Arrangements. [Online]. GOV.UK. Last Updated: May 2020. Available at: https://assets.publishing.service.gov.uk/government/uploads/system/uploads/attachment_data/file/9139 [Accessed 11 January 2023].</w:t>
      </w:r>
    </w:p>
    <w:p w14:paraId="5C23CF36" w14:textId="18BC9A00" w:rsidR="00426D47" w:rsidRDefault="00426D47" w:rsidP="00426D47">
      <w:pPr>
        <w:rPr>
          <w:rFonts w:cstheme="minorHAnsi"/>
          <w:sz w:val="20"/>
          <w:szCs w:val="20"/>
        </w:rPr>
      </w:pPr>
      <w:r w:rsidRPr="00FE12AF">
        <w:rPr>
          <w:rFonts w:cstheme="minorHAnsi"/>
          <w:sz w:val="20"/>
          <w:szCs w:val="20"/>
        </w:rPr>
        <w:t>K</w:t>
      </w:r>
      <w:r>
        <w:rPr>
          <w:rFonts w:cstheme="minorHAnsi"/>
          <w:sz w:val="20"/>
          <w:szCs w:val="20"/>
        </w:rPr>
        <w:t>emshall</w:t>
      </w:r>
      <w:r w:rsidRPr="00FE12AF">
        <w:rPr>
          <w:rFonts w:cstheme="minorHAnsi"/>
          <w:sz w:val="20"/>
          <w:szCs w:val="20"/>
        </w:rPr>
        <w:t>, H., &amp; M</w:t>
      </w:r>
      <w:r>
        <w:rPr>
          <w:rFonts w:cstheme="minorHAnsi"/>
          <w:sz w:val="20"/>
          <w:szCs w:val="20"/>
        </w:rPr>
        <w:t>aguire</w:t>
      </w:r>
      <w:r w:rsidRPr="00FE12AF">
        <w:rPr>
          <w:rFonts w:cstheme="minorHAnsi"/>
          <w:sz w:val="20"/>
          <w:szCs w:val="20"/>
        </w:rPr>
        <w:t>, M. (2001). Public Protection, Partnership and Risk Penalty: The Multi-Agency Risk Management of Sexual and Violent Offenders. Punishment &amp; Society, 3(2), 237–264. </w:t>
      </w:r>
      <w:hyperlink r:id="rId14" w:history="1">
        <w:r w:rsidRPr="00FE12AF">
          <w:rPr>
            <w:rFonts w:cstheme="minorHAnsi"/>
            <w:sz w:val="20"/>
            <w:szCs w:val="20"/>
          </w:rPr>
          <w:t>https://doi.org/10.1177/14624740122228311</w:t>
        </w:r>
      </w:hyperlink>
      <w:r>
        <w:rPr>
          <w:rFonts w:cstheme="minorHAnsi"/>
          <w:sz w:val="20"/>
          <w:szCs w:val="20"/>
        </w:rPr>
        <w:t xml:space="preserve"> </w:t>
      </w:r>
      <w:r w:rsidRPr="00CC03CA">
        <w:rPr>
          <w:rFonts w:cstheme="minorHAnsi"/>
          <w:sz w:val="20"/>
          <w:szCs w:val="20"/>
        </w:rPr>
        <w:t xml:space="preserve">[Accessed </w:t>
      </w:r>
      <w:r>
        <w:rPr>
          <w:rFonts w:cstheme="minorHAnsi"/>
          <w:sz w:val="20"/>
          <w:szCs w:val="20"/>
        </w:rPr>
        <w:t>20</w:t>
      </w:r>
      <w:r w:rsidRPr="00CC03CA">
        <w:rPr>
          <w:rFonts w:cstheme="minorHAnsi"/>
          <w:sz w:val="20"/>
          <w:szCs w:val="20"/>
        </w:rPr>
        <w:t xml:space="preserve"> </w:t>
      </w:r>
      <w:r>
        <w:rPr>
          <w:rFonts w:cstheme="minorHAnsi"/>
          <w:sz w:val="20"/>
          <w:szCs w:val="20"/>
        </w:rPr>
        <w:t>January</w:t>
      </w:r>
      <w:r w:rsidRPr="00CC03CA">
        <w:rPr>
          <w:rFonts w:cstheme="minorHAnsi"/>
          <w:sz w:val="20"/>
          <w:szCs w:val="20"/>
        </w:rPr>
        <w:t xml:space="preserve"> 202</w:t>
      </w:r>
      <w:r>
        <w:rPr>
          <w:rFonts w:cstheme="minorHAnsi"/>
          <w:sz w:val="20"/>
          <w:szCs w:val="20"/>
        </w:rPr>
        <w:t>3</w:t>
      </w:r>
      <w:r w:rsidRPr="00CC03CA">
        <w:rPr>
          <w:rFonts w:cstheme="minorHAnsi"/>
          <w:sz w:val="20"/>
          <w:szCs w:val="20"/>
        </w:rPr>
        <w:t>].</w:t>
      </w:r>
    </w:p>
    <w:p w14:paraId="166CBC68" w14:textId="4F7E1E35" w:rsidR="00426D47" w:rsidRDefault="00426D47" w:rsidP="00426D47">
      <w:pPr>
        <w:rPr>
          <w:rFonts w:cstheme="minorHAnsi"/>
          <w:sz w:val="20"/>
          <w:szCs w:val="20"/>
        </w:rPr>
      </w:pPr>
      <w:r w:rsidRPr="00333919">
        <w:rPr>
          <w:rFonts w:cstheme="minorHAnsi"/>
          <w:sz w:val="20"/>
          <w:szCs w:val="20"/>
        </w:rPr>
        <w:t>Law, I. (2015). Scarman Report, The. In The Wiley Blackwell Encyclopedia of Race, Ethnicity, and Nationalism (eds A.D. Smith, X. Hou, J. Stone, R. Dennis and P.Rizova). </w:t>
      </w:r>
      <w:hyperlink r:id="rId15" w:history="1">
        <w:r w:rsidRPr="00333919">
          <w:rPr>
            <w:rFonts w:cstheme="minorHAnsi"/>
            <w:sz w:val="20"/>
            <w:szCs w:val="20"/>
          </w:rPr>
          <w:t>https://doi.org/10.1002/9781118663202.wberen102</w:t>
        </w:r>
      </w:hyperlink>
      <w:r>
        <w:rPr>
          <w:rFonts w:cstheme="minorHAnsi"/>
          <w:sz w:val="20"/>
          <w:szCs w:val="20"/>
        </w:rPr>
        <w:t xml:space="preserve"> </w:t>
      </w:r>
      <w:r w:rsidRPr="00F5308A">
        <w:rPr>
          <w:rFonts w:cstheme="minorHAnsi"/>
          <w:sz w:val="20"/>
          <w:szCs w:val="20"/>
        </w:rPr>
        <w:t>[Accessed 24 January 2023].</w:t>
      </w:r>
    </w:p>
    <w:p w14:paraId="2FE3B0D7" w14:textId="77777777" w:rsidR="00426D47" w:rsidRDefault="00426D47" w:rsidP="00426D47">
      <w:pPr>
        <w:rPr>
          <w:rFonts w:cstheme="minorHAnsi"/>
          <w:sz w:val="20"/>
          <w:szCs w:val="20"/>
        </w:rPr>
      </w:pPr>
      <w:r w:rsidRPr="003C32CF">
        <w:rPr>
          <w:rFonts w:cstheme="minorHAnsi"/>
          <w:sz w:val="20"/>
          <w:szCs w:val="20"/>
        </w:rPr>
        <w:t>Maguire, M., Kemshall, H., Noaks, L., Sharpe, K. and Wincup, E. (2001). Risk Management of Sexual and Violent Offenders: The Work of Public Protection Panels. [Online]. Research Gate. Last Updated: January 2001. Available at:</w:t>
      </w:r>
      <w:r>
        <w:rPr>
          <w:rFonts w:cstheme="minorHAnsi"/>
          <w:sz w:val="20"/>
          <w:szCs w:val="20"/>
        </w:rPr>
        <w:t xml:space="preserve"> </w:t>
      </w:r>
      <w:r w:rsidRPr="003C32CF">
        <w:rPr>
          <w:rFonts w:cstheme="minorHAnsi"/>
          <w:sz w:val="20"/>
          <w:szCs w:val="20"/>
        </w:rPr>
        <w:t>https://www.researchgate.net/publication/237768373_Risk_Management_of_Sexual_and_Violent_Offenders_T [Accessed 26 January 2023].</w:t>
      </w:r>
    </w:p>
    <w:p w14:paraId="4D04016B" w14:textId="536A05FC" w:rsidR="00426D47" w:rsidRDefault="00426D47" w:rsidP="00426D47">
      <w:pPr>
        <w:rPr>
          <w:rFonts w:cstheme="minorHAnsi"/>
          <w:sz w:val="20"/>
          <w:szCs w:val="20"/>
        </w:rPr>
      </w:pPr>
      <w:r w:rsidRPr="0075270D">
        <w:rPr>
          <w:rFonts w:cstheme="minorHAnsi"/>
          <w:sz w:val="20"/>
          <w:szCs w:val="20"/>
        </w:rPr>
        <w:t>Matthews, R. (</w:t>
      </w:r>
      <w:r>
        <w:rPr>
          <w:rFonts w:cstheme="minorHAnsi"/>
          <w:sz w:val="20"/>
          <w:szCs w:val="20"/>
        </w:rPr>
        <w:t>2023</w:t>
      </w:r>
      <w:r w:rsidRPr="0075270D">
        <w:rPr>
          <w:rFonts w:cstheme="minorHAnsi"/>
          <w:sz w:val="20"/>
          <w:szCs w:val="20"/>
        </w:rPr>
        <w:t xml:space="preserve">) The Principles of Policing, Rupert Matthews PPC for Leicestershire and Rutland. Rupert Matthews. Available at: https://www.rupertmatthews.org.uk/principles-policing#:~:text=In%20time%20Peel%27s%20principles%20became%20codified%20as%20nine,to%20secure%20and%20maintain%20public%20respect.%20More%20items (Accessed: January 12, 2023). </w:t>
      </w:r>
    </w:p>
    <w:p w14:paraId="25747415" w14:textId="3B82BF4C" w:rsidR="00426D47" w:rsidRDefault="00426D47" w:rsidP="00426D47">
      <w:pPr>
        <w:rPr>
          <w:rFonts w:cstheme="minorHAnsi"/>
          <w:sz w:val="20"/>
          <w:szCs w:val="20"/>
        </w:rPr>
      </w:pPr>
      <w:r w:rsidRPr="00B85286">
        <w:rPr>
          <w:rFonts w:cstheme="minorHAnsi"/>
          <w:sz w:val="20"/>
          <w:szCs w:val="20"/>
        </w:rPr>
        <w:t>Michael Lockwood. (2020). Why independent scrutiny of police matters. [Online]. IOPC. Last Updated: 4th June 2020. Available at: https://www.policeconduct.gov.uk/news/our-podcasts-and-blogs/why-independent-scrutiny-police-matters [Accessed 12 January 2023].</w:t>
      </w:r>
    </w:p>
    <w:p w14:paraId="2DB7537E" w14:textId="77777777" w:rsidR="00426D47" w:rsidRDefault="00426D47" w:rsidP="00426D47">
      <w:pPr>
        <w:rPr>
          <w:rFonts w:cstheme="minorHAnsi"/>
          <w:sz w:val="20"/>
          <w:szCs w:val="20"/>
        </w:rPr>
      </w:pPr>
      <w:r w:rsidRPr="001F3B71">
        <w:rPr>
          <w:rFonts w:cstheme="minorHAnsi"/>
          <w:sz w:val="20"/>
          <w:szCs w:val="20"/>
        </w:rPr>
        <w:t>M</w:t>
      </w:r>
      <w:r>
        <w:rPr>
          <w:rFonts w:cstheme="minorHAnsi"/>
          <w:sz w:val="20"/>
          <w:szCs w:val="20"/>
        </w:rPr>
        <w:t>inistry of Justice</w:t>
      </w:r>
      <w:r w:rsidRPr="001F3B71">
        <w:rPr>
          <w:rFonts w:cstheme="minorHAnsi"/>
          <w:sz w:val="20"/>
          <w:szCs w:val="20"/>
        </w:rPr>
        <w:t xml:space="preserve">. (2022). Multi-agency public protection arrangements (MAPPA) annual: 2021 to 2022. [Online]. GOV.UK. Last Updated: 27 October 2022. Available at: </w:t>
      </w:r>
      <w:r w:rsidRPr="001F3B71">
        <w:rPr>
          <w:rFonts w:cstheme="minorHAnsi"/>
          <w:sz w:val="20"/>
          <w:szCs w:val="20"/>
        </w:rPr>
        <w:lastRenderedPageBreak/>
        <w:t>https://www.gov.uk/government/statistics/multi-agency-public-protection-arrangements-mappa-annual-20 [Accessed 11 January 2023].</w:t>
      </w:r>
    </w:p>
    <w:p w14:paraId="6D0AD8A5" w14:textId="5F05D00C" w:rsidR="00426D47" w:rsidRDefault="00426D47" w:rsidP="00426D47">
      <w:pPr>
        <w:rPr>
          <w:rFonts w:cstheme="minorHAnsi"/>
          <w:sz w:val="20"/>
          <w:szCs w:val="20"/>
        </w:rPr>
      </w:pPr>
      <w:r w:rsidRPr="003C7831">
        <w:rPr>
          <w:rFonts w:cstheme="minorHAnsi"/>
          <w:sz w:val="20"/>
          <w:szCs w:val="20"/>
        </w:rPr>
        <w:t>Morris, S. (2004). 'Chances missed to stop Soham murderer'. [Online]. The Guardian. Last Updated: 22 July 2004. Available at: https://www.theguardian.com/society/2004/jul/22/socialcare.soham [Accessed 26 January 2023].</w:t>
      </w:r>
    </w:p>
    <w:p w14:paraId="67FF4EFD" w14:textId="6048365D" w:rsidR="004F32E5" w:rsidRDefault="00426D47" w:rsidP="004F32E5">
      <w:pPr>
        <w:rPr>
          <w:rFonts w:cstheme="minorHAnsi"/>
          <w:sz w:val="20"/>
          <w:szCs w:val="20"/>
        </w:rPr>
      </w:pPr>
      <w:r w:rsidRPr="006449BE">
        <w:rPr>
          <w:rFonts w:cstheme="minorHAnsi"/>
          <w:sz w:val="20"/>
          <w:szCs w:val="20"/>
        </w:rPr>
        <w:t>Murphy and McKenna. (Unknown). Police Investigating Police: A Critical Analysis of the Literature. [Online]. Government of Canada. Last Updated: Unknown. Available at: https://crcc-ccetp.gc.ca/en/police-investigating-police-critical-analysis-literature [Accessed 12 January 2023].</w:t>
      </w:r>
    </w:p>
    <w:p w14:paraId="48863912" w14:textId="20C4B11C" w:rsidR="004F32E5" w:rsidRDefault="004F32E5" w:rsidP="004F32E5">
      <w:pPr>
        <w:rPr>
          <w:rFonts w:cstheme="minorHAnsi"/>
          <w:sz w:val="20"/>
          <w:szCs w:val="20"/>
        </w:rPr>
      </w:pPr>
      <w:r w:rsidRPr="00BF2EF4">
        <w:rPr>
          <w:rFonts w:cstheme="minorHAnsi"/>
          <w:sz w:val="20"/>
          <w:szCs w:val="20"/>
        </w:rPr>
        <w:t>National Crime Agency. (Unknown). County Lines. [Online]. National Crime Agency. Last Updated: Unknown. Available at: https://www.nationalcrimeagency.gov.uk/what-we-do/crime-threats/drug-trafficking/county-lines#:~:tex [Accessed 28 November 2022].</w:t>
      </w:r>
    </w:p>
    <w:p w14:paraId="73E40AA5" w14:textId="77777777" w:rsidR="004F32E5" w:rsidRDefault="004F32E5" w:rsidP="004F32E5">
      <w:pPr>
        <w:rPr>
          <w:rFonts w:cstheme="minorHAnsi"/>
          <w:sz w:val="20"/>
          <w:szCs w:val="20"/>
        </w:rPr>
      </w:pPr>
      <w:r w:rsidRPr="00CC03CA">
        <w:rPr>
          <w:rFonts w:cstheme="minorHAnsi"/>
          <w:sz w:val="20"/>
          <w:szCs w:val="20"/>
        </w:rPr>
        <w:t>NPCC. (2022). Police forces shut down over 170 drug lines during national operation targeting county line drug dealing. [Online]. NPCC. Last Updated: 13th October 2022. Available at: https://news.npcc.police.uk/releases/police-forces-shut-down-over-170-drug-lines-during-national-ope [Accessed 29 November 2022].</w:t>
      </w:r>
    </w:p>
    <w:p w14:paraId="3DB0C0A1" w14:textId="23A948FD" w:rsidR="004F32E5" w:rsidRDefault="004F32E5" w:rsidP="00426D47">
      <w:pPr>
        <w:rPr>
          <w:rFonts w:cstheme="minorHAnsi"/>
          <w:sz w:val="20"/>
          <w:szCs w:val="20"/>
        </w:rPr>
      </w:pPr>
      <w:r w:rsidRPr="00F5308A">
        <w:rPr>
          <w:rFonts w:cstheme="minorHAnsi"/>
          <w:sz w:val="20"/>
          <w:szCs w:val="20"/>
        </w:rPr>
        <w:t>Nye, M. (2007). The Challenges of Multiculturalism. Culture and Religion: An Interdisciplinary Journal. 8(2). [Online]. Available at: https://doi.org/10.1080/14755610701458915 [Accessed 24 January 2023].</w:t>
      </w:r>
    </w:p>
    <w:p w14:paraId="31DA37A4" w14:textId="7B02CEAE" w:rsidR="004F32E5" w:rsidRDefault="004F32E5" w:rsidP="004F32E5">
      <w:pPr>
        <w:rPr>
          <w:rFonts w:cstheme="minorHAnsi"/>
          <w:sz w:val="20"/>
          <w:szCs w:val="20"/>
        </w:rPr>
      </w:pPr>
      <w:r w:rsidRPr="00074BE2">
        <w:rPr>
          <w:rFonts w:cstheme="minorHAnsi"/>
          <w:sz w:val="20"/>
          <w:szCs w:val="20"/>
        </w:rPr>
        <w:t>Office for National Statistics. (2022). Ethnic group, England and Wales: Census 2021. [Online]. ONS. Last Updated: 29th November 2022. Available at: https://www.ons.gov.uk/peoplepopulationandcommunity/culturalidentity/ethnicity/bulletins/ethnicgroup [Accessed 29 November 2022].</w:t>
      </w:r>
    </w:p>
    <w:p w14:paraId="1B95F9D9" w14:textId="5ACD1176" w:rsidR="004F32E5" w:rsidRDefault="004F32E5" w:rsidP="004F32E5">
      <w:pPr>
        <w:rPr>
          <w:rFonts w:cstheme="minorHAnsi"/>
          <w:sz w:val="20"/>
          <w:szCs w:val="20"/>
        </w:rPr>
      </w:pPr>
      <w:r>
        <w:rPr>
          <w:rFonts w:cstheme="minorHAnsi"/>
          <w:sz w:val="20"/>
          <w:szCs w:val="20"/>
        </w:rPr>
        <w:t xml:space="preserve">Policing Vision 2025 - </w:t>
      </w:r>
      <w:r w:rsidRPr="002928F0">
        <w:rPr>
          <w:rFonts w:cstheme="minorHAnsi"/>
          <w:sz w:val="20"/>
          <w:szCs w:val="20"/>
        </w:rPr>
        <w:t>NPCC. (2016). Policing Vision 2025. [Online]. NPCC. Last Updated: 2016. Available at: https://www.npcc.police.uk/documents/Policing%20Vision.pdf [Accessed 17 November 2022].</w:t>
      </w:r>
    </w:p>
    <w:p w14:paraId="6173DF15" w14:textId="77777777" w:rsidR="004F32E5" w:rsidRDefault="004F32E5" w:rsidP="004F32E5">
      <w:pPr>
        <w:rPr>
          <w:rFonts w:cstheme="minorHAnsi"/>
          <w:sz w:val="20"/>
          <w:szCs w:val="20"/>
        </w:rPr>
      </w:pPr>
      <w:r w:rsidRPr="00A40F0F">
        <w:rPr>
          <w:rFonts w:cstheme="minorHAnsi"/>
          <w:sz w:val="20"/>
          <w:szCs w:val="20"/>
        </w:rPr>
        <w:t>Rowe, M. ed., 2013. Policing Beyond Macpherson. Routledge. P161.</w:t>
      </w:r>
    </w:p>
    <w:p w14:paraId="542623E8" w14:textId="77777777" w:rsidR="00426D47" w:rsidRDefault="00426D47" w:rsidP="00426D47">
      <w:pPr>
        <w:rPr>
          <w:rFonts w:cstheme="minorHAnsi"/>
          <w:sz w:val="20"/>
          <w:szCs w:val="20"/>
        </w:rPr>
      </w:pPr>
      <w:r>
        <w:rPr>
          <w:rFonts w:cstheme="minorHAnsi"/>
          <w:sz w:val="20"/>
          <w:szCs w:val="20"/>
        </w:rPr>
        <w:t>Sir Robert Peel 1829.</w:t>
      </w:r>
    </w:p>
    <w:p w14:paraId="563C5FC2" w14:textId="77777777" w:rsidR="00426D47" w:rsidRDefault="00426D47" w:rsidP="00426D47">
      <w:pPr>
        <w:rPr>
          <w:rFonts w:cstheme="minorHAnsi"/>
          <w:sz w:val="20"/>
          <w:szCs w:val="20"/>
        </w:rPr>
      </w:pPr>
      <w:r w:rsidRPr="00F107EC">
        <w:rPr>
          <w:rFonts w:cstheme="minorHAnsi"/>
          <w:sz w:val="20"/>
          <w:szCs w:val="20"/>
        </w:rPr>
        <w:t>Sloper, P. (2004), Facilitators and barriers for co-ordinated multi-agency services. Child: Care, Health and Development, 30: 571-580. </w:t>
      </w:r>
      <w:hyperlink r:id="rId16" w:history="1">
        <w:r w:rsidRPr="00F107EC">
          <w:rPr>
            <w:rFonts w:cstheme="minorHAnsi"/>
            <w:sz w:val="20"/>
            <w:szCs w:val="20"/>
          </w:rPr>
          <w:t>https://doi.org/10.1111/j.1365-2214.2004.00468.x</w:t>
        </w:r>
      </w:hyperlink>
      <w:r>
        <w:rPr>
          <w:rFonts w:cstheme="minorHAnsi"/>
          <w:sz w:val="20"/>
          <w:szCs w:val="20"/>
        </w:rPr>
        <w:t xml:space="preserve"> [Accessed 26 January 2023)</w:t>
      </w:r>
    </w:p>
    <w:p w14:paraId="65328591" w14:textId="29D861EF" w:rsidR="00426D47" w:rsidRDefault="00426D47" w:rsidP="00426D47">
      <w:pPr>
        <w:rPr>
          <w:rFonts w:cstheme="minorHAnsi"/>
          <w:sz w:val="20"/>
          <w:szCs w:val="20"/>
        </w:rPr>
      </w:pPr>
      <w:r w:rsidRPr="008A190E">
        <w:rPr>
          <w:rFonts w:cstheme="minorHAnsi"/>
          <w:sz w:val="20"/>
          <w:szCs w:val="20"/>
        </w:rPr>
        <w:t>Smith, D. (2007). New Challenges to Police Legitimacy. In: Henry, A &amp; Smith, D. (Eds). Transformations of Policing. London: Routledge. pp.299-332.</w:t>
      </w:r>
      <w:r>
        <w:rPr>
          <w:rFonts w:cstheme="minorHAnsi"/>
          <w:sz w:val="20"/>
          <w:szCs w:val="20"/>
        </w:rPr>
        <w:t xml:space="preserve"> </w:t>
      </w:r>
      <w:hyperlink r:id="rId17" w:history="1">
        <w:r w:rsidR="004F32E5" w:rsidRPr="005A1983">
          <w:rPr>
            <w:rStyle w:val="Hyperlink"/>
            <w:rFonts w:cstheme="minorHAnsi"/>
            <w:sz w:val="20"/>
            <w:szCs w:val="20"/>
          </w:rPr>
          <w:t>https://doi.org/10.4324/9781315235776</w:t>
        </w:r>
      </w:hyperlink>
    </w:p>
    <w:p w14:paraId="5D1A08AD" w14:textId="5E4F1F6F" w:rsidR="004F32E5" w:rsidRDefault="004F32E5" w:rsidP="00426D47">
      <w:pPr>
        <w:rPr>
          <w:rFonts w:cstheme="minorHAnsi"/>
          <w:sz w:val="20"/>
          <w:szCs w:val="20"/>
        </w:rPr>
      </w:pPr>
      <w:r w:rsidRPr="001112E5">
        <w:rPr>
          <w:rFonts w:cstheme="minorHAnsi"/>
          <w:sz w:val="20"/>
          <w:szCs w:val="20"/>
        </w:rPr>
        <w:t>Srinivasan, N., &amp; Hearn, L. (2001). Policing in a Multicultural Society: A Changing Society, a Changing Police Culture? International Journal of Police Science &amp; Management, 3(4), 30</w:t>
      </w:r>
      <w:r>
        <w:rPr>
          <w:rFonts w:cstheme="minorHAnsi"/>
          <w:sz w:val="20"/>
          <w:szCs w:val="20"/>
        </w:rPr>
        <w:t xml:space="preserve">9 - </w:t>
      </w:r>
      <w:r w:rsidRPr="001112E5">
        <w:rPr>
          <w:rFonts w:cstheme="minorHAnsi"/>
          <w:sz w:val="20"/>
          <w:szCs w:val="20"/>
        </w:rPr>
        <w:t>323. </w:t>
      </w:r>
      <w:hyperlink r:id="rId18" w:history="1">
        <w:r w:rsidRPr="001112E5">
          <w:rPr>
            <w:rFonts w:cstheme="minorHAnsi"/>
            <w:sz w:val="20"/>
            <w:szCs w:val="20"/>
          </w:rPr>
          <w:t>https://doi.org/10.1177/146135570100300404</w:t>
        </w:r>
      </w:hyperlink>
      <w:r>
        <w:rPr>
          <w:rFonts w:cstheme="minorHAnsi"/>
          <w:sz w:val="20"/>
          <w:szCs w:val="20"/>
        </w:rPr>
        <w:t xml:space="preserve"> </w:t>
      </w:r>
      <w:r w:rsidRPr="00F5308A">
        <w:rPr>
          <w:rFonts w:cstheme="minorHAnsi"/>
          <w:sz w:val="20"/>
          <w:szCs w:val="20"/>
        </w:rPr>
        <w:t>[Accessed 24 January 2023].</w:t>
      </w:r>
    </w:p>
    <w:p w14:paraId="742577F5" w14:textId="51F9208D" w:rsidR="004F32E5" w:rsidRDefault="004F32E5" w:rsidP="004F32E5">
      <w:pPr>
        <w:rPr>
          <w:rFonts w:cstheme="minorHAnsi"/>
          <w:sz w:val="20"/>
          <w:szCs w:val="20"/>
        </w:rPr>
      </w:pPr>
      <w:r w:rsidRPr="005F00EA">
        <w:rPr>
          <w:rFonts w:cstheme="minorHAnsi"/>
          <w:sz w:val="20"/>
          <w:szCs w:val="20"/>
        </w:rPr>
        <w:t xml:space="preserve">Sunshine, J. and Tyler, T.R., 2003. The role of procedural justice and legitimacy in shaping public support for policing. Law &amp; society review, 37(3), pp.513-548. </w:t>
      </w:r>
      <w:hyperlink r:id="rId19" w:history="1">
        <w:r w:rsidRPr="005F00EA">
          <w:rPr>
            <w:rFonts w:cstheme="minorHAnsi"/>
            <w:sz w:val="20"/>
            <w:szCs w:val="20"/>
          </w:rPr>
          <w:t>https://doi.org/10.1111/1540-5893.3703002</w:t>
        </w:r>
      </w:hyperlink>
      <w:r>
        <w:rPr>
          <w:rFonts w:cstheme="minorHAnsi"/>
          <w:sz w:val="20"/>
          <w:szCs w:val="20"/>
        </w:rPr>
        <w:t xml:space="preserve"> </w:t>
      </w:r>
      <w:r w:rsidRPr="005F00EA">
        <w:rPr>
          <w:rFonts w:cstheme="minorHAnsi"/>
          <w:sz w:val="20"/>
          <w:szCs w:val="20"/>
        </w:rPr>
        <w:t> </w:t>
      </w:r>
      <w:r w:rsidRPr="00F5308A">
        <w:rPr>
          <w:rFonts w:cstheme="minorHAnsi"/>
          <w:sz w:val="20"/>
          <w:szCs w:val="20"/>
        </w:rPr>
        <w:t>[Accessed 24 January 2023].</w:t>
      </w:r>
    </w:p>
    <w:p w14:paraId="5D62A46D" w14:textId="4E0CD0C5" w:rsidR="004F32E5" w:rsidRDefault="004F32E5" w:rsidP="004F32E5">
      <w:pPr>
        <w:rPr>
          <w:rFonts w:cstheme="minorHAnsi"/>
          <w:sz w:val="20"/>
          <w:szCs w:val="20"/>
        </w:rPr>
      </w:pPr>
      <w:r w:rsidRPr="00D10D54">
        <w:rPr>
          <w:rFonts w:cstheme="minorHAnsi"/>
          <w:sz w:val="20"/>
          <w:szCs w:val="20"/>
        </w:rPr>
        <w:t xml:space="preserve">Theobald, D., Farrington, D.P. (2014). Onset of Offending. In: Bruinsma, G., Weisburd, D. (eds) Encyclopedia of Criminology and Criminal Justice. Springer, New York, NY. </w:t>
      </w:r>
      <w:r w:rsidRPr="00BB51DE">
        <w:rPr>
          <w:rFonts w:cstheme="minorHAnsi"/>
          <w:sz w:val="20"/>
          <w:szCs w:val="20"/>
        </w:rPr>
        <w:t>https://doi.org/10.1007/978-1-4614-5690-2_86</w:t>
      </w:r>
    </w:p>
    <w:p w14:paraId="720BA705" w14:textId="77777777" w:rsidR="004F32E5" w:rsidRDefault="004F32E5" w:rsidP="004F32E5">
      <w:pPr>
        <w:rPr>
          <w:rFonts w:cstheme="minorHAnsi"/>
          <w:sz w:val="20"/>
          <w:szCs w:val="20"/>
        </w:rPr>
      </w:pPr>
      <w:r w:rsidRPr="000A6992">
        <w:rPr>
          <w:rFonts w:cstheme="minorHAnsi"/>
          <w:sz w:val="20"/>
          <w:szCs w:val="20"/>
        </w:rPr>
        <w:t>Tyler, T. R. (2004). Enhancing Police Legitimacy. The ANNALS of the American Academy of Political and Social Science, 593(1), 84–99. </w:t>
      </w:r>
      <w:hyperlink r:id="rId20" w:history="1">
        <w:r w:rsidRPr="000A6992">
          <w:rPr>
            <w:rFonts w:cstheme="minorHAnsi"/>
            <w:sz w:val="20"/>
            <w:szCs w:val="20"/>
          </w:rPr>
          <w:t>https://doi.org/10.1177/0002716203262627</w:t>
        </w:r>
      </w:hyperlink>
      <w:r>
        <w:rPr>
          <w:rFonts w:cstheme="minorHAnsi"/>
          <w:sz w:val="20"/>
          <w:szCs w:val="20"/>
        </w:rPr>
        <w:t xml:space="preserve"> </w:t>
      </w:r>
      <w:r w:rsidRPr="006449BE">
        <w:rPr>
          <w:rFonts w:cstheme="minorHAnsi"/>
          <w:sz w:val="20"/>
          <w:szCs w:val="20"/>
        </w:rPr>
        <w:t xml:space="preserve">[Accessed </w:t>
      </w:r>
      <w:r>
        <w:rPr>
          <w:rFonts w:cstheme="minorHAnsi"/>
          <w:sz w:val="20"/>
          <w:szCs w:val="20"/>
        </w:rPr>
        <w:t>28</w:t>
      </w:r>
      <w:r w:rsidRPr="006449BE">
        <w:rPr>
          <w:rFonts w:cstheme="minorHAnsi"/>
          <w:sz w:val="20"/>
          <w:szCs w:val="20"/>
        </w:rPr>
        <w:t xml:space="preserve"> January 2023].</w:t>
      </w:r>
    </w:p>
    <w:p w14:paraId="642C1608" w14:textId="5CB1EC42" w:rsidR="008D4808" w:rsidRDefault="004F32E5" w:rsidP="008D4808">
      <w:pPr>
        <w:rPr>
          <w:rFonts w:cstheme="minorHAnsi"/>
          <w:sz w:val="20"/>
          <w:szCs w:val="20"/>
        </w:rPr>
      </w:pPr>
      <w:r w:rsidRPr="00E81515">
        <w:rPr>
          <w:rFonts w:cstheme="minorHAnsi"/>
          <w:sz w:val="20"/>
          <w:szCs w:val="20"/>
        </w:rPr>
        <w:t>Tyler, T. R. (2005). Policing in Black and White: Ethnic Group Differences in Trust and</w:t>
      </w:r>
      <w:r>
        <w:rPr>
          <w:rFonts w:ascii="Open Sans" w:hAnsi="Open Sans" w:cs="Open Sans"/>
          <w:color w:val="333333"/>
          <w:shd w:val="clear" w:color="auto" w:fill="FFFFFF"/>
        </w:rPr>
        <w:t xml:space="preserve"> </w:t>
      </w:r>
      <w:r w:rsidRPr="00E81515">
        <w:rPr>
          <w:rFonts w:cstheme="minorHAnsi"/>
          <w:sz w:val="20"/>
          <w:szCs w:val="20"/>
        </w:rPr>
        <w:t>Confidence in the Police. Police Quarterly, 8(3), 322–342. </w:t>
      </w:r>
      <w:hyperlink r:id="rId21" w:history="1">
        <w:r w:rsidRPr="00E81515">
          <w:rPr>
            <w:rFonts w:cstheme="minorHAnsi"/>
            <w:sz w:val="20"/>
            <w:szCs w:val="20"/>
          </w:rPr>
          <w:t>https://doi.org/10.1177/1098611104271105</w:t>
        </w:r>
      </w:hyperlink>
      <w:r>
        <w:rPr>
          <w:rFonts w:cstheme="minorHAnsi"/>
          <w:sz w:val="20"/>
          <w:szCs w:val="20"/>
        </w:rPr>
        <w:t xml:space="preserve"> </w:t>
      </w:r>
      <w:r w:rsidRPr="00F5308A">
        <w:rPr>
          <w:rFonts w:cstheme="minorHAnsi"/>
          <w:sz w:val="20"/>
          <w:szCs w:val="20"/>
        </w:rPr>
        <w:t>[Accessed 24 January 2023].</w:t>
      </w:r>
    </w:p>
    <w:p w14:paraId="6958B293" w14:textId="2E0199DC" w:rsidR="00BE7D20" w:rsidRDefault="00BE7D20" w:rsidP="009772E0">
      <w:pPr>
        <w:rPr>
          <w:rFonts w:cstheme="minorHAnsi"/>
          <w:sz w:val="20"/>
          <w:szCs w:val="20"/>
        </w:rPr>
      </w:pPr>
      <w:r>
        <w:rPr>
          <w:rFonts w:cstheme="minorHAnsi"/>
          <w:sz w:val="20"/>
          <w:szCs w:val="20"/>
        </w:rPr>
        <w:lastRenderedPageBreak/>
        <w:t xml:space="preserve">UK Government Data - </w:t>
      </w:r>
      <w:r w:rsidRPr="00BE7D20">
        <w:rPr>
          <w:rFonts w:cstheme="minorHAnsi"/>
          <w:sz w:val="20"/>
          <w:szCs w:val="20"/>
        </w:rPr>
        <w:t>GOV.UK. (2021). Police workforce. [Online]. GOV.UK. Last Updated: 29th January 2021. Available at: https://www.ethnicity-facts-figures.service.gov.uk/workforce-and-business/workforce-diversity/police [Accessed 17 November 2022].</w:t>
      </w:r>
    </w:p>
    <w:p w14:paraId="01869E26" w14:textId="2ECF19CA" w:rsidR="00124F86" w:rsidRDefault="00A94AC8" w:rsidP="009772E0">
      <w:pPr>
        <w:rPr>
          <w:rFonts w:cstheme="minorHAnsi"/>
          <w:sz w:val="20"/>
          <w:szCs w:val="20"/>
        </w:rPr>
      </w:pPr>
      <w:r w:rsidRPr="00A94AC8">
        <w:rPr>
          <w:rFonts w:cstheme="minorHAnsi"/>
          <w:sz w:val="20"/>
          <w:szCs w:val="20"/>
        </w:rPr>
        <w:t>Velasquez et al. (2010). What is Ethics?. [Online]. Markkula Center. Last Updated: January 1st 2010. Available at: https://www.scu.edu/ethics/ethics-resources/ethical-decision-making/what-is-ethics/ [Accessed 12 January 2023].</w:t>
      </w:r>
    </w:p>
    <w:p w14:paraId="2B699767" w14:textId="77777777" w:rsidR="004F32E5" w:rsidRDefault="004F32E5" w:rsidP="004F32E5">
      <w:pPr>
        <w:rPr>
          <w:rFonts w:cstheme="minorHAnsi"/>
          <w:color w:val="000000"/>
          <w:sz w:val="20"/>
          <w:szCs w:val="20"/>
          <w:shd w:val="clear" w:color="auto" w:fill="FFFFFF"/>
        </w:rPr>
      </w:pPr>
      <w:r w:rsidRPr="00EE247A">
        <w:rPr>
          <w:rFonts w:cstheme="minorHAnsi"/>
          <w:sz w:val="20"/>
          <w:szCs w:val="20"/>
        </w:rPr>
        <w:t xml:space="preserve">YouGov - </w:t>
      </w:r>
      <w:r w:rsidRPr="00EE247A">
        <w:rPr>
          <w:rFonts w:cstheme="minorHAnsi"/>
          <w:color w:val="000000"/>
          <w:sz w:val="20"/>
          <w:szCs w:val="20"/>
          <w:shd w:val="clear" w:color="auto" w:fill="FFFFFF"/>
        </w:rPr>
        <w:t>YouGov. (2021). </w:t>
      </w:r>
      <w:r w:rsidRPr="00EE247A">
        <w:rPr>
          <w:rFonts w:cstheme="minorHAnsi"/>
          <w:i/>
          <w:iCs/>
          <w:color w:val="000000"/>
          <w:sz w:val="20"/>
          <w:szCs w:val="20"/>
        </w:rPr>
        <w:t>Trust in the police has fallen amongst ethnic minority Britons</w:t>
      </w:r>
      <w:r w:rsidRPr="00EE247A">
        <w:rPr>
          <w:rFonts w:cstheme="minorHAnsi"/>
          <w:color w:val="000000"/>
          <w:sz w:val="20"/>
          <w:szCs w:val="20"/>
          <w:shd w:val="clear" w:color="auto" w:fill="FFFFFF"/>
        </w:rPr>
        <w:t>. [Online]. YouGov. Last Updated: 15th December 2021. Available at: https://yougov.co.uk/topics/politics/articles-reports/2021/12/15/trust-police-has-fallen-amongst-eth [Accessed 17 November 2022].</w:t>
      </w:r>
    </w:p>
    <w:p w14:paraId="5A1D26E2" w14:textId="77777777" w:rsidR="004F32E5" w:rsidRDefault="004F32E5" w:rsidP="009772E0">
      <w:pPr>
        <w:rPr>
          <w:rFonts w:cstheme="minorHAnsi"/>
          <w:sz w:val="20"/>
          <w:szCs w:val="20"/>
        </w:rPr>
      </w:pPr>
    </w:p>
    <w:p w14:paraId="6EDC088B" w14:textId="77777777" w:rsidR="004F32E5" w:rsidRDefault="004F32E5" w:rsidP="009772E0">
      <w:pPr>
        <w:rPr>
          <w:rFonts w:cstheme="minorHAnsi"/>
          <w:sz w:val="20"/>
          <w:szCs w:val="20"/>
        </w:rPr>
      </w:pPr>
    </w:p>
    <w:sectPr w:rsidR="004F32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6C580" w14:textId="77777777" w:rsidR="00DD1D46" w:rsidRDefault="00DD1D46" w:rsidP="00996CC1">
      <w:pPr>
        <w:spacing w:after="0" w:line="240" w:lineRule="auto"/>
      </w:pPr>
      <w:r>
        <w:separator/>
      </w:r>
    </w:p>
  </w:endnote>
  <w:endnote w:type="continuationSeparator" w:id="0">
    <w:p w14:paraId="6054F2DD" w14:textId="77777777" w:rsidR="00DD1D46" w:rsidRDefault="00DD1D46" w:rsidP="00996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oto Sans">
    <w:charset w:val="00"/>
    <w:family w:val="swiss"/>
    <w:pitch w:val="variable"/>
    <w:sig w:usb0="E00082FF" w:usb1="400078FF" w:usb2="00000021" w:usb3="00000000" w:csb0="000001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9AA3F" w14:textId="77777777" w:rsidR="00DD1D46" w:rsidRDefault="00DD1D46" w:rsidP="00996CC1">
      <w:pPr>
        <w:spacing w:after="0" w:line="240" w:lineRule="auto"/>
      </w:pPr>
      <w:r>
        <w:separator/>
      </w:r>
    </w:p>
  </w:footnote>
  <w:footnote w:type="continuationSeparator" w:id="0">
    <w:p w14:paraId="062C4F84" w14:textId="77777777" w:rsidR="00DD1D46" w:rsidRDefault="00DD1D46" w:rsidP="00996C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B0583"/>
    <w:multiLevelType w:val="hybridMultilevel"/>
    <w:tmpl w:val="3AFAD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66DB1"/>
    <w:multiLevelType w:val="hybridMultilevel"/>
    <w:tmpl w:val="D102C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47AC3"/>
    <w:multiLevelType w:val="multilevel"/>
    <w:tmpl w:val="C420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906E36"/>
    <w:multiLevelType w:val="multilevel"/>
    <w:tmpl w:val="A97A3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2307F9"/>
    <w:multiLevelType w:val="multilevel"/>
    <w:tmpl w:val="38E05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625748">
    <w:abstractNumId w:val="3"/>
  </w:num>
  <w:num w:numId="2" w16cid:durableId="1173183850">
    <w:abstractNumId w:val="2"/>
  </w:num>
  <w:num w:numId="3" w16cid:durableId="1928537313">
    <w:abstractNumId w:val="0"/>
  </w:num>
  <w:num w:numId="4" w16cid:durableId="872813070">
    <w:abstractNumId w:val="4"/>
  </w:num>
  <w:num w:numId="5" w16cid:durableId="806315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950"/>
    <w:rsid w:val="00005FB9"/>
    <w:rsid w:val="00034F64"/>
    <w:rsid w:val="000350E9"/>
    <w:rsid w:val="00046D73"/>
    <w:rsid w:val="00074BE2"/>
    <w:rsid w:val="00084D53"/>
    <w:rsid w:val="000A03C8"/>
    <w:rsid w:val="000A6992"/>
    <w:rsid w:val="000C741A"/>
    <w:rsid w:val="000C776E"/>
    <w:rsid w:val="000D375E"/>
    <w:rsid w:val="00121095"/>
    <w:rsid w:val="0012318C"/>
    <w:rsid w:val="00124F86"/>
    <w:rsid w:val="00125A13"/>
    <w:rsid w:val="001538E4"/>
    <w:rsid w:val="00157241"/>
    <w:rsid w:val="001624F3"/>
    <w:rsid w:val="00174548"/>
    <w:rsid w:val="001805F6"/>
    <w:rsid w:val="00191D65"/>
    <w:rsid w:val="00193747"/>
    <w:rsid w:val="001D79F6"/>
    <w:rsid w:val="001F3B71"/>
    <w:rsid w:val="00211E68"/>
    <w:rsid w:val="00212CB2"/>
    <w:rsid w:val="002211F4"/>
    <w:rsid w:val="00231A67"/>
    <w:rsid w:val="00245D25"/>
    <w:rsid w:val="00282DAA"/>
    <w:rsid w:val="00291BB1"/>
    <w:rsid w:val="002928F0"/>
    <w:rsid w:val="00293FA4"/>
    <w:rsid w:val="00297D50"/>
    <w:rsid w:val="002D7276"/>
    <w:rsid w:val="002F06FA"/>
    <w:rsid w:val="002F0D5C"/>
    <w:rsid w:val="002F297C"/>
    <w:rsid w:val="00323EF3"/>
    <w:rsid w:val="00356AEA"/>
    <w:rsid w:val="00371891"/>
    <w:rsid w:val="003905BE"/>
    <w:rsid w:val="0039309C"/>
    <w:rsid w:val="0039792E"/>
    <w:rsid w:val="003A5E73"/>
    <w:rsid w:val="003C32CF"/>
    <w:rsid w:val="003C7831"/>
    <w:rsid w:val="003D4FC5"/>
    <w:rsid w:val="003F6A8E"/>
    <w:rsid w:val="004141EE"/>
    <w:rsid w:val="00426D47"/>
    <w:rsid w:val="00427552"/>
    <w:rsid w:val="00430E0E"/>
    <w:rsid w:val="004331D4"/>
    <w:rsid w:val="0043734D"/>
    <w:rsid w:val="00442143"/>
    <w:rsid w:val="00452015"/>
    <w:rsid w:val="00463EA0"/>
    <w:rsid w:val="00470E57"/>
    <w:rsid w:val="00490F79"/>
    <w:rsid w:val="0049451F"/>
    <w:rsid w:val="004A0EE3"/>
    <w:rsid w:val="004B733F"/>
    <w:rsid w:val="004C1647"/>
    <w:rsid w:val="004C6B66"/>
    <w:rsid w:val="004D716C"/>
    <w:rsid w:val="004E0DBB"/>
    <w:rsid w:val="004F32E5"/>
    <w:rsid w:val="00507269"/>
    <w:rsid w:val="00514B65"/>
    <w:rsid w:val="0052232C"/>
    <w:rsid w:val="005535EE"/>
    <w:rsid w:val="00570E38"/>
    <w:rsid w:val="0058068E"/>
    <w:rsid w:val="005A40B4"/>
    <w:rsid w:val="005A78F1"/>
    <w:rsid w:val="005B16BC"/>
    <w:rsid w:val="005B537F"/>
    <w:rsid w:val="005C0888"/>
    <w:rsid w:val="005C1D48"/>
    <w:rsid w:val="005C391C"/>
    <w:rsid w:val="005D01DB"/>
    <w:rsid w:val="005D02C4"/>
    <w:rsid w:val="005D1248"/>
    <w:rsid w:val="005D54B7"/>
    <w:rsid w:val="005E5E3E"/>
    <w:rsid w:val="005F0255"/>
    <w:rsid w:val="00604F3A"/>
    <w:rsid w:val="00622ECC"/>
    <w:rsid w:val="00623977"/>
    <w:rsid w:val="006273D1"/>
    <w:rsid w:val="006355F9"/>
    <w:rsid w:val="00635A60"/>
    <w:rsid w:val="00642BA5"/>
    <w:rsid w:val="006449BE"/>
    <w:rsid w:val="006472B0"/>
    <w:rsid w:val="00663CBA"/>
    <w:rsid w:val="006A2B21"/>
    <w:rsid w:val="006A6B21"/>
    <w:rsid w:val="006A7B6E"/>
    <w:rsid w:val="006E23F1"/>
    <w:rsid w:val="006F3EB9"/>
    <w:rsid w:val="007059BD"/>
    <w:rsid w:val="0075270D"/>
    <w:rsid w:val="007909FC"/>
    <w:rsid w:val="00795346"/>
    <w:rsid w:val="007A6516"/>
    <w:rsid w:val="007B53F7"/>
    <w:rsid w:val="007B5631"/>
    <w:rsid w:val="007D545E"/>
    <w:rsid w:val="007F121E"/>
    <w:rsid w:val="00815DBB"/>
    <w:rsid w:val="00832CD2"/>
    <w:rsid w:val="0084104F"/>
    <w:rsid w:val="00844DF9"/>
    <w:rsid w:val="00870297"/>
    <w:rsid w:val="00876426"/>
    <w:rsid w:val="00884496"/>
    <w:rsid w:val="0089092B"/>
    <w:rsid w:val="008A190E"/>
    <w:rsid w:val="008B60E8"/>
    <w:rsid w:val="008C1528"/>
    <w:rsid w:val="008D3563"/>
    <w:rsid w:val="008D3A3C"/>
    <w:rsid w:val="008D4808"/>
    <w:rsid w:val="008F62E9"/>
    <w:rsid w:val="00905C09"/>
    <w:rsid w:val="00926127"/>
    <w:rsid w:val="0092746F"/>
    <w:rsid w:val="00934730"/>
    <w:rsid w:val="0093684A"/>
    <w:rsid w:val="00940D7B"/>
    <w:rsid w:val="009535BF"/>
    <w:rsid w:val="00954AF8"/>
    <w:rsid w:val="00972B9B"/>
    <w:rsid w:val="009772E0"/>
    <w:rsid w:val="00984FB1"/>
    <w:rsid w:val="00996CC1"/>
    <w:rsid w:val="009A01AE"/>
    <w:rsid w:val="009A2627"/>
    <w:rsid w:val="009D3CFB"/>
    <w:rsid w:val="009E14A0"/>
    <w:rsid w:val="009F4B06"/>
    <w:rsid w:val="00A3047F"/>
    <w:rsid w:val="00A33449"/>
    <w:rsid w:val="00A50587"/>
    <w:rsid w:val="00A5527B"/>
    <w:rsid w:val="00A63E68"/>
    <w:rsid w:val="00A72932"/>
    <w:rsid w:val="00A73B1A"/>
    <w:rsid w:val="00A858E6"/>
    <w:rsid w:val="00A90220"/>
    <w:rsid w:val="00A94AC8"/>
    <w:rsid w:val="00AD6528"/>
    <w:rsid w:val="00AE1BA7"/>
    <w:rsid w:val="00AF6944"/>
    <w:rsid w:val="00B16179"/>
    <w:rsid w:val="00B169D6"/>
    <w:rsid w:val="00B351E2"/>
    <w:rsid w:val="00B37A85"/>
    <w:rsid w:val="00B52550"/>
    <w:rsid w:val="00B52A80"/>
    <w:rsid w:val="00B53BCE"/>
    <w:rsid w:val="00B85286"/>
    <w:rsid w:val="00BA57D9"/>
    <w:rsid w:val="00BB51DE"/>
    <w:rsid w:val="00BD4D99"/>
    <w:rsid w:val="00BE38B0"/>
    <w:rsid w:val="00BE7D20"/>
    <w:rsid w:val="00BF2EF4"/>
    <w:rsid w:val="00C14E39"/>
    <w:rsid w:val="00C16037"/>
    <w:rsid w:val="00C36696"/>
    <w:rsid w:val="00C423A7"/>
    <w:rsid w:val="00C51DC5"/>
    <w:rsid w:val="00C5532B"/>
    <w:rsid w:val="00C72950"/>
    <w:rsid w:val="00C80538"/>
    <w:rsid w:val="00CA1FA1"/>
    <w:rsid w:val="00CA2D32"/>
    <w:rsid w:val="00CB5B4C"/>
    <w:rsid w:val="00CC03CA"/>
    <w:rsid w:val="00CE6CEC"/>
    <w:rsid w:val="00CF6CCD"/>
    <w:rsid w:val="00D10D54"/>
    <w:rsid w:val="00D309C7"/>
    <w:rsid w:val="00D45D5E"/>
    <w:rsid w:val="00D76E48"/>
    <w:rsid w:val="00DA3923"/>
    <w:rsid w:val="00DA7F85"/>
    <w:rsid w:val="00DB7656"/>
    <w:rsid w:val="00DD1D46"/>
    <w:rsid w:val="00DD63A6"/>
    <w:rsid w:val="00DE1FCC"/>
    <w:rsid w:val="00E148B3"/>
    <w:rsid w:val="00E17258"/>
    <w:rsid w:val="00E2122D"/>
    <w:rsid w:val="00E22C50"/>
    <w:rsid w:val="00E27D4C"/>
    <w:rsid w:val="00E305F0"/>
    <w:rsid w:val="00E4159E"/>
    <w:rsid w:val="00E45DC6"/>
    <w:rsid w:val="00E63A10"/>
    <w:rsid w:val="00EA5265"/>
    <w:rsid w:val="00EB044F"/>
    <w:rsid w:val="00EC3B06"/>
    <w:rsid w:val="00EC6FCB"/>
    <w:rsid w:val="00ED5CBE"/>
    <w:rsid w:val="00EE247A"/>
    <w:rsid w:val="00EF6F4B"/>
    <w:rsid w:val="00F025CF"/>
    <w:rsid w:val="00F107EC"/>
    <w:rsid w:val="00F4519A"/>
    <w:rsid w:val="00F52D73"/>
    <w:rsid w:val="00F547EC"/>
    <w:rsid w:val="00F83A91"/>
    <w:rsid w:val="00F96117"/>
    <w:rsid w:val="00FA076F"/>
    <w:rsid w:val="00FA2590"/>
    <w:rsid w:val="00FC158E"/>
    <w:rsid w:val="00FD5077"/>
    <w:rsid w:val="00FE0A1C"/>
    <w:rsid w:val="00FE12AF"/>
    <w:rsid w:val="00FF6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36947"/>
  <w15:chartTrackingRefBased/>
  <w15:docId w15:val="{36AEBF75-766B-4BFD-8922-DF528E89A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5C09"/>
    <w:rPr>
      <w:color w:val="0563C1" w:themeColor="hyperlink"/>
      <w:u w:val="single"/>
    </w:rPr>
  </w:style>
  <w:style w:type="character" w:styleId="UnresolvedMention">
    <w:name w:val="Unresolved Mention"/>
    <w:basedOn w:val="DefaultParagraphFont"/>
    <w:uiPriority w:val="99"/>
    <w:semiHidden/>
    <w:unhideWhenUsed/>
    <w:rsid w:val="00905C09"/>
    <w:rPr>
      <w:color w:val="605E5C"/>
      <w:shd w:val="clear" w:color="auto" w:fill="E1DFDD"/>
    </w:rPr>
  </w:style>
  <w:style w:type="paragraph" w:styleId="NormalWeb">
    <w:name w:val="Normal (Web)"/>
    <w:basedOn w:val="Normal"/>
    <w:uiPriority w:val="99"/>
    <w:semiHidden/>
    <w:unhideWhenUsed/>
    <w:rsid w:val="00046D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046D73"/>
  </w:style>
  <w:style w:type="paragraph" w:styleId="ListParagraph">
    <w:name w:val="List Paragraph"/>
    <w:basedOn w:val="Normal"/>
    <w:uiPriority w:val="34"/>
    <w:qFormat/>
    <w:rsid w:val="000350E9"/>
    <w:pPr>
      <w:ind w:left="720"/>
      <w:contextualSpacing/>
    </w:pPr>
  </w:style>
  <w:style w:type="character" w:styleId="Emphasis">
    <w:name w:val="Emphasis"/>
    <w:basedOn w:val="DefaultParagraphFont"/>
    <w:uiPriority w:val="20"/>
    <w:qFormat/>
    <w:rsid w:val="0093684A"/>
    <w:rPr>
      <w:i/>
      <w:iCs/>
    </w:rPr>
  </w:style>
  <w:style w:type="character" w:customStyle="1" w:styleId="taxonomy-tooltip-element">
    <w:name w:val="taxonomy-tooltip-element"/>
    <w:basedOn w:val="DefaultParagraphFont"/>
    <w:rsid w:val="003905BE"/>
  </w:style>
  <w:style w:type="character" w:styleId="Strong">
    <w:name w:val="Strong"/>
    <w:basedOn w:val="DefaultParagraphFont"/>
    <w:uiPriority w:val="22"/>
    <w:qFormat/>
    <w:rsid w:val="00A73B1A"/>
    <w:rPr>
      <w:b/>
      <w:bCs/>
    </w:rPr>
  </w:style>
  <w:style w:type="character" w:customStyle="1" w:styleId="authors">
    <w:name w:val="authors"/>
    <w:basedOn w:val="DefaultParagraphFont"/>
    <w:rsid w:val="007B53F7"/>
  </w:style>
  <w:style w:type="character" w:customStyle="1" w:styleId="Date1">
    <w:name w:val="Date1"/>
    <w:basedOn w:val="DefaultParagraphFont"/>
    <w:rsid w:val="007B53F7"/>
  </w:style>
  <w:style w:type="character" w:customStyle="1" w:styleId="arttitle">
    <w:name w:val="art_title"/>
    <w:basedOn w:val="DefaultParagraphFont"/>
    <w:rsid w:val="007B53F7"/>
  </w:style>
  <w:style w:type="character" w:customStyle="1" w:styleId="serialtitle">
    <w:name w:val="serial_title"/>
    <w:basedOn w:val="DefaultParagraphFont"/>
    <w:rsid w:val="007B53F7"/>
  </w:style>
  <w:style w:type="character" w:customStyle="1" w:styleId="volumeissue">
    <w:name w:val="volume_issue"/>
    <w:basedOn w:val="DefaultParagraphFont"/>
    <w:rsid w:val="007B53F7"/>
  </w:style>
  <w:style w:type="character" w:customStyle="1" w:styleId="pagerange">
    <w:name w:val="page_range"/>
    <w:basedOn w:val="DefaultParagraphFont"/>
    <w:rsid w:val="007B53F7"/>
  </w:style>
  <w:style w:type="character" w:customStyle="1" w:styleId="doilink">
    <w:name w:val="doi_link"/>
    <w:basedOn w:val="DefaultParagraphFont"/>
    <w:rsid w:val="007B5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9009">
      <w:bodyDiv w:val="1"/>
      <w:marLeft w:val="0"/>
      <w:marRight w:val="0"/>
      <w:marTop w:val="0"/>
      <w:marBottom w:val="0"/>
      <w:divBdr>
        <w:top w:val="none" w:sz="0" w:space="0" w:color="auto"/>
        <w:left w:val="none" w:sz="0" w:space="0" w:color="auto"/>
        <w:bottom w:val="none" w:sz="0" w:space="0" w:color="auto"/>
        <w:right w:val="none" w:sz="0" w:space="0" w:color="auto"/>
      </w:divBdr>
    </w:div>
    <w:div w:id="866597107">
      <w:bodyDiv w:val="1"/>
      <w:marLeft w:val="0"/>
      <w:marRight w:val="0"/>
      <w:marTop w:val="0"/>
      <w:marBottom w:val="0"/>
      <w:divBdr>
        <w:top w:val="none" w:sz="0" w:space="0" w:color="auto"/>
        <w:left w:val="none" w:sz="0" w:space="0" w:color="auto"/>
        <w:bottom w:val="none" w:sz="0" w:space="0" w:color="auto"/>
        <w:right w:val="none" w:sz="0" w:space="0" w:color="auto"/>
      </w:divBdr>
    </w:div>
    <w:div w:id="874388607">
      <w:bodyDiv w:val="1"/>
      <w:marLeft w:val="0"/>
      <w:marRight w:val="0"/>
      <w:marTop w:val="0"/>
      <w:marBottom w:val="0"/>
      <w:divBdr>
        <w:top w:val="none" w:sz="0" w:space="0" w:color="auto"/>
        <w:left w:val="none" w:sz="0" w:space="0" w:color="auto"/>
        <w:bottom w:val="none" w:sz="0" w:space="0" w:color="auto"/>
        <w:right w:val="none" w:sz="0" w:space="0" w:color="auto"/>
      </w:divBdr>
    </w:div>
    <w:div w:id="1088693453">
      <w:bodyDiv w:val="1"/>
      <w:marLeft w:val="0"/>
      <w:marRight w:val="0"/>
      <w:marTop w:val="0"/>
      <w:marBottom w:val="0"/>
      <w:divBdr>
        <w:top w:val="none" w:sz="0" w:space="0" w:color="auto"/>
        <w:left w:val="none" w:sz="0" w:space="0" w:color="auto"/>
        <w:bottom w:val="none" w:sz="0" w:space="0" w:color="auto"/>
        <w:right w:val="none" w:sz="0" w:space="0" w:color="auto"/>
      </w:divBdr>
    </w:div>
    <w:div w:id="1268929257">
      <w:bodyDiv w:val="1"/>
      <w:marLeft w:val="0"/>
      <w:marRight w:val="0"/>
      <w:marTop w:val="0"/>
      <w:marBottom w:val="0"/>
      <w:divBdr>
        <w:top w:val="none" w:sz="0" w:space="0" w:color="auto"/>
        <w:left w:val="none" w:sz="0" w:space="0" w:color="auto"/>
        <w:bottom w:val="none" w:sz="0" w:space="0" w:color="auto"/>
        <w:right w:val="none" w:sz="0" w:space="0" w:color="auto"/>
      </w:divBdr>
    </w:div>
    <w:div w:id="1801223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7-9299.2008.00723.x" TargetMode="External"/><Relationship Id="rId13" Type="http://schemas.openxmlformats.org/officeDocument/2006/relationships/hyperlink" Target="https://doi.org/10.4324/9780203105610" TargetMode="External"/><Relationship Id="rId18" Type="http://schemas.openxmlformats.org/officeDocument/2006/relationships/hyperlink" Target="https://doi.org/10.1177/146135570100300404" TargetMode="External"/><Relationship Id="rId3" Type="http://schemas.openxmlformats.org/officeDocument/2006/relationships/settings" Target="settings.xml"/><Relationship Id="rId21" Type="http://schemas.openxmlformats.org/officeDocument/2006/relationships/hyperlink" Target="https://doi.org/10.1177/1098611104271105" TargetMode="External"/><Relationship Id="rId7" Type="http://schemas.openxmlformats.org/officeDocument/2006/relationships/hyperlink" Target="https://en.wikipedia.org/wiki/Law_enforcement_in_the_United_Kingdom" TargetMode="External"/><Relationship Id="rId12" Type="http://schemas.openxmlformats.org/officeDocument/2006/relationships/hyperlink" Target="https://doi.org/10.1002/9781118320655.ch24" TargetMode="External"/><Relationship Id="rId17" Type="http://schemas.openxmlformats.org/officeDocument/2006/relationships/hyperlink" Target="https://doi.org/10.4324/9781315235776" TargetMode="External"/><Relationship Id="rId2" Type="http://schemas.openxmlformats.org/officeDocument/2006/relationships/styles" Target="styles.xml"/><Relationship Id="rId16" Type="http://schemas.openxmlformats.org/officeDocument/2006/relationships/hyperlink" Target="https://doi.org/10.1111/j.1365-2214.2004.00468.x" TargetMode="External"/><Relationship Id="rId20" Type="http://schemas.openxmlformats.org/officeDocument/2006/relationships/hyperlink" Target="https://doi.org/10.1177/000271620326262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362480605057727" TargetMode="External"/><Relationship Id="rId5" Type="http://schemas.openxmlformats.org/officeDocument/2006/relationships/footnotes" Target="footnotes.xml"/><Relationship Id="rId15" Type="http://schemas.openxmlformats.org/officeDocument/2006/relationships/hyperlink" Target="https://doi.org/10.1002/9781118663202.wberen102" TargetMode="External"/><Relationship Id="rId23" Type="http://schemas.openxmlformats.org/officeDocument/2006/relationships/theme" Target="theme/theme1.xml"/><Relationship Id="rId10" Type="http://schemas.openxmlformats.org/officeDocument/2006/relationships/hyperlink" Target="https://doi.org/10.1080/13691830220124369" TargetMode="External"/><Relationship Id="rId19" Type="http://schemas.openxmlformats.org/officeDocument/2006/relationships/hyperlink" Target="https://doi.org/10.1111/1540-5893.3703002" TargetMode="External"/><Relationship Id="rId4" Type="http://schemas.openxmlformats.org/officeDocument/2006/relationships/webSettings" Target="webSettings.xml"/><Relationship Id="rId9" Type="http://schemas.openxmlformats.org/officeDocument/2006/relationships/hyperlink" Target="https://doi.org/10.1080/09627250308553519" TargetMode="External"/><Relationship Id="rId14" Type="http://schemas.openxmlformats.org/officeDocument/2006/relationships/hyperlink" Target="https://doi.org/10.1177/1462474012222831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11389</TotalTime>
  <Pages>12</Pages>
  <Words>5862</Words>
  <Characters>33417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Jones,Michael swp8104</dc:creator>
  <cp:keywords/>
  <dc:description/>
  <cp:lastModifiedBy>Jones,Michael swp8104</cp:lastModifiedBy>
  <cp:revision>56</cp:revision>
  <dcterms:created xsi:type="dcterms:W3CDTF">2022-11-28T13:26:00Z</dcterms:created>
  <dcterms:modified xsi:type="dcterms:W3CDTF">2023-02-01T03:49:00Z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2022-11-17T12:20:02Z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fedf80da-bf0e-4823-8742-5fee4042b0c6</vt:lpwstr>
  </property>
  <property fmtid="{D5CDD505-2E9C-101B-9397-08002B2CF9AE}" pid="8" name="MSIP_Label_66cf8fe5-b7b7-4df7-b38d-1c61ac2f6639_ContentBits">
    <vt:lpwstr>0</vt:lpwstr>
  </property>
</Properties>
</file>