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507474" w14:textId="5DE39864" w:rsidR="003A5624" w:rsidRPr="00A5243A" w:rsidRDefault="00C35E1C" w:rsidP="003A5624">
      <w:pPr>
        <w:spacing w:line="259" w:lineRule="auto"/>
        <w:jc w:val="center"/>
        <w:rPr>
          <w:rFonts w:cs="Arial"/>
        </w:rPr>
      </w:pPr>
      <w:r>
        <w:rPr>
          <w:noProof/>
          <w:lang w:val="en-US"/>
        </w:rPr>
        <w:drawing>
          <wp:inline distT="0" distB="0" distL="0" distR="0" wp14:anchorId="7F5A264A" wp14:editId="407BEFA6">
            <wp:extent cx="2781300" cy="1409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2781300" cy="1409700"/>
                    </a:xfrm>
                    <a:prstGeom prst="rect">
                      <a:avLst/>
                    </a:prstGeom>
                  </pic:spPr>
                </pic:pic>
              </a:graphicData>
            </a:graphic>
          </wp:inline>
        </w:drawing>
      </w:r>
    </w:p>
    <w:p w14:paraId="298DE88C" w14:textId="77777777" w:rsidR="003A5624" w:rsidRPr="00A5243A" w:rsidRDefault="003A5624" w:rsidP="003A5624">
      <w:pPr>
        <w:spacing w:line="259" w:lineRule="auto"/>
        <w:jc w:val="center"/>
        <w:rPr>
          <w:rFonts w:cs="Arial"/>
        </w:rPr>
      </w:pPr>
    </w:p>
    <w:p w14:paraId="7452C219" w14:textId="77777777" w:rsidR="003A5624" w:rsidRPr="00A5243A" w:rsidRDefault="003A5624" w:rsidP="003A5624">
      <w:pPr>
        <w:spacing w:line="259" w:lineRule="auto"/>
        <w:jc w:val="center"/>
        <w:rPr>
          <w:rFonts w:cs="Arial"/>
        </w:rPr>
      </w:pPr>
    </w:p>
    <w:p w14:paraId="141593D6" w14:textId="77777777" w:rsidR="003A5624" w:rsidRPr="00A5243A" w:rsidRDefault="003A5624" w:rsidP="003A5624">
      <w:pPr>
        <w:spacing w:line="259" w:lineRule="auto"/>
        <w:jc w:val="center"/>
        <w:rPr>
          <w:rFonts w:cs="Arial"/>
        </w:rPr>
      </w:pPr>
    </w:p>
    <w:p w14:paraId="00644E22" w14:textId="77777777" w:rsidR="003A5624" w:rsidRPr="00A5243A" w:rsidRDefault="003A5624" w:rsidP="003A5624">
      <w:pPr>
        <w:spacing w:line="259" w:lineRule="auto"/>
        <w:jc w:val="center"/>
        <w:rPr>
          <w:rFonts w:cs="Arial"/>
        </w:rPr>
      </w:pPr>
    </w:p>
    <w:p w14:paraId="40EED482" w14:textId="73090544" w:rsidR="003A5624" w:rsidRPr="00A5243A" w:rsidRDefault="003A5624" w:rsidP="003A5624">
      <w:pPr>
        <w:spacing w:line="259" w:lineRule="auto"/>
        <w:jc w:val="center"/>
        <w:rPr>
          <w:rFonts w:cs="Arial"/>
          <w:b/>
          <w:bCs/>
          <w:sz w:val="32"/>
          <w:szCs w:val="28"/>
        </w:rPr>
      </w:pPr>
      <w:r w:rsidRPr="00A5243A">
        <w:rPr>
          <w:rFonts w:cs="Arial"/>
          <w:b/>
          <w:bCs/>
          <w:sz w:val="32"/>
          <w:szCs w:val="28"/>
        </w:rPr>
        <w:t>Student name:</w:t>
      </w:r>
      <w:r w:rsidR="007C5E7E">
        <w:rPr>
          <w:rFonts w:cs="Arial"/>
          <w:b/>
          <w:bCs/>
          <w:sz w:val="32"/>
          <w:szCs w:val="28"/>
        </w:rPr>
        <w:t xml:space="preserve"> Laura Lupoae</w:t>
      </w:r>
    </w:p>
    <w:p w14:paraId="19549D62" w14:textId="4B8BE88C" w:rsidR="003A5624" w:rsidRPr="00A5243A" w:rsidRDefault="003A5624" w:rsidP="003A5624">
      <w:pPr>
        <w:spacing w:line="259" w:lineRule="auto"/>
        <w:jc w:val="center"/>
        <w:rPr>
          <w:rFonts w:cs="Arial"/>
          <w:b/>
          <w:bCs/>
          <w:sz w:val="32"/>
          <w:szCs w:val="28"/>
        </w:rPr>
      </w:pPr>
      <w:r w:rsidRPr="00A5243A">
        <w:rPr>
          <w:rFonts w:cs="Arial"/>
          <w:b/>
          <w:bCs/>
          <w:sz w:val="32"/>
          <w:szCs w:val="28"/>
        </w:rPr>
        <w:t>Student ID number:</w:t>
      </w:r>
      <w:r w:rsidR="007C5E7E">
        <w:rPr>
          <w:rFonts w:cs="Arial"/>
          <w:b/>
          <w:bCs/>
          <w:sz w:val="32"/>
          <w:szCs w:val="28"/>
        </w:rPr>
        <w:t xml:space="preserve"> 2128001</w:t>
      </w:r>
    </w:p>
    <w:p w14:paraId="03354B22" w14:textId="77777777" w:rsidR="003A5624" w:rsidRPr="00A5243A" w:rsidRDefault="003A5624" w:rsidP="003A5624">
      <w:pPr>
        <w:spacing w:line="259" w:lineRule="auto"/>
        <w:jc w:val="center"/>
        <w:rPr>
          <w:rFonts w:cs="Arial"/>
          <w:b/>
          <w:bCs/>
          <w:sz w:val="32"/>
          <w:szCs w:val="28"/>
        </w:rPr>
      </w:pPr>
      <w:r w:rsidRPr="00A5243A">
        <w:rPr>
          <w:rFonts w:cs="Arial"/>
          <w:b/>
          <w:bCs/>
          <w:sz w:val="32"/>
          <w:szCs w:val="28"/>
        </w:rPr>
        <w:t>Module: Sustainable Hospitality &amp; Tourism Management</w:t>
      </w:r>
    </w:p>
    <w:p w14:paraId="2F724C0B" w14:textId="77777777" w:rsidR="007C5E7E" w:rsidRDefault="003A5624" w:rsidP="003A5624">
      <w:pPr>
        <w:spacing w:line="259" w:lineRule="auto"/>
        <w:jc w:val="center"/>
        <w:rPr>
          <w:rFonts w:cs="Arial"/>
          <w:sz w:val="32"/>
          <w:szCs w:val="28"/>
        </w:rPr>
      </w:pPr>
      <w:r w:rsidRPr="00A5243A">
        <w:rPr>
          <w:rFonts w:cs="Arial"/>
          <w:b/>
          <w:bCs/>
          <w:sz w:val="32"/>
          <w:szCs w:val="28"/>
        </w:rPr>
        <w:t>Module code: BMIH5006</w:t>
      </w:r>
      <w:r w:rsidRPr="00A5243A">
        <w:rPr>
          <w:rFonts w:cs="Arial"/>
          <w:sz w:val="32"/>
          <w:szCs w:val="28"/>
        </w:rPr>
        <w:t xml:space="preserve"> </w:t>
      </w:r>
    </w:p>
    <w:p w14:paraId="6DD6EA65" w14:textId="77777777" w:rsidR="007C5E7E" w:rsidRDefault="007C5E7E" w:rsidP="003A5624">
      <w:pPr>
        <w:spacing w:line="259" w:lineRule="auto"/>
        <w:jc w:val="center"/>
        <w:rPr>
          <w:rFonts w:cs="Arial"/>
          <w:sz w:val="32"/>
          <w:szCs w:val="28"/>
        </w:rPr>
      </w:pPr>
    </w:p>
    <w:p w14:paraId="2C90127C" w14:textId="77777777" w:rsidR="007C5E7E" w:rsidRDefault="007C5E7E" w:rsidP="007C5E7E">
      <w:pPr>
        <w:spacing w:line="259" w:lineRule="auto"/>
        <w:jc w:val="center"/>
        <w:rPr>
          <w:rFonts w:cs="Arial"/>
          <w:b/>
          <w:bCs/>
          <w:sz w:val="32"/>
          <w:szCs w:val="28"/>
        </w:rPr>
      </w:pPr>
      <w:r w:rsidRPr="00814D55">
        <w:rPr>
          <w:rFonts w:cs="Arial"/>
          <w:b/>
          <w:bCs/>
          <w:sz w:val="32"/>
          <w:szCs w:val="28"/>
        </w:rPr>
        <w:t>Lecturer: Kathryn Roberts BA</w:t>
      </w:r>
    </w:p>
    <w:p w14:paraId="66C46010" w14:textId="4EDC207B" w:rsidR="0061451B" w:rsidRPr="00A5243A" w:rsidRDefault="0061451B" w:rsidP="003A5624">
      <w:pPr>
        <w:spacing w:line="259" w:lineRule="auto"/>
        <w:jc w:val="center"/>
        <w:rPr>
          <w:rFonts w:cs="Arial"/>
        </w:rPr>
      </w:pPr>
      <w:r w:rsidRPr="00A5243A">
        <w:rPr>
          <w:rFonts w:cs="Arial"/>
        </w:rPr>
        <w:br w:type="page"/>
      </w:r>
    </w:p>
    <w:p w14:paraId="231611FB" w14:textId="77777777" w:rsidR="003A5624" w:rsidRPr="00A5243A" w:rsidRDefault="003A5624" w:rsidP="0061451B">
      <w:pPr>
        <w:pStyle w:val="Heading1"/>
        <w:rPr>
          <w:rFonts w:cs="Arial"/>
        </w:rPr>
        <w:sectPr w:rsidR="003A5624" w:rsidRPr="00A5243A" w:rsidSect="00766DC2">
          <w:footerReference w:type="default" r:id="rId7"/>
          <w:pgSz w:w="11906" w:h="16838"/>
          <w:pgMar w:top="1440" w:right="1440" w:bottom="1440" w:left="1440" w:header="708" w:footer="708" w:gutter="0"/>
          <w:cols w:space="708"/>
          <w:titlePg/>
          <w:docGrid w:linePitch="360"/>
        </w:sectPr>
      </w:pPr>
    </w:p>
    <w:p w14:paraId="7C163D0A" w14:textId="5D3E728E" w:rsidR="00223653" w:rsidRDefault="00223653" w:rsidP="00C24065">
      <w:pPr>
        <w:jc w:val="center"/>
        <w:rPr>
          <w:rFonts w:cs="Arial"/>
          <w:b/>
          <w:bCs/>
          <w:sz w:val="32"/>
          <w:szCs w:val="28"/>
        </w:rPr>
      </w:pPr>
      <w:r w:rsidRPr="00A5243A">
        <w:rPr>
          <w:rFonts w:cs="Arial"/>
          <w:b/>
          <w:bCs/>
          <w:sz w:val="32"/>
          <w:szCs w:val="28"/>
        </w:rPr>
        <w:lastRenderedPageBreak/>
        <w:t xml:space="preserve">Sustainable Hospitality &amp; </w:t>
      </w:r>
      <w:r>
        <w:rPr>
          <w:rFonts w:cs="Arial"/>
          <w:b/>
          <w:bCs/>
          <w:sz w:val="32"/>
          <w:szCs w:val="28"/>
        </w:rPr>
        <w:t>C</w:t>
      </w:r>
      <w:r w:rsidR="00E25E9E">
        <w:rPr>
          <w:rFonts w:cs="Arial"/>
          <w:b/>
          <w:bCs/>
          <w:sz w:val="32"/>
          <w:szCs w:val="28"/>
        </w:rPr>
        <w:t>S</w:t>
      </w:r>
      <w:r>
        <w:rPr>
          <w:rFonts w:cs="Arial"/>
          <w:b/>
          <w:bCs/>
          <w:sz w:val="32"/>
          <w:szCs w:val="28"/>
        </w:rPr>
        <w:t>R Policy of Marriott</w:t>
      </w:r>
    </w:p>
    <w:p w14:paraId="258B061A" w14:textId="6B8B5BDB" w:rsidR="0061451B" w:rsidRDefault="00C35E1C" w:rsidP="0061451B">
      <w:pPr>
        <w:rPr>
          <w:rFonts w:cs="Arial"/>
        </w:rPr>
      </w:pPr>
      <w:r w:rsidRPr="00F44ACB">
        <w:rPr>
          <w:rFonts w:cs="Arial"/>
          <w:bCs/>
        </w:rPr>
        <w:t>Circular Economy</w:t>
      </w:r>
      <w:r>
        <w:rPr>
          <w:rFonts w:cs="Arial"/>
        </w:rPr>
        <w:t xml:space="preserve"> is an economic </w:t>
      </w:r>
      <w:r w:rsidR="0061451B" w:rsidRPr="00A5243A">
        <w:rPr>
          <w:rFonts w:cs="Arial"/>
        </w:rPr>
        <w:t>system that boosts the economy and protects the environment</w:t>
      </w:r>
      <w:r w:rsidR="0061451B" w:rsidRPr="00E969A1">
        <w:rPr>
          <w:rFonts w:cs="Arial"/>
          <w:bCs/>
          <w:color w:val="FF0000"/>
        </w:rPr>
        <w:t>.</w:t>
      </w:r>
      <w:r w:rsidR="0061451B" w:rsidRPr="00C35E1C">
        <w:rPr>
          <w:rFonts w:cs="Arial"/>
          <w:b/>
          <w:color w:val="FF0000"/>
        </w:rPr>
        <w:t xml:space="preserve"> </w:t>
      </w:r>
      <w:r w:rsidR="0061451B" w:rsidRPr="00A5243A">
        <w:rPr>
          <w:rFonts w:cs="Arial"/>
        </w:rPr>
        <w:t>Circular economies aim to utilise and reduce resource waste</w:t>
      </w:r>
      <w:r w:rsidR="00223653">
        <w:rPr>
          <w:rFonts w:cs="Arial"/>
        </w:rPr>
        <w:t xml:space="preserve"> </w:t>
      </w:r>
      <w:r w:rsidR="00223653" w:rsidRPr="00A5243A">
        <w:rPr>
          <w:rFonts w:cs="Arial"/>
        </w:rPr>
        <w:t>(Jeffrey</w:t>
      </w:r>
      <w:r w:rsidR="00802ED5">
        <w:rPr>
          <w:rFonts w:cs="Arial"/>
        </w:rPr>
        <w:t xml:space="preserve"> et al.</w:t>
      </w:r>
      <w:r w:rsidR="00223653" w:rsidRPr="00A5243A">
        <w:rPr>
          <w:rFonts w:cs="Arial"/>
        </w:rPr>
        <w:t>, 20</w:t>
      </w:r>
      <w:r w:rsidR="00773A34">
        <w:rPr>
          <w:rFonts w:cs="Arial"/>
        </w:rPr>
        <w:t>19</w:t>
      </w:r>
      <w:r w:rsidR="00223653" w:rsidRPr="00A5243A">
        <w:rPr>
          <w:rFonts w:cs="Arial"/>
        </w:rPr>
        <w:t>)</w:t>
      </w:r>
      <w:r w:rsidR="0061451B" w:rsidRPr="00A5243A">
        <w:rPr>
          <w:rFonts w:cs="Arial"/>
        </w:rPr>
        <w:t>. It creates a closed-loop system that lowers carbon emissions, pollution, resource inputs, and waste through repair, refurbishment, remanufacturing, recycling, and reuse</w:t>
      </w:r>
      <w:r w:rsidR="00E969A1">
        <w:rPr>
          <w:rFonts w:cs="Arial"/>
          <w:b/>
          <w:color w:val="FF0000"/>
        </w:rPr>
        <w:t xml:space="preserve"> </w:t>
      </w:r>
      <w:r w:rsidR="00E969A1" w:rsidRPr="00A5243A">
        <w:rPr>
          <w:rFonts w:cs="Arial"/>
        </w:rPr>
        <w:t>(Lüdeke-Freund and Bocken, 201</w:t>
      </w:r>
      <w:r w:rsidR="00DB01ED">
        <w:rPr>
          <w:rFonts w:cs="Arial"/>
        </w:rPr>
        <w:t>9</w:t>
      </w:r>
      <w:r w:rsidR="00E969A1" w:rsidRPr="00A5243A">
        <w:rPr>
          <w:rFonts w:cs="Arial"/>
        </w:rPr>
        <w:t>)</w:t>
      </w:r>
      <w:r w:rsidR="00E969A1" w:rsidRPr="00E969A1">
        <w:rPr>
          <w:rFonts w:cs="Arial"/>
          <w:b/>
        </w:rPr>
        <w:t>.</w:t>
      </w:r>
      <w:r w:rsidR="0061451B" w:rsidRPr="00C35E1C">
        <w:rPr>
          <w:rFonts w:cs="Arial"/>
          <w:color w:val="FF0000"/>
        </w:rPr>
        <w:t xml:space="preserve"> </w:t>
      </w:r>
      <w:r w:rsidR="0061451B" w:rsidRPr="00A5243A">
        <w:rPr>
          <w:rFonts w:cs="Arial"/>
        </w:rPr>
        <w:t xml:space="preserve">The circular economy prioritises reuse and recycling </w:t>
      </w:r>
      <w:r w:rsidR="00870FE0">
        <w:rPr>
          <w:rFonts w:cs="Arial"/>
        </w:rPr>
        <w:t>overtake</w:t>
      </w:r>
      <w:r w:rsidR="0061451B" w:rsidRPr="00A5243A">
        <w:rPr>
          <w:rFonts w:cs="Arial"/>
        </w:rPr>
        <w:t xml:space="preserve">, make, </w:t>
      </w:r>
      <w:r w:rsidR="00870FE0">
        <w:rPr>
          <w:rFonts w:cs="Arial"/>
        </w:rPr>
        <w:t xml:space="preserve">and </w:t>
      </w:r>
      <w:r w:rsidR="0061451B" w:rsidRPr="00A5243A">
        <w:rPr>
          <w:rFonts w:cs="Arial"/>
        </w:rPr>
        <w:t>dispose</w:t>
      </w:r>
      <w:r w:rsidR="00D63845" w:rsidRPr="00A5243A">
        <w:rPr>
          <w:rFonts w:cs="Arial"/>
        </w:rPr>
        <w:t xml:space="preserve"> of</w:t>
      </w:r>
      <w:r w:rsidR="0061451B" w:rsidRPr="00A5243A">
        <w:rPr>
          <w:rFonts w:cs="Arial"/>
        </w:rPr>
        <w:t xml:space="preserve"> in linear economies. Corporate social resp</w:t>
      </w:r>
      <w:r w:rsidR="00745646">
        <w:rPr>
          <w:rFonts w:cs="Arial"/>
        </w:rPr>
        <w:t xml:space="preserve">onsibility talks often include </w:t>
      </w:r>
      <w:r w:rsidR="0061451B" w:rsidRPr="00A5243A">
        <w:rPr>
          <w:rFonts w:cs="Arial"/>
        </w:rPr>
        <w:t>circular economy</w:t>
      </w:r>
      <w:r w:rsidR="00745646">
        <w:rPr>
          <w:rFonts w:cs="Arial"/>
        </w:rPr>
        <w:t>.</w:t>
      </w:r>
      <w:r w:rsidR="0061451B" w:rsidRPr="00A5243A">
        <w:rPr>
          <w:rFonts w:cs="Arial"/>
        </w:rPr>
        <w:t xml:space="preserve"> Corporations self-regulate through corporate social responsibility (CSR) to meet their obligations to stakeholders, the public, and themselves. Businesses show their care for the economy, community, and environment through corporate social responsibility (CSR). </w:t>
      </w:r>
      <w:r w:rsidR="00745646">
        <w:rPr>
          <w:rFonts w:cs="Arial"/>
        </w:rPr>
        <w:t>Compani</w:t>
      </w:r>
      <w:r w:rsidR="0061451B" w:rsidRPr="00A5243A">
        <w:rPr>
          <w:rFonts w:cs="Arial"/>
        </w:rPr>
        <w:t xml:space="preserve">es can meet sustainability goals and profit by adopting circular economy ideas into their CSR strategy. </w:t>
      </w:r>
      <w:r w:rsidR="0061451B" w:rsidRPr="00223653">
        <w:rPr>
          <w:rFonts w:cs="Arial"/>
          <w:bCs/>
        </w:rPr>
        <w:t>Marriott International</w:t>
      </w:r>
      <w:r w:rsidR="0061451B" w:rsidRPr="00A5243A">
        <w:rPr>
          <w:rFonts w:cs="Arial"/>
        </w:rPr>
        <w:t xml:space="preserve"> incorporates circular economy principles into its CSR operations. Serve 360: Doing Good in Every Direction, the company's CSR approach encompasses the circular economy. </w:t>
      </w:r>
      <w:r w:rsidR="006377C8" w:rsidRPr="00223653">
        <w:rPr>
          <w:rFonts w:cs="Arial"/>
          <w:bCs/>
        </w:rPr>
        <w:t>Its</w:t>
      </w:r>
      <w:r w:rsidR="0061451B" w:rsidRPr="00C35E1C">
        <w:rPr>
          <w:rFonts w:cs="Arial"/>
          <w:b/>
          <w:color w:val="FF0000"/>
        </w:rPr>
        <w:t xml:space="preserve"> </w:t>
      </w:r>
      <w:r w:rsidR="0061451B" w:rsidRPr="00A5243A">
        <w:rPr>
          <w:rFonts w:cs="Arial"/>
        </w:rPr>
        <w:t>strategy includes other ways to become environmentally responsible. Marriott has cut waste and increased recycling, lowering its environmental impact. The hotel network has started food waste reduction, recycling, composting, and reusable item campaigns. These approaches reduce Marriott's costs and boost efficiency, helping it meet its environmental goals</w:t>
      </w:r>
      <w:r w:rsidR="00E969A1">
        <w:rPr>
          <w:rFonts w:cs="Arial"/>
        </w:rPr>
        <w:t xml:space="preserve"> </w:t>
      </w:r>
      <w:r w:rsidR="00E969A1">
        <w:t>(Bohdanowicz and Zientara, 2016)</w:t>
      </w:r>
      <w:r w:rsidR="0061451B" w:rsidRPr="00A5243A">
        <w:rPr>
          <w:rFonts w:cs="Arial"/>
        </w:rPr>
        <w:t>.</w:t>
      </w:r>
      <w:r>
        <w:rPr>
          <w:rFonts w:cs="Arial"/>
        </w:rPr>
        <w:t xml:space="preserve"> </w:t>
      </w:r>
    </w:p>
    <w:p w14:paraId="6DA59C6D" w14:textId="260CC888" w:rsidR="00C35E1C" w:rsidRDefault="00C35E1C" w:rsidP="00C35E1C">
      <w:pPr>
        <w:jc w:val="center"/>
        <w:rPr>
          <w:rFonts w:cs="Arial"/>
        </w:rPr>
      </w:pPr>
      <w:r>
        <w:rPr>
          <w:noProof/>
          <w:lang w:val="en-US"/>
        </w:rPr>
        <w:drawing>
          <wp:inline distT="0" distB="0" distL="0" distR="0" wp14:anchorId="08C220EF" wp14:editId="480D1E76">
            <wp:extent cx="3693226" cy="2064012"/>
            <wp:effectExtent l="0" t="0" r="2540" b="0"/>
            <wp:docPr id="2" name="Picture 2" descr="Home - The M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The Mus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90475" cy="2062475"/>
                    </a:xfrm>
                    <a:prstGeom prst="rect">
                      <a:avLst/>
                    </a:prstGeom>
                    <a:noFill/>
                    <a:ln>
                      <a:noFill/>
                    </a:ln>
                  </pic:spPr>
                </pic:pic>
              </a:graphicData>
            </a:graphic>
          </wp:inline>
        </w:drawing>
      </w:r>
    </w:p>
    <w:p w14:paraId="3A566232" w14:textId="584D3B2C" w:rsidR="00C35E1C" w:rsidRPr="00A5243A" w:rsidRDefault="00C35E1C" w:rsidP="00C35E1C">
      <w:pPr>
        <w:jc w:val="center"/>
        <w:rPr>
          <w:rFonts w:cs="Arial"/>
        </w:rPr>
      </w:pPr>
      <w:r>
        <w:rPr>
          <w:rFonts w:cs="Arial"/>
        </w:rPr>
        <w:t>Chosen Hotel: Marriot International.</w:t>
      </w:r>
    </w:p>
    <w:p w14:paraId="2A5289D9" w14:textId="77777777" w:rsidR="00E969A1" w:rsidRDefault="00E969A1" w:rsidP="00E969A1">
      <w:pPr>
        <w:rPr>
          <w:b/>
          <w:bCs/>
        </w:rPr>
      </w:pPr>
    </w:p>
    <w:p w14:paraId="0313C847" w14:textId="428FE439" w:rsidR="00726FFC" w:rsidRDefault="00726FFC" w:rsidP="00726FFC">
      <w:pPr>
        <w:rPr>
          <w:rFonts w:cs="Arial"/>
        </w:rPr>
      </w:pPr>
      <w:r w:rsidRPr="00A5243A">
        <w:rPr>
          <w:rFonts w:cs="Arial"/>
        </w:rPr>
        <w:lastRenderedPageBreak/>
        <w:t xml:space="preserve">The </w:t>
      </w:r>
      <w:r w:rsidR="006A5989" w:rsidRPr="00870FE0">
        <w:rPr>
          <w:rFonts w:cs="Arial"/>
          <w:bCs/>
        </w:rPr>
        <w:t>Circular Economy</w:t>
      </w:r>
      <w:r w:rsidR="006A5989" w:rsidRPr="00A5243A">
        <w:rPr>
          <w:rFonts w:cs="Arial"/>
        </w:rPr>
        <w:t xml:space="preserve"> </w:t>
      </w:r>
      <w:r w:rsidRPr="00A5243A">
        <w:rPr>
          <w:rFonts w:cs="Arial"/>
        </w:rPr>
        <w:t xml:space="preserve">is upending </w:t>
      </w:r>
      <w:r w:rsidR="0040211A" w:rsidRPr="00A5243A">
        <w:rPr>
          <w:rFonts w:cs="Arial"/>
        </w:rPr>
        <w:t>businesses</w:t>
      </w:r>
      <w:r w:rsidRPr="00A5243A">
        <w:rPr>
          <w:rFonts w:cs="Arial"/>
        </w:rPr>
        <w:t xml:space="preserve"> and challenging long-held beliefs. Sharing, leasing, repairing, refurbishing, and recycling resources and objects throughout time is essential to this production and consumption paradigm. Reusing and recycling materials after a product's use is key to this waste reduction concept. Circular economies require long-term value-maintenance product and material design</w:t>
      </w:r>
      <w:r w:rsidR="002D046B" w:rsidRPr="00A5243A">
        <w:rPr>
          <w:rFonts w:cs="Arial"/>
        </w:rPr>
        <w:t xml:space="preserve"> (</w:t>
      </w:r>
      <w:r w:rsidR="00171B3E">
        <w:rPr>
          <w:rFonts w:cs="Arial"/>
        </w:rPr>
        <w:t>Morseletto, 2020</w:t>
      </w:r>
      <w:r w:rsidR="002D046B" w:rsidRPr="00A5243A">
        <w:rPr>
          <w:rFonts w:cs="Arial"/>
        </w:rPr>
        <w:t>)</w:t>
      </w:r>
      <w:r w:rsidRPr="00A5243A">
        <w:rPr>
          <w:rFonts w:cs="Arial"/>
        </w:rPr>
        <w:t xml:space="preserve">. </w:t>
      </w:r>
      <w:r w:rsidR="0040211A" w:rsidRPr="00A5243A">
        <w:rPr>
          <w:rFonts w:cs="Arial"/>
        </w:rPr>
        <w:t>Reusing products can achieve waste reduction and resource conservation</w:t>
      </w:r>
      <w:r w:rsidRPr="00A5243A">
        <w:rPr>
          <w:rFonts w:cs="Arial"/>
        </w:rPr>
        <w:t>. This can lead to growth, new opportunities, and developments.</w:t>
      </w:r>
    </w:p>
    <w:p w14:paraId="59977A4C" w14:textId="77777777" w:rsidR="006A5989" w:rsidRPr="00D45CF1" w:rsidRDefault="006A5989" w:rsidP="006A5989">
      <w:pPr>
        <w:jc w:val="center"/>
        <w:rPr>
          <w:rFonts w:cs="Arial"/>
        </w:rPr>
      </w:pPr>
      <w:r w:rsidRPr="00D45CF1">
        <w:rPr>
          <w:rFonts w:cs="Arial"/>
          <w:noProof/>
          <w:lang w:val="en-US"/>
        </w:rPr>
        <w:drawing>
          <wp:inline distT="0" distB="0" distL="0" distR="0" wp14:anchorId="55DA7493" wp14:editId="38B7095D">
            <wp:extent cx="2651760" cy="1981329"/>
            <wp:effectExtent l="0" t="0" r="0" b="0"/>
            <wp:docPr id="1348225066" name="Picture 2" descr="Explainer: What is a circular ec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xplainer: What is a circular econom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65961" cy="1991940"/>
                    </a:xfrm>
                    <a:prstGeom prst="rect">
                      <a:avLst/>
                    </a:prstGeom>
                    <a:noFill/>
                    <a:ln>
                      <a:noFill/>
                    </a:ln>
                  </pic:spPr>
                </pic:pic>
              </a:graphicData>
            </a:graphic>
          </wp:inline>
        </w:drawing>
      </w:r>
    </w:p>
    <w:p w14:paraId="233B9299" w14:textId="77777777" w:rsidR="006A5989" w:rsidRPr="00D45CF1" w:rsidRDefault="006A5989" w:rsidP="006A5989">
      <w:pPr>
        <w:jc w:val="center"/>
        <w:rPr>
          <w:rFonts w:cs="Arial"/>
        </w:rPr>
      </w:pPr>
      <w:r w:rsidRPr="00D45CF1">
        <w:rPr>
          <w:rFonts w:cs="Arial"/>
        </w:rPr>
        <w:t>Figure 1: Circular Economy</w:t>
      </w:r>
    </w:p>
    <w:p w14:paraId="3AC2ADEF" w14:textId="3098A578" w:rsidR="006A5989" w:rsidRPr="00A5243A" w:rsidRDefault="006A5989" w:rsidP="007C5E7E">
      <w:pPr>
        <w:jc w:val="center"/>
        <w:rPr>
          <w:rFonts w:cs="Arial"/>
        </w:rPr>
      </w:pPr>
      <w:r w:rsidRPr="00D45CF1">
        <w:rPr>
          <w:rFonts w:cs="Arial"/>
        </w:rPr>
        <w:t>Source:</w:t>
      </w:r>
      <w:r>
        <w:rPr>
          <w:rFonts w:cs="Arial"/>
        </w:rPr>
        <w:t xml:space="preserve"> </w:t>
      </w:r>
      <w:r w:rsidRPr="00D45CF1">
        <w:rPr>
          <w:rFonts w:cs="Arial"/>
        </w:rPr>
        <w:t>Corvellec and Stowell (202</w:t>
      </w:r>
      <w:r w:rsidR="00802ED5">
        <w:rPr>
          <w:rFonts w:cs="Arial"/>
        </w:rPr>
        <w:t>2</w:t>
      </w:r>
      <w:r w:rsidRPr="00D45CF1">
        <w:rPr>
          <w:rFonts w:cs="Arial"/>
        </w:rPr>
        <w:t>)</w:t>
      </w:r>
    </w:p>
    <w:p w14:paraId="3AA94FD7" w14:textId="6B10A709" w:rsidR="00E969A1" w:rsidRPr="007C5E7E" w:rsidRDefault="00726FFC" w:rsidP="00E969A1">
      <w:pPr>
        <w:rPr>
          <w:rFonts w:cs="Arial"/>
        </w:rPr>
      </w:pPr>
      <w:r w:rsidRPr="00A5243A">
        <w:rPr>
          <w:rFonts w:cs="Arial"/>
        </w:rPr>
        <w:t xml:space="preserve">Businesses, governments, and consumers are warming to the circular economy, which reduces waste and improves sustainability. It may solve our society's resource overconsumption and distribution difficulties. Keep supplies in use to eliminate waste. </w:t>
      </w:r>
      <w:r w:rsidR="002D046B" w:rsidRPr="00A5243A">
        <w:rPr>
          <w:rFonts w:cs="Arial"/>
        </w:rPr>
        <w:t>I</w:t>
      </w:r>
      <w:r w:rsidRPr="00A5243A">
        <w:rPr>
          <w:rFonts w:cs="Arial"/>
        </w:rPr>
        <w:t>t can reduce the ecosystem impact of finding and using new resources. The circular economy implementation may yield significant financial gains. The circular economy can boost innovation in materials research, product design, and corporate strategy</w:t>
      </w:r>
      <w:r w:rsidR="002D046B" w:rsidRPr="00A5243A">
        <w:rPr>
          <w:rFonts w:cs="Arial"/>
        </w:rPr>
        <w:t xml:space="preserve"> (Lüdeke-Freund and Bocken, 201</w:t>
      </w:r>
      <w:r w:rsidR="009059AB">
        <w:rPr>
          <w:rFonts w:cs="Arial"/>
        </w:rPr>
        <w:t>9</w:t>
      </w:r>
      <w:r w:rsidR="002D046B" w:rsidRPr="00A5243A">
        <w:rPr>
          <w:rFonts w:cs="Arial"/>
        </w:rPr>
        <w:t>)</w:t>
      </w:r>
      <w:r w:rsidRPr="00A5243A">
        <w:rPr>
          <w:rFonts w:cs="Arial"/>
        </w:rPr>
        <w:t xml:space="preserve">. The circular economy provides a promising alternative to linear economics. </w:t>
      </w:r>
    </w:p>
    <w:p w14:paraId="67A8BA97" w14:textId="38B73D44" w:rsidR="00624F9F" w:rsidRDefault="00624F9F" w:rsidP="00624F9F">
      <w:pPr>
        <w:rPr>
          <w:rFonts w:cs="Arial"/>
        </w:rPr>
      </w:pPr>
      <w:r w:rsidRPr="00870FE0">
        <w:rPr>
          <w:rFonts w:cs="Arial"/>
          <w:bCs/>
        </w:rPr>
        <w:t xml:space="preserve">CSR </w:t>
      </w:r>
      <w:r w:rsidR="006A5989" w:rsidRPr="00870FE0">
        <w:rPr>
          <w:rFonts w:cs="Arial"/>
          <w:bCs/>
        </w:rPr>
        <w:t>and the Circular Economy</w:t>
      </w:r>
      <w:r w:rsidR="006A5989" w:rsidRPr="00A5243A">
        <w:rPr>
          <w:rFonts w:cs="Arial"/>
        </w:rPr>
        <w:t xml:space="preserve"> </w:t>
      </w:r>
      <w:r w:rsidRPr="00A5243A">
        <w:rPr>
          <w:rFonts w:cs="Arial"/>
        </w:rPr>
        <w:t xml:space="preserve">have gained popularity among investors and consumers in recent years. They handle corporate social and environmental </w:t>
      </w:r>
      <w:r w:rsidR="008E2768">
        <w:rPr>
          <w:rFonts w:cs="Arial"/>
        </w:rPr>
        <w:t>outcomes</w:t>
      </w:r>
      <w:r w:rsidRPr="00A5243A">
        <w:rPr>
          <w:rFonts w:cs="Arial"/>
        </w:rPr>
        <w:t xml:space="preserve"> differently. The circular economy promotes product and service lifespan while reducing consumption. Corporate social responsibility (CSR) includes employee treatment, stakeholder relations, and environmental impact</w:t>
      </w:r>
      <w:r w:rsidR="002D046B" w:rsidRPr="00A5243A">
        <w:rPr>
          <w:rFonts w:cs="Arial"/>
        </w:rPr>
        <w:t xml:space="preserve"> (Daú and Portugal, 2019)</w:t>
      </w:r>
      <w:r w:rsidRPr="00A5243A">
        <w:rPr>
          <w:rFonts w:cs="Arial"/>
        </w:rPr>
        <w:t>.</w:t>
      </w:r>
      <w:r w:rsidR="002D046B" w:rsidRPr="00A5243A">
        <w:rPr>
          <w:rFonts w:cs="Arial"/>
        </w:rPr>
        <w:t xml:space="preserve"> </w:t>
      </w:r>
      <w:r w:rsidRPr="00A5243A">
        <w:rPr>
          <w:rFonts w:cs="Arial"/>
        </w:rPr>
        <w:t xml:space="preserve">Because it contradicts the take-make-dispose production model of linear economies, the circular economy supports CSR. A linear economy collects inputs, processes them </w:t>
      </w:r>
      <w:r w:rsidRPr="00A5243A">
        <w:rPr>
          <w:rFonts w:cs="Arial"/>
        </w:rPr>
        <w:lastRenderedPageBreak/>
        <w:t>into a product, and discards them. This technique is unsustainable due to resource depletion and trash creation. A circular economy encourages reusing and recycling things and resources after their original usage. To maximise their utilisation and return them to circulation. Letting, repairing, refurbishing, and recycling extend their lifespan. This method reduces trash by using reusable and recyclable materials. After use, reusable materials are straightforward to recycle.</w:t>
      </w:r>
    </w:p>
    <w:p w14:paraId="7F1DB8C5" w14:textId="77777777" w:rsidR="006A5989" w:rsidRDefault="006A5989" w:rsidP="006A5989">
      <w:pPr>
        <w:jc w:val="center"/>
      </w:pPr>
      <w:r>
        <w:rPr>
          <w:noProof/>
          <w:lang w:val="en-US"/>
        </w:rPr>
        <w:drawing>
          <wp:inline distT="0" distB="0" distL="0" distR="0" wp14:anchorId="217C86CA" wp14:editId="78E4F82E">
            <wp:extent cx="2544724" cy="2590800"/>
            <wp:effectExtent l="0" t="0" r="8255" b="0"/>
            <wp:docPr id="1971744369" name="Picture 3" descr="Integrating Corporate Social Responsibility and Marketing: A Necessary  Syner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ntegrating Corporate Social Responsibility and Marketing: A Necessary  Synerg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56992" cy="2603290"/>
                    </a:xfrm>
                    <a:prstGeom prst="rect">
                      <a:avLst/>
                    </a:prstGeom>
                    <a:noFill/>
                    <a:ln>
                      <a:noFill/>
                    </a:ln>
                  </pic:spPr>
                </pic:pic>
              </a:graphicData>
            </a:graphic>
          </wp:inline>
        </w:drawing>
      </w:r>
    </w:p>
    <w:p w14:paraId="32464C63" w14:textId="77777777" w:rsidR="006A5989" w:rsidRDefault="006A5989" w:rsidP="006A5989">
      <w:pPr>
        <w:jc w:val="center"/>
      </w:pPr>
      <w:r>
        <w:t>Figure 2: Corporate Social Responsibility</w:t>
      </w:r>
    </w:p>
    <w:p w14:paraId="4DED3E51" w14:textId="58CDC2A7" w:rsidR="006A5989" w:rsidRPr="003903B0" w:rsidRDefault="006A5989" w:rsidP="006A5989">
      <w:pPr>
        <w:jc w:val="center"/>
      </w:pPr>
      <w:r>
        <w:t xml:space="preserve">Source: </w:t>
      </w:r>
      <w:r w:rsidR="00DB01ED" w:rsidRPr="00DB01ED">
        <w:rPr>
          <w:rFonts w:cs="Arial"/>
          <w:color w:val="222222"/>
          <w:szCs w:val="24"/>
          <w:shd w:val="clear" w:color="auto" w:fill="FFFFFF"/>
        </w:rPr>
        <w:t>Tai</w:t>
      </w:r>
      <w:r w:rsidR="00DB01ED">
        <w:rPr>
          <w:rFonts w:cs="Arial"/>
          <w:color w:val="222222"/>
          <w:szCs w:val="24"/>
          <w:shd w:val="clear" w:color="auto" w:fill="FFFFFF"/>
        </w:rPr>
        <w:t xml:space="preserve"> and </w:t>
      </w:r>
      <w:r w:rsidR="00DB01ED" w:rsidRPr="00DB01ED">
        <w:rPr>
          <w:rFonts w:cs="Arial"/>
          <w:color w:val="222222"/>
          <w:szCs w:val="24"/>
          <w:shd w:val="clear" w:color="auto" w:fill="FFFFFF"/>
        </w:rPr>
        <w:t>Chuang</w:t>
      </w:r>
      <w:r w:rsidR="00DB01ED">
        <w:rPr>
          <w:rFonts w:cs="Arial"/>
          <w:color w:val="222222"/>
          <w:szCs w:val="24"/>
          <w:shd w:val="clear" w:color="auto" w:fill="FFFFFF"/>
        </w:rPr>
        <w:t xml:space="preserve"> (2014)</w:t>
      </w:r>
    </w:p>
    <w:p w14:paraId="076AC63C" w14:textId="741B32E1" w:rsidR="00624F9F" w:rsidRPr="00A5243A" w:rsidRDefault="00624F9F" w:rsidP="00624F9F">
      <w:pPr>
        <w:rPr>
          <w:rFonts w:cs="Arial"/>
        </w:rPr>
      </w:pPr>
      <w:r w:rsidRPr="00A5243A">
        <w:rPr>
          <w:rFonts w:cs="Arial"/>
        </w:rPr>
        <w:t>Companies can improve resource use, reduce environmental impact, and satisfy stakeholders by implementing circular economy ideas into their CSR initiatives</w:t>
      </w:r>
      <w:r w:rsidR="002D046B" w:rsidRPr="00A5243A">
        <w:rPr>
          <w:rFonts w:cs="Arial"/>
        </w:rPr>
        <w:t xml:space="preserve"> (Jeffrey</w:t>
      </w:r>
      <w:r w:rsidR="008D0DE2">
        <w:rPr>
          <w:rFonts w:cs="Arial"/>
        </w:rPr>
        <w:t xml:space="preserve"> et al.,</w:t>
      </w:r>
      <w:r w:rsidR="002D046B" w:rsidRPr="00A5243A">
        <w:rPr>
          <w:rFonts w:cs="Arial"/>
        </w:rPr>
        <w:t xml:space="preserve"> 20</w:t>
      </w:r>
      <w:r w:rsidR="008D0DE2">
        <w:rPr>
          <w:rFonts w:cs="Arial"/>
        </w:rPr>
        <w:t>19</w:t>
      </w:r>
      <w:r w:rsidR="002D046B" w:rsidRPr="00A5243A">
        <w:rPr>
          <w:rFonts w:cs="Arial"/>
        </w:rPr>
        <w:t>)</w:t>
      </w:r>
      <w:r w:rsidRPr="00A5243A">
        <w:rPr>
          <w:rFonts w:cs="Arial"/>
        </w:rPr>
        <w:t>. Making items more durable, repairable, and recyclable can help companies lessen their environmental impact and extend their lifespan. Instead of ownership, sharing and leasing business models can enhance product utilisation and lower manufacturing demands. Businesses can reduce their environmental effect by adopting renewable or recycled materials. Circular economies may help solve linear economic paradigm environmental issues. Businesses may delay global warming by recycling and reducing greenhouse gas emissions</w:t>
      </w:r>
      <w:r w:rsidR="00EB3F76" w:rsidRPr="00A5243A">
        <w:rPr>
          <w:rFonts w:cs="Arial"/>
        </w:rPr>
        <w:t xml:space="preserve"> (Trong Tuan, 201</w:t>
      </w:r>
      <w:r w:rsidR="00DB01ED">
        <w:rPr>
          <w:rFonts w:cs="Arial"/>
        </w:rPr>
        <w:t>2</w:t>
      </w:r>
      <w:r w:rsidR="00EB3F76" w:rsidRPr="00A5243A">
        <w:rPr>
          <w:rFonts w:cs="Arial"/>
        </w:rPr>
        <w:t>)</w:t>
      </w:r>
      <w:r w:rsidRPr="00A5243A">
        <w:rPr>
          <w:rFonts w:cs="Arial"/>
        </w:rPr>
        <w:t>. Businesses can reduce their impact on ecosystems and biodiversity by using resources more efficiently. Proactively reducing product design pollution and waste can improve a company's environmental impact and stakeholder interactions.</w:t>
      </w:r>
    </w:p>
    <w:p w14:paraId="1220BFED" w14:textId="7BEEAB2F" w:rsidR="00373D66" w:rsidRPr="006377C8" w:rsidRDefault="00624F9F" w:rsidP="00373D66">
      <w:pPr>
        <w:rPr>
          <w:rFonts w:cs="Arial"/>
        </w:rPr>
      </w:pPr>
      <w:r w:rsidRPr="00A5243A">
        <w:rPr>
          <w:rFonts w:cs="Arial"/>
        </w:rPr>
        <w:lastRenderedPageBreak/>
        <w:t>CSR and the circular economy can help companies achieve sustainability goals. Businesses can reduce their environmental impact and benefit stakeholders and society by adopting a circular economy CSR strategy</w:t>
      </w:r>
      <w:r w:rsidR="002D046B" w:rsidRPr="00A5243A">
        <w:rPr>
          <w:rFonts w:cs="Arial"/>
        </w:rPr>
        <w:t xml:space="preserve"> (Harjoto, 20</w:t>
      </w:r>
      <w:r w:rsidR="00802ED5">
        <w:rPr>
          <w:rFonts w:cs="Arial"/>
        </w:rPr>
        <w:t>17</w:t>
      </w:r>
      <w:r w:rsidR="002D046B" w:rsidRPr="00A5243A">
        <w:rPr>
          <w:rFonts w:cs="Arial"/>
        </w:rPr>
        <w:t>)</w:t>
      </w:r>
      <w:r w:rsidRPr="00A5243A">
        <w:rPr>
          <w:rFonts w:cs="Arial"/>
        </w:rPr>
        <w:t>. Companies who care about the world and profit should consider the circular economy. As governments and organisations globally implement circular economy practices, the idea is becoming a reality. The European Union's Circular Economy Action Plan promotes recycling and industrial symbiosis, which turns waste products into raw resources for other industries</w:t>
      </w:r>
      <w:r w:rsidR="009D50D0">
        <w:rPr>
          <w:rFonts w:cs="Arial"/>
        </w:rPr>
        <w:t xml:space="preserve"> (</w:t>
      </w:r>
      <w:r w:rsidR="009D50D0" w:rsidRPr="009D50D0">
        <w:rPr>
          <w:rFonts w:cs="Arial"/>
          <w:color w:val="222222"/>
          <w:szCs w:val="24"/>
          <w:shd w:val="clear" w:color="auto" w:fill="FFFFFF"/>
        </w:rPr>
        <w:t>Mhatre</w:t>
      </w:r>
      <w:r w:rsidR="009D50D0">
        <w:rPr>
          <w:rFonts w:cs="Arial"/>
          <w:color w:val="222222"/>
          <w:szCs w:val="24"/>
          <w:shd w:val="clear" w:color="auto" w:fill="FFFFFF"/>
        </w:rPr>
        <w:t xml:space="preserve"> et al., 2021)</w:t>
      </w:r>
      <w:r w:rsidRPr="00A5243A">
        <w:rPr>
          <w:rFonts w:cs="Arial"/>
        </w:rPr>
        <w:t xml:space="preserve">. </w:t>
      </w:r>
    </w:p>
    <w:p w14:paraId="328B961D" w14:textId="5A3F1E8E" w:rsidR="00D526E8" w:rsidRPr="006A5989" w:rsidRDefault="006A5989" w:rsidP="00D526E8">
      <w:r w:rsidRPr="00870FE0">
        <w:rPr>
          <w:bCs/>
        </w:rPr>
        <w:t>Marriott International</w:t>
      </w:r>
      <w:r w:rsidR="00745646" w:rsidRPr="00870FE0">
        <w:rPr>
          <w:bCs/>
        </w:rPr>
        <w:t>'</w:t>
      </w:r>
      <w:r w:rsidRPr="00870FE0">
        <w:rPr>
          <w:bCs/>
        </w:rPr>
        <w:t xml:space="preserve">s </w:t>
      </w:r>
      <w:r w:rsidR="00D526E8" w:rsidRPr="00870FE0">
        <w:rPr>
          <w:bCs/>
        </w:rPr>
        <w:t>360</w:t>
      </w:r>
      <w:r w:rsidR="00745646" w:rsidRPr="00870FE0">
        <w:rPr>
          <w:bCs/>
        </w:rPr>
        <w:t>-</w:t>
      </w:r>
      <w:r w:rsidRPr="00870FE0">
        <w:rPr>
          <w:bCs/>
        </w:rPr>
        <w:t>degree</w:t>
      </w:r>
      <w:r w:rsidR="00D526E8" w:rsidRPr="006A5989">
        <w:t xml:space="preserve"> CSR policy encompasses every social responsibility. Marriott's CSR strategy relies on its Human Rights and Sustainability Policies</w:t>
      </w:r>
      <w:r w:rsidR="00AC3B5B" w:rsidRPr="006A5989">
        <w:t xml:space="preserve">. </w:t>
      </w:r>
      <w:r w:rsidR="00D526E8" w:rsidRPr="006A5989">
        <w:t>These efforts were based on Marriott's 2025 Sustainability and Social Impact Goals and the UN Sustainable Development Goals</w:t>
      </w:r>
      <w:r w:rsidR="006B5A53" w:rsidRPr="006A5989">
        <w:t>.</w:t>
      </w:r>
      <w:r w:rsidR="00D526E8" w:rsidRPr="006A5989">
        <w:t xml:space="preserve"> Marriott shows their commitment to business ethics by following the Universal Declaration of Human Rights. Marriott's policy recognises the intrinsic worth and equal rights of all people, which is important to an effective CSR plan </w:t>
      </w:r>
      <w:r w:rsidR="00D526E8" w:rsidRPr="006A5989">
        <w:rPr>
          <w:rFonts w:cs="Arial"/>
        </w:rPr>
        <w:t>(Marriott, 2019)</w:t>
      </w:r>
      <w:r w:rsidR="00D526E8" w:rsidRPr="006A5989">
        <w:t xml:space="preserve">. The Universal Declaration of Human Rights states that everyone is born with rights and freedoms. Marriott fully supports human rights in its region by adopting these standards. Marriott follows global norms to create an inclusive and equal workplace. Marriott has also taken steps to ensure its global operations follow these ideals, as indicated in its Human Rights Policy. Assessments of human rights, instructional programmes, and abuse reporting and response systems are </w:t>
      </w:r>
      <w:r w:rsidR="005325C9" w:rsidRPr="006A5989">
        <w:t>part of it</w:t>
      </w:r>
      <w:r w:rsidR="00D526E8" w:rsidRPr="006A5989">
        <w:t>. These actions demonstrate that Marriott means business when it promises it will respect human rights in its varied workforce and global supplier chains.</w:t>
      </w:r>
    </w:p>
    <w:p w14:paraId="1730D20D" w14:textId="4248B3E6" w:rsidR="00D526E8" w:rsidRPr="006A5989" w:rsidRDefault="00D526E8" w:rsidP="00D526E8">
      <w:r w:rsidRPr="006A5989">
        <w:t>Marriott International's Sustainability Policy shows its commitment to making a difference in the community. Marriott is demonstrating its ethical corporate beliefs by committing to the 2025 Sustainability and Social Impact Goals</w:t>
      </w:r>
      <w:r w:rsidR="00280A42" w:rsidRPr="006A5989">
        <w:t xml:space="preserve"> (Landau, 2020)</w:t>
      </w:r>
      <w:r w:rsidRPr="006A5989">
        <w:t xml:space="preserve">. Marriott's sustainability principles emphasise environmental responsibility. Marriott has reduced water and energy use, and </w:t>
      </w:r>
      <w:r w:rsidR="005325C9" w:rsidRPr="006A5989">
        <w:t>waste</w:t>
      </w:r>
      <w:r w:rsidRPr="006A5989">
        <w:t xml:space="preserve"> output and encouraged responsible sourcing as part of its environmental sustainability efforts </w:t>
      </w:r>
      <w:r w:rsidRPr="006A5989">
        <w:rPr>
          <w:rFonts w:cs="Arial"/>
        </w:rPr>
        <w:t>(</w:t>
      </w:r>
      <w:r w:rsidR="00F44ACB">
        <w:rPr>
          <w:rFonts w:cs="Arial"/>
        </w:rPr>
        <w:t>Robertson</w:t>
      </w:r>
      <w:r w:rsidRPr="006A5989">
        <w:rPr>
          <w:rFonts w:cs="Arial"/>
        </w:rPr>
        <w:t>, 2018)</w:t>
      </w:r>
      <w:r w:rsidRPr="006A5989">
        <w:t xml:space="preserve">. Marriott can demonstrate its social responsibility and attract eco-conscious clients with this. Marriott's Sustainability Policy now includes the UN Sustainable Development Goals, demonstrating its commitment to global issues. Marriott is making a huge impact on </w:t>
      </w:r>
      <w:r w:rsidRPr="006A5989">
        <w:lastRenderedPageBreak/>
        <w:t>climate cha</w:t>
      </w:r>
      <w:r w:rsidR="00171B3E">
        <w:t>nge</w:t>
      </w:r>
      <w:r w:rsidR="00F44ACB">
        <w:t>,</w:t>
      </w:r>
      <w:r w:rsidRPr="006A5989">
        <w:t xml:space="preserve"> poverty, and education by partnering with these causes. This shows a comprehensive and interdependent plan for long-term firm sustainability.</w:t>
      </w:r>
    </w:p>
    <w:p w14:paraId="0EB694AC" w14:textId="20741466" w:rsidR="00D526E8" w:rsidRPr="006A5989" w:rsidRDefault="00D526E8" w:rsidP="00D526E8">
      <w:r w:rsidRPr="006A5989">
        <w:t>Marriott's Supplier Conduct Guidelines promote honesty, fairness, and integrity in the supply chain. Marriott has strict supplier standards because its business environment is interdependent</w:t>
      </w:r>
      <w:r w:rsidR="00745646">
        <w:t>,</w:t>
      </w:r>
      <w:r w:rsidRPr="006A5989">
        <w:t xml:space="preserve"> and its suppliers' behaviour may affect its CSR goals. Marriott's principles are more than guidelines</w:t>
      </w:r>
      <w:r w:rsidR="00357EDD" w:rsidRPr="006A5989">
        <w:t>. T</w:t>
      </w:r>
      <w:r w:rsidRPr="006A5989">
        <w:t>hey form the foundation of its business ethics. Marriott uses this method to develop a collaborative, ethical supply chain</w:t>
      </w:r>
      <w:r w:rsidR="00E969A1" w:rsidRPr="006A5989">
        <w:t xml:space="preserve"> (</w:t>
      </w:r>
      <w:r w:rsidR="00F44ACB">
        <w:t>Singal and Rhou,</w:t>
      </w:r>
      <w:r w:rsidR="00E969A1" w:rsidRPr="006A5989">
        <w:t xml:space="preserve"> 2017)</w:t>
      </w:r>
      <w:r w:rsidRPr="006A5989">
        <w:t>. A simple business agreement becomes a respectful and cooperative collaboration</w:t>
      </w:r>
      <w:r w:rsidR="00357EDD" w:rsidRPr="006A5989">
        <w:t xml:space="preserve"> because of such initiatives taken by the organisation</w:t>
      </w:r>
      <w:r w:rsidRPr="006A5989">
        <w:t>. Marriott's Supplier Conduct Guidelines promote transparency and accountability. Guidelines for human rights, environmental protection, and fair employment may include specific requirements. Marriott establishes clear expectations and encourages suppliers to be proactive in solving these issues to show them how serious they are</w:t>
      </w:r>
      <w:r w:rsidR="00635463" w:rsidRPr="006A5989">
        <w:t xml:space="preserve"> (Sanvitale, 2020)</w:t>
      </w:r>
      <w:r w:rsidRPr="006A5989">
        <w:t>. The criteria will also include reporting and monitoring processes to hold providers accountable. Suppliers are incentivized to adapt to evolving ethical standards. In the supply chain, unethical activity is discouraged and a growth mentality is promoted. Due to supply chain disruptions, CSR norms in supplier agreements are becoming increasingly important. Marriott's Supplier Conduct Guidelines promote ethics and supply chain resilience</w:t>
      </w:r>
      <w:r w:rsidR="00AF6D7C" w:rsidRPr="006A5989">
        <w:t xml:space="preserve"> (</w:t>
      </w:r>
      <w:r w:rsidR="00AF6D7C" w:rsidRPr="006A5989">
        <w:rPr>
          <w:rFonts w:cs="Arial"/>
          <w:kern w:val="0"/>
        </w:rPr>
        <w:t>Guzzo et al., 2023)</w:t>
      </w:r>
      <w:r w:rsidRPr="006A5989">
        <w:t xml:space="preserve">. CSR-based supply chains are resilient because </w:t>
      </w:r>
      <w:r w:rsidR="00C21D83">
        <w:t>of</w:t>
      </w:r>
      <w:r w:rsidRPr="006A5989">
        <w:t xml:space="preserve"> their ethics and practicality. CSR throughout the supply chain shows that Marriott is mindful of shifting investor and consumer expectations. CSR in supply chains will help companies win over stakeholders and retain ethical consumers.</w:t>
      </w:r>
    </w:p>
    <w:p w14:paraId="1176FE80" w14:textId="387F2C67" w:rsidR="00E969A1" w:rsidRPr="006A5989" w:rsidRDefault="00D526E8" w:rsidP="00E969A1">
      <w:r w:rsidRPr="006A5989">
        <w:t xml:space="preserve">Marriott shows its commitment to all stakeholders, especially the most disadvantaged, by caring for animal welfare. Animal Welfare Position Statements are often overlooked in corporate social responsibility </w:t>
      </w:r>
      <w:r w:rsidR="00AF6D7C" w:rsidRPr="006A5989">
        <w:t xml:space="preserve">(Guzzo et al., 2023). </w:t>
      </w:r>
      <w:r w:rsidRPr="006A5989">
        <w:t xml:space="preserve">This statement </w:t>
      </w:r>
      <w:r w:rsidR="00972004" w:rsidRPr="006A5989">
        <w:t>acknowledges interconnectedness</w:t>
      </w:r>
      <w:r w:rsidRPr="006A5989">
        <w:t xml:space="preserve"> beyond human concerns. As public expectations</w:t>
      </w:r>
      <w:r w:rsidR="00171B3E">
        <w:t xml:space="preserve"> change</w:t>
      </w:r>
      <w:r w:rsidR="00F44ACB">
        <w:t>,</w:t>
      </w:r>
      <w:r w:rsidRPr="006A5989">
        <w:t xml:space="preserve"> Marriott has acknowledged its impact on animal welfare. This statement likely establishes Marriott's animal handling standards for events, operations, and supply chains. People can help by supporting cruelty-free methods, buying animal products ethically, and not doing business with animal welfare-harming companies. Marriott must prioritise animal welfare in the hospitality industry since guests may interact with animals. It appears Marriott's Animal Welfare Position Statement encompasses everything from on-site entertainment to food and drink to local vendors</w:t>
      </w:r>
      <w:r w:rsidR="00972004" w:rsidRPr="006A5989">
        <w:t xml:space="preserve"> (Sanvitale, 2020).</w:t>
      </w:r>
      <w:r w:rsidRPr="006A5989">
        <w:t xml:space="preserve"> Animal care </w:t>
      </w:r>
      <w:r w:rsidRPr="006A5989">
        <w:lastRenderedPageBreak/>
        <w:t>leadership will please Marriott's ethical customers a</w:t>
      </w:r>
      <w:r w:rsidR="00745646">
        <w:t>nd</w:t>
      </w:r>
      <w:r w:rsidRPr="006A5989">
        <w:t xml:space="preserve"> be morally right. Modern vacationers are more selective about where they go and how it fits their morals. Marriott's commitment to animal welfare makes it an eco-friendly choice</w:t>
      </w:r>
      <w:r w:rsidR="00E969A1" w:rsidRPr="006A5989">
        <w:t xml:space="preserve"> (Bohdanowicz and Zientara, 2016)</w:t>
      </w:r>
      <w:r w:rsidRPr="006A5989">
        <w:t>.</w:t>
      </w:r>
      <w:r w:rsidR="00E969A1" w:rsidRPr="006A5989">
        <w:t xml:space="preserve"> </w:t>
      </w:r>
      <w:r w:rsidRPr="006A5989">
        <w:t xml:space="preserve">Marriott International's Supplier Conduct Guidelines and Animal Welfare Position Statement show its commitment to a holistic approach. Marriott's supplier chain follows ethical standards to protect its operations and promote a more ethical and sustainable business climate worldwide. All levels of a company should act ethically. This is </w:t>
      </w:r>
      <w:r w:rsidR="00972004" w:rsidRPr="006A5989">
        <w:t>strictly ensured via the existing</w:t>
      </w:r>
      <w:r w:rsidRPr="006A5989">
        <w:t xml:space="preserve"> Supplier Conduct Guidelines. Marriott leads the way in ethical and cooperative supply chains due to its openness and responsibility </w:t>
      </w:r>
      <w:r w:rsidR="00E969A1" w:rsidRPr="006A5989">
        <w:t>to</w:t>
      </w:r>
      <w:r w:rsidRPr="006A5989">
        <w:t xml:space="preserve"> suppliers. Marriott's Animal Welfare Position Statement differentiates it as a socially conscious hotel firm. A corporation must understand how its operations affect animals to improve their CSR statement. A strong commitment to doing the right thing satisfies the growing needs of ethical consumers. Marriott International's Supplier Conduct Guidelines and Animal Welfare Position Statement demonstrate that true CSR goes beyond compliance. Maintaining ethical standards that benefit society and business requires unwavering commitment. These variables will shape Marriott's ethical and progressive image in the ever-changing corporate responsibility sector.</w:t>
      </w:r>
    </w:p>
    <w:p w14:paraId="73021AFF" w14:textId="31E82E04" w:rsidR="000D45F2" w:rsidRPr="00223653" w:rsidRDefault="00745646" w:rsidP="000D45F2">
      <w:pPr>
        <w:rPr>
          <w:b/>
          <w:bCs/>
        </w:rPr>
      </w:pPr>
      <w:r>
        <w:rPr>
          <w:rFonts w:cs="Arial"/>
          <w:bCs/>
        </w:rPr>
        <w:t xml:space="preserve">There are many </w:t>
      </w:r>
      <w:r w:rsidRPr="00715DDC">
        <w:rPr>
          <w:rFonts w:cs="Arial"/>
        </w:rPr>
        <w:t>examples</w:t>
      </w:r>
      <w:r>
        <w:rPr>
          <w:rFonts w:cs="Arial"/>
          <w:bCs/>
        </w:rPr>
        <w:t xml:space="preserve"> of companies that integrated Circular Economy in their CSR policy. </w:t>
      </w:r>
      <w:r w:rsidR="000D45F2" w:rsidRPr="00A5243A">
        <w:rPr>
          <w:rFonts w:cs="Arial"/>
        </w:rPr>
        <w:t>London-based Winnow makes smart metres to help restaurants reduce food waste. Smart metres help restaurants track food waste by identifying garbage. With this information, restaurants can reduce waste by identifying its sources. Restaurants and cafeterias may serve smaller quantities of uneaten food to reduce waste</w:t>
      </w:r>
      <w:r w:rsidR="00EB3F76" w:rsidRPr="00A5243A">
        <w:rPr>
          <w:rFonts w:cs="Arial"/>
        </w:rPr>
        <w:t xml:space="preserve"> (</w:t>
      </w:r>
      <w:r w:rsidR="00DB01ED" w:rsidRPr="00802ED5">
        <w:rPr>
          <w:rFonts w:cs="Arial"/>
          <w:color w:val="222222"/>
          <w:szCs w:val="24"/>
          <w:shd w:val="clear" w:color="auto" w:fill="FFFFFF"/>
        </w:rPr>
        <w:t>Achmad and Yulianah</w:t>
      </w:r>
      <w:r w:rsidR="00DB01ED">
        <w:rPr>
          <w:rFonts w:cs="Arial"/>
          <w:color w:val="222222"/>
          <w:szCs w:val="24"/>
          <w:shd w:val="clear" w:color="auto" w:fill="FFFFFF"/>
        </w:rPr>
        <w:t>, 2022</w:t>
      </w:r>
      <w:r w:rsidR="00EB3F76" w:rsidRPr="00A5243A">
        <w:rPr>
          <w:rFonts w:cs="Arial"/>
        </w:rPr>
        <w:t>)</w:t>
      </w:r>
      <w:r w:rsidR="000D45F2" w:rsidRPr="00A5243A">
        <w:rPr>
          <w:rFonts w:cs="Arial"/>
        </w:rPr>
        <w:t>. Winnow's boasts that its metres can cut food waste in half save customers a lot of money and reduce landfill trash.</w:t>
      </w:r>
    </w:p>
    <w:p w14:paraId="6AAE7EC7" w14:textId="09165090" w:rsidR="000D45F2" w:rsidRPr="00A5243A" w:rsidRDefault="000D45F2" w:rsidP="000D45F2">
      <w:pPr>
        <w:rPr>
          <w:rFonts w:cs="Arial"/>
        </w:rPr>
      </w:pPr>
      <w:r w:rsidRPr="00A5243A">
        <w:rPr>
          <w:rFonts w:cs="Arial"/>
        </w:rPr>
        <w:t>DyeCoo supports circular economy principles. A waterless and chemical-free fabric dyeing method has been discovered. Reusing CO</w:t>
      </w:r>
      <w:r w:rsidRPr="00A5243A">
        <w:rPr>
          <w:rFonts w:ascii="Cambria Math" w:hAnsi="Cambria Math" w:cs="Cambria Math"/>
        </w:rPr>
        <w:t>₂</w:t>
      </w:r>
      <w:r w:rsidRPr="00A5243A">
        <w:rPr>
          <w:rFonts w:cs="Arial"/>
        </w:rPr>
        <w:t xml:space="preserve"> as a dye is crucial in this closed-loop system. Dye dissolves well in supercritical CO</w:t>
      </w:r>
      <w:r w:rsidRPr="00A5243A">
        <w:rPr>
          <w:rFonts w:ascii="Cambria Math" w:hAnsi="Cambria Math" w:cs="Cambria Math"/>
        </w:rPr>
        <w:t>₂</w:t>
      </w:r>
      <w:r w:rsidRPr="00A5243A">
        <w:rPr>
          <w:rFonts w:cs="Arial"/>
        </w:rPr>
        <w:t xml:space="preserve"> due to its strong solvent power under pressure. This dying procedure is environmentally friendly because it utilises no water and fewer chemicals than conventional processes. Used ink cartridges and other soft plastics have a new use</w:t>
      </w:r>
      <w:r w:rsidR="00745646">
        <w:rPr>
          <w:rFonts w:cs="Arial"/>
        </w:rPr>
        <w:t>,</w:t>
      </w:r>
      <w:r w:rsidRPr="00A5243A">
        <w:rPr>
          <w:rFonts w:cs="Arial"/>
        </w:rPr>
        <w:t xml:space="preserve"> according to Australian firm Close the Loop. This waste is recycled into road-building material by the company. Less waste in landfills benefits future infrastructure and the environment.</w:t>
      </w:r>
    </w:p>
    <w:p w14:paraId="5B456033" w14:textId="34F7B0EE" w:rsidR="000D45F2" w:rsidRPr="00A5243A" w:rsidRDefault="000D45F2" w:rsidP="000D45F2">
      <w:pPr>
        <w:rPr>
          <w:rFonts w:cs="Arial"/>
        </w:rPr>
      </w:pPr>
      <w:r w:rsidRPr="00A5243A">
        <w:rPr>
          <w:rFonts w:cs="Arial"/>
        </w:rPr>
        <w:lastRenderedPageBreak/>
        <w:t>Circular economies may solve the most pressing environmental issues. Decoupling economic growth from resource consumption and environmental impacts creates innovation and sustainable development options. The circular economy envisions a future that respects Earth's boundaries, creates wealth for future generations, and leaves no one behind</w:t>
      </w:r>
      <w:r w:rsidR="0016264E" w:rsidRPr="00A5243A">
        <w:rPr>
          <w:rFonts w:cs="Arial"/>
        </w:rPr>
        <w:t xml:space="preserve"> (Zink and Geyer, 2017)</w:t>
      </w:r>
      <w:r w:rsidRPr="00A5243A">
        <w:rPr>
          <w:rFonts w:cs="Arial"/>
        </w:rPr>
        <w:t>. The importance and relevance of this future are growing. Innovative firms, governments, and individuals have made this future possible.</w:t>
      </w:r>
    </w:p>
    <w:p w14:paraId="1E335BBF" w14:textId="7C285146" w:rsidR="0016264E" w:rsidRPr="00A5243A" w:rsidRDefault="00047920" w:rsidP="002757FD">
      <w:pPr>
        <w:rPr>
          <w:rFonts w:cs="Arial"/>
        </w:rPr>
      </w:pPr>
      <w:r w:rsidRPr="00A5243A">
        <w:rPr>
          <w:rFonts w:cs="Arial"/>
        </w:rPr>
        <w:t xml:space="preserve">Marriott International illustrates the benefits of circular economy ideas in CSR. Hotel selling points are environmental sensitivity, social responsibility, and operational efficiency. Reusing and recycling things instead of tossing them away makes the circular economy model greener than the linear economy. Marriott's CSR approach shows they care about the environment and desire to be decent corporate citizens. Marriott's Serve 360: Doing Good in Every Direction CSR policy emphasises its desire to make a positive, long-term impact in every region. Marriott's dedication to social responsibility and sustainability is shown by the policy's focus on </w:t>
      </w:r>
      <w:r w:rsidR="002D046B" w:rsidRPr="00A5243A">
        <w:rPr>
          <w:rFonts w:cs="Arial"/>
        </w:rPr>
        <w:t>N</w:t>
      </w:r>
      <w:r w:rsidR="00C506D8" w:rsidRPr="00A5243A">
        <w:rPr>
          <w:rFonts w:cs="Arial"/>
        </w:rPr>
        <w:t>urtur</w:t>
      </w:r>
      <w:r w:rsidR="002D046B" w:rsidRPr="00A5243A">
        <w:rPr>
          <w:rFonts w:cs="Arial"/>
        </w:rPr>
        <w:t>e</w:t>
      </w:r>
      <w:r w:rsidRPr="00A5243A">
        <w:rPr>
          <w:rFonts w:cs="Arial"/>
        </w:rPr>
        <w:t xml:space="preserve">, </w:t>
      </w:r>
      <w:r w:rsidR="00C506D8" w:rsidRPr="00A5243A">
        <w:rPr>
          <w:rFonts w:cs="Arial"/>
        </w:rPr>
        <w:t>Sustain</w:t>
      </w:r>
      <w:r w:rsidRPr="00A5243A">
        <w:rPr>
          <w:rFonts w:cs="Arial"/>
        </w:rPr>
        <w:t xml:space="preserve">, </w:t>
      </w:r>
      <w:r w:rsidR="00C506D8" w:rsidRPr="00A5243A">
        <w:rPr>
          <w:rFonts w:cs="Arial"/>
        </w:rPr>
        <w:t>Empower</w:t>
      </w:r>
      <w:r w:rsidRPr="00A5243A">
        <w:rPr>
          <w:rFonts w:cs="Arial"/>
        </w:rPr>
        <w:t xml:space="preserve">, and </w:t>
      </w:r>
      <w:r w:rsidR="002D046B" w:rsidRPr="00A5243A">
        <w:rPr>
          <w:rFonts w:cs="Arial"/>
        </w:rPr>
        <w:t>Welcome</w:t>
      </w:r>
      <w:r w:rsidRPr="00A5243A">
        <w:rPr>
          <w:rFonts w:cs="Arial"/>
        </w:rPr>
        <w:t>, which coincides with the UN's SDGs. Circular economy CSR actions assist the economy and environment. There is room for efficiency, cost reduction, and market expansion. Customer loyalty, stakeholder relations, and reputation improve. Circular economy CSR benefits companies, communities, and Mother Earth. Its social and environmental responsibilities and financial success may inspire all companies. Imagine a society where everyone contributes to long-term value, the circular economy is ubiquitous, and everyone is part of nature. A world like this is possible and inevitable. This future is being created by people, governments, and corporations worldwide.</w:t>
      </w:r>
      <w:r w:rsidR="0016264E" w:rsidRPr="00A5243A">
        <w:rPr>
          <w:rFonts w:cs="Arial"/>
        </w:rPr>
        <w:br w:type="page"/>
      </w:r>
    </w:p>
    <w:p w14:paraId="0D8FA87A" w14:textId="58E3B733" w:rsidR="00047920" w:rsidRPr="00A5243A" w:rsidRDefault="0016264E" w:rsidP="0016264E">
      <w:pPr>
        <w:pStyle w:val="Heading1"/>
        <w:rPr>
          <w:rFonts w:cs="Arial"/>
        </w:rPr>
      </w:pPr>
      <w:r w:rsidRPr="00A5243A">
        <w:rPr>
          <w:rFonts w:cs="Arial"/>
        </w:rPr>
        <w:lastRenderedPageBreak/>
        <w:t>References</w:t>
      </w:r>
    </w:p>
    <w:p w14:paraId="263DD6ED" w14:textId="488EF234" w:rsidR="00CC3B2A" w:rsidRPr="00802ED5" w:rsidRDefault="00CC3B2A" w:rsidP="0016264E">
      <w:pPr>
        <w:widowControl w:val="0"/>
        <w:autoSpaceDE w:val="0"/>
        <w:autoSpaceDN w:val="0"/>
        <w:adjustRightInd w:val="0"/>
        <w:spacing w:after="240"/>
        <w:ind w:left="720" w:hanging="720"/>
        <w:rPr>
          <w:rFonts w:cs="Arial"/>
          <w:kern w:val="0"/>
          <w:szCs w:val="24"/>
          <w:lang w:val="en-US"/>
        </w:rPr>
      </w:pPr>
      <w:r w:rsidRPr="00802ED5">
        <w:rPr>
          <w:rFonts w:cs="Arial"/>
          <w:color w:val="222222"/>
          <w:szCs w:val="24"/>
          <w:shd w:val="clear" w:color="auto" w:fill="FFFFFF"/>
        </w:rPr>
        <w:t xml:space="preserve">Achmad, W. and Yulianah, Y. </w:t>
      </w:r>
      <w:r w:rsidR="003314F9">
        <w:rPr>
          <w:rFonts w:cs="Arial"/>
          <w:color w:val="222222"/>
          <w:szCs w:val="24"/>
          <w:shd w:val="clear" w:color="auto" w:fill="FFFFFF"/>
        </w:rPr>
        <w:t>(</w:t>
      </w:r>
      <w:r w:rsidRPr="00802ED5">
        <w:rPr>
          <w:rFonts w:cs="Arial"/>
          <w:color w:val="222222"/>
          <w:szCs w:val="24"/>
          <w:shd w:val="clear" w:color="auto" w:fill="FFFFFF"/>
        </w:rPr>
        <w:t>2022</w:t>
      </w:r>
      <w:r w:rsidR="003314F9">
        <w:rPr>
          <w:rFonts w:cs="Arial"/>
          <w:color w:val="222222"/>
          <w:szCs w:val="24"/>
          <w:shd w:val="clear" w:color="auto" w:fill="FFFFFF"/>
        </w:rPr>
        <w:t>)</w:t>
      </w:r>
      <w:r w:rsidRPr="00802ED5">
        <w:rPr>
          <w:rFonts w:cs="Arial"/>
          <w:color w:val="222222"/>
          <w:szCs w:val="24"/>
          <w:shd w:val="clear" w:color="auto" w:fill="FFFFFF"/>
        </w:rPr>
        <w:t>. Corporate social responsibility of the hospitality industry in realizing sustainable tourism development. </w:t>
      </w:r>
      <w:r w:rsidRPr="00802ED5">
        <w:rPr>
          <w:rFonts w:cs="Arial"/>
          <w:i/>
          <w:iCs/>
          <w:color w:val="222222"/>
          <w:szCs w:val="24"/>
          <w:shd w:val="clear" w:color="auto" w:fill="FFFFFF"/>
        </w:rPr>
        <w:t>Enrichment: Journal of Management</w:t>
      </w:r>
      <w:r w:rsidRPr="00802ED5">
        <w:rPr>
          <w:rFonts w:cs="Arial"/>
          <w:color w:val="222222"/>
          <w:szCs w:val="24"/>
          <w:shd w:val="clear" w:color="auto" w:fill="FFFFFF"/>
        </w:rPr>
        <w:t>, </w:t>
      </w:r>
      <w:r w:rsidRPr="00802ED5">
        <w:rPr>
          <w:rFonts w:cs="Arial"/>
          <w:i/>
          <w:iCs/>
          <w:color w:val="222222"/>
          <w:szCs w:val="24"/>
          <w:shd w:val="clear" w:color="auto" w:fill="FFFFFF"/>
        </w:rPr>
        <w:t>12</w:t>
      </w:r>
      <w:r w:rsidRPr="00802ED5">
        <w:rPr>
          <w:rFonts w:cs="Arial"/>
          <w:color w:val="222222"/>
          <w:szCs w:val="24"/>
          <w:shd w:val="clear" w:color="auto" w:fill="FFFFFF"/>
        </w:rPr>
        <w:t>(2), pp.1610-1616.</w:t>
      </w:r>
    </w:p>
    <w:p w14:paraId="2D6AF700" w14:textId="77777777" w:rsidR="00CC3B2A" w:rsidRPr="007827EB" w:rsidRDefault="00CC3B2A" w:rsidP="007827EB">
      <w:pPr>
        <w:widowControl w:val="0"/>
        <w:autoSpaceDE w:val="0"/>
        <w:autoSpaceDN w:val="0"/>
        <w:adjustRightInd w:val="0"/>
        <w:spacing w:after="240"/>
        <w:ind w:left="720" w:hanging="720"/>
        <w:rPr>
          <w:rFonts w:cs="Arial"/>
          <w:kern w:val="0"/>
          <w:lang w:val="en-US"/>
        </w:rPr>
      </w:pPr>
      <w:r w:rsidRPr="007827EB">
        <w:rPr>
          <w:rFonts w:cs="Arial"/>
          <w:kern w:val="0"/>
          <w:lang w:val="en-US"/>
        </w:rPr>
        <w:t xml:space="preserve">Bohdanowicz, P. and Zientara, P. (2016). CSR-inspired Environmental Initiatives in Top Hotel Chains. </w:t>
      </w:r>
      <w:r w:rsidRPr="007827EB">
        <w:rPr>
          <w:rFonts w:cs="Arial"/>
          <w:i/>
          <w:iCs/>
          <w:kern w:val="0"/>
          <w:lang w:val="en-US"/>
        </w:rPr>
        <w:t>International Journal of Management</w:t>
      </w:r>
      <w:r w:rsidRPr="007827EB">
        <w:rPr>
          <w:rFonts w:cs="Arial"/>
          <w:kern w:val="0"/>
          <w:lang w:val="en-US"/>
        </w:rPr>
        <w:t>, pp.111–138.</w:t>
      </w:r>
    </w:p>
    <w:p w14:paraId="7B92779D" w14:textId="77777777" w:rsidR="00CC3B2A" w:rsidRPr="00023973" w:rsidRDefault="00CC3B2A" w:rsidP="00023973">
      <w:pPr>
        <w:widowControl w:val="0"/>
        <w:autoSpaceDE w:val="0"/>
        <w:autoSpaceDN w:val="0"/>
        <w:adjustRightInd w:val="0"/>
        <w:spacing w:after="240"/>
        <w:ind w:left="720" w:hanging="720"/>
        <w:rPr>
          <w:rFonts w:cs="Arial"/>
          <w:kern w:val="0"/>
          <w:lang w:val="en-US"/>
        </w:rPr>
      </w:pPr>
      <w:r w:rsidRPr="00023973">
        <w:rPr>
          <w:rFonts w:cs="Arial"/>
          <w:kern w:val="0"/>
          <w:lang w:val="en-US"/>
        </w:rPr>
        <w:t>Corvellec, H. and Stowell, A.F. (202</w:t>
      </w:r>
      <w:r>
        <w:rPr>
          <w:rFonts w:cs="Arial"/>
          <w:kern w:val="0"/>
          <w:lang w:val="en-US"/>
        </w:rPr>
        <w:t>2</w:t>
      </w:r>
      <w:r w:rsidRPr="00023973">
        <w:rPr>
          <w:rFonts w:cs="Arial"/>
          <w:kern w:val="0"/>
          <w:lang w:val="en-US"/>
        </w:rPr>
        <w:t xml:space="preserve">). Critiques of the circular economy. </w:t>
      </w:r>
      <w:r w:rsidRPr="00023973">
        <w:rPr>
          <w:rFonts w:cs="Arial"/>
          <w:i/>
          <w:iCs/>
          <w:kern w:val="0"/>
          <w:lang w:val="en-US"/>
        </w:rPr>
        <w:t>Journal of Industrial Ecology</w:t>
      </w:r>
      <w:r w:rsidRPr="00023973">
        <w:rPr>
          <w:rFonts w:cs="Arial"/>
          <w:kern w:val="0"/>
          <w:lang w:val="en-US"/>
        </w:rPr>
        <w:t>, 26(2).</w:t>
      </w:r>
    </w:p>
    <w:p w14:paraId="3D03C037" w14:textId="77777777" w:rsidR="00CC3B2A" w:rsidRPr="00A5243A" w:rsidRDefault="00CC3B2A" w:rsidP="0016264E">
      <w:pPr>
        <w:widowControl w:val="0"/>
        <w:autoSpaceDE w:val="0"/>
        <w:autoSpaceDN w:val="0"/>
        <w:adjustRightInd w:val="0"/>
        <w:spacing w:after="240"/>
        <w:ind w:left="720" w:hanging="720"/>
        <w:rPr>
          <w:rFonts w:cs="Arial"/>
          <w:kern w:val="0"/>
          <w:lang w:val="en-US"/>
        </w:rPr>
      </w:pPr>
      <w:r w:rsidRPr="00A5243A">
        <w:rPr>
          <w:rFonts w:cs="Arial"/>
          <w:kern w:val="0"/>
          <w:lang w:val="en-US"/>
        </w:rPr>
        <w:t xml:space="preserve">Daú, G. and Portugal, V.J.T. (2019). The Healthcare Sustainable Supply Chain 4.0: The Circular Economy Transition Conceptual Framework with the Corporate Social Responsibility Mirror. </w:t>
      </w:r>
      <w:r w:rsidRPr="00A5243A">
        <w:rPr>
          <w:rFonts w:cs="Arial"/>
          <w:i/>
          <w:iCs/>
          <w:kern w:val="0"/>
          <w:lang w:val="en-US"/>
        </w:rPr>
        <w:t>Sustainability</w:t>
      </w:r>
      <w:r w:rsidRPr="00A5243A">
        <w:rPr>
          <w:rFonts w:cs="Arial"/>
          <w:kern w:val="0"/>
          <w:lang w:val="en-US"/>
        </w:rPr>
        <w:t>, 11(12), p.3259.</w:t>
      </w:r>
    </w:p>
    <w:p w14:paraId="53F1D353" w14:textId="77777777" w:rsidR="00CC3B2A" w:rsidRPr="007827EB" w:rsidRDefault="00CC3B2A" w:rsidP="007827EB">
      <w:pPr>
        <w:widowControl w:val="0"/>
        <w:autoSpaceDE w:val="0"/>
        <w:autoSpaceDN w:val="0"/>
        <w:adjustRightInd w:val="0"/>
        <w:spacing w:after="240"/>
        <w:ind w:left="720" w:hanging="720"/>
        <w:rPr>
          <w:rFonts w:cs="Arial"/>
          <w:kern w:val="0"/>
          <w:lang w:val="en-US"/>
        </w:rPr>
      </w:pPr>
      <w:r w:rsidRPr="00AF6D7C">
        <w:rPr>
          <w:rFonts w:cs="Arial"/>
          <w:kern w:val="0"/>
        </w:rPr>
        <w:t xml:space="preserve">Guzzo, R.F., Cobos, L. and Vargas, D. </w:t>
      </w:r>
      <w:r>
        <w:rPr>
          <w:rFonts w:cs="Arial"/>
          <w:kern w:val="0"/>
        </w:rPr>
        <w:t>(</w:t>
      </w:r>
      <w:r w:rsidRPr="00AF6D7C">
        <w:rPr>
          <w:rFonts w:cs="Arial"/>
          <w:kern w:val="0"/>
        </w:rPr>
        <w:t>2023</w:t>
      </w:r>
      <w:r>
        <w:rPr>
          <w:rFonts w:cs="Arial"/>
          <w:kern w:val="0"/>
        </w:rPr>
        <w:t>)</w:t>
      </w:r>
      <w:r w:rsidRPr="00AF6D7C">
        <w:rPr>
          <w:rFonts w:cs="Arial"/>
          <w:kern w:val="0"/>
        </w:rPr>
        <w:t>. Taking a stand: Understanding the use of socially controversial CSR in hospitality recruitment. </w:t>
      </w:r>
      <w:r w:rsidRPr="00AF6D7C">
        <w:rPr>
          <w:rFonts w:cs="Arial"/>
          <w:i/>
          <w:iCs/>
          <w:kern w:val="0"/>
        </w:rPr>
        <w:t>International Journal of Hospitality Management</w:t>
      </w:r>
      <w:r w:rsidRPr="00AF6D7C">
        <w:rPr>
          <w:rFonts w:cs="Arial"/>
          <w:kern w:val="0"/>
        </w:rPr>
        <w:t>, </w:t>
      </w:r>
      <w:r w:rsidRPr="00AF6D7C">
        <w:rPr>
          <w:rFonts w:cs="Arial"/>
          <w:i/>
          <w:iCs/>
          <w:kern w:val="0"/>
        </w:rPr>
        <w:t>111</w:t>
      </w:r>
      <w:r w:rsidRPr="00AF6D7C">
        <w:rPr>
          <w:rFonts w:cs="Arial"/>
          <w:kern w:val="0"/>
        </w:rPr>
        <w:t>, p.103488.</w:t>
      </w:r>
    </w:p>
    <w:p w14:paraId="7F44ECB8" w14:textId="77777777" w:rsidR="00CC3B2A" w:rsidRPr="00A5243A" w:rsidRDefault="00CC3B2A" w:rsidP="0016264E">
      <w:pPr>
        <w:widowControl w:val="0"/>
        <w:autoSpaceDE w:val="0"/>
        <w:autoSpaceDN w:val="0"/>
        <w:adjustRightInd w:val="0"/>
        <w:spacing w:after="240"/>
        <w:ind w:left="720" w:hanging="720"/>
        <w:rPr>
          <w:rFonts w:cs="Arial"/>
          <w:kern w:val="0"/>
          <w:lang w:val="en-US"/>
        </w:rPr>
      </w:pPr>
      <w:r w:rsidRPr="00A5243A">
        <w:rPr>
          <w:rFonts w:cs="Arial"/>
          <w:kern w:val="0"/>
          <w:lang w:val="en-US"/>
        </w:rPr>
        <w:t>Harjoto, M.A. (20</w:t>
      </w:r>
      <w:r>
        <w:rPr>
          <w:rFonts w:cs="Arial"/>
          <w:kern w:val="0"/>
          <w:lang w:val="en-US"/>
        </w:rPr>
        <w:t>17</w:t>
      </w:r>
      <w:r w:rsidRPr="00A5243A">
        <w:rPr>
          <w:rFonts w:cs="Arial"/>
          <w:kern w:val="0"/>
          <w:lang w:val="en-US"/>
        </w:rPr>
        <w:t xml:space="preserve">). Corporate Social Responsibility and Corporate Fraud. </w:t>
      </w:r>
      <w:r w:rsidRPr="00A5243A">
        <w:rPr>
          <w:rFonts w:cs="Arial"/>
          <w:i/>
          <w:iCs/>
          <w:kern w:val="0"/>
          <w:lang w:val="en-US"/>
        </w:rPr>
        <w:t>Social Responsibility Journal</w:t>
      </w:r>
      <w:r w:rsidRPr="00A5243A">
        <w:rPr>
          <w:rFonts w:cs="Arial"/>
          <w:kern w:val="0"/>
          <w:lang w:val="en-US"/>
        </w:rPr>
        <w:t>, 13(4), pp.762–779.</w:t>
      </w:r>
    </w:p>
    <w:p w14:paraId="123A3952" w14:textId="7D1BD934" w:rsidR="00CC3B2A" w:rsidRPr="00A5243A" w:rsidRDefault="00CC3B2A" w:rsidP="0016264E">
      <w:pPr>
        <w:widowControl w:val="0"/>
        <w:autoSpaceDE w:val="0"/>
        <w:autoSpaceDN w:val="0"/>
        <w:adjustRightInd w:val="0"/>
        <w:spacing w:after="240"/>
        <w:ind w:left="720" w:hanging="720"/>
        <w:rPr>
          <w:rFonts w:cs="Arial"/>
          <w:kern w:val="0"/>
          <w:lang w:val="en-US"/>
        </w:rPr>
      </w:pPr>
      <w:r w:rsidRPr="00802ED5">
        <w:rPr>
          <w:rFonts w:cs="Arial"/>
          <w:kern w:val="0"/>
          <w:lang w:val="en-US"/>
        </w:rPr>
        <w:t xml:space="preserve">Jeffrey, S., Rosenberg, S. and McCabe, B </w:t>
      </w:r>
      <w:r w:rsidRPr="00A5243A">
        <w:rPr>
          <w:rFonts w:cs="Arial"/>
          <w:kern w:val="0"/>
          <w:lang w:val="en-US"/>
        </w:rPr>
        <w:t>(20</w:t>
      </w:r>
      <w:r w:rsidR="00773A34">
        <w:rPr>
          <w:rFonts w:cs="Arial"/>
          <w:kern w:val="0"/>
          <w:lang w:val="en-US"/>
        </w:rPr>
        <w:t>19</w:t>
      </w:r>
      <w:r w:rsidRPr="00A5243A">
        <w:rPr>
          <w:rFonts w:cs="Arial"/>
          <w:kern w:val="0"/>
          <w:lang w:val="en-US"/>
        </w:rPr>
        <w:t xml:space="preserve">). Corporate Social Responsibility Behaviors and Corporate Reputation. </w:t>
      </w:r>
      <w:r w:rsidRPr="00A5243A">
        <w:rPr>
          <w:rFonts w:cs="Arial"/>
          <w:i/>
          <w:iCs/>
          <w:kern w:val="0"/>
          <w:lang w:val="en-US"/>
        </w:rPr>
        <w:t>Social Responsibility Journal</w:t>
      </w:r>
      <w:r w:rsidRPr="00A5243A">
        <w:rPr>
          <w:rFonts w:cs="Arial"/>
          <w:kern w:val="0"/>
          <w:lang w:val="en-US"/>
        </w:rPr>
        <w:t>, 15(3).</w:t>
      </w:r>
    </w:p>
    <w:p w14:paraId="7C2B64DF" w14:textId="77777777" w:rsidR="00CC3B2A" w:rsidRPr="00A5243A" w:rsidRDefault="00CC3B2A" w:rsidP="0016264E">
      <w:pPr>
        <w:widowControl w:val="0"/>
        <w:autoSpaceDE w:val="0"/>
        <w:autoSpaceDN w:val="0"/>
        <w:adjustRightInd w:val="0"/>
        <w:spacing w:after="240"/>
        <w:ind w:left="720" w:hanging="720"/>
        <w:rPr>
          <w:rFonts w:cs="Arial"/>
          <w:kern w:val="0"/>
          <w:lang w:val="en-US"/>
        </w:rPr>
      </w:pPr>
      <w:r w:rsidRPr="00D64B73">
        <w:rPr>
          <w:rFonts w:cs="Arial"/>
          <w:kern w:val="0"/>
        </w:rPr>
        <w:t xml:space="preserve">Landau, T. </w:t>
      </w:r>
      <w:r>
        <w:rPr>
          <w:rFonts w:cs="Arial"/>
          <w:kern w:val="0"/>
        </w:rPr>
        <w:t>(</w:t>
      </w:r>
      <w:r w:rsidRPr="00D64B73">
        <w:rPr>
          <w:rFonts w:cs="Arial"/>
          <w:kern w:val="0"/>
        </w:rPr>
        <w:t>2020</w:t>
      </w:r>
      <w:r>
        <w:rPr>
          <w:rFonts w:cs="Arial"/>
          <w:kern w:val="0"/>
        </w:rPr>
        <w:t>)</w:t>
      </w:r>
      <w:r w:rsidRPr="00D64B73">
        <w:rPr>
          <w:rFonts w:cs="Arial"/>
          <w:kern w:val="0"/>
        </w:rPr>
        <w:t>. Action and progress on sustainability challenges: case examples from Marriott, Booking and Soneva. </w:t>
      </w:r>
      <w:r w:rsidRPr="00D64B73">
        <w:rPr>
          <w:rFonts w:cs="Arial"/>
          <w:i/>
          <w:iCs/>
          <w:kern w:val="0"/>
        </w:rPr>
        <w:t>Worldwide Hospitality and Tourism Themes</w:t>
      </w:r>
      <w:r w:rsidRPr="00D64B73">
        <w:rPr>
          <w:rFonts w:cs="Arial"/>
          <w:kern w:val="0"/>
        </w:rPr>
        <w:t>, </w:t>
      </w:r>
      <w:r w:rsidRPr="00D64B73">
        <w:rPr>
          <w:rFonts w:cs="Arial"/>
          <w:i/>
          <w:iCs/>
          <w:kern w:val="0"/>
        </w:rPr>
        <w:t>12</w:t>
      </w:r>
      <w:r w:rsidRPr="00D64B73">
        <w:rPr>
          <w:rFonts w:cs="Arial"/>
          <w:kern w:val="0"/>
        </w:rPr>
        <w:t>(5), pp.563-573.</w:t>
      </w:r>
    </w:p>
    <w:p w14:paraId="27C9B5ED" w14:textId="77777777" w:rsidR="00CC3B2A" w:rsidRDefault="00CC3B2A" w:rsidP="0016264E">
      <w:pPr>
        <w:widowControl w:val="0"/>
        <w:autoSpaceDE w:val="0"/>
        <w:autoSpaceDN w:val="0"/>
        <w:adjustRightInd w:val="0"/>
        <w:spacing w:after="240"/>
        <w:ind w:left="720" w:hanging="720"/>
        <w:rPr>
          <w:rFonts w:cs="Arial"/>
          <w:kern w:val="0"/>
          <w:lang w:val="en-US"/>
        </w:rPr>
      </w:pPr>
      <w:r w:rsidRPr="00A5243A">
        <w:rPr>
          <w:rFonts w:cs="Arial"/>
          <w:kern w:val="0"/>
          <w:lang w:val="en-US"/>
        </w:rPr>
        <w:t>Lüdeke-</w:t>
      </w:r>
      <w:r w:rsidRPr="00DB01ED">
        <w:rPr>
          <w:rFonts w:cs="Arial"/>
          <w:kern w:val="0"/>
          <w:lang w:val="en-US"/>
        </w:rPr>
        <w:t xml:space="preserve"> </w:t>
      </w:r>
      <w:r w:rsidRPr="00A5243A">
        <w:rPr>
          <w:rFonts w:cs="Arial"/>
          <w:kern w:val="0"/>
          <w:lang w:val="en-US"/>
        </w:rPr>
        <w:t>Freund, F. and Bocken, N.M.P. (201</w:t>
      </w:r>
      <w:r>
        <w:rPr>
          <w:rFonts w:cs="Arial"/>
          <w:kern w:val="0"/>
          <w:lang w:val="en-US"/>
        </w:rPr>
        <w:t>9</w:t>
      </w:r>
      <w:r w:rsidRPr="00A5243A">
        <w:rPr>
          <w:rFonts w:cs="Arial"/>
          <w:kern w:val="0"/>
          <w:lang w:val="en-US"/>
        </w:rPr>
        <w:t xml:space="preserve">). A Review and Typology of Circular Economy Business Model Patterns. </w:t>
      </w:r>
      <w:r w:rsidRPr="00A5243A">
        <w:rPr>
          <w:rFonts w:cs="Arial"/>
          <w:i/>
          <w:iCs/>
          <w:kern w:val="0"/>
          <w:lang w:val="en-US"/>
        </w:rPr>
        <w:t>Journal of Industrial Ecology</w:t>
      </w:r>
      <w:r w:rsidRPr="00A5243A">
        <w:rPr>
          <w:rFonts w:cs="Arial"/>
          <w:kern w:val="0"/>
          <w:lang w:val="en-US"/>
        </w:rPr>
        <w:t>, 23(1), pp.36–61.</w:t>
      </w:r>
    </w:p>
    <w:p w14:paraId="2957CDB6" w14:textId="0BE8A5A4" w:rsidR="009D50D0" w:rsidRPr="009D50D0" w:rsidRDefault="009D50D0" w:rsidP="0016264E">
      <w:pPr>
        <w:widowControl w:val="0"/>
        <w:autoSpaceDE w:val="0"/>
        <w:autoSpaceDN w:val="0"/>
        <w:adjustRightInd w:val="0"/>
        <w:spacing w:after="240"/>
        <w:ind w:left="720" w:hanging="720"/>
        <w:rPr>
          <w:rFonts w:cs="Arial"/>
          <w:kern w:val="0"/>
          <w:szCs w:val="24"/>
          <w:lang w:val="en-US"/>
        </w:rPr>
      </w:pPr>
      <w:r w:rsidRPr="009D50D0">
        <w:rPr>
          <w:rFonts w:cs="Arial"/>
          <w:color w:val="222222"/>
          <w:szCs w:val="24"/>
          <w:shd w:val="clear" w:color="auto" w:fill="FFFFFF"/>
        </w:rPr>
        <w:t xml:space="preserve">Mhatre, P., Panchal, R., Singh, A. and Bibyan, S. </w:t>
      </w:r>
      <w:r>
        <w:rPr>
          <w:rFonts w:cs="Arial"/>
          <w:color w:val="222222"/>
          <w:szCs w:val="24"/>
          <w:shd w:val="clear" w:color="auto" w:fill="FFFFFF"/>
        </w:rPr>
        <w:t>(</w:t>
      </w:r>
      <w:r w:rsidRPr="009D50D0">
        <w:rPr>
          <w:rFonts w:cs="Arial"/>
          <w:color w:val="222222"/>
          <w:szCs w:val="24"/>
          <w:shd w:val="clear" w:color="auto" w:fill="FFFFFF"/>
        </w:rPr>
        <w:t>2021</w:t>
      </w:r>
      <w:r>
        <w:rPr>
          <w:rFonts w:cs="Arial"/>
          <w:color w:val="222222"/>
          <w:szCs w:val="24"/>
          <w:shd w:val="clear" w:color="auto" w:fill="FFFFFF"/>
        </w:rPr>
        <w:t>)</w:t>
      </w:r>
      <w:r w:rsidRPr="009D50D0">
        <w:rPr>
          <w:rFonts w:cs="Arial"/>
          <w:color w:val="222222"/>
          <w:szCs w:val="24"/>
          <w:shd w:val="clear" w:color="auto" w:fill="FFFFFF"/>
        </w:rPr>
        <w:t>. A systematic literature review on the circular economy initiatives in the European Union. </w:t>
      </w:r>
      <w:r w:rsidRPr="009D50D0">
        <w:rPr>
          <w:rFonts w:cs="Arial"/>
          <w:i/>
          <w:iCs/>
          <w:color w:val="222222"/>
          <w:szCs w:val="24"/>
          <w:shd w:val="clear" w:color="auto" w:fill="FFFFFF"/>
        </w:rPr>
        <w:t>Sustainable Production and Consumption</w:t>
      </w:r>
      <w:r w:rsidRPr="009D50D0">
        <w:rPr>
          <w:rFonts w:cs="Arial"/>
          <w:color w:val="222222"/>
          <w:szCs w:val="24"/>
          <w:shd w:val="clear" w:color="auto" w:fill="FFFFFF"/>
        </w:rPr>
        <w:t>, </w:t>
      </w:r>
      <w:r w:rsidRPr="009D50D0">
        <w:rPr>
          <w:rFonts w:cs="Arial"/>
          <w:i/>
          <w:iCs/>
          <w:color w:val="222222"/>
          <w:szCs w:val="24"/>
          <w:shd w:val="clear" w:color="auto" w:fill="FFFFFF"/>
        </w:rPr>
        <w:t>26</w:t>
      </w:r>
      <w:r w:rsidRPr="009D50D0">
        <w:rPr>
          <w:rFonts w:cs="Arial"/>
          <w:color w:val="222222"/>
          <w:szCs w:val="24"/>
          <w:shd w:val="clear" w:color="auto" w:fill="FFFFFF"/>
        </w:rPr>
        <w:t>, pp.187-202.</w:t>
      </w:r>
    </w:p>
    <w:p w14:paraId="005502C5" w14:textId="77777777" w:rsidR="00CC3B2A" w:rsidRPr="00A5243A" w:rsidRDefault="00CC3B2A" w:rsidP="0016264E">
      <w:pPr>
        <w:widowControl w:val="0"/>
        <w:autoSpaceDE w:val="0"/>
        <w:autoSpaceDN w:val="0"/>
        <w:adjustRightInd w:val="0"/>
        <w:spacing w:after="240"/>
        <w:ind w:left="720" w:hanging="720"/>
        <w:rPr>
          <w:rFonts w:cs="Arial"/>
          <w:kern w:val="0"/>
          <w:lang w:val="en-US"/>
        </w:rPr>
      </w:pPr>
      <w:r w:rsidRPr="00A5243A">
        <w:rPr>
          <w:rFonts w:cs="Arial"/>
          <w:kern w:val="0"/>
          <w:lang w:val="en-US"/>
        </w:rPr>
        <w:lastRenderedPageBreak/>
        <w:t xml:space="preserve">Marriott (2019). </w:t>
      </w:r>
      <w:r w:rsidRPr="00A5243A">
        <w:rPr>
          <w:rFonts w:cs="Arial"/>
          <w:i/>
          <w:iCs/>
          <w:kern w:val="0"/>
          <w:lang w:val="en-US"/>
        </w:rPr>
        <w:t>csr-marriott</w:t>
      </w:r>
      <w:r w:rsidRPr="00A5243A">
        <w:rPr>
          <w:rFonts w:cs="Arial"/>
          <w:kern w:val="0"/>
          <w:lang w:val="en-US"/>
        </w:rPr>
        <w:t xml:space="preserve">. [online] csr-marriott. Available at: </w:t>
      </w:r>
      <w:hyperlink r:id="rId11" w:history="1">
        <w:r w:rsidRPr="00A5243A">
          <w:rPr>
            <w:rStyle w:val="Hyperlink"/>
            <w:rFonts w:cs="Arial"/>
            <w:color w:val="auto"/>
            <w:kern w:val="0"/>
            <w:lang w:val="en-US"/>
          </w:rPr>
          <w:t>https://serve360.marriott.com/</w:t>
        </w:r>
      </w:hyperlink>
      <w:r w:rsidRPr="00A5243A">
        <w:rPr>
          <w:rFonts w:cs="Arial"/>
          <w:kern w:val="0"/>
          <w:lang w:val="en-US"/>
        </w:rPr>
        <w:t>.</w:t>
      </w:r>
    </w:p>
    <w:p w14:paraId="5857DF7C" w14:textId="77777777" w:rsidR="00CC3B2A" w:rsidRPr="00171B3E" w:rsidRDefault="00CC3B2A" w:rsidP="0016264E">
      <w:pPr>
        <w:widowControl w:val="0"/>
        <w:autoSpaceDE w:val="0"/>
        <w:autoSpaceDN w:val="0"/>
        <w:adjustRightInd w:val="0"/>
        <w:spacing w:after="240"/>
        <w:ind w:left="720" w:hanging="720"/>
        <w:rPr>
          <w:rFonts w:cs="Arial"/>
          <w:kern w:val="0"/>
          <w:szCs w:val="24"/>
          <w:lang w:val="en-US"/>
        </w:rPr>
      </w:pPr>
      <w:r w:rsidRPr="00171B3E">
        <w:rPr>
          <w:rFonts w:cs="Arial"/>
          <w:color w:val="222222"/>
          <w:szCs w:val="24"/>
          <w:shd w:val="clear" w:color="auto" w:fill="FFFFFF"/>
        </w:rPr>
        <w:t xml:space="preserve">Morseletto, P. </w:t>
      </w:r>
      <w:r>
        <w:rPr>
          <w:rFonts w:cs="Arial"/>
          <w:color w:val="222222"/>
          <w:szCs w:val="24"/>
          <w:shd w:val="clear" w:color="auto" w:fill="FFFFFF"/>
        </w:rPr>
        <w:t>(</w:t>
      </w:r>
      <w:r w:rsidRPr="00171B3E">
        <w:rPr>
          <w:rFonts w:cs="Arial"/>
          <w:color w:val="222222"/>
          <w:szCs w:val="24"/>
          <w:shd w:val="clear" w:color="auto" w:fill="FFFFFF"/>
        </w:rPr>
        <w:t>2020</w:t>
      </w:r>
      <w:r>
        <w:rPr>
          <w:rFonts w:cs="Arial"/>
          <w:color w:val="222222"/>
          <w:szCs w:val="24"/>
          <w:shd w:val="clear" w:color="auto" w:fill="FFFFFF"/>
        </w:rPr>
        <w:t>)</w:t>
      </w:r>
      <w:r w:rsidRPr="00171B3E">
        <w:rPr>
          <w:rFonts w:cs="Arial"/>
          <w:color w:val="222222"/>
          <w:szCs w:val="24"/>
          <w:shd w:val="clear" w:color="auto" w:fill="FFFFFF"/>
        </w:rPr>
        <w:t>. Targets for a circular economy. </w:t>
      </w:r>
      <w:r w:rsidRPr="00171B3E">
        <w:rPr>
          <w:rFonts w:cs="Arial"/>
          <w:i/>
          <w:iCs/>
          <w:color w:val="222222"/>
          <w:szCs w:val="24"/>
          <w:shd w:val="clear" w:color="auto" w:fill="FFFFFF"/>
        </w:rPr>
        <w:t>Resources, Conservation and Recycling</w:t>
      </w:r>
      <w:r w:rsidRPr="00171B3E">
        <w:rPr>
          <w:rFonts w:cs="Arial"/>
          <w:color w:val="222222"/>
          <w:szCs w:val="24"/>
          <w:shd w:val="clear" w:color="auto" w:fill="FFFFFF"/>
        </w:rPr>
        <w:t>, </w:t>
      </w:r>
      <w:r w:rsidRPr="00171B3E">
        <w:rPr>
          <w:rFonts w:cs="Arial"/>
          <w:i/>
          <w:iCs/>
          <w:color w:val="222222"/>
          <w:szCs w:val="24"/>
          <w:shd w:val="clear" w:color="auto" w:fill="FFFFFF"/>
        </w:rPr>
        <w:t>153</w:t>
      </w:r>
      <w:r w:rsidRPr="00171B3E">
        <w:rPr>
          <w:rFonts w:cs="Arial"/>
          <w:color w:val="222222"/>
          <w:szCs w:val="24"/>
          <w:shd w:val="clear" w:color="auto" w:fill="FFFFFF"/>
        </w:rPr>
        <w:t>, p.104553.</w:t>
      </w:r>
    </w:p>
    <w:p w14:paraId="3E25806D" w14:textId="77777777" w:rsidR="00CC3B2A" w:rsidRPr="00A5243A" w:rsidRDefault="00CC3B2A" w:rsidP="0016264E">
      <w:pPr>
        <w:widowControl w:val="0"/>
        <w:autoSpaceDE w:val="0"/>
        <w:autoSpaceDN w:val="0"/>
        <w:adjustRightInd w:val="0"/>
        <w:spacing w:after="240"/>
        <w:ind w:left="720" w:hanging="720"/>
        <w:rPr>
          <w:rFonts w:cs="Arial"/>
          <w:kern w:val="0"/>
          <w:lang w:val="en-US"/>
        </w:rPr>
      </w:pPr>
      <w:r>
        <w:rPr>
          <w:rFonts w:cs="Arial"/>
          <w:kern w:val="0"/>
          <w:lang w:val="en-US"/>
        </w:rPr>
        <w:t>Robertson</w:t>
      </w:r>
      <w:r w:rsidRPr="00A5243A">
        <w:rPr>
          <w:rFonts w:cs="Arial"/>
          <w:kern w:val="0"/>
          <w:lang w:val="en-US"/>
        </w:rPr>
        <w:t xml:space="preserve">, </w:t>
      </w:r>
      <w:r>
        <w:rPr>
          <w:rFonts w:cs="Arial"/>
          <w:kern w:val="0"/>
          <w:lang w:val="en-US"/>
        </w:rPr>
        <w:t>J</w:t>
      </w:r>
      <w:r w:rsidRPr="00A5243A">
        <w:rPr>
          <w:rFonts w:cs="Arial"/>
          <w:kern w:val="0"/>
          <w:lang w:val="en-US"/>
        </w:rPr>
        <w:t xml:space="preserve">. (2018). Can luxury be socially responsible? How luxury brands frame their corporate social responsibility online. </w:t>
      </w:r>
      <w:r w:rsidRPr="00A5243A">
        <w:rPr>
          <w:rFonts w:cs="Arial"/>
          <w:i/>
          <w:iCs/>
          <w:kern w:val="0"/>
          <w:lang w:val="en-US"/>
        </w:rPr>
        <w:t>Annals in Social Responsibility</w:t>
      </w:r>
      <w:r w:rsidRPr="00A5243A">
        <w:rPr>
          <w:rFonts w:cs="Arial"/>
          <w:kern w:val="0"/>
          <w:lang w:val="en-US"/>
        </w:rPr>
        <w:t>, 4(1), pp.10–12.</w:t>
      </w:r>
    </w:p>
    <w:p w14:paraId="3FBC986F" w14:textId="77777777" w:rsidR="00CC3B2A" w:rsidRPr="00023973" w:rsidRDefault="00CC3B2A" w:rsidP="00023973">
      <w:pPr>
        <w:widowControl w:val="0"/>
        <w:autoSpaceDE w:val="0"/>
        <w:autoSpaceDN w:val="0"/>
        <w:adjustRightInd w:val="0"/>
        <w:spacing w:after="240"/>
        <w:ind w:left="720" w:hanging="720"/>
        <w:rPr>
          <w:rFonts w:cs="Arial"/>
          <w:kern w:val="0"/>
          <w:lang w:val="en-US"/>
        </w:rPr>
      </w:pPr>
      <w:r w:rsidRPr="00635463">
        <w:rPr>
          <w:rFonts w:cs="Arial"/>
          <w:kern w:val="0"/>
        </w:rPr>
        <w:t xml:space="preserve">Sanvitale, A.L. </w:t>
      </w:r>
      <w:r>
        <w:rPr>
          <w:rFonts w:cs="Arial"/>
          <w:kern w:val="0"/>
        </w:rPr>
        <w:t>(</w:t>
      </w:r>
      <w:r w:rsidRPr="00635463">
        <w:rPr>
          <w:rFonts w:cs="Arial"/>
          <w:kern w:val="0"/>
        </w:rPr>
        <w:t>2020</w:t>
      </w:r>
      <w:r>
        <w:rPr>
          <w:rFonts w:cs="Arial"/>
          <w:kern w:val="0"/>
        </w:rPr>
        <w:t>)</w:t>
      </w:r>
      <w:r w:rsidRPr="00635463">
        <w:rPr>
          <w:rFonts w:cs="Arial"/>
          <w:kern w:val="0"/>
        </w:rPr>
        <w:t>. Corporate Social Responsibility in the Hotel Industry: A Study of Marriott International and Odyssey Hotel Group.</w:t>
      </w:r>
    </w:p>
    <w:p w14:paraId="4130B510" w14:textId="77777777" w:rsidR="00CC3B2A" w:rsidRDefault="00CC3B2A" w:rsidP="007827EB">
      <w:pPr>
        <w:widowControl w:val="0"/>
        <w:autoSpaceDE w:val="0"/>
        <w:autoSpaceDN w:val="0"/>
        <w:adjustRightInd w:val="0"/>
        <w:spacing w:after="240"/>
        <w:ind w:left="720" w:hanging="720"/>
        <w:rPr>
          <w:rFonts w:cs="Arial"/>
          <w:kern w:val="0"/>
          <w:lang w:val="en-US"/>
        </w:rPr>
      </w:pPr>
      <w:r w:rsidRPr="00F44ACB">
        <w:rPr>
          <w:rFonts w:cs="Arial"/>
          <w:kern w:val="0"/>
          <w:lang w:val="en-US"/>
        </w:rPr>
        <w:t xml:space="preserve">Singal, M. and Rhou, Y. </w:t>
      </w:r>
      <w:r w:rsidRPr="007827EB">
        <w:rPr>
          <w:rFonts w:cs="Arial"/>
          <w:kern w:val="0"/>
          <w:lang w:val="en-US"/>
        </w:rPr>
        <w:t xml:space="preserve">(2017). Corporate social responsibility in the hospitality sector. </w:t>
      </w:r>
      <w:r>
        <w:rPr>
          <w:rFonts w:cs="Arial"/>
          <w:i/>
          <w:iCs/>
          <w:kern w:val="0"/>
          <w:lang w:val="en-US"/>
        </w:rPr>
        <w:t>Boston Hospitality</w:t>
      </w:r>
      <w:r w:rsidRPr="007827EB">
        <w:rPr>
          <w:rFonts w:cs="Arial"/>
          <w:i/>
          <w:iCs/>
          <w:kern w:val="0"/>
          <w:lang w:val="en-US"/>
        </w:rPr>
        <w:t xml:space="preserve"> Review</w:t>
      </w:r>
      <w:r w:rsidRPr="007827EB">
        <w:rPr>
          <w:rFonts w:cs="Arial"/>
          <w:kern w:val="0"/>
          <w:lang w:val="en-US"/>
        </w:rPr>
        <w:t>, 19(3), pp.244–262.</w:t>
      </w:r>
    </w:p>
    <w:p w14:paraId="049EFF62" w14:textId="77777777" w:rsidR="00CC3B2A" w:rsidRPr="00DB01ED" w:rsidRDefault="00CC3B2A" w:rsidP="00023973">
      <w:pPr>
        <w:widowControl w:val="0"/>
        <w:autoSpaceDE w:val="0"/>
        <w:autoSpaceDN w:val="0"/>
        <w:adjustRightInd w:val="0"/>
        <w:spacing w:after="240"/>
        <w:ind w:left="720" w:hanging="720"/>
        <w:rPr>
          <w:rFonts w:cs="Arial"/>
          <w:kern w:val="0"/>
          <w:szCs w:val="24"/>
          <w:lang w:val="en-US"/>
        </w:rPr>
      </w:pPr>
      <w:r w:rsidRPr="00DB01ED">
        <w:rPr>
          <w:rFonts w:cs="Arial"/>
          <w:color w:val="222222"/>
          <w:szCs w:val="24"/>
          <w:shd w:val="clear" w:color="auto" w:fill="FFFFFF"/>
        </w:rPr>
        <w:t xml:space="preserve">Tai, F.M. and Chuang, S.H. </w:t>
      </w:r>
      <w:r>
        <w:rPr>
          <w:rFonts w:cs="Arial"/>
          <w:color w:val="222222"/>
          <w:szCs w:val="24"/>
          <w:shd w:val="clear" w:color="auto" w:fill="FFFFFF"/>
        </w:rPr>
        <w:t>(</w:t>
      </w:r>
      <w:r w:rsidRPr="00DB01ED">
        <w:rPr>
          <w:rFonts w:cs="Arial"/>
          <w:color w:val="222222"/>
          <w:szCs w:val="24"/>
          <w:shd w:val="clear" w:color="auto" w:fill="FFFFFF"/>
        </w:rPr>
        <w:t>2014</w:t>
      </w:r>
      <w:r>
        <w:rPr>
          <w:rFonts w:cs="Arial"/>
          <w:color w:val="222222"/>
          <w:szCs w:val="24"/>
          <w:shd w:val="clear" w:color="auto" w:fill="FFFFFF"/>
        </w:rPr>
        <w:t>)</w:t>
      </w:r>
      <w:r w:rsidRPr="00DB01ED">
        <w:rPr>
          <w:rFonts w:cs="Arial"/>
          <w:color w:val="222222"/>
          <w:szCs w:val="24"/>
          <w:shd w:val="clear" w:color="auto" w:fill="FFFFFF"/>
        </w:rPr>
        <w:t>. Corporate social responsibility. </w:t>
      </w:r>
      <w:r w:rsidRPr="00DB01ED">
        <w:rPr>
          <w:rFonts w:cs="Arial"/>
          <w:i/>
          <w:iCs/>
          <w:color w:val="222222"/>
          <w:szCs w:val="24"/>
          <w:shd w:val="clear" w:color="auto" w:fill="FFFFFF"/>
        </w:rPr>
        <w:t>Ibusiness</w:t>
      </w:r>
      <w:r w:rsidRPr="00DB01ED">
        <w:rPr>
          <w:rFonts w:cs="Arial"/>
          <w:color w:val="222222"/>
          <w:szCs w:val="24"/>
          <w:shd w:val="clear" w:color="auto" w:fill="FFFFFF"/>
        </w:rPr>
        <w:t>, </w:t>
      </w:r>
      <w:r w:rsidRPr="00DB01ED">
        <w:rPr>
          <w:rFonts w:cs="Arial"/>
          <w:i/>
          <w:iCs/>
          <w:color w:val="222222"/>
          <w:szCs w:val="24"/>
          <w:shd w:val="clear" w:color="auto" w:fill="FFFFFF"/>
        </w:rPr>
        <w:t>6</w:t>
      </w:r>
      <w:r w:rsidRPr="00DB01ED">
        <w:rPr>
          <w:rFonts w:cs="Arial"/>
          <w:color w:val="222222"/>
          <w:szCs w:val="24"/>
          <w:shd w:val="clear" w:color="auto" w:fill="FFFFFF"/>
        </w:rPr>
        <w:t>(03), p.117.</w:t>
      </w:r>
    </w:p>
    <w:p w14:paraId="62B7FA89" w14:textId="77777777" w:rsidR="00CC3B2A" w:rsidRPr="00A5243A" w:rsidRDefault="00CC3B2A" w:rsidP="0016264E">
      <w:pPr>
        <w:widowControl w:val="0"/>
        <w:autoSpaceDE w:val="0"/>
        <w:autoSpaceDN w:val="0"/>
        <w:adjustRightInd w:val="0"/>
        <w:spacing w:after="240"/>
        <w:ind w:left="720" w:hanging="720"/>
        <w:rPr>
          <w:rFonts w:cs="Arial"/>
          <w:kern w:val="0"/>
          <w:lang w:val="en-US"/>
        </w:rPr>
      </w:pPr>
      <w:r w:rsidRPr="00A5243A">
        <w:rPr>
          <w:rFonts w:cs="Arial"/>
          <w:kern w:val="0"/>
          <w:lang w:val="en-US"/>
        </w:rPr>
        <w:t>Trong Tuan, L. (201</w:t>
      </w:r>
      <w:r>
        <w:rPr>
          <w:rFonts w:cs="Arial"/>
          <w:kern w:val="0"/>
          <w:lang w:val="en-US"/>
        </w:rPr>
        <w:t>2</w:t>
      </w:r>
      <w:r w:rsidRPr="00A5243A">
        <w:rPr>
          <w:rFonts w:cs="Arial"/>
          <w:kern w:val="0"/>
          <w:lang w:val="en-US"/>
        </w:rPr>
        <w:t xml:space="preserve">). Corporate social responsibility, ethics, and corporate governance. </w:t>
      </w:r>
      <w:r w:rsidRPr="00A5243A">
        <w:rPr>
          <w:rFonts w:cs="Arial"/>
          <w:i/>
          <w:iCs/>
          <w:kern w:val="0"/>
          <w:lang w:val="en-US"/>
        </w:rPr>
        <w:t>Social Responsibility Journal</w:t>
      </w:r>
      <w:r w:rsidRPr="00A5243A">
        <w:rPr>
          <w:rFonts w:cs="Arial"/>
          <w:kern w:val="0"/>
          <w:lang w:val="en-US"/>
        </w:rPr>
        <w:t>, 8(4), pp.547–560.</w:t>
      </w:r>
    </w:p>
    <w:p w14:paraId="471352DB" w14:textId="77777777" w:rsidR="00CC3B2A" w:rsidRDefault="00CC3B2A" w:rsidP="00A5243A">
      <w:pPr>
        <w:widowControl w:val="0"/>
        <w:autoSpaceDE w:val="0"/>
        <w:autoSpaceDN w:val="0"/>
        <w:adjustRightInd w:val="0"/>
        <w:spacing w:after="240"/>
        <w:ind w:left="720" w:hanging="720"/>
        <w:rPr>
          <w:rFonts w:cs="Arial"/>
          <w:kern w:val="0"/>
          <w:lang w:val="en-US"/>
        </w:rPr>
      </w:pPr>
      <w:r w:rsidRPr="00A5243A">
        <w:rPr>
          <w:rFonts w:cs="Arial"/>
          <w:kern w:val="0"/>
          <w:lang w:val="en-US"/>
        </w:rPr>
        <w:t xml:space="preserve">Zink, T. and Geyer, R. (2017). Circular Economy Rebound. </w:t>
      </w:r>
      <w:r w:rsidRPr="00A5243A">
        <w:rPr>
          <w:rFonts w:cs="Arial"/>
          <w:i/>
          <w:iCs/>
          <w:kern w:val="0"/>
          <w:lang w:val="en-US"/>
        </w:rPr>
        <w:t>Journal of Industrial Ecology</w:t>
      </w:r>
      <w:r w:rsidRPr="00A5243A">
        <w:rPr>
          <w:rFonts w:cs="Arial"/>
          <w:kern w:val="0"/>
          <w:lang w:val="en-US"/>
        </w:rPr>
        <w:t>, 21(3), pp.593–602.</w:t>
      </w:r>
    </w:p>
    <w:p w14:paraId="2CCFC6E2" w14:textId="77777777" w:rsidR="00023973" w:rsidRPr="00A5243A" w:rsidRDefault="00023973" w:rsidP="00A5243A">
      <w:pPr>
        <w:widowControl w:val="0"/>
        <w:autoSpaceDE w:val="0"/>
        <w:autoSpaceDN w:val="0"/>
        <w:adjustRightInd w:val="0"/>
        <w:spacing w:after="240"/>
        <w:ind w:left="720" w:hanging="720"/>
        <w:rPr>
          <w:rFonts w:cs="Arial"/>
          <w:kern w:val="0"/>
          <w:lang w:val="en-US"/>
        </w:rPr>
      </w:pPr>
    </w:p>
    <w:p w14:paraId="68351A01" w14:textId="77777777" w:rsidR="0061451B" w:rsidRPr="00A5243A" w:rsidRDefault="0061451B" w:rsidP="0061451B">
      <w:pPr>
        <w:rPr>
          <w:rFonts w:cs="Arial"/>
        </w:rPr>
      </w:pPr>
    </w:p>
    <w:sectPr w:rsidR="0061451B" w:rsidRPr="00A5243A" w:rsidSect="00766DC2">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E1B97" w14:textId="77777777" w:rsidR="00766DC2" w:rsidRDefault="00766DC2" w:rsidP="003A5624">
      <w:pPr>
        <w:spacing w:after="0" w:line="240" w:lineRule="auto"/>
      </w:pPr>
      <w:r>
        <w:separator/>
      </w:r>
    </w:p>
  </w:endnote>
  <w:endnote w:type="continuationSeparator" w:id="0">
    <w:p w14:paraId="07E9D096" w14:textId="77777777" w:rsidR="00766DC2" w:rsidRDefault="00766DC2" w:rsidP="003A56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5925648"/>
      <w:docPartObj>
        <w:docPartGallery w:val="Page Numbers (Bottom of Page)"/>
        <w:docPartUnique/>
      </w:docPartObj>
    </w:sdtPr>
    <w:sdtEndPr>
      <w:rPr>
        <w:noProof/>
      </w:rPr>
    </w:sdtEndPr>
    <w:sdtContent>
      <w:p w14:paraId="3745B0CF" w14:textId="2751F233" w:rsidR="00EC0684" w:rsidRDefault="00EC0684">
        <w:pPr>
          <w:pStyle w:val="Footer"/>
          <w:jc w:val="right"/>
        </w:pPr>
        <w:r>
          <w:fldChar w:fldCharType="begin"/>
        </w:r>
        <w:r>
          <w:instrText xml:space="preserve"> PAGE   \* MERGEFORMAT </w:instrText>
        </w:r>
        <w:r>
          <w:fldChar w:fldCharType="separate"/>
        </w:r>
        <w:r w:rsidR="00745646">
          <w:rPr>
            <w:noProof/>
          </w:rPr>
          <w:t>8</w:t>
        </w:r>
        <w:r>
          <w:rPr>
            <w:noProof/>
          </w:rPr>
          <w:fldChar w:fldCharType="end"/>
        </w:r>
      </w:p>
    </w:sdtContent>
  </w:sdt>
  <w:p w14:paraId="3FC77A62" w14:textId="77777777" w:rsidR="00EC0684" w:rsidRDefault="00EC0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AD8E08" w14:textId="77777777" w:rsidR="00766DC2" w:rsidRDefault="00766DC2" w:rsidP="003A5624">
      <w:pPr>
        <w:spacing w:after="0" w:line="240" w:lineRule="auto"/>
      </w:pPr>
      <w:r>
        <w:separator/>
      </w:r>
    </w:p>
  </w:footnote>
  <w:footnote w:type="continuationSeparator" w:id="0">
    <w:p w14:paraId="6024EF0D" w14:textId="77777777" w:rsidR="00766DC2" w:rsidRDefault="00766DC2" w:rsidP="003A56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C0NDe1MLawsDQ0MTNQ0lEKTi0uzszPAykwqgUA7ME5oSwAAAA="/>
  </w:docVars>
  <w:rsids>
    <w:rsidRoot w:val="00931C03"/>
    <w:rsid w:val="0000694C"/>
    <w:rsid w:val="00023973"/>
    <w:rsid w:val="00046F3F"/>
    <w:rsid w:val="00047920"/>
    <w:rsid w:val="00057888"/>
    <w:rsid w:val="000D45F2"/>
    <w:rsid w:val="0016264E"/>
    <w:rsid w:val="00171B3E"/>
    <w:rsid w:val="001C4A30"/>
    <w:rsid w:val="001F0A4B"/>
    <w:rsid w:val="00223653"/>
    <w:rsid w:val="002757FD"/>
    <w:rsid w:val="00280A42"/>
    <w:rsid w:val="00294533"/>
    <w:rsid w:val="002A2ED8"/>
    <w:rsid w:val="002D046B"/>
    <w:rsid w:val="002E1113"/>
    <w:rsid w:val="00321DF1"/>
    <w:rsid w:val="00323AB3"/>
    <w:rsid w:val="003314F9"/>
    <w:rsid w:val="00357EDD"/>
    <w:rsid w:val="00373D66"/>
    <w:rsid w:val="003861DC"/>
    <w:rsid w:val="003903B0"/>
    <w:rsid w:val="003A5624"/>
    <w:rsid w:val="003D739C"/>
    <w:rsid w:val="0040211A"/>
    <w:rsid w:val="005325C9"/>
    <w:rsid w:val="00594D34"/>
    <w:rsid w:val="005D67CB"/>
    <w:rsid w:val="00601427"/>
    <w:rsid w:val="0061451B"/>
    <w:rsid w:val="00624F9F"/>
    <w:rsid w:val="00635463"/>
    <w:rsid w:val="006377C8"/>
    <w:rsid w:val="00694D85"/>
    <w:rsid w:val="006A5989"/>
    <w:rsid w:val="006B5A53"/>
    <w:rsid w:val="00715DDC"/>
    <w:rsid w:val="00726FFC"/>
    <w:rsid w:val="00743124"/>
    <w:rsid w:val="00745646"/>
    <w:rsid w:val="00766DC2"/>
    <w:rsid w:val="00773A34"/>
    <w:rsid w:val="00774B2C"/>
    <w:rsid w:val="00777F14"/>
    <w:rsid w:val="007827EB"/>
    <w:rsid w:val="007C5E7E"/>
    <w:rsid w:val="00802ED5"/>
    <w:rsid w:val="00815305"/>
    <w:rsid w:val="00843B2E"/>
    <w:rsid w:val="00870FE0"/>
    <w:rsid w:val="0087253F"/>
    <w:rsid w:val="008D0DE2"/>
    <w:rsid w:val="008E2768"/>
    <w:rsid w:val="009059AB"/>
    <w:rsid w:val="00922DF9"/>
    <w:rsid w:val="00931C03"/>
    <w:rsid w:val="00972004"/>
    <w:rsid w:val="009D2FD3"/>
    <w:rsid w:val="009D50D0"/>
    <w:rsid w:val="009F4028"/>
    <w:rsid w:val="00A5243A"/>
    <w:rsid w:val="00AB2A24"/>
    <w:rsid w:val="00AB70C7"/>
    <w:rsid w:val="00AC3B5B"/>
    <w:rsid w:val="00AE1C63"/>
    <w:rsid w:val="00AF6D7C"/>
    <w:rsid w:val="00BC78CB"/>
    <w:rsid w:val="00BD0878"/>
    <w:rsid w:val="00BD4365"/>
    <w:rsid w:val="00C059B0"/>
    <w:rsid w:val="00C21D83"/>
    <w:rsid w:val="00C24065"/>
    <w:rsid w:val="00C35E1C"/>
    <w:rsid w:val="00C506D8"/>
    <w:rsid w:val="00C855CB"/>
    <w:rsid w:val="00C95407"/>
    <w:rsid w:val="00CC3B2A"/>
    <w:rsid w:val="00CE2A43"/>
    <w:rsid w:val="00CF2C2E"/>
    <w:rsid w:val="00D36065"/>
    <w:rsid w:val="00D45CF1"/>
    <w:rsid w:val="00D526E8"/>
    <w:rsid w:val="00D63845"/>
    <w:rsid w:val="00D64B73"/>
    <w:rsid w:val="00DB01ED"/>
    <w:rsid w:val="00DB5AA0"/>
    <w:rsid w:val="00E13F5B"/>
    <w:rsid w:val="00E21280"/>
    <w:rsid w:val="00E25E9E"/>
    <w:rsid w:val="00E969A1"/>
    <w:rsid w:val="00EB3F76"/>
    <w:rsid w:val="00EC0684"/>
    <w:rsid w:val="00EE1EC4"/>
    <w:rsid w:val="00F034B9"/>
    <w:rsid w:val="00F44ACB"/>
    <w:rsid w:val="00F545BE"/>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455F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3B0"/>
    <w:pPr>
      <w:spacing w:line="360" w:lineRule="auto"/>
      <w:jc w:val="both"/>
    </w:pPr>
    <w:rPr>
      <w:rFonts w:ascii="Arial" w:hAnsi="Arial"/>
      <w:sz w:val="24"/>
    </w:rPr>
  </w:style>
  <w:style w:type="paragraph" w:styleId="Heading1">
    <w:name w:val="heading 1"/>
    <w:basedOn w:val="Normal"/>
    <w:next w:val="Normal"/>
    <w:link w:val="Heading1Char"/>
    <w:uiPriority w:val="9"/>
    <w:qFormat/>
    <w:rsid w:val="003861DC"/>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3861DC"/>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3861DC"/>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931C0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31C0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31C0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31C0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31C0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31C0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1DC"/>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semiHidden/>
    <w:rsid w:val="003861DC"/>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3861DC"/>
    <w:rPr>
      <w:rFonts w:ascii="Times New Roman" w:eastAsiaTheme="majorEastAsia" w:hAnsi="Times New Roman" w:cstheme="majorBidi"/>
      <w:b/>
      <w:sz w:val="24"/>
      <w:szCs w:val="24"/>
    </w:rPr>
  </w:style>
  <w:style w:type="paragraph" w:styleId="Caption">
    <w:name w:val="caption"/>
    <w:basedOn w:val="Normal"/>
    <w:next w:val="Normal"/>
    <w:uiPriority w:val="35"/>
    <w:unhideWhenUsed/>
    <w:qFormat/>
    <w:rsid w:val="00D36065"/>
    <w:pPr>
      <w:spacing w:after="200" w:line="240" w:lineRule="auto"/>
      <w:jc w:val="center"/>
    </w:pPr>
    <w:rPr>
      <w:iCs/>
      <w:szCs w:val="18"/>
      <w14:ligatures w14:val="none"/>
    </w:rPr>
  </w:style>
  <w:style w:type="character" w:customStyle="1" w:styleId="Heading4Char">
    <w:name w:val="Heading 4 Char"/>
    <w:basedOn w:val="DefaultParagraphFont"/>
    <w:link w:val="Heading4"/>
    <w:uiPriority w:val="9"/>
    <w:semiHidden/>
    <w:rsid w:val="00931C03"/>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931C03"/>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931C03"/>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931C03"/>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931C03"/>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931C03"/>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931C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1C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1C0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1C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1C03"/>
    <w:pPr>
      <w:spacing w:before="160"/>
      <w:jc w:val="center"/>
    </w:pPr>
    <w:rPr>
      <w:i/>
      <w:iCs/>
      <w:color w:val="404040" w:themeColor="text1" w:themeTint="BF"/>
    </w:rPr>
  </w:style>
  <w:style w:type="character" w:customStyle="1" w:styleId="QuoteChar">
    <w:name w:val="Quote Char"/>
    <w:basedOn w:val="DefaultParagraphFont"/>
    <w:link w:val="Quote"/>
    <w:uiPriority w:val="29"/>
    <w:rsid w:val="00931C03"/>
    <w:rPr>
      <w:rFonts w:ascii="Times New Roman" w:hAnsi="Times New Roman"/>
      <w:i/>
      <w:iCs/>
      <w:color w:val="404040" w:themeColor="text1" w:themeTint="BF"/>
      <w:sz w:val="24"/>
    </w:rPr>
  </w:style>
  <w:style w:type="paragraph" w:styleId="ListParagraph">
    <w:name w:val="List Paragraph"/>
    <w:basedOn w:val="Normal"/>
    <w:uiPriority w:val="34"/>
    <w:qFormat/>
    <w:rsid w:val="00931C03"/>
    <w:pPr>
      <w:ind w:left="720"/>
      <w:contextualSpacing/>
    </w:pPr>
  </w:style>
  <w:style w:type="character" w:styleId="IntenseEmphasis">
    <w:name w:val="Intense Emphasis"/>
    <w:basedOn w:val="DefaultParagraphFont"/>
    <w:uiPriority w:val="21"/>
    <w:qFormat/>
    <w:rsid w:val="00931C03"/>
    <w:rPr>
      <w:i/>
      <w:iCs/>
      <w:color w:val="0F4761" w:themeColor="accent1" w:themeShade="BF"/>
    </w:rPr>
  </w:style>
  <w:style w:type="paragraph" w:styleId="IntenseQuote">
    <w:name w:val="Intense Quote"/>
    <w:basedOn w:val="Normal"/>
    <w:next w:val="Normal"/>
    <w:link w:val="IntenseQuoteChar"/>
    <w:uiPriority w:val="30"/>
    <w:qFormat/>
    <w:rsid w:val="00931C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1C03"/>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931C03"/>
    <w:rPr>
      <w:b/>
      <w:bCs/>
      <w:smallCaps/>
      <w:color w:val="0F4761" w:themeColor="accent1" w:themeShade="BF"/>
      <w:spacing w:val="5"/>
    </w:rPr>
  </w:style>
  <w:style w:type="character" w:styleId="Hyperlink">
    <w:name w:val="Hyperlink"/>
    <w:basedOn w:val="DefaultParagraphFont"/>
    <w:uiPriority w:val="99"/>
    <w:semiHidden/>
    <w:unhideWhenUsed/>
    <w:rsid w:val="0016264E"/>
    <w:rPr>
      <w:color w:val="467886" w:themeColor="hyperlink"/>
      <w:u w:val="single"/>
    </w:rPr>
  </w:style>
  <w:style w:type="paragraph" w:styleId="Header">
    <w:name w:val="header"/>
    <w:basedOn w:val="Normal"/>
    <w:link w:val="HeaderChar"/>
    <w:uiPriority w:val="99"/>
    <w:unhideWhenUsed/>
    <w:rsid w:val="003A56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5624"/>
    <w:rPr>
      <w:rFonts w:ascii="Times New Roman" w:hAnsi="Times New Roman"/>
      <w:sz w:val="24"/>
    </w:rPr>
  </w:style>
  <w:style w:type="paragraph" w:styleId="Footer">
    <w:name w:val="footer"/>
    <w:basedOn w:val="Normal"/>
    <w:link w:val="FooterChar"/>
    <w:uiPriority w:val="99"/>
    <w:unhideWhenUsed/>
    <w:rsid w:val="003A56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5624"/>
    <w:rPr>
      <w:rFonts w:ascii="Times New Roman" w:hAnsi="Times New Roman"/>
      <w:sz w:val="24"/>
    </w:rPr>
  </w:style>
  <w:style w:type="paragraph" w:styleId="BalloonText">
    <w:name w:val="Balloon Text"/>
    <w:basedOn w:val="Normal"/>
    <w:link w:val="BalloonTextChar"/>
    <w:uiPriority w:val="99"/>
    <w:semiHidden/>
    <w:unhideWhenUsed/>
    <w:rsid w:val="00C35E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5E1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915660">
      <w:bodyDiv w:val="1"/>
      <w:marLeft w:val="0"/>
      <w:marRight w:val="0"/>
      <w:marTop w:val="0"/>
      <w:marBottom w:val="0"/>
      <w:divBdr>
        <w:top w:val="none" w:sz="0" w:space="0" w:color="auto"/>
        <w:left w:val="none" w:sz="0" w:space="0" w:color="auto"/>
        <w:bottom w:val="none" w:sz="0" w:space="0" w:color="auto"/>
        <w:right w:val="none" w:sz="0" w:space="0" w:color="auto"/>
      </w:divBdr>
    </w:div>
    <w:div w:id="514392416">
      <w:bodyDiv w:val="1"/>
      <w:marLeft w:val="0"/>
      <w:marRight w:val="0"/>
      <w:marTop w:val="0"/>
      <w:marBottom w:val="0"/>
      <w:divBdr>
        <w:top w:val="none" w:sz="0" w:space="0" w:color="auto"/>
        <w:left w:val="none" w:sz="0" w:space="0" w:color="auto"/>
        <w:bottom w:val="none" w:sz="0" w:space="0" w:color="auto"/>
        <w:right w:val="none" w:sz="0" w:space="0" w:color="auto"/>
      </w:divBdr>
    </w:div>
    <w:div w:id="1761870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serve360.marriott.com/" TargetMode="External"/><Relationship Id="rId5" Type="http://schemas.openxmlformats.org/officeDocument/2006/relationships/endnotes" Target="endnotes.xml"/><Relationship Id="rId10" Type="http://schemas.openxmlformats.org/officeDocument/2006/relationships/image" Target="media/image4.jpeg"/><Relationship Id="rId4" Type="http://schemas.openxmlformats.org/officeDocument/2006/relationships/footnotes" Target="footnotes.xml"/><Relationship Id="rId9"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2632</Words>
  <Characters>15003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2024-01-26T17:58:00Z</dcterms:created>
  <dcterms:modified xsi:type="dcterms:W3CDTF">2024-01-29T14:42:00Z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dafc9087f1b8432580996be74f023619e8b8627e961811bfbf409c0f293f50d4</vt:lpwstr>
  </property>
</Properties>
</file>