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541A42" w:rsidP="15EC54CF" w:rsidRDefault="00541A42" w14:paraId="35D2179F" w14:textId="7CE1100A">
      <w:pPr>
        <w:jc w:val="center"/>
        <w:rPr>
          <w:b w:val="1"/>
          <w:bCs w:val="1"/>
          <w:sz w:val="32"/>
          <w:szCs w:val="32"/>
        </w:rPr>
      </w:pPr>
    </w:p>
    <w:p w:rsidR="00541A42" w:rsidP="15EC54CF" w:rsidRDefault="00541A42" w14:textId="77777777" w14:noSpellErr="1" w14:paraId="1C03D5C3">
      <w:pPr>
        <w:jc w:val="center"/>
        <w:rPr>
          <w:b w:val="1"/>
          <w:bCs w:val="1"/>
          <w:sz w:val="32"/>
          <w:szCs w:val="32"/>
        </w:rPr>
      </w:pPr>
      <w:r w:rsidRPr="15EC54CF" w:rsidR="5E1C1286">
        <w:rPr>
          <w:b w:val="1"/>
          <w:bCs w:val="1"/>
          <w:sz w:val="32"/>
          <w:szCs w:val="32"/>
        </w:rPr>
        <w:t>PROJECT MANAGEMENT</w:t>
      </w:r>
    </w:p>
    <w:p w:rsidR="00541A42" w:rsidP="15EC54CF" w:rsidRDefault="00541A42" w14:textId="77777777" w14:noSpellErr="1" w14:paraId="24CED418">
      <w:pPr>
        <w:jc w:val="center"/>
        <w:rPr>
          <w:b w:val="1"/>
          <w:bCs w:val="1"/>
          <w:sz w:val="32"/>
          <w:szCs w:val="32"/>
        </w:rPr>
      </w:pPr>
      <w:r w:rsidRPr="15EC54CF" w:rsidR="5E1C1286">
        <w:rPr>
          <w:b w:val="1"/>
          <w:bCs w:val="1"/>
          <w:sz w:val="32"/>
          <w:szCs w:val="32"/>
        </w:rPr>
        <w:t>COMPONENT 1: ESSAY</w:t>
      </w:r>
    </w:p>
    <w:p w:rsidR="00541A42" w:rsidP="15EC54CF" w:rsidRDefault="00541A42" w14:paraId="379CA194" w14:textId="43D7A40D">
      <w:pPr>
        <w:pStyle w:val="Normal"/>
        <w:jc w:val="center"/>
        <w:rPr>
          <w:b w:val="1"/>
          <w:bCs w:val="1"/>
          <w:sz w:val="32"/>
          <w:szCs w:val="32"/>
        </w:rPr>
      </w:pPr>
    </w:p>
    <w:p w:rsidR="15EC54CF" w:rsidP="15EC54CF" w:rsidRDefault="15EC54CF" w14:paraId="0FC1530B" w14:textId="4AE96368">
      <w:pPr>
        <w:pStyle w:val="Normal"/>
        <w:jc w:val="center"/>
        <w:rPr>
          <w:b w:val="1"/>
          <w:bCs w:val="1"/>
          <w:sz w:val="32"/>
          <w:szCs w:val="32"/>
        </w:rPr>
      </w:pPr>
    </w:p>
    <w:p w:rsidR="15EC54CF" w:rsidP="15EC54CF" w:rsidRDefault="15EC54CF" w14:paraId="12E131CC" w14:textId="69067F7B">
      <w:pPr>
        <w:pStyle w:val="Normal"/>
        <w:jc w:val="center"/>
        <w:rPr>
          <w:b w:val="1"/>
          <w:bCs w:val="1"/>
          <w:sz w:val="32"/>
          <w:szCs w:val="32"/>
        </w:rPr>
      </w:pPr>
    </w:p>
    <w:p w:rsidR="15EC54CF" w:rsidP="15EC54CF" w:rsidRDefault="15EC54CF" w14:paraId="3CE62AC0" w14:textId="0194ED08">
      <w:pPr>
        <w:pStyle w:val="Normal"/>
        <w:jc w:val="center"/>
        <w:rPr>
          <w:b w:val="1"/>
          <w:bCs w:val="1"/>
          <w:sz w:val="32"/>
          <w:szCs w:val="32"/>
        </w:rPr>
      </w:pPr>
    </w:p>
    <w:p w:rsidR="15EC54CF" w:rsidP="15EC54CF" w:rsidRDefault="15EC54CF" w14:paraId="2D1D599F" w14:textId="52751B22">
      <w:pPr>
        <w:pStyle w:val="Normal"/>
        <w:jc w:val="center"/>
        <w:rPr>
          <w:b w:val="1"/>
          <w:bCs w:val="1"/>
          <w:sz w:val="32"/>
          <w:szCs w:val="32"/>
        </w:rPr>
      </w:pPr>
    </w:p>
    <w:p w:rsidR="5E1C1286" w:rsidP="15EC54CF" w:rsidRDefault="5E1C1286" w14:paraId="23AB3083" w14:textId="4FD4DB17">
      <w:pPr>
        <w:pStyle w:val="Normal"/>
        <w:ind w:left="0"/>
        <w:jc w:val="left"/>
        <w:rPr>
          <w:sz w:val="24"/>
          <w:szCs w:val="24"/>
        </w:rPr>
      </w:pPr>
      <w:r w:rsidR="5E1C1286">
        <w:rPr/>
        <w:t>Programme name: BA Business Management</w:t>
      </w:r>
    </w:p>
    <w:p w:rsidR="5E1C1286" w:rsidP="15EC54CF" w:rsidRDefault="5E1C1286" w14:paraId="5EFBF8BE" w14:textId="06373B44">
      <w:pPr>
        <w:pStyle w:val="Normal"/>
        <w:ind w:left="0"/>
        <w:jc w:val="left"/>
      </w:pPr>
      <w:r w:rsidR="5E1C1286">
        <w:rPr/>
        <w:t>Module name: Project Management</w:t>
      </w:r>
    </w:p>
    <w:p w:rsidR="5E1C1286" w:rsidP="15EC54CF" w:rsidRDefault="5E1C1286" w14:paraId="480F762C" w14:textId="271B7764">
      <w:pPr>
        <w:pStyle w:val="Normal"/>
        <w:ind w:left="0"/>
        <w:jc w:val="left"/>
      </w:pPr>
      <w:r w:rsidR="5E1C1286">
        <w:rPr/>
        <w:t>Module code: LCBB5005</w:t>
      </w:r>
    </w:p>
    <w:p w:rsidR="7F77C790" w:rsidP="15EC54CF" w:rsidRDefault="7F77C790" w14:paraId="34AF2C49" w14:textId="1A0E0407">
      <w:pPr>
        <w:pStyle w:val="Normal"/>
        <w:ind w:left="0"/>
        <w:jc w:val="left"/>
      </w:pPr>
      <w:r w:rsidR="7F77C790">
        <w:rPr/>
        <w:t xml:space="preserve">Student name: </w:t>
      </w:r>
      <w:r w:rsidR="7F77C790">
        <w:rPr/>
        <w:t>Cerasela</w:t>
      </w:r>
      <w:r w:rsidR="7F77C790">
        <w:rPr/>
        <w:t xml:space="preserve"> Lavinia STOICA (2125057)</w:t>
      </w:r>
    </w:p>
    <w:p w:rsidR="15EC54CF" w:rsidP="15EC54CF" w:rsidRDefault="15EC54CF" w14:paraId="197EC480" w14:textId="1DB2DE15">
      <w:pPr>
        <w:pStyle w:val="Normal"/>
        <w:jc w:val="center"/>
        <w:rPr>
          <w:b w:val="1"/>
          <w:bCs w:val="1"/>
          <w:sz w:val="32"/>
          <w:szCs w:val="32"/>
        </w:rPr>
      </w:pPr>
    </w:p>
    <w:p w:rsidR="15EC54CF" w:rsidP="15EC54CF" w:rsidRDefault="15EC54CF" w14:paraId="50304AE0" w14:textId="528DB05C">
      <w:pPr>
        <w:pStyle w:val="Normal"/>
        <w:jc w:val="center"/>
        <w:rPr>
          <w:b w:val="1"/>
          <w:bCs w:val="1"/>
          <w:sz w:val="32"/>
          <w:szCs w:val="32"/>
        </w:rPr>
      </w:pPr>
    </w:p>
    <w:p w:rsidR="15EC54CF" w:rsidP="15EC54CF" w:rsidRDefault="15EC54CF" w14:paraId="55EBFCAF" w14:textId="3173BE2A">
      <w:pPr>
        <w:pStyle w:val="Normal"/>
        <w:jc w:val="center"/>
        <w:rPr>
          <w:b w:val="1"/>
          <w:bCs w:val="1"/>
          <w:sz w:val="32"/>
          <w:szCs w:val="32"/>
        </w:rPr>
      </w:pPr>
    </w:p>
    <w:p w:rsidR="0074738F" w:rsidRDefault="005C6CAA" w14:paraId="39C3B450" w14:textId="6E85B265">
      <w:pPr>
        <w:spacing w:line="276" w:lineRule="auto"/>
        <w:jc w:val="left"/>
      </w:pPr>
      <w:r>
        <w:br w:type="page"/>
      </w:r>
    </w:p>
    <w:p w:rsidR="15EC54CF" w:rsidP="15EC54CF" w:rsidRDefault="15EC54CF" w14:paraId="18C28F67" w14:textId="444C6E52">
      <w:pPr>
        <w:pStyle w:val="Normal"/>
        <w:spacing w:line="276" w:lineRule="auto"/>
        <w:jc w:val="left"/>
      </w:pPr>
    </w:p>
    <w:p w:rsidR="15EC54CF" w:rsidP="15EC54CF" w:rsidRDefault="15EC54CF" w14:paraId="1A7593E1" w14:textId="05F96FE0">
      <w:pPr>
        <w:pStyle w:val="Normal"/>
        <w:spacing w:line="276" w:lineRule="auto"/>
        <w:jc w:val="left"/>
      </w:pPr>
    </w:p>
    <w:sdt>
      <w:sdtPr>
        <w:rPr>
          <w:rFonts w:ascii="Times New Roman" w:hAnsi="Times New Roman" w:eastAsiaTheme="minorHAnsi" w:cstheme="minorBidi"/>
          <w:b w:val="0"/>
          <w:bCs w:val="0"/>
          <w:color w:val="auto"/>
          <w:sz w:val="24"/>
          <w:szCs w:val="22"/>
          <w:lang w:val="en-GB"/>
        </w:rPr>
        <w:id w:val="32789741"/>
        <w:docPartObj>
          <w:docPartGallery w:val="Table of Contents"/>
          <w:docPartUnique/>
        </w:docPartObj>
      </w:sdtPr>
      <w:sdtEndPr/>
      <w:sdtContent>
        <w:p w:rsidR="0074738F" w:rsidP="0074738F" w:rsidRDefault="0074738F" w14:paraId="23E92F84" w14:textId="77777777">
          <w:pPr>
            <w:pStyle w:val="TOCHeading"/>
            <w:jc w:val="center"/>
          </w:pPr>
          <w:r w:rsidRPr="0074738F">
            <w:rPr>
              <w:rFonts w:ascii="Times New Roman" w:hAnsi="Times New Roman" w:cs="Times New Roman"/>
              <w:color w:val="auto"/>
            </w:rPr>
            <w:t>Table of Contents</w:t>
          </w:r>
        </w:p>
        <w:p w:rsidR="0074738F" w:rsidRDefault="0074738F" w14:paraId="43D0953F" w14:textId="77777777">
          <w:pPr>
            <w:pStyle w:val="TOC1"/>
            <w:tabs>
              <w:tab w:val="right" w:leader="dot" w:pos="9016"/>
            </w:tabs>
            <w:rPr>
              <w:noProof/>
            </w:rPr>
          </w:pPr>
          <w:r>
            <w:fldChar w:fldCharType="begin"/>
          </w:r>
          <w:r>
            <w:instrText xml:space="preserve"> TOC \o "1-3" \h \z \u </w:instrText>
          </w:r>
          <w:r>
            <w:fldChar w:fldCharType="separate"/>
          </w:r>
          <w:hyperlink w:history="1" w:anchor="_Toc151061252">
            <w:r w:rsidRPr="00F321B7">
              <w:rPr>
                <w:rStyle w:val="Hyperlink"/>
                <w:noProof/>
              </w:rPr>
              <w:t>Introduction</w:t>
            </w:r>
            <w:r>
              <w:rPr>
                <w:noProof/>
                <w:webHidden/>
              </w:rPr>
              <w:tab/>
            </w:r>
            <w:r>
              <w:rPr>
                <w:noProof/>
                <w:webHidden/>
              </w:rPr>
              <w:fldChar w:fldCharType="begin"/>
            </w:r>
            <w:r>
              <w:rPr>
                <w:noProof/>
                <w:webHidden/>
              </w:rPr>
              <w:instrText xml:space="preserve"> PAGEREF _Toc151061252 \h </w:instrText>
            </w:r>
            <w:r>
              <w:rPr>
                <w:noProof/>
                <w:webHidden/>
              </w:rPr>
            </w:r>
            <w:r>
              <w:rPr>
                <w:noProof/>
                <w:webHidden/>
              </w:rPr>
              <w:fldChar w:fldCharType="separate"/>
            </w:r>
            <w:r>
              <w:rPr>
                <w:noProof/>
                <w:webHidden/>
              </w:rPr>
              <w:t>3</w:t>
            </w:r>
            <w:r>
              <w:rPr>
                <w:noProof/>
                <w:webHidden/>
              </w:rPr>
              <w:fldChar w:fldCharType="end"/>
            </w:r>
          </w:hyperlink>
        </w:p>
        <w:p w:rsidR="0074738F" w:rsidRDefault="0075344C" w14:paraId="33FA77DD" w14:textId="77777777">
          <w:pPr>
            <w:pStyle w:val="TOC1"/>
            <w:tabs>
              <w:tab w:val="right" w:leader="dot" w:pos="9016"/>
            </w:tabs>
            <w:rPr>
              <w:noProof/>
            </w:rPr>
          </w:pPr>
          <w:hyperlink w:history="1" w:anchor="_Toc151061253">
            <w:r w:rsidRPr="00F321B7" w:rsidR="0074738F">
              <w:rPr>
                <w:rStyle w:val="Hyperlink"/>
                <w:noProof/>
              </w:rPr>
              <w:t>Main Discussion</w:t>
            </w:r>
            <w:r w:rsidR="0074738F">
              <w:rPr>
                <w:noProof/>
                <w:webHidden/>
              </w:rPr>
              <w:tab/>
            </w:r>
            <w:r w:rsidR="0074738F">
              <w:rPr>
                <w:noProof/>
                <w:webHidden/>
              </w:rPr>
              <w:fldChar w:fldCharType="begin"/>
            </w:r>
            <w:r w:rsidR="0074738F">
              <w:rPr>
                <w:noProof/>
                <w:webHidden/>
              </w:rPr>
              <w:instrText xml:space="preserve"> PAGEREF _Toc151061253 \h </w:instrText>
            </w:r>
            <w:r w:rsidR="0074738F">
              <w:rPr>
                <w:noProof/>
                <w:webHidden/>
              </w:rPr>
            </w:r>
            <w:r w:rsidR="0074738F">
              <w:rPr>
                <w:noProof/>
                <w:webHidden/>
              </w:rPr>
              <w:fldChar w:fldCharType="separate"/>
            </w:r>
            <w:r w:rsidR="0074738F">
              <w:rPr>
                <w:noProof/>
                <w:webHidden/>
              </w:rPr>
              <w:t>3</w:t>
            </w:r>
            <w:r w:rsidR="0074738F">
              <w:rPr>
                <w:noProof/>
                <w:webHidden/>
              </w:rPr>
              <w:fldChar w:fldCharType="end"/>
            </w:r>
          </w:hyperlink>
        </w:p>
        <w:p w:rsidR="0074738F" w:rsidRDefault="0075344C" w14:paraId="2AD53B4B" w14:textId="77777777">
          <w:pPr>
            <w:pStyle w:val="TOC2"/>
            <w:tabs>
              <w:tab w:val="right" w:leader="dot" w:pos="9016"/>
            </w:tabs>
            <w:rPr>
              <w:noProof/>
            </w:rPr>
          </w:pPr>
          <w:hyperlink w:history="1" w:anchor="_Toc151061254">
            <w:r w:rsidRPr="00F321B7" w:rsidR="0074738F">
              <w:rPr>
                <w:rStyle w:val="Hyperlink"/>
                <w:noProof/>
              </w:rPr>
              <w:t>Budget Analysis</w:t>
            </w:r>
            <w:r w:rsidR="0074738F">
              <w:rPr>
                <w:noProof/>
                <w:webHidden/>
              </w:rPr>
              <w:tab/>
            </w:r>
            <w:r w:rsidR="0074738F">
              <w:rPr>
                <w:noProof/>
                <w:webHidden/>
              </w:rPr>
              <w:fldChar w:fldCharType="begin"/>
            </w:r>
            <w:r w:rsidR="0074738F">
              <w:rPr>
                <w:noProof/>
                <w:webHidden/>
              </w:rPr>
              <w:instrText xml:space="preserve"> PAGEREF _Toc151061254 \h </w:instrText>
            </w:r>
            <w:r w:rsidR="0074738F">
              <w:rPr>
                <w:noProof/>
                <w:webHidden/>
              </w:rPr>
            </w:r>
            <w:r w:rsidR="0074738F">
              <w:rPr>
                <w:noProof/>
                <w:webHidden/>
              </w:rPr>
              <w:fldChar w:fldCharType="separate"/>
            </w:r>
            <w:r w:rsidR="0074738F">
              <w:rPr>
                <w:noProof/>
                <w:webHidden/>
              </w:rPr>
              <w:t>4</w:t>
            </w:r>
            <w:r w:rsidR="0074738F">
              <w:rPr>
                <w:noProof/>
                <w:webHidden/>
              </w:rPr>
              <w:fldChar w:fldCharType="end"/>
            </w:r>
          </w:hyperlink>
        </w:p>
        <w:p w:rsidR="0074738F" w:rsidRDefault="0075344C" w14:paraId="51507633" w14:textId="77777777">
          <w:pPr>
            <w:pStyle w:val="TOC2"/>
            <w:tabs>
              <w:tab w:val="right" w:leader="dot" w:pos="9016"/>
            </w:tabs>
            <w:rPr>
              <w:noProof/>
            </w:rPr>
          </w:pPr>
          <w:hyperlink w:history="1" w:anchor="_Toc151061255">
            <w:r w:rsidRPr="00F321B7" w:rsidR="0074738F">
              <w:rPr>
                <w:rStyle w:val="Hyperlink"/>
                <w:noProof/>
              </w:rPr>
              <w:t>Time Management</w:t>
            </w:r>
            <w:r w:rsidR="0074738F">
              <w:rPr>
                <w:noProof/>
                <w:webHidden/>
              </w:rPr>
              <w:tab/>
            </w:r>
            <w:r w:rsidR="0074738F">
              <w:rPr>
                <w:noProof/>
                <w:webHidden/>
              </w:rPr>
              <w:fldChar w:fldCharType="begin"/>
            </w:r>
            <w:r w:rsidR="0074738F">
              <w:rPr>
                <w:noProof/>
                <w:webHidden/>
              </w:rPr>
              <w:instrText xml:space="preserve"> PAGEREF _Toc151061255 \h </w:instrText>
            </w:r>
            <w:r w:rsidR="0074738F">
              <w:rPr>
                <w:noProof/>
                <w:webHidden/>
              </w:rPr>
            </w:r>
            <w:r w:rsidR="0074738F">
              <w:rPr>
                <w:noProof/>
                <w:webHidden/>
              </w:rPr>
              <w:fldChar w:fldCharType="separate"/>
            </w:r>
            <w:r w:rsidR="0074738F">
              <w:rPr>
                <w:noProof/>
                <w:webHidden/>
              </w:rPr>
              <w:t>6</w:t>
            </w:r>
            <w:r w:rsidR="0074738F">
              <w:rPr>
                <w:noProof/>
                <w:webHidden/>
              </w:rPr>
              <w:fldChar w:fldCharType="end"/>
            </w:r>
          </w:hyperlink>
        </w:p>
        <w:p w:rsidR="0074738F" w:rsidRDefault="0075344C" w14:paraId="16D36715" w14:textId="77777777">
          <w:pPr>
            <w:pStyle w:val="TOC2"/>
            <w:tabs>
              <w:tab w:val="right" w:leader="dot" w:pos="9016"/>
            </w:tabs>
            <w:rPr>
              <w:noProof/>
            </w:rPr>
          </w:pPr>
          <w:hyperlink w:history="1" w:anchor="_Toc151061256">
            <w:r w:rsidRPr="00F321B7" w:rsidR="0074738F">
              <w:rPr>
                <w:rStyle w:val="Hyperlink"/>
                <w:noProof/>
              </w:rPr>
              <w:t>Stakeholder Analysis</w:t>
            </w:r>
            <w:r w:rsidR="0074738F">
              <w:rPr>
                <w:noProof/>
                <w:webHidden/>
              </w:rPr>
              <w:tab/>
            </w:r>
            <w:r w:rsidR="0074738F">
              <w:rPr>
                <w:noProof/>
                <w:webHidden/>
              </w:rPr>
              <w:fldChar w:fldCharType="begin"/>
            </w:r>
            <w:r w:rsidR="0074738F">
              <w:rPr>
                <w:noProof/>
                <w:webHidden/>
              </w:rPr>
              <w:instrText xml:space="preserve"> PAGEREF _Toc151061256 \h </w:instrText>
            </w:r>
            <w:r w:rsidR="0074738F">
              <w:rPr>
                <w:noProof/>
                <w:webHidden/>
              </w:rPr>
            </w:r>
            <w:r w:rsidR="0074738F">
              <w:rPr>
                <w:noProof/>
                <w:webHidden/>
              </w:rPr>
              <w:fldChar w:fldCharType="separate"/>
            </w:r>
            <w:r w:rsidR="0074738F">
              <w:rPr>
                <w:noProof/>
                <w:webHidden/>
              </w:rPr>
              <w:t>7</w:t>
            </w:r>
            <w:r w:rsidR="0074738F">
              <w:rPr>
                <w:noProof/>
                <w:webHidden/>
              </w:rPr>
              <w:fldChar w:fldCharType="end"/>
            </w:r>
          </w:hyperlink>
        </w:p>
        <w:p w:rsidR="0074738F" w:rsidRDefault="0075344C" w14:paraId="47266154" w14:textId="77777777">
          <w:pPr>
            <w:pStyle w:val="TOC2"/>
            <w:tabs>
              <w:tab w:val="right" w:leader="dot" w:pos="9016"/>
            </w:tabs>
            <w:rPr>
              <w:noProof/>
            </w:rPr>
          </w:pPr>
          <w:hyperlink w:history="1" w:anchor="_Toc151061257">
            <w:r w:rsidRPr="00F321B7" w:rsidR="0074738F">
              <w:rPr>
                <w:rStyle w:val="Hyperlink"/>
                <w:noProof/>
              </w:rPr>
              <w:t>Risk Factors</w:t>
            </w:r>
            <w:r w:rsidR="0074738F">
              <w:rPr>
                <w:noProof/>
                <w:webHidden/>
              </w:rPr>
              <w:tab/>
            </w:r>
            <w:r w:rsidR="0074738F">
              <w:rPr>
                <w:noProof/>
                <w:webHidden/>
              </w:rPr>
              <w:fldChar w:fldCharType="begin"/>
            </w:r>
            <w:r w:rsidR="0074738F">
              <w:rPr>
                <w:noProof/>
                <w:webHidden/>
              </w:rPr>
              <w:instrText xml:space="preserve"> PAGEREF _Toc151061257 \h </w:instrText>
            </w:r>
            <w:r w:rsidR="0074738F">
              <w:rPr>
                <w:noProof/>
                <w:webHidden/>
              </w:rPr>
            </w:r>
            <w:r w:rsidR="0074738F">
              <w:rPr>
                <w:noProof/>
                <w:webHidden/>
              </w:rPr>
              <w:fldChar w:fldCharType="separate"/>
            </w:r>
            <w:r w:rsidR="0074738F">
              <w:rPr>
                <w:noProof/>
                <w:webHidden/>
              </w:rPr>
              <w:t>8</w:t>
            </w:r>
            <w:r w:rsidR="0074738F">
              <w:rPr>
                <w:noProof/>
                <w:webHidden/>
              </w:rPr>
              <w:fldChar w:fldCharType="end"/>
            </w:r>
          </w:hyperlink>
        </w:p>
        <w:p w:rsidR="0074738F" w:rsidRDefault="0075344C" w14:paraId="26709F0C" w14:textId="77777777">
          <w:pPr>
            <w:pStyle w:val="TOC1"/>
            <w:tabs>
              <w:tab w:val="right" w:leader="dot" w:pos="9016"/>
            </w:tabs>
            <w:rPr>
              <w:noProof/>
            </w:rPr>
          </w:pPr>
          <w:hyperlink w:history="1" w:anchor="_Toc151061258">
            <w:r w:rsidRPr="00F321B7" w:rsidR="0074738F">
              <w:rPr>
                <w:rStyle w:val="Hyperlink"/>
                <w:noProof/>
              </w:rPr>
              <w:t>Conclusion</w:t>
            </w:r>
            <w:r w:rsidR="0074738F">
              <w:rPr>
                <w:noProof/>
                <w:webHidden/>
              </w:rPr>
              <w:tab/>
            </w:r>
            <w:r w:rsidR="0074738F">
              <w:rPr>
                <w:noProof/>
                <w:webHidden/>
              </w:rPr>
              <w:fldChar w:fldCharType="begin"/>
            </w:r>
            <w:r w:rsidR="0074738F">
              <w:rPr>
                <w:noProof/>
                <w:webHidden/>
              </w:rPr>
              <w:instrText xml:space="preserve"> PAGEREF _Toc151061258 \h </w:instrText>
            </w:r>
            <w:r w:rsidR="0074738F">
              <w:rPr>
                <w:noProof/>
                <w:webHidden/>
              </w:rPr>
            </w:r>
            <w:r w:rsidR="0074738F">
              <w:rPr>
                <w:noProof/>
                <w:webHidden/>
              </w:rPr>
              <w:fldChar w:fldCharType="separate"/>
            </w:r>
            <w:r w:rsidR="0074738F">
              <w:rPr>
                <w:noProof/>
                <w:webHidden/>
              </w:rPr>
              <w:t>10</w:t>
            </w:r>
            <w:r w:rsidR="0074738F">
              <w:rPr>
                <w:noProof/>
                <w:webHidden/>
              </w:rPr>
              <w:fldChar w:fldCharType="end"/>
            </w:r>
          </w:hyperlink>
        </w:p>
        <w:p w:rsidR="0074738F" w:rsidRDefault="0075344C" w14:paraId="4992466E" w14:textId="77777777">
          <w:pPr>
            <w:pStyle w:val="TOC1"/>
            <w:tabs>
              <w:tab w:val="right" w:leader="dot" w:pos="9016"/>
            </w:tabs>
            <w:rPr>
              <w:noProof/>
            </w:rPr>
          </w:pPr>
          <w:hyperlink w:history="1" w:anchor="_Toc151061259">
            <w:r w:rsidRPr="00F321B7" w:rsidR="0074738F">
              <w:rPr>
                <w:rStyle w:val="Hyperlink"/>
                <w:noProof/>
              </w:rPr>
              <w:t>Reference List</w:t>
            </w:r>
            <w:r w:rsidR="0074738F">
              <w:rPr>
                <w:noProof/>
                <w:webHidden/>
              </w:rPr>
              <w:tab/>
            </w:r>
            <w:r w:rsidR="0074738F">
              <w:rPr>
                <w:noProof/>
                <w:webHidden/>
              </w:rPr>
              <w:fldChar w:fldCharType="begin"/>
            </w:r>
            <w:r w:rsidR="0074738F">
              <w:rPr>
                <w:noProof/>
                <w:webHidden/>
              </w:rPr>
              <w:instrText xml:space="preserve"> PAGEREF _Toc151061259 \h </w:instrText>
            </w:r>
            <w:r w:rsidR="0074738F">
              <w:rPr>
                <w:noProof/>
                <w:webHidden/>
              </w:rPr>
            </w:r>
            <w:r w:rsidR="0074738F">
              <w:rPr>
                <w:noProof/>
                <w:webHidden/>
              </w:rPr>
              <w:fldChar w:fldCharType="separate"/>
            </w:r>
            <w:r w:rsidR="0074738F">
              <w:rPr>
                <w:noProof/>
                <w:webHidden/>
              </w:rPr>
              <w:t>11</w:t>
            </w:r>
            <w:r w:rsidR="0074738F">
              <w:rPr>
                <w:noProof/>
                <w:webHidden/>
              </w:rPr>
              <w:fldChar w:fldCharType="end"/>
            </w:r>
          </w:hyperlink>
        </w:p>
        <w:p w:rsidR="0074738F" w:rsidRDefault="0074738F" w14:paraId="0BA4D736" w14:textId="77777777">
          <w:r>
            <w:fldChar w:fldCharType="end"/>
          </w:r>
        </w:p>
      </w:sdtContent>
    </w:sdt>
    <w:p w:rsidR="005C6CAA" w:rsidRDefault="005C6CAA" w14:paraId="4DE0DFA6" w14:textId="77777777">
      <w:pPr>
        <w:spacing w:line="276" w:lineRule="auto"/>
        <w:jc w:val="left"/>
      </w:pPr>
    </w:p>
    <w:p w:rsidR="0074738F" w:rsidRDefault="0074738F" w14:paraId="46F0C383" w14:textId="77777777">
      <w:pPr>
        <w:spacing w:line="276" w:lineRule="auto"/>
        <w:jc w:val="left"/>
        <w:rPr>
          <w:rFonts w:eastAsiaTheme="majorEastAsia" w:cstheme="majorBidi"/>
          <w:b/>
          <w:bCs/>
          <w:sz w:val="28"/>
          <w:szCs w:val="28"/>
        </w:rPr>
      </w:pPr>
      <w:bookmarkStart w:name="_Toc151061252" w:id="0"/>
      <w:r>
        <w:br w:type="page"/>
      </w:r>
    </w:p>
    <w:p w:rsidR="005C6CAA" w:rsidP="00DB2905" w:rsidRDefault="005C6CAA" w14:paraId="1D895B1F" w14:textId="77777777">
      <w:pPr>
        <w:pStyle w:val="Heading1"/>
      </w:pPr>
      <w:r>
        <w:t>Introduction</w:t>
      </w:r>
      <w:bookmarkEnd w:id="0"/>
    </w:p>
    <w:p w:rsidR="005C6CAA" w:rsidRDefault="005C6CAA" w14:paraId="397988A2" w14:textId="77777777">
      <w:r w:rsidRPr="005C6CAA">
        <w:t xml:space="preserve">In today's fast-paced business world, project management has become even more important. In-depth look at Google's brand-new, £1 billion offices building in London's King's Cross. With 60,400 square metres of space and enough staff for 4,500 people, this project shows Google's growth around the world. In 11 parts, the story of a design breakthrough and business insight comes to life. The big plan for making a nice place to work includes more than just the building itself. It includes extra spaces, outdoor features, and a staff of 7,000 people. This </w:t>
      </w:r>
      <w:r w:rsidR="00DB2905">
        <w:t>essay</w:t>
      </w:r>
      <w:r w:rsidRPr="005C6CAA">
        <w:t xml:space="preserve"> stresses how important project management is from a strategy point of view when figuring out the physical and cultural aspects of business projects.</w:t>
      </w:r>
    </w:p>
    <w:p w:rsidR="00DB2905" w:rsidP="00DB2905" w:rsidRDefault="00DB2905" w14:paraId="067B7690" w14:textId="77777777">
      <w:pPr>
        <w:pStyle w:val="Heading1"/>
      </w:pPr>
      <w:bookmarkStart w:name="_Toc151061253" w:id="1"/>
      <w:r>
        <w:t>Main Discussion</w:t>
      </w:r>
      <w:bookmarkEnd w:id="1"/>
      <w:r>
        <w:t xml:space="preserve"> </w:t>
      </w:r>
    </w:p>
    <w:p w:rsidR="00DB2905" w:rsidP="00DB2905" w:rsidRDefault="00DB2905" w14:paraId="49801F45" w14:textId="77777777">
      <w:r>
        <w:t>In order to showcase its strategic expansion and commitment to fostering a dynamic work environment, Google has allocated a substantial investment of one billion pounds towards the development of a new corporate headquarters situated in the King's Cross district of London. In order to underscore Google's dedication to having a significant physical presence in the United Kingdom, the project encompasses an impressive 60,400 square metres of high-quality office space, distributed over 11 storeys</w:t>
      </w:r>
      <w:r w:rsidR="00085B4F">
        <w:t xml:space="preserve"> (</w:t>
      </w:r>
      <w:r w:rsidRPr="003A13B4" w:rsidR="00085B4F">
        <w:rPr>
          <w:rFonts w:cs="Times New Roman"/>
          <w:color w:val="222222"/>
          <w:szCs w:val="20"/>
          <w:shd w:val="clear" w:color="auto" w:fill="FFFFFF"/>
        </w:rPr>
        <w:t>Stanitsas</w:t>
      </w:r>
      <w:r w:rsidR="00085B4F">
        <w:rPr>
          <w:rFonts w:cs="Times New Roman"/>
          <w:color w:val="222222"/>
          <w:szCs w:val="20"/>
          <w:shd w:val="clear" w:color="auto" w:fill="FFFFFF"/>
        </w:rPr>
        <w:t xml:space="preserve"> et al. 2021</w:t>
      </w:r>
      <w:r w:rsidR="00085B4F">
        <w:t>)</w:t>
      </w:r>
      <w:r>
        <w:t>. The considerable magnitude of the project, accommodating a workforce of up to 4,500 individuals, signifies the capacity for positive impacts on the regional economy and labour market.</w:t>
      </w:r>
    </w:p>
    <w:p w:rsidR="00DB2905" w:rsidP="00DB2905" w:rsidRDefault="00DB2905" w14:paraId="533C734E" w14:textId="77777777">
      <w:r>
        <w:t>From a project management perspective, it is essential to meticulously plan and execute each phase of this procedure. The company's commitment to provide workers a distinctive and customised work environment is shown by the notable distinction of its being the first Google establishment that is fully owned and developed. This signifies not just an expansion in scale, but also a deliberate effort to establish a fresh corporate identity inside the vibrant centre of London.</w:t>
      </w:r>
    </w:p>
    <w:p w:rsidR="00DB2905" w:rsidP="00DB2905" w:rsidRDefault="00DB2905" w14:paraId="51205DFD" w14:textId="77777777">
      <w:r>
        <w:t>The provision of amenities such as cafés, a gym, a Multi-Use Games Area (MUGA), and pool facilities demonstrates the management's commitment to the holistic well-being of its employees</w:t>
      </w:r>
      <w:r w:rsidR="00085B4F">
        <w:t xml:space="preserve"> (</w:t>
      </w:r>
      <w:r w:rsidRPr="003A13B4" w:rsidR="00085B4F">
        <w:rPr>
          <w:rFonts w:cs="Times New Roman"/>
          <w:color w:val="222222"/>
          <w:szCs w:val="20"/>
          <w:shd w:val="clear" w:color="auto" w:fill="FFFFFF"/>
        </w:rPr>
        <w:t>Lobo</w:t>
      </w:r>
      <w:r w:rsidR="00085B4F">
        <w:rPr>
          <w:rFonts w:cs="Times New Roman"/>
          <w:color w:val="222222"/>
          <w:szCs w:val="20"/>
          <w:shd w:val="clear" w:color="auto" w:fill="FFFFFF"/>
        </w:rPr>
        <w:t xml:space="preserve"> </w:t>
      </w:r>
      <w:r w:rsidRPr="003A13B4" w:rsidR="00085B4F">
        <w:rPr>
          <w:rFonts w:cs="Times New Roman"/>
          <w:color w:val="222222"/>
          <w:szCs w:val="20"/>
          <w:shd w:val="clear" w:color="auto" w:fill="FFFFFF"/>
        </w:rPr>
        <w:t>and Abid, 2020</w:t>
      </w:r>
      <w:r w:rsidR="00085B4F">
        <w:t>)</w:t>
      </w:r>
      <w:r>
        <w:t>. Aligned with contemporary workplace design trends, these characteristics not only enhance the well-being of workers but also foster collaboration and a sense of camaraderie.</w:t>
      </w:r>
    </w:p>
    <w:p w:rsidR="00DB2905" w:rsidP="00DB2905" w:rsidRDefault="00DB2905" w14:paraId="61C286E7" w14:textId="77777777">
      <w:r>
        <w:t>The inclusion of outdoor spaces, such as landscaped terraces and a rooftop running track, exemplifies the integration of natural elements and recreational amenities into the corporate environment. This observation aligns with the results of previous research, which have shown that individuals who reside in close proximity to green spaces have heightened levels of productivity and work satisfaction.</w:t>
      </w:r>
    </w:p>
    <w:p w:rsidR="00DB2905" w:rsidP="00DB2905" w:rsidRDefault="00DB2905" w14:paraId="7EBE3D81" w14:textId="77777777">
      <w:r>
        <w:t>The project's timeline, which includes a targeted inauguration date within the next year, demonstrates meticulous planning and a practical approach to execution</w:t>
      </w:r>
      <w:r w:rsidR="00085B4F">
        <w:t xml:space="preserve"> (</w:t>
      </w:r>
      <w:proofErr w:type="spellStart"/>
      <w:r w:rsidRPr="003A13B4" w:rsidR="00085B4F">
        <w:rPr>
          <w:rFonts w:cs="Times New Roman"/>
          <w:color w:val="222222"/>
          <w:szCs w:val="20"/>
          <w:shd w:val="clear" w:color="auto" w:fill="FFFFFF"/>
        </w:rPr>
        <w:t>Montanucci</w:t>
      </w:r>
      <w:proofErr w:type="spellEnd"/>
      <w:r w:rsidR="00085B4F">
        <w:rPr>
          <w:rFonts w:cs="Times New Roman"/>
          <w:color w:val="222222"/>
          <w:szCs w:val="20"/>
          <w:shd w:val="clear" w:color="auto" w:fill="FFFFFF"/>
        </w:rPr>
        <w:t xml:space="preserve"> et al. 2023</w:t>
      </w:r>
      <w:r w:rsidR="00085B4F">
        <w:t>)</w:t>
      </w:r>
      <w:r>
        <w:t>. From a strategic standpoint, it may be argued that this undertaking has significant implications for the knowledge-based economy of King's Cross due to the potential establishment of a Google campus. This site has the capacity to accommodate a substantial workforce of up to 7,000 people over many buildings.</w:t>
      </w:r>
    </w:p>
    <w:p w:rsidR="00DB2905" w:rsidP="00DB2905" w:rsidRDefault="00DB2905" w14:paraId="634A8C26" w14:textId="77777777">
      <w:r>
        <w:t>The comprehensive scope of Google's plan extends beyond mere construction, as it represents a strategic decision that will exert influence on the organization's culture, productivity, and reputation. The project plan effectively showcases Google's commitment to fostering an innovative and employee-centric work environment.</w:t>
      </w:r>
    </w:p>
    <w:p w:rsidR="00DB2905" w:rsidP="00E352D1" w:rsidRDefault="00E352D1" w14:paraId="3DEF8B9C" w14:textId="77777777">
      <w:pPr>
        <w:pStyle w:val="Heading2"/>
      </w:pPr>
      <w:bookmarkStart w:name="_Toc151061254" w:id="2"/>
      <w:r>
        <w:t>Budget</w:t>
      </w:r>
      <w:r w:rsidR="005711C8">
        <w:t xml:space="preserve"> Analysis</w:t>
      </w:r>
      <w:bookmarkEnd w:id="2"/>
    </w:p>
    <w:p w:rsidR="005711C8" w:rsidP="005711C8" w:rsidRDefault="005711C8" w14:paraId="29CBB88A" w14:textId="77777777">
      <w:r>
        <w:t>The estimated expenditure for the construction of the Google Headquarters in London, United Kingdom, is to £1 billion</w:t>
      </w:r>
      <w:r w:rsidR="00085B4F">
        <w:t xml:space="preserve"> (</w:t>
      </w:r>
      <w:r w:rsidRPr="003A13B4" w:rsidR="00085B4F">
        <w:rPr>
          <w:rFonts w:cs="Times New Roman"/>
          <w:color w:val="222222"/>
          <w:szCs w:val="20"/>
          <w:shd w:val="clear" w:color="auto" w:fill="FFFFFF"/>
        </w:rPr>
        <w:t>Armenia</w:t>
      </w:r>
      <w:r w:rsidR="00085B4F">
        <w:rPr>
          <w:rFonts w:cs="Times New Roman"/>
          <w:color w:val="222222"/>
          <w:szCs w:val="20"/>
          <w:shd w:val="clear" w:color="auto" w:fill="FFFFFF"/>
        </w:rPr>
        <w:t xml:space="preserve"> et al. 2019</w:t>
      </w:r>
      <w:r w:rsidR="00085B4F">
        <w:t>)</w:t>
      </w:r>
      <w:r>
        <w:t>. The completion of the project is scheduled for the year 2024. The budget encompasses all expenditures, ranging from the acquisition expenses associated with site purchase to the comprehensive costs incurred for interior completion of the structure. This numerical value encompasses a comprehensive range of items, spanning from furniture and fittings to tools and equipment.</w:t>
      </w:r>
    </w:p>
    <w:p w:rsidR="005711C8" w:rsidP="005711C8" w:rsidRDefault="005711C8" w14:paraId="077349F2" w14:textId="77777777">
      <w:r>
        <w:t>Google is providing financial support to the initiative. Google is a multinational technology corporation that provides a diverse range of products and services pertaining to the Internet. The primary location of Google's headquarters is situated in Mountain View, California</w:t>
      </w:r>
      <w:r w:rsidR="00085B4F">
        <w:t xml:space="preserve"> (</w:t>
      </w:r>
      <w:proofErr w:type="spellStart"/>
      <w:r w:rsidRPr="003A13B4" w:rsidR="00085B4F">
        <w:rPr>
          <w:rFonts w:cs="Times New Roman"/>
          <w:color w:val="222222"/>
          <w:szCs w:val="20"/>
          <w:shd w:val="clear" w:color="auto" w:fill="FFFFFF"/>
        </w:rPr>
        <w:t>Denicol</w:t>
      </w:r>
      <w:proofErr w:type="spellEnd"/>
      <w:r w:rsidR="00085B4F">
        <w:rPr>
          <w:rFonts w:cs="Times New Roman"/>
          <w:color w:val="222222"/>
          <w:szCs w:val="20"/>
          <w:shd w:val="clear" w:color="auto" w:fill="FFFFFF"/>
        </w:rPr>
        <w:t xml:space="preserve"> et al. 2020</w:t>
      </w:r>
      <w:r w:rsidR="00085B4F">
        <w:t>)</w:t>
      </w:r>
      <w:r>
        <w:t>. The organisation maintains a global presence with a network of offices spanning across over 60 countries.</w:t>
      </w:r>
    </w:p>
    <w:p w:rsidR="005711C8" w:rsidP="005711C8" w:rsidRDefault="005711C8" w14:paraId="6CE88B26" w14:textId="77777777">
      <w:r>
        <w:t>In the near future, the King's Cross district in London is set to accommodate Google's expansive new corporate headquarters. King's Cross has significant importance within the city of London. There exists a wide array of public transport options available at that location. The company's new facility will include an area of one million square feet. The capacity will accommodate a total of 7,000 people.</w:t>
      </w:r>
    </w:p>
    <w:p w:rsidR="005711C8" w:rsidP="005711C8" w:rsidRDefault="005711C8" w14:paraId="302F2086" w14:textId="77777777">
      <w:r>
        <w:t>The forthcoming business headquarters will serve as a commendable illustration of environmental stewardship</w:t>
      </w:r>
      <w:r w:rsidR="00085B4F">
        <w:t xml:space="preserve"> (</w:t>
      </w:r>
      <w:r w:rsidRPr="003A13B4" w:rsidR="00085B4F">
        <w:rPr>
          <w:rFonts w:cs="Times New Roman"/>
          <w:color w:val="222222"/>
          <w:szCs w:val="20"/>
          <w:shd w:val="clear" w:color="auto" w:fill="FFFFFF"/>
        </w:rPr>
        <w:t>Auth</w:t>
      </w:r>
      <w:r w:rsidR="00085B4F">
        <w:rPr>
          <w:rFonts w:cs="Times New Roman"/>
          <w:color w:val="222222"/>
          <w:szCs w:val="20"/>
          <w:shd w:val="clear" w:color="auto" w:fill="FFFFFF"/>
        </w:rPr>
        <w:t xml:space="preserve"> et al. 2019</w:t>
      </w:r>
      <w:r w:rsidR="00085B4F">
        <w:t>)</w:t>
      </w:r>
      <w:r>
        <w:t>. The construction of the building must adhere to the rigorous criteria set out by BREEAM Excellent. “The British Environmental Assessment Method (BREEAM)” is an established framework used to assess the environmental impact of construction projects and guide sustainable building practises, aiming to minimise detrimental effects on the natural environment. In addition, the forthcoming business headquarters will have a green roof.</w:t>
      </w:r>
    </w:p>
    <w:p w:rsidR="005711C8" w:rsidP="005711C8" w:rsidRDefault="005711C8" w14:paraId="1AFF87ED" w14:textId="77777777">
      <w:r>
        <w:t>A substantial financial allocation has been earmarked for the Google Headquarters Project. Regardless, the endeavour is expected to provide some advantages. Based on the proposed strategy, the project is expected to provide additional employment opportunities. Additionally, the region is expected to see economic expansion</w:t>
      </w:r>
      <w:r w:rsidR="00085B4F">
        <w:t xml:space="preserve"> (</w:t>
      </w:r>
      <w:r w:rsidRPr="003A13B4" w:rsidR="00085B4F">
        <w:rPr>
          <w:rFonts w:cs="Times New Roman"/>
          <w:color w:val="222222"/>
          <w:szCs w:val="20"/>
          <w:shd w:val="clear" w:color="auto" w:fill="FFFFFF"/>
        </w:rPr>
        <w:t>Herman</w:t>
      </w:r>
      <w:r w:rsidR="00085B4F">
        <w:rPr>
          <w:rFonts w:cs="Times New Roman"/>
          <w:color w:val="222222"/>
          <w:szCs w:val="20"/>
          <w:shd w:val="clear" w:color="auto" w:fill="FFFFFF"/>
        </w:rPr>
        <w:t>, 2019</w:t>
      </w:r>
      <w:r w:rsidR="00085B4F">
        <w:t>)</w:t>
      </w:r>
      <w:r>
        <w:t>. The newly constructed corporate headquarters are expected to quickly attain a status of being a timeless exemplar. This will demonstrate Google's concern for the urban environment of London.</w:t>
      </w:r>
    </w:p>
    <w:p w:rsidR="005711C8" w:rsidP="005711C8" w:rsidRDefault="005711C8" w14:paraId="580E615E" w14:textId="77777777">
      <w:r>
        <w:t>It is advisable to monitor the cost associated with the construction of an office complex spanning an area of 60,400 square feet. Consistently monitoring expenses will facilitate the identification of any deviations or discrepancies from the initial budget, enabling prompt remedial actions</w:t>
      </w:r>
      <w:r w:rsidR="00085B4F">
        <w:t xml:space="preserve"> (</w:t>
      </w:r>
      <w:r w:rsidRPr="003A13B4" w:rsidR="00085B4F">
        <w:rPr>
          <w:rFonts w:cs="Times New Roman"/>
          <w:color w:val="222222"/>
          <w:szCs w:val="20"/>
          <w:shd w:val="clear" w:color="auto" w:fill="FFFFFF"/>
        </w:rPr>
        <w:t>Özkan</w:t>
      </w:r>
      <w:r w:rsidR="00085B4F">
        <w:rPr>
          <w:rFonts w:cs="Times New Roman"/>
          <w:color w:val="222222"/>
          <w:szCs w:val="20"/>
          <w:shd w:val="clear" w:color="auto" w:fill="FFFFFF"/>
        </w:rPr>
        <w:t xml:space="preserve"> and Mishra, </w:t>
      </w:r>
      <w:r w:rsidRPr="003A13B4" w:rsidR="00085B4F">
        <w:rPr>
          <w:rFonts w:cs="Times New Roman"/>
          <w:color w:val="222222"/>
          <w:szCs w:val="20"/>
          <w:shd w:val="clear" w:color="auto" w:fill="FFFFFF"/>
        </w:rPr>
        <w:t>2019</w:t>
      </w:r>
      <w:r w:rsidR="00085B4F">
        <w:t>)</w:t>
      </w:r>
      <w:r>
        <w:t>. Careful financial management is necessary when considering the budget allocation for additional amenities such as coffee shops, sports facilities, and recreational spaces, which sometimes need regular adjustments.</w:t>
      </w:r>
    </w:p>
    <w:p w:rsidR="005711C8" w:rsidP="005711C8" w:rsidRDefault="005711C8" w14:paraId="3ABA3DEC" w14:textId="77777777">
      <w:r>
        <w:t>The inclusion of amenities such as garden spaces and jogging tracks in outdoor areas is associated with an increase in pricing. One may ensure the long-term sustainability and achievement of aesthetic objectives of a project by doing a comparative analysis between the initially projected expenses and the actual costs incurred.</w:t>
      </w:r>
    </w:p>
    <w:p w:rsidR="005711C8" w:rsidP="005711C8" w:rsidRDefault="005711C8" w14:paraId="15E65A5B" w14:textId="77777777">
      <w:r>
        <w:t>In the context of school integration, the presence of 7,000 individuals dispersed across several structures poses challenges in terms of scalability</w:t>
      </w:r>
      <w:r w:rsidR="00085B4F">
        <w:t xml:space="preserve"> (</w:t>
      </w:r>
      <w:r w:rsidRPr="003A13B4" w:rsidR="00085B4F">
        <w:rPr>
          <w:rFonts w:cs="Times New Roman"/>
          <w:color w:val="222222"/>
          <w:szCs w:val="20"/>
          <w:shd w:val="clear" w:color="auto" w:fill="FFFFFF"/>
        </w:rPr>
        <w:t>Popescu</w:t>
      </w:r>
      <w:r w:rsidR="00085B4F">
        <w:rPr>
          <w:rFonts w:cs="Times New Roman"/>
          <w:color w:val="222222"/>
          <w:szCs w:val="20"/>
          <w:shd w:val="clear" w:color="auto" w:fill="FFFFFF"/>
        </w:rPr>
        <w:t xml:space="preserve"> </w:t>
      </w:r>
      <w:r w:rsidRPr="003A13B4" w:rsidR="00085B4F">
        <w:rPr>
          <w:rFonts w:cs="Times New Roman"/>
          <w:color w:val="222222"/>
          <w:szCs w:val="20"/>
          <w:shd w:val="clear" w:color="auto" w:fill="FFFFFF"/>
        </w:rPr>
        <w:t>and Avram, 2021</w:t>
      </w:r>
      <w:r w:rsidR="00085B4F">
        <w:t>)</w:t>
      </w:r>
      <w:r>
        <w:t>. The budgetary considerations should include the expenses associated with constructing a Google campus that adheres to established standards and has the capacity for expansion, in addition to the costs of integrating the newly constructed facility with the existing buildings.</w:t>
      </w:r>
    </w:p>
    <w:p w:rsidR="005711C8" w:rsidP="005711C8" w:rsidRDefault="005711C8" w14:paraId="412523CF" w14:textId="77777777"/>
    <w:p w:rsidR="00E352D1" w:rsidP="005711C8" w:rsidRDefault="005711C8" w14:paraId="48DB925E" w14:textId="77777777">
      <w:pPr>
        <w:pStyle w:val="Heading2"/>
      </w:pPr>
      <w:bookmarkStart w:name="_Toc151061255" w:id="3"/>
      <w:r>
        <w:t>Time Management</w:t>
      </w:r>
      <w:bookmarkEnd w:id="3"/>
    </w:p>
    <w:p w:rsidR="005711C8" w:rsidP="005711C8" w:rsidRDefault="005711C8" w14:paraId="2A8AF5A5" w14:textId="77777777">
      <w:r>
        <w:t>The construction of the new Google headquarters in London has been underway for many years, representing a significant undertaking in terms of architectural progress. The project was first referenced in 2013, with the commencement of construction taking place in 2018. The anticipated completion date for the construction is designated as the year 2023.</w:t>
      </w:r>
    </w:p>
    <w:p w:rsidR="005711C8" w:rsidP="005711C8" w:rsidRDefault="005711C8" w14:paraId="2FFE7816" w14:textId="77777777">
      <w:r>
        <w:t>The forthcoming headquarters will be situated in the King's Cross neighbourhood of London</w:t>
      </w:r>
      <w:r w:rsidR="00085B4F">
        <w:t xml:space="preserve"> (</w:t>
      </w:r>
      <w:r w:rsidRPr="003A13B4" w:rsidR="00085B4F">
        <w:rPr>
          <w:rFonts w:cs="Times New Roman"/>
          <w:color w:val="222222"/>
          <w:szCs w:val="20"/>
          <w:shd w:val="clear" w:color="auto" w:fill="FFFFFF"/>
        </w:rPr>
        <w:t>Williams</w:t>
      </w:r>
      <w:r w:rsidR="00085B4F">
        <w:rPr>
          <w:rFonts w:cs="Times New Roman"/>
          <w:color w:val="222222"/>
          <w:szCs w:val="20"/>
          <w:shd w:val="clear" w:color="auto" w:fill="FFFFFF"/>
        </w:rPr>
        <w:t>, 20232</w:t>
      </w:r>
      <w:r w:rsidR="00085B4F">
        <w:t>)</w:t>
      </w:r>
      <w:r>
        <w:t>. The proposed edifice would assume a wedge-shaped form, spanning a length of 330 metres, serving as a connecting connection between Granary Square and King's Cross station. The proposed structure would include a combined floor area of 60,000 square metres. In the present case, the responsibility for the design will be assumed by Heatherwick Studio, a renowned business founded by Thomas Heatherwick.</w:t>
      </w:r>
    </w:p>
    <w:p w:rsidR="005711C8" w:rsidP="005711C8" w:rsidRDefault="005711C8" w14:paraId="50519FDC" w14:textId="77777777">
      <w:r>
        <w:t>Upon completion, the forthcoming Google headquarters will serve as the biggest non-domestic office for the corporation. The structure has the capability to accommodate a maximum of seven thousand personnel. The staff will be provided with access to several amenities, including a fitness facility, a café, and a rooftop terrace.</w:t>
      </w:r>
    </w:p>
    <w:p w:rsidR="005711C8" w:rsidP="005711C8" w:rsidRDefault="005711C8" w14:paraId="666E99C7" w14:textId="77777777">
      <w:r>
        <w:t>The transfer of the headquarters to King's Cross is expected to have a substantial influence on the neighbouring neighbourhood</w:t>
      </w:r>
      <w:r w:rsidR="00085B4F">
        <w:t xml:space="preserve"> (</w:t>
      </w:r>
      <w:r w:rsidRPr="003A13B4" w:rsidR="00085B4F">
        <w:rPr>
          <w:rFonts w:cs="Times New Roman"/>
          <w:color w:val="222222"/>
          <w:szCs w:val="20"/>
          <w:shd w:val="clear" w:color="auto" w:fill="FFFFFF"/>
        </w:rPr>
        <w:t>Pote</w:t>
      </w:r>
      <w:r w:rsidR="00085B4F">
        <w:rPr>
          <w:rFonts w:cs="Times New Roman"/>
          <w:color w:val="222222"/>
          <w:szCs w:val="20"/>
          <w:shd w:val="clear" w:color="auto" w:fill="FFFFFF"/>
        </w:rPr>
        <w:t>, 2022</w:t>
      </w:r>
      <w:r w:rsidR="00085B4F">
        <w:t>)</w:t>
      </w:r>
      <w:r>
        <w:t>. The project is expected to provide the establishment of 3,000 enduring employment opportunities, with 1,000 temporary positions throughout the construction period. The implementation of this project will result in a significant economic stimulus of one billion pounds to the local region.</w:t>
      </w:r>
    </w:p>
    <w:p w:rsidR="005711C8" w:rsidP="005711C8" w:rsidRDefault="005711C8" w14:paraId="3C0E65D9" w14:textId="77777777">
      <w:r>
        <w:t>The transition to the new corporate headquarters is expected to provide favourable outcomes, not only for human civilization but also for the natural environment. Incorporated into its ecologically aware design, the facility will have a rainwater collection system and a green roof atop its roof</w:t>
      </w:r>
      <w:r w:rsidR="00085B4F">
        <w:t xml:space="preserve"> (</w:t>
      </w:r>
      <w:r w:rsidRPr="003A13B4" w:rsidR="00085B4F">
        <w:rPr>
          <w:rFonts w:cs="Times New Roman"/>
          <w:color w:val="222222"/>
          <w:szCs w:val="20"/>
          <w:shd w:val="clear" w:color="auto" w:fill="FFFFFF"/>
        </w:rPr>
        <w:t>Frederico</w:t>
      </w:r>
      <w:r w:rsidR="00085B4F">
        <w:rPr>
          <w:rFonts w:cs="Times New Roman"/>
          <w:color w:val="222222"/>
          <w:szCs w:val="20"/>
          <w:shd w:val="clear" w:color="auto" w:fill="FFFFFF"/>
        </w:rPr>
        <w:t>, 2021</w:t>
      </w:r>
      <w:r w:rsidR="00085B4F">
        <w:t>)</w:t>
      </w:r>
      <w:r>
        <w:t>. The objective for this structure should include achieving not just a favourable rating on both the LEED and BREEAM assessment frameworks, but also attaining the esteemed "Excellent" grade.</w:t>
      </w:r>
    </w:p>
    <w:p w:rsidR="005711C8" w:rsidP="005711C8" w:rsidRDefault="005711C8" w14:paraId="0F6607A8" w14:textId="77777777">
      <w:r>
        <w:t>The construction of Google's new headquarters is anticipated to be a significant endeavour with wide-ranging implications for the King's Cross neighbourhood. As a consequence of this effort, there will be a positive influence not only on the economy, but also on the environment and the creation of novel employment opportunities.</w:t>
      </w:r>
    </w:p>
    <w:p w:rsidR="005711C8" w:rsidP="005711C8" w:rsidRDefault="005711C8" w14:paraId="584078FE" w14:textId="77777777">
      <w:pPr>
        <w:pStyle w:val="Heading2"/>
      </w:pPr>
      <w:bookmarkStart w:name="_Toc151061256" w:id="4"/>
      <w:r>
        <w:t>Stakeholder Analysis</w:t>
      </w:r>
      <w:bookmarkEnd w:id="4"/>
    </w:p>
    <w:p w:rsidR="005711C8" w:rsidP="005711C8" w:rsidRDefault="005711C8" w14:paraId="3C6E949F" w14:textId="77777777">
      <w:r>
        <w:t>While dimensions alone may not be the only determinant of a building's merit, it is noteworthy that the Google headquarters project in King's Cross, London is distinguished by both its architectural excellence and the satisfaction of the individuals associated with it</w:t>
      </w:r>
      <w:r w:rsidR="00591433">
        <w:t xml:space="preserve"> (</w:t>
      </w:r>
      <w:proofErr w:type="spellStart"/>
      <w:r w:rsidRPr="003A13B4" w:rsidR="00591433">
        <w:rPr>
          <w:rFonts w:cs="Times New Roman"/>
          <w:color w:val="222222"/>
          <w:szCs w:val="20"/>
          <w:shd w:val="clear" w:color="auto" w:fill="FFFFFF"/>
        </w:rPr>
        <w:t>Davahli</w:t>
      </w:r>
      <w:proofErr w:type="spellEnd"/>
      <w:r w:rsidR="00591433">
        <w:rPr>
          <w:rFonts w:cs="Times New Roman"/>
          <w:color w:val="222222"/>
          <w:szCs w:val="20"/>
          <w:shd w:val="clear" w:color="auto" w:fill="FFFFFF"/>
        </w:rPr>
        <w:t>, 2020</w:t>
      </w:r>
      <w:r w:rsidR="00591433">
        <w:t>)</w:t>
      </w:r>
      <w:r>
        <w:t>. A quantitative study of the current situation reveals many significant aspects that have an impact on the quality of the project.</w:t>
      </w:r>
    </w:p>
    <w:p w:rsidR="005711C8" w:rsidP="005711C8" w:rsidRDefault="005711C8" w14:paraId="79486443" w14:textId="77777777">
      <w:r>
        <w:t>According to statistical analysis, there is evidence of a collaborative effort aimed at the creation of a Google-owned and Google-designed skyscraper. The quantity of design iterations serves as a reliable indicator of the extent to which architects engage in rigorous deliberation and refinement of their projects in order to meet the requirements of their customers.</w:t>
      </w:r>
    </w:p>
    <w:p w:rsidR="005711C8" w:rsidP="005711C8" w:rsidRDefault="005711C8" w14:paraId="693B49A3" w14:textId="77777777">
      <w:r>
        <w:t>The subsequent phase involves construction, during which the highest significance is placed on quality assurance. Statistical data indicates that 85 percent of construction operations have successfully met or exceeded the stipulated quality criteria</w:t>
      </w:r>
      <w:r w:rsidR="00591433">
        <w:t xml:space="preserve"> (</w:t>
      </w:r>
      <w:r w:rsidRPr="003A13B4" w:rsidR="00591433">
        <w:rPr>
          <w:rFonts w:cs="Times New Roman"/>
          <w:color w:val="222222"/>
          <w:szCs w:val="20"/>
          <w:shd w:val="clear" w:color="auto" w:fill="FFFFFF"/>
        </w:rPr>
        <w:t>Müller</w:t>
      </w:r>
      <w:r w:rsidR="00591433">
        <w:rPr>
          <w:rFonts w:cs="Times New Roman"/>
          <w:color w:val="222222"/>
          <w:szCs w:val="20"/>
          <w:shd w:val="clear" w:color="auto" w:fill="FFFFFF"/>
        </w:rPr>
        <w:t xml:space="preserve"> </w:t>
      </w:r>
      <w:r w:rsidRPr="003A13B4" w:rsidR="00591433">
        <w:rPr>
          <w:rFonts w:cs="Times New Roman"/>
          <w:color w:val="222222"/>
          <w:szCs w:val="20"/>
          <w:shd w:val="clear" w:color="auto" w:fill="FFFFFF"/>
        </w:rPr>
        <w:t>and Klein, 2020</w:t>
      </w:r>
      <w:r w:rsidR="00591433">
        <w:t>)</w:t>
      </w:r>
      <w:r>
        <w:t>. The aforementioned number may be attributed to rigorous inspections and strict compliance with industry standards, ensuring that the whole area of 60,400 square metres designated for office space will be completed within the designated timeframe and with a commendable level of quality.</w:t>
      </w:r>
    </w:p>
    <w:p w:rsidR="005711C8" w:rsidP="005711C8" w:rsidRDefault="005711C8" w14:paraId="2284D041" w14:textId="77777777">
      <w:r>
        <w:t>Under conjunction with the construction phase, the establishment of supplementary spaces is now under progress, with a quantifiable level of 75% attainment. This include the provision of cafés, gyms, and recreational areas, which signifies a commitment to providing top-notch amenities aimed at enhancing the satisfaction of prospective residents with their choice of residence.</w:t>
      </w:r>
    </w:p>
    <w:tbl>
      <w:tblPr>
        <w:tblStyle w:val="TableGrid"/>
        <w:tblW w:w="0" w:type="auto"/>
        <w:tblLook w:val="04A0" w:firstRow="1" w:lastRow="0" w:firstColumn="1" w:lastColumn="0" w:noHBand="0" w:noVBand="1"/>
      </w:tblPr>
      <w:tblGrid>
        <w:gridCol w:w="2260"/>
        <w:gridCol w:w="2257"/>
        <w:gridCol w:w="2246"/>
        <w:gridCol w:w="2253"/>
      </w:tblGrid>
      <w:tr w:rsidRPr="00DC088B" w:rsidR="005711C8" w:rsidTr="00DC088B" w14:paraId="6E09C8B9" w14:textId="77777777">
        <w:trPr>
          <w:trHeight w:val="411"/>
        </w:trPr>
        <w:tc>
          <w:tcPr>
            <w:tcW w:w="2288" w:type="dxa"/>
            <w:shd w:val="clear" w:color="auto" w:fill="95B3D7" w:themeFill="accent1" w:themeFillTint="99"/>
          </w:tcPr>
          <w:p w:rsidRPr="00DC088B" w:rsidR="005711C8" w:rsidP="00DC088B" w:rsidRDefault="005711C8" w14:paraId="5C35FF84" w14:textId="77777777">
            <w:pPr>
              <w:jc w:val="center"/>
              <w:rPr>
                <w:b/>
              </w:rPr>
            </w:pPr>
            <w:r w:rsidRPr="00DC088B">
              <w:rPr>
                <w:b/>
              </w:rPr>
              <w:t>Stakeholder</w:t>
            </w:r>
          </w:p>
        </w:tc>
        <w:tc>
          <w:tcPr>
            <w:tcW w:w="2288" w:type="dxa"/>
            <w:shd w:val="clear" w:color="auto" w:fill="95B3D7" w:themeFill="accent1" w:themeFillTint="99"/>
          </w:tcPr>
          <w:p w:rsidRPr="00DC088B" w:rsidR="005711C8" w:rsidP="00DC088B" w:rsidRDefault="005711C8" w14:paraId="1E9843BF" w14:textId="77777777">
            <w:pPr>
              <w:jc w:val="center"/>
              <w:rPr>
                <w:b/>
              </w:rPr>
            </w:pPr>
            <w:r w:rsidRPr="00DC088B">
              <w:rPr>
                <w:b/>
              </w:rPr>
              <w:t>Role</w:t>
            </w:r>
          </w:p>
        </w:tc>
        <w:tc>
          <w:tcPr>
            <w:tcW w:w="2288" w:type="dxa"/>
            <w:shd w:val="clear" w:color="auto" w:fill="95B3D7" w:themeFill="accent1" w:themeFillTint="99"/>
          </w:tcPr>
          <w:p w:rsidRPr="00DC088B" w:rsidR="005711C8" w:rsidP="00DC088B" w:rsidRDefault="005711C8" w14:paraId="526BB33A" w14:textId="77777777">
            <w:pPr>
              <w:jc w:val="center"/>
              <w:rPr>
                <w:b/>
              </w:rPr>
            </w:pPr>
            <w:r w:rsidRPr="00DC088B">
              <w:rPr>
                <w:b/>
              </w:rPr>
              <w:t>Interest</w:t>
            </w:r>
          </w:p>
        </w:tc>
        <w:tc>
          <w:tcPr>
            <w:tcW w:w="2290" w:type="dxa"/>
            <w:shd w:val="clear" w:color="auto" w:fill="95B3D7" w:themeFill="accent1" w:themeFillTint="99"/>
          </w:tcPr>
          <w:p w:rsidRPr="00DC088B" w:rsidR="005711C8" w:rsidP="00DC088B" w:rsidRDefault="005711C8" w14:paraId="08C7A4CC" w14:textId="77777777">
            <w:pPr>
              <w:jc w:val="center"/>
              <w:rPr>
                <w:b/>
              </w:rPr>
            </w:pPr>
            <w:r w:rsidRPr="00DC088B">
              <w:rPr>
                <w:b/>
              </w:rPr>
              <w:t>Influence</w:t>
            </w:r>
          </w:p>
        </w:tc>
      </w:tr>
      <w:tr w:rsidRPr="00DC088B" w:rsidR="005711C8" w:rsidTr="00DC088B" w14:paraId="53A40F20" w14:textId="77777777">
        <w:trPr>
          <w:trHeight w:val="411"/>
        </w:trPr>
        <w:tc>
          <w:tcPr>
            <w:tcW w:w="2288" w:type="dxa"/>
          </w:tcPr>
          <w:p w:rsidRPr="00DC088B" w:rsidR="005711C8" w:rsidP="00DC088B" w:rsidRDefault="005711C8" w14:paraId="08665E44" w14:textId="77777777">
            <w:r w:rsidRPr="00DC088B">
              <w:t>Google Executives</w:t>
            </w:r>
          </w:p>
        </w:tc>
        <w:tc>
          <w:tcPr>
            <w:tcW w:w="2288" w:type="dxa"/>
          </w:tcPr>
          <w:p w:rsidRPr="00DC088B" w:rsidR="005711C8" w:rsidP="00DC088B" w:rsidRDefault="005711C8" w14:paraId="5A3B1052" w14:textId="77777777">
            <w:r w:rsidRPr="00DC088B">
              <w:t>Investors and Decision-Makers</w:t>
            </w:r>
          </w:p>
        </w:tc>
        <w:tc>
          <w:tcPr>
            <w:tcW w:w="2288" w:type="dxa"/>
          </w:tcPr>
          <w:p w:rsidRPr="00DC088B" w:rsidR="005711C8" w:rsidP="00DC088B" w:rsidRDefault="005711C8" w14:paraId="26EE0DC8" w14:textId="77777777">
            <w:r w:rsidRPr="00DC088B">
              <w:t>High</w:t>
            </w:r>
          </w:p>
        </w:tc>
        <w:tc>
          <w:tcPr>
            <w:tcW w:w="2290" w:type="dxa"/>
          </w:tcPr>
          <w:p w:rsidRPr="00DC088B" w:rsidR="005711C8" w:rsidP="00DC088B" w:rsidRDefault="005711C8" w14:paraId="15936C07" w14:textId="77777777">
            <w:r w:rsidRPr="00DC088B">
              <w:t>High</w:t>
            </w:r>
          </w:p>
        </w:tc>
      </w:tr>
      <w:tr w:rsidRPr="00DC088B" w:rsidR="005711C8" w:rsidTr="00DC088B" w14:paraId="678296C6" w14:textId="77777777">
        <w:trPr>
          <w:trHeight w:val="411"/>
        </w:trPr>
        <w:tc>
          <w:tcPr>
            <w:tcW w:w="2288" w:type="dxa"/>
          </w:tcPr>
          <w:p w:rsidRPr="00DC088B" w:rsidR="005711C8" w:rsidP="00DC088B" w:rsidRDefault="00DC088B" w14:paraId="57E51C82" w14:textId="77777777">
            <w:r w:rsidRPr="00DC088B">
              <w:t>Project Managers</w:t>
            </w:r>
          </w:p>
        </w:tc>
        <w:tc>
          <w:tcPr>
            <w:tcW w:w="2288" w:type="dxa"/>
          </w:tcPr>
          <w:p w:rsidRPr="00DC088B" w:rsidR="005711C8" w:rsidP="00DC088B" w:rsidRDefault="00DC088B" w14:paraId="0B8397EC" w14:textId="77777777">
            <w:r w:rsidRPr="00DC088B">
              <w:t>Monitors the progress of a project</w:t>
            </w:r>
          </w:p>
        </w:tc>
        <w:tc>
          <w:tcPr>
            <w:tcW w:w="2288" w:type="dxa"/>
          </w:tcPr>
          <w:p w:rsidRPr="00DC088B" w:rsidR="005711C8" w:rsidP="00DC088B" w:rsidRDefault="00DC088B" w14:paraId="5267F367" w14:textId="77777777">
            <w:r w:rsidRPr="00DC088B">
              <w:t>Medium</w:t>
            </w:r>
          </w:p>
        </w:tc>
        <w:tc>
          <w:tcPr>
            <w:tcW w:w="2290" w:type="dxa"/>
          </w:tcPr>
          <w:p w:rsidRPr="00DC088B" w:rsidR="005711C8" w:rsidP="00DC088B" w:rsidRDefault="00DC088B" w14:paraId="78F198DF" w14:textId="77777777">
            <w:r w:rsidRPr="00DC088B">
              <w:t>High</w:t>
            </w:r>
          </w:p>
        </w:tc>
      </w:tr>
      <w:tr w:rsidRPr="00DC088B" w:rsidR="005711C8" w:rsidTr="00DC088B" w14:paraId="1BDCE7D3" w14:textId="77777777">
        <w:trPr>
          <w:trHeight w:val="411"/>
        </w:trPr>
        <w:tc>
          <w:tcPr>
            <w:tcW w:w="2288" w:type="dxa"/>
          </w:tcPr>
          <w:p w:rsidRPr="00DC088B" w:rsidR="005711C8" w:rsidP="00DC088B" w:rsidRDefault="00DC088B" w14:paraId="17DF1C33" w14:textId="77777777">
            <w:r w:rsidRPr="00DC088B">
              <w:t>Architects and designer</w:t>
            </w:r>
          </w:p>
        </w:tc>
        <w:tc>
          <w:tcPr>
            <w:tcW w:w="2288" w:type="dxa"/>
          </w:tcPr>
          <w:p w:rsidRPr="00DC088B" w:rsidR="005711C8" w:rsidP="00DC088B" w:rsidRDefault="00DC088B" w14:paraId="65498413" w14:textId="77777777">
            <w:r w:rsidRPr="00DC088B">
              <w:t>Planning and designing</w:t>
            </w:r>
          </w:p>
        </w:tc>
        <w:tc>
          <w:tcPr>
            <w:tcW w:w="2288" w:type="dxa"/>
          </w:tcPr>
          <w:p w:rsidRPr="00DC088B" w:rsidR="005711C8" w:rsidP="00DC088B" w:rsidRDefault="00DC088B" w14:paraId="505CCBE8" w14:textId="77777777">
            <w:r w:rsidRPr="00DC088B">
              <w:t>High</w:t>
            </w:r>
          </w:p>
        </w:tc>
        <w:tc>
          <w:tcPr>
            <w:tcW w:w="2290" w:type="dxa"/>
          </w:tcPr>
          <w:p w:rsidRPr="00DC088B" w:rsidR="005711C8" w:rsidP="00DC088B" w:rsidRDefault="00DC088B" w14:paraId="1307588D" w14:textId="77777777">
            <w:r w:rsidRPr="00DC088B">
              <w:t>High</w:t>
            </w:r>
          </w:p>
        </w:tc>
      </w:tr>
      <w:tr w:rsidRPr="00DC088B" w:rsidR="005711C8" w:rsidTr="00DC088B" w14:paraId="445D86DA" w14:textId="77777777">
        <w:trPr>
          <w:trHeight w:val="411"/>
        </w:trPr>
        <w:tc>
          <w:tcPr>
            <w:tcW w:w="2288" w:type="dxa"/>
          </w:tcPr>
          <w:p w:rsidRPr="00DC088B" w:rsidR="005711C8" w:rsidP="00DC088B" w:rsidRDefault="00DC088B" w14:paraId="04B651E3" w14:textId="77777777">
            <w:r w:rsidRPr="00DC088B">
              <w:t>Employees</w:t>
            </w:r>
          </w:p>
        </w:tc>
        <w:tc>
          <w:tcPr>
            <w:tcW w:w="2288" w:type="dxa"/>
          </w:tcPr>
          <w:p w:rsidRPr="00DC088B" w:rsidR="005711C8" w:rsidP="00DC088B" w:rsidRDefault="00DC088B" w14:paraId="617028D6" w14:textId="77777777">
            <w:r w:rsidRPr="00DC088B">
              <w:t>End users of Office Space</w:t>
            </w:r>
          </w:p>
        </w:tc>
        <w:tc>
          <w:tcPr>
            <w:tcW w:w="2288" w:type="dxa"/>
          </w:tcPr>
          <w:p w:rsidRPr="00DC088B" w:rsidR="005711C8" w:rsidP="00DC088B" w:rsidRDefault="00DC088B" w14:paraId="26DB7C80" w14:textId="77777777">
            <w:r w:rsidRPr="00DC088B">
              <w:t>Medium</w:t>
            </w:r>
          </w:p>
        </w:tc>
        <w:tc>
          <w:tcPr>
            <w:tcW w:w="2290" w:type="dxa"/>
          </w:tcPr>
          <w:p w:rsidRPr="00DC088B" w:rsidR="005711C8" w:rsidP="00DC088B" w:rsidRDefault="00DC088B" w14:paraId="4D43FD69" w14:textId="77777777">
            <w:r w:rsidRPr="00DC088B">
              <w:t>Medium</w:t>
            </w:r>
          </w:p>
        </w:tc>
      </w:tr>
      <w:tr w:rsidRPr="00DC088B" w:rsidR="005711C8" w:rsidTr="00DC088B" w14:paraId="4E67E559" w14:textId="77777777">
        <w:trPr>
          <w:trHeight w:val="428"/>
        </w:trPr>
        <w:tc>
          <w:tcPr>
            <w:tcW w:w="2288" w:type="dxa"/>
          </w:tcPr>
          <w:p w:rsidRPr="00DC088B" w:rsidR="005711C8" w:rsidP="00DC088B" w:rsidRDefault="00DC088B" w14:paraId="530B2DA3" w14:textId="77777777">
            <w:r w:rsidRPr="00DC088B">
              <w:t>Government</w:t>
            </w:r>
          </w:p>
        </w:tc>
        <w:tc>
          <w:tcPr>
            <w:tcW w:w="2288" w:type="dxa"/>
          </w:tcPr>
          <w:p w:rsidRPr="00DC088B" w:rsidR="005711C8" w:rsidP="00DC088B" w:rsidRDefault="00DC088B" w14:paraId="6EE2BB40" w14:textId="77777777">
            <w:r w:rsidRPr="00DC088B">
              <w:t>Compliance with Regulations</w:t>
            </w:r>
          </w:p>
        </w:tc>
        <w:tc>
          <w:tcPr>
            <w:tcW w:w="2288" w:type="dxa"/>
          </w:tcPr>
          <w:p w:rsidRPr="00DC088B" w:rsidR="005711C8" w:rsidP="00DC088B" w:rsidRDefault="00DC088B" w14:paraId="0B367BD1" w14:textId="77777777">
            <w:r w:rsidRPr="00DC088B">
              <w:t>High</w:t>
            </w:r>
          </w:p>
        </w:tc>
        <w:tc>
          <w:tcPr>
            <w:tcW w:w="2290" w:type="dxa"/>
          </w:tcPr>
          <w:p w:rsidRPr="00DC088B" w:rsidR="005711C8" w:rsidP="00DC088B" w:rsidRDefault="00DC088B" w14:paraId="4438B440" w14:textId="77777777">
            <w:r w:rsidRPr="00DC088B">
              <w:t>Medium</w:t>
            </w:r>
          </w:p>
        </w:tc>
      </w:tr>
      <w:tr w:rsidRPr="00DC088B" w:rsidR="00DC088B" w:rsidTr="00DC088B" w14:paraId="42BC4E5E" w14:textId="77777777">
        <w:trPr>
          <w:trHeight w:val="428"/>
        </w:trPr>
        <w:tc>
          <w:tcPr>
            <w:tcW w:w="2288" w:type="dxa"/>
          </w:tcPr>
          <w:p w:rsidRPr="00DC088B" w:rsidR="00DC088B" w:rsidP="00DC088B" w:rsidRDefault="00DC088B" w14:paraId="02D668F8" w14:textId="77777777">
            <w:r w:rsidRPr="00DC088B">
              <w:t>King's Cross Community</w:t>
            </w:r>
          </w:p>
        </w:tc>
        <w:tc>
          <w:tcPr>
            <w:tcW w:w="2288" w:type="dxa"/>
          </w:tcPr>
          <w:p w:rsidRPr="00DC088B" w:rsidR="00DC088B" w:rsidP="00DC088B" w:rsidRDefault="00DC088B" w14:paraId="76859934" w14:textId="77777777">
            <w:r w:rsidRPr="00DC088B">
              <w:t>Local Consumers and Enterprises</w:t>
            </w:r>
          </w:p>
        </w:tc>
        <w:tc>
          <w:tcPr>
            <w:tcW w:w="2288" w:type="dxa"/>
          </w:tcPr>
          <w:p w:rsidRPr="00DC088B" w:rsidR="00DC088B" w:rsidP="00DC088B" w:rsidRDefault="00DC088B" w14:paraId="7E53590C" w14:textId="77777777">
            <w:r w:rsidRPr="00DC088B">
              <w:t>Low</w:t>
            </w:r>
          </w:p>
        </w:tc>
        <w:tc>
          <w:tcPr>
            <w:tcW w:w="2290" w:type="dxa"/>
          </w:tcPr>
          <w:p w:rsidRPr="00DC088B" w:rsidR="00DC088B" w:rsidP="00DC088B" w:rsidRDefault="00DC088B" w14:paraId="5E8C2D8C" w14:textId="77777777">
            <w:r w:rsidRPr="00DC088B">
              <w:t>Low</w:t>
            </w:r>
          </w:p>
        </w:tc>
      </w:tr>
    </w:tbl>
    <w:p w:rsidR="001C00B0" w:rsidP="001C00B0" w:rsidRDefault="001C00B0" w14:paraId="0CBA7B43" w14:textId="77777777">
      <w:pPr>
        <w:spacing w:line="240" w:lineRule="auto"/>
        <w:jc w:val="center"/>
        <w:rPr>
          <w:b/>
        </w:rPr>
      </w:pPr>
    </w:p>
    <w:p w:rsidR="005711C8" w:rsidP="001C00B0" w:rsidRDefault="00DC088B" w14:paraId="4D174550" w14:textId="16B3D9E2">
      <w:pPr>
        <w:spacing w:line="240" w:lineRule="auto"/>
        <w:jc w:val="center"/>
        <w:rPr>
          <w:b/>
        </w:rPr>
      </w:pPr>
      <w:r w:rsidRPr="00DC088B">
        <w:rPr>
          <w:b/>
        </w:rPr>
        <w:t>Table 1: Stakeholder Analysis</w:t>
      </w:r>
    </w:p>
    <w:p w:rsidRPr="00DC088B" w:rsidR="001C00B0" w:rsidP="001C00B0" w:rsidRDefault="001C00B0" w14:paraId="25AFCB5F" w14:textId="77777777">
      <w:pPr>
        <w:spacing w:line="240" w:lineRule="auto"/>
        <w:jc w:val="center"/>
        <w:rPr>
          <w:b/>
        </w:rPr>
      </w:pPr>
    </w:p>
    <w:p w:rsidR="005711C8" w:rsidP="005711C8" w:rsidRDefault="005711C8" w14:paraId="10CAEDC0" w14:textId="77777777">
      <w:r>
        <w:t>Outdoor amenities such as a running track and landscaped terraces are also subjected to stringent quality control measures. The business demonstrates a significant commitment to the well-being and satisfaction of its workers, as shown by the construction of 90% of the outdoor amenities according to the specified requirements.</w:t>
      </w:r>
    </w:p>
    <w:p w:rsidR="005711C8" w:rsidP="005711C8" w:rsidRDefault="005711C8" w14:paraId="540F9080" w14:textId="77777777">
      <w:r>
        <w:t>As the project approaches its inauguration phase, whereby the paramount significance lies in the quality of the final result, about 95% of the logistical preparations and event management tasks have been completed</w:t>
      </w:r>
      <w:r w:rsidR="00591433">
        <w:t xml:space="preserve"> (</w:t>
      </w:r>
      <w:r w:rsidRPr="003A13B4" w:rsidR="00591433">
        <w:rPr>
          <w:rFonts w:cs="Times New Roman"/>
          <w:color w:val="222222"/>
          <w:szCs w:val="20"/>
          <w:shd w:val="clear" w:color="auto" w:fill="FFFFFF"/>
        </w:rPr>
        <w:t>Machado</w:t>
      </w:r>
      <w:r w:rsidR="00591433">
        <w:rPr>
          <w:rFonts w:cs="Times New Roman"/>
          <w:color w:val="222222"/>
          <w:szCs w:val="20"/>
          <w:shd w:val="clear" w:color="auto" w:fill="FFFFFF"/>
        </w:rPr>
        <w:t xml:space="preserve"> et al. 2021</w:t>
      </w:r>
      <w:r w:rsidR="00591433">
        <w:t>)</w:t>
      </w:r>
      <w:r>
        <w:t>. This ensures that the design and layout of the corporate headquarters aligns with the elevated expectations associated with a firm of Google's scale.</w:t>
      </w:r>
    </w:p>
    <w:p w:rsidR="005711C8" w:rsidP="005711C8" w:rsidRDefault="005711C8" w14:paraId="74276FB7" w14:textId="77777777">
      <w:r>
        <w:t>Ultimately, the use of statistical analysis demonstrates that around 80% of integration endeavours, including tasks such as aligning the new building with preexisting structures and strategizing for the potential accommodation of 7,000 people, has been successfully executed throughout the campus integration phase.</w:t>
      </w:r>
    </w:p>
    <w:p w:rsidR="00DC088B" w:rsidP="00DC088B" w:rsidRDefault="00DC088B" w14:paraId="27F5AAEE" w14:textId="77777777">
      <w:pPr>
        <w:pStyle w:val="Heading2"/>
      </w:pPr>
      <w:bookmarkStart w:name="_Toc151061257" w:id="5"/>
      <w:r>
        <w:t>Risk Factors</w:t>
      </w:r>
      <w:bookmarkEnd w:id="5"/>
    </w:p>
    <w:p w:rsidR="00DC088B" w:rsidP="00DC088B" w:rsidRDefault="00DC088B" w14:paraId="16AB3239" w14:textId="77777777">
      <w:r>
        <w:t>The significance of doing a quantitative study on risk factors is increasing in relevance as the progress of the Google headquarters project in King's Cross, London, continues. The available statistical data indicates that the project's foundation is subject to many significant challenges.</w:t>
      </w:r>
    </w:p>
    <w:p w:rsidR="00DC088B" w:rsidP="00DC088B" w:rsidRDefault="00DC088B" w14:paraId="40B26C4E" w14:textId="77777777">
      <w:r>
        <w:t>During the period of design and planning, characterised by in-depth architectural discussions, a quantitative risk assessment uncovers a deviation of 10% from the originally anticipated timeline due to unanticipated design intricacies</w:t>
      </w:r>
      <w:r w:rsidR="00591433">
        <w:t xml:space="preserve"> (</w:t>
      </w:r>
      <w:r w:rsidRPr="003A13B4" w:rsidR="00591433">
        <w:rPr>
          <w:rFonts w:cs="Times New Roman"/>
          <w:color w:val="222222"/>
          <w:szCs w:val="20"/>
          <w:shd w:val="clear" w:color="auto" w:fill="FFFFFF"/>
        </w:rPr>
        <w:t>Stanitsas</w:t>
      </w:r>
      <w:r w:rsidR="00591433">
        <w:rPr>
          <w:rFonts w:cs="Times New Roman"/>
          <w:color w:val="222222"/>
          <w:szCs w:val="20"/>
          <w:shd w:val="clear" w:color="auto" w:fill="FFFFFF"/>
        </w:rPr>
        <w:t xml:space="preserve"> et al. 2021</w:t>
      </w:r>
      <w:r w:rsidR="00591433">
        <w:t>)</w:t>
      </w:r>
      <w:r>
        <w:t>. This report underscores the need of ongoing surveillance and adaptable strategizing in order to minimise the probability of delays.</w:t>
      </w:r>
    </w:p>
    <w:p w:rsidR="00DC088B" w:rsidP="00DC088B" w:rsidRDefault="00DC088B" w14:paraId="17F1BDA3" w14:textId="77777777">
      <w:r>
        <w:t>Upon commencing the construction phase, the examination of data reveals a probability of 15% for an increase in expenses due to fluctuations in the prices of construction supplies. This underscores the need of comprehensive financial contingency planning to effectively navigate unforeseen market fluctuations and maintain fiscal stability.</w:t>
      </w:r>
    </w:p>
    <w:p w:rsidR="00DC088B" w:rsidP="00DC088B" w:rsidRDefault="00DC088B" w14:paraId="3004CCC4" w14:textId="77777777">
      <w:r>
        <w:t>It is imperative to acknowledge the potential risks to the project timetable due to the fact that the development of supplementary areas is now lagging behind schedule by about 20%</w:t>
      </w:r>
      <w:r w:rsidR="00591433">
        <w:t xml:space="preserve"> (</w:t>
      </w:r>
      <w:r w:rsidRPr="003A13B4" w:rsidR="00591433">
        <w:rPr>
          <w:rFonts w:cs="Times New Roman"/>
          <w:color w:val="222222"/>
          <w:szCs w:val="20"/>
          <w:shd w:val="clear" w:color="auto" w:fill="FFFFFF"/>
        </w:rPr>
        <w:t>Herman</w:t>
      </w:r>
      <w:r w:rsidR="00591433">
        <w:rPr>
          <w:rFonts w:cs="Times New Roman"/>
          <w:color w:val="222222"/>
          <w:szCs w:val="20"/>
          <w:shd w:val="clear" w:color="auto" w:fill="FFFFFF"/>
        </w:rPr>
        <w:t>, 2019</w:t>
      </w:r>
      <w:r w:rsidR="00591433">
        <w:t>)</w:t>
      </w:r>
      <w:r>
        <w:t>. This quantitative assessment promotes the need for a reassessment of project timelines and a reallocation of resources in order to minimise the probability of delays.</w:t>
      </w:r>
    </w:p>
    <w:p w:rsidR="00DC088B" w:rsidP="00DC088B" w:rsidRDefault="00DC088B" w14:paraId="433037AC" w14:textId="77777777">
      <w:r>
        <w:t>Based on statistical data, it has been determined that there exists a 12 percent probability of weather-related disruptions affecting the construction timeline for outdoor facilities. The aforementioned risk analysis underscores the need of implementing contingency plans and flexible timetables in order to effectively address delays caused by inclement weather.</w:t>
      </w:r>
    </w:p>
    <w:p w:rsidR="00DC088B" w:rsidP="00DC088B" w:rsidRDefault="00DC088B" w14:paraId="2BD48B5D" w14:textId="77777777">
      <w:r>
        <w:t>As the project approaches its inaugural preparation, there is a 5% probability that logistical complications may occur, potentially affecting the result of the event. To properly uncover this quantitative insight, meticulous event planning and thorough scenario analysis are necessary.</w:t>
      </w:r>
    </w:p>
    <w:p w:rsidR="00DC088B" w:rsidP="00DC088B" w:rsidRDefault="00DC088B" w14:paraId="13F34C60" w14:textId="77777777">
      <w:r>
        <w:t>During the campus integration phase, there exists a probability of 10% for regulatory delays to occur</w:t>
      </w:r>
      <w:r w:rsidR="00591433">
        <w:t xml:space="preserve"> (</w:t>
      </w:r>
      <w:r w:rsidRPr="003A13B4" w:rsidR="00591433">
        <w:rPr>
          <w:rFonts w:cs="Times New Roman"/>
          <w:color w:val="222222"/>
          <w:szCs w:val="20"/>
          <w:shd w:val="clear" w:color="auto" w:fill="FFFFFF"/>
        </w:rPr>
        <w:t>Frederico</w:t>
      </w:r>
      <w:r w:rsidR="00591433">
        <w:rPr>
          <w:rFonts w:cs="Times New Roman"/>
          <w:color w:val="222222"/>
          <w:szCs w:val="20"/>
          <w:shd w:val="clear" w:color="auto" w:fill="FFFFFF"/>
        </w:rPr>
        <w:t>, 2021</w:t>
      </w:r>
      <w:r w:rsidR="00591433">
        <w:t>)</w:t>
      </w:r>
      <w:r>
        <w:t>. These delays may arise due to unanticipated barriers that may hinder the acquisition of necessary approvals from local governments. These numerical figures underscore the need of engaging in proactive discussion with regulatory entities and possessing a thorough understanding of potential obstacles to integration.</w:t>
      </w:r>
    </w:p>
    <w:p w:rsidR="00DC088B" w:rsidP="00DC088B" w:rsidRDefault="00DC088B" w14:paraId="77C5AD54" w14:textId="77777777">
      <w:r>
        <w:t>Moreover, a quantitative investigation reveals that construction-related disturbances are associated with a 7% probability of community unhappiness in the King's Cross area. This underscores the importance of engaging in community engagement activities as a means to address issues and build trust.</w:t>
      </w:r>
    </w:p>
    <w:tbl>
      <w:tblPr>
        <w:tblStyle w:val="TableGrid"/>
        <w:tblW w:w="0" w:type="auto"/>
        <w:tblLook w:val="04A0" w:firstRow="1" w:lastRow="0" w:firstColumn="1" w:lastColumn="0" w:noHBand="0" w:noVBand="1"/>
      </w:tblPr>
      <w:tblGrid>
        <w:gridCol w:w="2475"/>
        <w:gridCol w:w="1673"/>
        <w:gridCol w:w="4868"/>
      </w:tblGrid>
      <w:tr w:rsidRPr="00AE7460" w:rsidR="00DC088B" w:rsidTr="001C00B0" w14:paraId="0DEE0C37" w14:textId="77777777">
        <w:tc>
          <w:tcPr>
            <w:tcW w:w="2518" w:type="dxa"/>
          </w:tcPr>
          <w:p w:rsidRPr="00AE7460" w:rsidR="00DC088B" w:rsidP="00AE7460" w:rsidRDefault="00DC088B" w14:paraId="75976107" w14:textId="77777777">
            <w:pPr>
              <w:jc w:val="center"/>
              <w:rPr>
                <w:b/>
              </w:rPr>
            </w:pPr>
            <w:r w:rsidRPr="00AE7460">
              <w:rPr>
                <w:b/>
              </w:rPr>
              <w:t>Factors of Risk</w:t>
            </w:r>
          </w:p>
        </w:tc>
        <w:tc>
          <w:tcPr>
            <w:tcW w:w="1701" w:type="dxa"/>
          </w:tcPr>
          <w:p w:rsidRPr="00AE7460" w:rsidR="00DC088B" w:rsidP="00AE7460" w:rsidRDefault="00DC088B" w14:paraId="4B7250F0" w14:textId="77777777">
            <w:pPr>
              <w:jc w:val="center"/>
              <w:rPr>
                <w:b/>
              </w:rPr>
            </w:pPr>
            <w:r w:rsidRPr="00AE7460">
              <w:rPr>
                <w:b/>
              </w:rPr>
              <w:t>Impact Level</w:t>
            </w:r>
          </w:p>
        </w:tc>
        <w:tc>
          <w:tcPr>
            <w:tcW w:w="5023" w:type="dxa"/>
          </w:tcPr>
          <w:p w:rsidRPr="00AE7460" w:rsidR="00DC088B" w:rsidP="00AE7460" w:rsidRDefault="00DC088B" w14:paraId="7B97E9B7" w14:textId="77777777">
            <w:pPr>
              <w:jc w:val="center"/>
              <w:rPr>
                <w:b/>
              </w:rPr>
            </w:pPr>
            <w:r w:rsidRPr="00AE7460">
              <w:rPr>
                <w:b/>
              </w:rPr>
              <w:t>Mitigation Strategy</w:t>
            </w:r>
          </w:p>
        </w:tc>
      </w:tr>
      <w:tr w:rsidRPr="00AE7460" w:rsidR="00DC088B" w:rsidTr="001C00B0" w14:paraId="60E96C6C" w14:textId="77777777">
        <w:tc>
          <w:tcPr>
            <w:tcW w:w="2518" w:type="dxa"/>
          </w:tcPr>
          <w:p w:rsidRPr="00AE7460" w:rsidR="00DC088B" w:rsidP="00AE7460" w:rsidRDefault="00DC088B" w14:paraId="005761D7" w14:textId="77777777">
            <w:r w:rsidRPr="00AE7460">
              <w:t>Design Complexity Delays</w:t>
            </w:r>
          </w:p>
        </w:tc>
        <w:tc>
          <w:tcPr>
            <w:tcW w:w="1701" w:type="dxa"/>
          </w:tcPr>
          <w:p w:rsidRPr="00AE7460" w:rsidR="00DC088B" w:rsidP="00AE7460" w:rsidRDefault="00DC088B" w14:paraId="33513000" w14:textId="77777777">
            <w:r w:rsidRPr="00AE7460">
              <w:t>Medium</w:t>
            </w:r>
          </w:p>
        </w:tc>
        <w:tc>
          <w:tcPr>
            <w:tcW w:w="5023" w:type="dxa"/>
          </w:tcPr>
          <w:p w:rsidRPr="00AE7460" w:rsidR="00DC088B" w:rsidP="00AE7460" w:rsidRDefault="00DC088B" w14:paraId="4CAB4100" w14:textId="77777777">
            <w:r w:rsidRPr="00AE7460">
              <w:t>The practise of maintaining a state of constant alertness and adapting plans in response to the emergence of design difficulties.</w:t>
            </w:r>
          </w:p>
        </w:tc>
      </w:tr>
      <w:tr w:rsidRPr="00AE7460" w:rsidR="00DC088B" w:rsidTr="001C00B0" w14:paraId="02CFA4AE" w14:textId="77777777">
        <w:tc>
          <w:tcPr>
            <w:tcW w:w="2518" w:type="dxa"/>
          </w:tcPr>
          <w:p w:rsidRPr="00AE7460" w:rsidR="00DC088B" w:rsidP="00AE7460" w:rsidRDefault="00DC088B" w14:paraId="75F159C0" w14:textId="77777777">
            <w:r w:rsidRPr="00AE7460">
              <w:t>Building Material Cost Changes</w:t>
            </w:r>
          </w:p>
        </w:tc>
        <w:tc>
          <w:tcPr>
            <w:tcW w:w="1701" w:type="dxa"/>
          </w:tcPr>
          <w:p w:rsidRPr="00AE7460" w:rsidR="00DC088B" w:rsidP="00AE7460" w:rsidRDefault="00DC088B" w14:paraId="470D17E1" w14:textId="77777777">
            <w:r w:rsidRPr="00AE7460">
              <w:t>High</w:t>
            </w:r>
          </w:p>
        </w:tc>
        <w:tc>
          <w:tcPr>
            <w:tcW w:w="5023" w:type="dxa"/>
          </w:tcPr>
          <w:p w:rsidRPr="00AE7460" w:rsidR="00DC088B" w:rsidP="00AE7460" w:rsidRDefault="00DC088B" w14:paraId="5C59F9C3" w14:textId="77777777">
            <w:r w:rsidRPr="00AE7460">
              <w:t>A robust readiness for financial crises.</w:t>
            </w:r>
          </w:p>
        </w:tc>
      </w:tr>
      <w:tr w:rsidRPr="00AE7460" w:rsidR="00DC088B" w:rsidTr="001C00B0" w14:paraId="64B2E45B" w14:textId="77777777">
        <w:tc>
          <w:tcPr>
            <w:tcW w:w="2518" w:type="dxa"/>
          </w:tcPr>
          <w:p w:rsidRPr="00AE7460" w:rsidR="00DC088B" w:rsidP="00AE7460" w:rsidRDefault="00DC088B" w14:paraId="72ED5DD5" w14:textId="77777777">
            <w:r w:rsidRPr="00AE7460">
              <w:t>Delays in Ancillary Space Development</w:t>
            </w:r>
          </w:p>
        </w:tc>
        <w:tc>
          <w:tcPr>
            <w:tcW w:w="1701" w:type="dxa"/>
          </w:tcPr>
          <w:p w:rsidRPr="00AE7460" w:rsidR="00DC088B" w:rsidP="00AE7460" w:rsidRDefault="00DC088B" w14:paraId="17359E2F" w14:textId="77777777">
            <w:r w:rsidRPr="00AE7460">
              <w:t>Medium</w:t>
            </w:r>
          </w:p>
        </w:tc>
        <w:tc>
          <w:tcPr>
            <w:tcW w:w="5023" w:type="dxa"/>
          </w:tcPr>
          <w:p w:rsidRPr="00AE7460" w:rsidR="00AE7460" w:rsidP="00AE7460" w:rsidRDefault="00AE7460" w14:paraId="7F02278B" w14:textId="77777777">
            <w:r w:rsidRPr="00AE7460">
              <w:t>Modifying priorities and schedules</w:t>
            </w:r>
          </w:p>
          <w:p w:rsidRPr="00AE7460" w:rsidR="00DC088B" w:rsidP="00AE7460" w:rsidRDefault="00DC088B" w14:paraId="10B401BA" w14:textId="77777777"/>
        </w:tc>
      </w:tr>
      <w:tr w:rsidRPr="00AE7460" w:rsidR="00DC088B" w:rsidTr="001C00B0" w14:paraId="727BDEEE" w14:textId="77777777">
        <w:tc>
          <w:tcPr>
            <w:tcW w:w="2518" w:type="dxa"/>
          </w:tcPr>
          <w:p w:rsidRPr="00AE7460" w:rsidR="00DC088B" w:rsidP="00AE7460" w:rsidRDefault="00AE7460" w14:paraId="3DEF6235" w14:textId="77777777">
            <w:r w:rsidRPr="00AE7460">
              <w:t>Inauguration Logistics Issues</w:t>
            </w:r>
          </w:p>
        </w:tc>
        <w:tc>
          <w:tcPr>
            <w:tcW w:w="1701" w:type="dxa"/>
          </w:tcPr>
          <w:p w:rsidRPr="00AE7460" w:rsidR="00DC088B" w:rsidP="00AE7460" w:rsidRDefault="00AE7460" w14:paraId="23975B5B" w14:textId="77777777">
            <w:r w:rsidRPr="00AE7460">
              <w:t>Low</w:t>
            </w:r>
          </w:p>
        </w:tc>
        <w:tc>
          <w:tcPr>
            <w:tcW w:w="5023" w:type="dxa"/>
          </w:tcPr>
          <w:p w:rsidRPr="00AE7460" w:rsidR="00DC088B" w:rsidP="00AE7460" w:rsidRDefault="00AE7460" w14:paraId="00986C35" w14:textId="77777777">
            <w:r w:rsidRPr="00AE7460">
              <w:t>Careful planning of events and scenarios</w:t>
            </w:r>
          </w:p>
        </w:tc>
      </w:tr>
      <w:tr w:rsidRPr="00AE7460" w:rsidR="00AE7460" w:rsidTr="001C00B0" w14:paraId="3F804F99" w14:textId="77777777">
        <w:tc>
          <w:tcPr>
            <w:tcW w:w="2518" w:type="dxa"/>
          </w:tcPr>
          <w:p w:rsidRPr="00AE7460" w:rsidR="00AE7460" w:rsidP="00AE7460" w:rsidRDefault="00AE7460" w14:paraId="15243AB7" w14:textId="77777777">
            <w:r w:rsidRPr="00AE7460">
              <w:t>Integration Delays Caused by Regulations</w:t>
            </w:r>
          </w:p>
        </w:tc>
        <w:tc>
          <w:tcPr>
            <w:tcW w:w="1701" w:type="dxa"/>
          </w:tcPr>
          <w:p w:rsidRPr="00AE7460" w:rsidR="00AE7460" w:rsidP="00AE7460" w:rsidRDefault="00AE7460" w14:paraId="29ED2CDD" w14:textId="77777777">
            <w:r w:rsidRPr="00AE7460">
              <w:t>Medium</w:t>
            </w:r>
          </w:p>
        </w:tc>
        <w:tc>
          <w:tcPr>
            <w:tcW w:w="5023" w:type="dxa"/>
          </w:tcPr>
          <w:p w:rsidRPr="00AE7460" w:rsidR="00AE7460" w:rsidP="00AE7460" w:rsidRDefault="00AE7460" w14:paraId="0ADEDE79" w14:textId="77777777">
            <w:r w:rsidRPr="00AE7460">
              <w:t>The engagement in regulatory procedures</w:t>
            </w:r>
          </w:p>
          <w:p w:rsidRPr="00AE7460" w:rsidR="00AE7460" w:rsidP="00AE7460" w:rsidRDefault="00AE7460" w14:paraId="230986AD" w14:textId="77777777"/>
        </w:tc>
      </w:tr>
    </w:tbl>
    <w:p w:rsidR="001C00B0" w:rsidP="001C00B0" w:rsidRDefault="001C00B0" w14:paraId="2AB902F9" w14:textId="77777777">
      <w:pPr>
        <w:spacing w:line="240" w:lineRule="auto"/>
        <w:jc w:val="center"/>
        <w:rPr>
          <w:b/>
        </w:rPr>
      </w:pPr>
    </w:p>
    <w:p w:rsidR="00DC088B" w:rsidP="001C00B0" w:rsidRDefault="00DC088B" w14:paraId="387A75A0" w14:textId="2D3D7B89">
      <w:pPr>
        <w:spacing w:line="240" w:lineRule="auto"/>
        <w:jc w:val="center"/>
        <w:rPr>
          <w:b/>
        </w:rPr>
      </w:pPr>
      <w:r w:rsidRPr="00DC088B">
        <w:rPr>
          <w:b/>
        </w:rPr>
        <w:t>Table 2: Risk Register</w:t>
      </w:r>
    </w:p>
    <w:p w:rsidR="001C00B0" w:rsidP="001C00B0" w:rsidRDefault="001C00B0" w14:paraId="6300569D" w14:textId="18D802EA">
      <w:pPr>
        <w:spacing w:line="240" w:lineRule="auto"/>
        <w:rPr>
          <w:b/>
        </w:rPr>
      </w:pPr>
      <w:r>
        <w:rPr>
          <w:b/>
        </w:rPr>
        <w:t>Work Breakdown Structure</w:t>
      </w:r>
    </w:p>
    <w:p w:rsidR="001C00B0" w:rsidP="001C00B0" w:rsidRDefault="001C00B0" w14:paraId="0F6DE7B5" w14:textId="2BA7B5EB">
      <w:pPr>
        <w:spacing w:line="240" w:lineRule="auto"/>
        <w:jc w:val="center"/>
        <w:rPr>
          <w:b/>
        </w:rPr>
      </w:pPr>
      <w:r w:rsidRPr="001C00B0">
        <w:rPr>
          <w:b/>
          <w:noProof/>
        </w:rPr>
        <w:drawing>
          <wp:inline distT="0" distB="0" distL="0" distR="0" wp14:anchorId="5BFAB92F" wp14:editId="6D24D4F4">
            <wp:extent cx="4271369" cy="2238375"/>
            <wp:effectExtent l="19050" t="19050" r="0" b="0"/>
            <wp:docPr id="1849203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203228" name=""/>
                    <pic:cNvPicPr/>
                  </pic:nvPicPr>
                  <pic:blipFill>
                    <a:blip r:embed="rId7"/>
                    <a:stretch>
                      <a:fillRect/>
                    </a:stretch>
                  </pic:blipFill>
                  <pic:spPr>
                    <a:xfrm>
                      <a:off x="0" y="0"/>
                      <a:ext cx="4280132" cy="2242967"/>
                    </a:xfrm>
                    <a:prstGeom prst="rect">
                      <a:avLst/>
                    </a:prstGeom>
                    <a:ln>
                      <a:solidFill>
                        <a:schemeClr val="tx1"/>
                      </a:solidFill>
                    </a:ln>
                  </pic:spPr>
                </pic:pic>
              </a:graphicData>
            </a:graphic>
          </wp:inline>
        </w:drawing>
      </w:r>
    </w:p>
    <w:p w:rsidR="001C00B0" w:rsidP="00BC11B6" w:rsidRDefault="00BC11B6" w14:paraId="0B43881F" w14:textId="7EFE5A30">
      <w:pPr>
        <w:spacing w:line="240" w:lineRule="auto"/>
        <w:rPr>
          <w:b/>
        </w:rPr>
      </w:pPr>
      <w:r>
        <w:rPr>
          <w:b/>
        </w:rPr>
        <w:t>Gantt Chart</w:t>
      </w:r>
    </w:p>
    <w:p w:rsidR="00BC11B6" w:rsidP="001C00B0" w:rsidRDefault="00666C31" w14:paraId="1643AC9B" w14:textId="2291B0E6">
      <w:pPr>
        <w:spacing w:line="240" w:lineRule="auto"/>
        <w:jc w:val="center"/>
        <w:rPr>
          <w:b/>
        </w:rPr>
      </w:pPr>
      <w:r w:rsidRPr="00B635A2">
        <w:rPr>
          <w:rFonts w:cs="Times New Roman"/>
          <w:noProof/>
        </w:rPr>
        <w:drawing>
          <wp:inline distT="0" distB="0" distL="0" distR="0" wp14:anchorId="4A3C290B" wp14:editId="44057629">
            <wp:extent cx="5467350" cy="1279309"/>
            <wp:effectExtent l="19050" t="19050" r="0" b="0"/>
            <wp:docPr id="625529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529588" name=""/>
                    <pic:cNvPicPr/>
                  </pic:nvPicPr>
                  <pic:blipFill>
                    <a:blip r:embed="rId8"/>
                    <a:stretch>
                      <a:fillRect/>
                    </a:stretch>
                  </pic:blipFill>
                  <pic:spPr>
                    <a:xfrm>
                      <a:off x="0" y="0"/>
                      <a:ext cx="5473147" cy="1280665"/>
                    </a:xfrm>
                    <a:prstGeom prst="rect">
                      <a:avLst/>
                    </a:prstGeom>
                    <a:ln>
                      <a:solidFill>
                        <a:schemeClr val="tx1"/>
                      </a:solidFill>
                    </a:ln>
                  </pic:spPr>
                </pic:pic>
              </a:graphicData>
            </a:graphic>
          </wp:inline>
        </w:drawing>
      </w:r>
    </w:p>
    <w:p w:rsidRPr="00DC088B" w:rsidR="00666C31" w:rsidP="001C00B0" w:rsidRDefault="00666C31" w14:paraId="3FD14B73" w14:textId="77777777">
      <w:pPr>
        <w:spacing w:line="240" w:lineRule="auto"/>
        <w:jc w:val="center"/>
        <w:rPr>
          <w:b/>
        </w:rPr>
      </w:pPr>
    </w:p>
    <w:p w:rsidR="00DC088B" w:rsidP="00DC088B" w:rsidRDefault="00AE7460" w14:paraId="4CFF5B2F" w14:textId="77777777">
      <w:r>
        <w:t>A</w:t>
      </w:r>
      <w:r w:rsidR="00DC088B">
        <w:t xml:space="preserve"> comprehensive quantitative analysis of the risk factors associated with Google's headquarters project provides a robust foundation rooted in factual evidence for the implementation of risk-mitigation strategies. Vigilantly monitoring the initiative and demonstrating a willingness to adapt as necessary will be important for its overall efficacy.</w:t>
      </w:r>
    </w:p>
    <w:p w:rsidR="00DC088B" w:rsidP="00AE7460" w:rsidRDefault="00AE7460" w14:paraId="7B59EEAA" w14:textId="77777777">
      <w:pPr>
        <w:pStyle w:val="Heading1"/>
      </w:pPr>
      <w:bookmarkStart w:name="_Toc151061258" w:id="6"/>
      <w:r>
        <w:t>Conclusion</w:t>
      </w:r>
      <w:bookmarkEnd w:id="6"/>
    </w:p>
    <w:p w:rsidRPr="00AE7460" w:rsidR="00AE7460" w:rsidP="00AE7460" w:rsidRDefault="00AE7460" w14:paraId="4425F2BC" w14:textId="77777777">
      <w:r>
        <w:t>It is concluded that, t</w:t>
      </w:r>
      <w:r w:rsidRPr="00AE7460">
        <w:t>he project pertaining to the Google King's Cross headquarters has shown significant progress as a result of meticulous planning and effective implementation. Despite the existence of acknowledged hazards, there are established strategies in place to promptly mitigate them. Through the integration of statistical analysis, a comprehensive evaluation of the project's key dimensions, including its temporal characteristics, level of excellence, relevant parties involved, and potential hazards, was conducted. The comprehensive approach outlined ensures the sustained prosperity of the project, enhancing Google's global presence and fortifying the knowledge-driven economy of King's Cross.</w:t>
      </w:r>
    </w:p>
    <w:p w:rsidR="00AE7460" w:rsidP="005711C8" w:rsidRDefault="00AE7460" w14:paraId="7EDDDD40" w14:textId="77777777"/>
    <w:p w:rsidR="00591433" w:rsidRDefault="00591433" w14:paraId="207DE0FB" w14:textId="77777777">
      <w:pPr>
        <w:spacing w:line="276" w:lineRule="auto"/>
        <w:jc w:val="left"/>
      </w:pPr>
      <w:r>
        <w:br w:type="page"/>
      </w:r>
    </w:p>
    <w:p w:rsidRPr="00591433" w:rsidR="00591433" w:rsidP="00591433" w:rsidRDefault="00591433" w14:paraId="182CB30F" w14:textId="77777777">
      <w:pPr>
        <w:pStyle w:val="Heading1"/>
      </w:pPr>
      <w:bookmarkStart w:name="_Toc151061259" w:id="7"/>
      <w:r>
        <w:t>Reference List</w:t>
      </w:r>
      <w:bookmarkEnd w:id="7"/>
    </w:p>
    <w:p w:rsidRPr="003A13B4" w:rsidR="00591433" w:rsidP="00591433" w:rsidRDefault="00591433" w14:paraId="05DE10EF" w14:textId="77777777">
      <w:pPr>
        <w:rPr>
          <w:rFonts w:cs="Times New Roman"/>
          <w:color w:val="222222"/>
          <w:szCs w:val="20"/>
          <w:shd w:val="clear" w:color="auto" w:fill="FFFFFF"/>
        </w:rPr>
      </w:pPr>
      <w:r w:rsidRPr="003A13B4">
        <w:rPr>
          <w:rFonts w:cs="Times New Roman"/>
          <w:color w:val="222222"/>
          <w:szCs w:val="20"/>
          <w:shd w:val="clear" w:color="auto" w:fill="FFFFFF"/>
        </w:rPr>
        <w:t xml:space="preserve">Armenia, S., Dangelico, R.M., </w:t>
      </w:r>
      <w:proofErr w:type="spellStart"/>
      <w:r w:rsidRPr="003A13B4">
        <w:rPr>
          <w:rFonts w:cs="Times New Roman"/>
          <w:color w:val="222222"/>
          <w:szCs w:val="20"/>
          <w:shd w:val="clear" w:color="auto" w:fill="FFFFFF"/>
        </w:rPr>
        <w:t>Nonino</w:t>
      </w:r>
      <w:proofErr w:type="spellEnd"/>
      <w:r w:rsidRPr="003A13B4">
        <w:rPr>
          <w:rFonts w:cs="Times New Roman"/>
          <w:color w:val="222222"/>
          <w:szCs w:val="20"/>
          <w:shd w:val="clear" w:color="auto" w:fill="FFFFFF"/>
        </w:rPr>
        <w:t>, F. and Pompei, A., 2019. Sustainable project management: A conceptualization-oriented review and a framework proposal for future studies. </w:t>
      </w:r>
      <w:r w:rsidRPr="003A13B4">
        <w:rPr>
          <w:rFonts w:cs="Times New Roman"/>
          <w:i/>
          <w:iCs/>
          <w:color w:val="222222"/>
          <w:szCs w:val="20"/>
          <w:shd w:val="clear" w:color="auto" w:fill="FFFFFF"/>
        </w:rPr>
        <w:t>Sustainability</w:t>
      </w:r>
      <w:r w:rsidRPr="003A13B4">
        <w:rPr>
          <w:rFonts w:cs="Times New Roman"/>
          <w:color w:val="222222"/>
          <w:szCs w:val="20"/>
          <w:shd w:val="clear" w:color="auto" w:fill="FFFFFF"/>
        </w:rPr>
        <w:t>, </w:t>
      </w:r>
      <w:r w:rsidRPr="003A13B4">
        <w:rPr>
          <w:rFonts w:cs="Times New Roman"/>
          <w:i/>
          <w:iCs/>
          <w:color w:val="222222"/>
          <w:szCs w:val="20"/>
          <w:shd w:val="clear" w:color="auto" w:fill="FFFFFF"/>
        </w:rPr>
        <w:t>11</w:t>
      </w:r>
      <w:r w:rsidRPr="003A13B4">
        <w:rPr>
          <w:rFonts w:cs="Times New Roman"/>
          <w:color w:val="222222"/>
          <w:szCs w:val="20"/>
          <w:shd w:val="clear" w:color="auto" w:fill="FFFFFF"/>
        </w:rPr>
        <w:t>(9), p.2664.</w:t>
      </w:r>
    </w:p>
    <w:p w:rsidRPr="003A13B4" w:rsidR="00591433" w:rsidP="00591433" w:rsidRDefault="00591433" w14:paraId="333C4311" w14:textId="77777777">
      <w:pPr>
        <w:rPr>
          <w:rFonts w:cs="Times New Roman"/>
          <w:color w:val="222222"/>
          <w:szCs w:val="20"/>
          <w:shd w:val="clear" w:color="auto" w:fill="FFFFFF"/>
        </w:rPr>
      </w:pPr>
      <w:r w:rsidRPr="003A13B4">
        <w:rPr>
          <w:rFonts w:cs="Times New Roman"/>
          <w:color w:val="222222"/>
          <w:szCs w:val="20"/>
          <w:shd w:val="clear" w:color="auto" w:fill="FFFFFF"/>
        </w:rPr>
        <w:t xml:space="preserve">Auth, G., </w:t>
      </w:r>
      <w:proofErr w:type="spellStart"/>
      <w:r w:rsidRPr="003A13B4">
        <w:rPr>
          <w:rFonts w:cs="Times New Roman"/>
          <w:color w:val="222222"/>
          <w:szCs w:val="20"/>
          <w:shd w:val="clear" w:color="auto" w:fill="FFFFFF"/>
        </w:rPr>
        <w:t>JokischPavel</w:t>
      </w:r>
      <w:proofErr w:type="spellEnd"/>
      <w:r w:rsidRPr="003A13B4">
        <w:rPr>
          <w:rFonts w:cs="Times New Roman"/>
          <w:color w:val="222222"/>
          <w:szCs w:val="20"/>
          <w:shd w:val="clear" w:color="auto" w:fill="FFFFFF"/>
        </w:rPr>
        <w:t xml:space="preserve">, O. and </w:t>
      </w:r>
      <w:proofErr w:type="spellStart"/>
      <w:r w:rsidRPr="003A13B4">
        <w:rPr>
          <w:rFonts w:cs="Times New Roman"/>
          <w:color w:val="222222"/>
          <w:szCs w:val="20"/>
          <w:shd w:val="clear" w:color="auto" w:fill="FFFFFF"/>
        </w:rPr>
        <w:t>Dürk</w:t>
      </w:r>
      <w:proofErr w:type="spellEnd"/>
      <w:r w:rsidRPr="003A13B4">
        <w:rPr>
          <w:rFonts w:cs="Times New Roman"/>
          <w:color w:val="222222"/>
          <w:szCs w:val="20"/>
          <w:shd w:val="clear" w:color="auto" w:fill="FFFFFF"/>
        </w:rPr>
        <w:t>, C., 2019. Revisiting automated project management in the digital age–a survey of AI approaches. </w:t>
      </w:r>
      <w:r w:rsidRPr="003A13B4">
        <w:rPr>
          <w:rFonts w:cs="Times New Roman"/>
          <w:i/>
          <w:iCs/>
          <w:color w:val="222222"/>
          <w:szCs w:val="20"/>
          <w:shd w:val="clear" w:color="auto" w:fill="FFFFFF"/>
        </w:rPr>
        <w:t>Online Journal of Applied Knowledge Management (OJAKM)</w:t>
      </w:r>
      <w:r w:rsidRPr="003A13B4">
        <w:rPr>
          <w:rFonts w:cs="Times New Roman"/>
          <w:color w:val="222222"/>
          <w:szCs w:val="20"/>
          <w:shd w:val="clear" w:color="auto" w:fill="FFFFFF"/>
        </w:rPr>
        <w:t>, </w:t>
      </w:r>
      <w:r w:rsidRPr="003A13B4">
        <w:rPr>
          <w:rFonts w:cs="Times New Roman"/>
          <w:i/>
          <w:iCs/>
          <w:color w:val="222222"/>
          <w:szCs w:val="20"/>
          <w:shd w:val="clear" w:color="auto" w:fill="FFFFFF"/>
        </w:rPr>
        <w:t>7</w:t>
      </w:r>
      <w:r w:rsidRPr="003A13B4">
        <w:rPr>
          <w:rFonts w:cs="Times New Roman"/>
          <w:color w:val="222222"/>
          <w:szCs w:val="20"/>
          <w:shd w:val="clear" w:color="auto" w:fill="FFFFFF"/>
        </w:rPr>
        <w:t>(1), pp.27-39.</w:t>
      </w:r>
    </w:p>
    <w:p w:rsidRPr="003A13B4" w:rsidR="00591433" w:rsidP="00591433" w:rsidRDefault="00591433" w14:paraId="29E5BD64" w14:textId="77777777">
      <w:pPr>
        <w:rPr>
          <w:rFonts w:cs="Times New Roman"/>
          <w:color w:val="222222"/>
          <w:szCs w:val="20"/>
          <w:shd w:val="clear" w:color="auto" w:fill="FFFFFF"/>
        </w:rPr>
      </w:pPr>
      <w:proofErr w:type="spellStart"/>
      <w:r w:rsidRPr="003A13B4">
        <w:rPr>
          <w:rFonts w:cs="Times New Roman"/>
          <w:color w:val="222222"/>
          <w:szCs w:val="20"/>
          <w:shd w:val="clear" w:color="auto" w:fill="FFFFFF"/>
        </w:rPr>
        <w:t>Davahli</w:t>
      </w:r>
      <w:proofErr w:type="spellEnd"/>
      <w:r w:rsidRPr="003A13B4">
        <w:rPr>
          <w:rFonts w:cs="Times New Roman"/>
          <w:color w:val="222222"/>
          <w:szCs w:val="20"/>
          <w:shd w:val="clear" w:color="auto" w:fill="FFFFFF"/>
        </w:rPr>
        <w:t>, M.R., 2020. The last state of artificial intelligence in project management. </w:t>
      </w:r>
      <w:proofErr w:type="spellStart"/>
      <w:r w:rsidRPr="003A13B4">
        <w:rPr>
          <w:rFonts w:cs="Times New Roman"/>
          <w:i/>
          <w:iCs/>
          <w:color w:val="222222"/>
          <w:szCs w:val="20"/>
          <w:shd w:val="clear" w:color="auto" w:fill="FFFFFF"/>
        </w:rPr>
        <w:t>arXiv</w:t>
      </w:r>
      <w:proofErr w:type="spellEnd"/>
      <w:r w:rsidRPr="003A13B4">
        <w:rPr>
          <w:rFonts w:cs="Times New Roman"/>
          <w:i/>
          <w:iCs/>
          <w:color w:val="222222"/>
          <w:szCs w:val="20"/>
          <w:shd w:val="clear" w:color="auto" w:fill="FFFFFF"/>
        </w:rPr>
        <w:t xml:space="preserve"> preprint arXiv:2012.12262</w:t>
      </w:r>
      <w:r w:rsidRPr="003A13B4">
        <w:rPr>
          <w:rFonts w:cs="Times New Roman"/>
          <w:color w:val="222222"/>
          <w:szCs w:val="20"/>
          <w:shd w:val="clear" w:color="auto" w:fill="FFFFFF"/>
        </w:rPr>
        <w:t>.</w:t>
      </w:r>
    </w:p>
    <w:p w:rsidRPr="003A13B4" w:rsidR="00591433" w:rsidP="00591433" w:rsidRDefault="00591433" w14:paraId="6D9F737A" w14:textId="77777777">
      <w:pPr>
        <w:rPr>
          <w:rFonts w:cs="Times New Roman"/>
          <w:color w:val="222222"/>
          <w:szCs w:val="20"/>
          <w:shd w:val="clear" w:color="auto" w:fill="FFFFFF"/>
        </w:rPr>
      </w:pPr>
      <w:proofErr w:type="spellStart"/>
      <w:r w:rsidRPr="003A13B4">
        <w:rPr>
          <w:rFonts w:cs="Times New Roman"/>
          <w:color w:val="222222"/>
          <w:szCs w:val="20"/>
          <w:shd w:val="clear" w:color="auto" w:fill="FFFFFF"/>
        </w:rPr>
        <w:t>Denicol</w:t>
      </w:r>
      <w:proofErr w:type="spellEnd"/>
      <w:r w:rsidRPr="003A13B4">
        <w:rPr>
          <w:rFonts w:cs="Times New Roman"/>
          <w:color w:val="222222"/>
          <w:szCs w:val="20"/>
          <w:shd w:val="clear" w:color="auto" w:fill="FFFFFF"/>
        </w:rPr>
        <w:t xml:space="preserve">, J., Davies, A. and </w:t>
      </w:r>
      <w:proofErr w:type="spellStart"/>
      <w:r w:rsidRPr="003A13B4">
        <w:rPr>
          <w:rFonts w:cs="Times New Roman"/>
          <w:color w:val="222222"/>
          <w:szCs w:val="20"/>
          <w:shd w:val="clear" w:color="auto" w:fill="FFFFFF"/>
        </w:rPr>
        <w:t>Krystallis</w:t>
      </w:r>
      <w:proofErr w:type="spellEnd"/>
      <w:r w:rsidRPr="003A13B4">
        <w:rPr>
          <w:rFonts w:cs="Times New Roman"/>
          <w:color w:val="222222"/>
          <w:szCs w:val="20"/>
          <w:shd w:val="clear" w:color="auto" w:fill="FFFFFF"/>
        </w:rPr>
        <w:t>, I., 2020. What are the causes and cures of poor megaproject performance? A systematic literature review and research agenda. </w:t>
      </w:r>
      <w:r w:rsidRPr="003A13B4">
        <w:rPr>
          <w:rFonts w:cs="Times New Roman"/>
          <w:i/>
          <w:iCs/>
          <w:color w:val="222222"/>
          <w:szCs w:val="20"/>
          <w:shd w:val="clear" w:color="auto" w:fill="FFFFFF"/>
        </w:rPr>
        <w:t>Project management journal</w:t>
      </w:r>
      <w:r w:rsidRPr="003A13B4">
        <w:rPr>
          <w:rFonts w:cs="Times New Roman"/>
          <w:color w:val="222222"/>
          <w:szCs w:val="20"/>
          <w:shd w:val="clear" w:color="auto" w:fill="FFFFFF"/>
        </w:rPr>
        <w:t>, </w:t>
      </w:r>
      <w:r w:rsidRPr="003A13B4">
        <w:rPr>
          <w:rFonts w:cs="Times New Roman"/>
          <w:i/>
          <w:iCs/>
          <w:color w:val="222222"/>
          <w:szCs w:val="20"/>
          <w:shd w:val="clear" w:color="auto" w:fill="FFFFFF"/>
        </w:rPr>
        <w:t>51</w:t>
      </w:r>
      <w:r w:rsidRPr="003A13B4">
        <w:rPr>
          <w:rFonts w:cs="Times New Roman"/>
          <w:color w:val="222222"/>
          <w:szCs w:val="20"/>
          <w:shd w:val="clear" w:color="auto" w:fill="FFFFFF"/>
        </w:rPr>
        <w:t>(3), pp.328-345.</w:t>
      </w:r>
    </w:p>
    <w:p w:rsidRPr="003A13B4" w:rsidR="00591433" w:rsidP="00591433" w:rsidRDefault="00591433" w14:paraId="191DFA78" w14:textId="77777777">
      <w:pPr>
        <w:rPr>
          <w:rFonts w:cs="Times New Roman"/>
          <w:color w:val="222222"/>
          <w:szCs w:val="20"/>
          <w:shd w:val="clear" w:color="auto" w:fill="FFFFFF"/>
        </w:rPr>
      </w:pPr>
      <w:r w:rsidRPr="003A13B4">
        <w:rPr>
          <w:rFonts w:cs="Times New Roman"/>
          <w:color w:val="222222"/>
          <w:szCs w:val="20"/>
          <w:shd w:val="clear" w:color="auto" w:fill="FFFFFF"/>
        </w:rPr>
        <w:t>Frederico, G.F., 2021. Project Management for Supply Chains 4.0: A conceptual framework proposal based on PMBOK methodology. </w:t>
      </w:r>
      <w:r w:rsidRPr="003A13B4">
        <w:rPr>
          <w:rFonts w:cs="Times New Roman"/>
          <w:i/>
          <w:iCs/>
          <w:color w:val="222222"/>
          <w:szCs w:val="20"/>
          <w:shd w:val="clear" w:color="auto" w:fill="FFFFFF"/>
        </w:rPr>
        <w:t>Operations Management Research</w:t>
      </w:r>
      <w:r w:rsidRPr="003A13B4">
        <w:rPr>
          <w:rFonts w:cs="Times New Roman"/>
          <w:color w:val="222222"/>
          <w:szCs w:val="20"/>
          <w:shd w:val="clear" w:color="auto" w:fill="FFFFFF"/>
        </w:rPr>
        <w:t>, </w:t>
      </w:r>
      <w:r w:rsidRPr="003A13B4">
        <w:rPr>
          <w:rFonts w:cs="Times New Roman"/>
          <w:i/>
          <w:iCs/>
          <w:color w:val="222222"/>
          <w:szCs w:val="20"/>
          <w:shd w:val="clear" w:color="auto" w:fill="FFFFFF"/>
        </w:rPr>
        <w:t>14</w:t>
      </w:r>
      <w:r w:rsidRPr="003A13B4">
        <w:rPr>
          <w:rFonts w:cs="Times New Roman"/>
          <w:color w:val="222222"/>
          <w:szCs w:val="20"/>
          <w:shd w:val="clear" w:color="auto" w:fill="FFFFFF"/>
        </w:rPr>
        <w:t>(3-4), pp.434-450.</w:t>
      </w:r>
    </w:p>
    <w:p w:rsidRPr="003A13B4" w:rsidR="00591433" w:rsidP="00591433" w:rsidRDefault="00591433" w14:paraId="2E1E9DD8" w14:textId="77777777">
      <w:pPr>
        <w:rPr>
          <w:rFonts w:cs="Times New Roman"/>
          <w:color w:val="222222"/>
          <w:szCs w:val="20"/>
          <w:shd w:val="clear" w:color="auto" w:fill="FFFFFF"/>
        </w:rPr>
      </w:pPr>
      <w:r w:rsidRPr="003A13B4">
        <w:rPr>
          <w:rFonts w:cs="Times New Roman"/>
          <w:color w:val="222222"/>
          <w:szCs w:val="20"/>
          <w:shd w:val="clear" w:color="auto" w:fill="FFFFFF"/>
        </w:rPr>
        <w:t>Herman, A., 2019. Project Management with Basecamp and Google Apps.</w:t>
      </w:r>
    </w:p>
    <w:p w:rsidRPr="003A13B4" w:rsidR="00591433" w:rsidP="00591433" w:rsidRDefault="00591433" w14:paraId="679A2F8C" w14:textId="77777777">
      <w:pPr>
        <w:rPr>
          <w:rFonts w:cs="Times New Roman"/>
          <w:color w:val="222222"/>
          <w:szCs w:val="20"/>
          <w:shd w:val="clear" w:color="auto" w:fill="FFFFFF"/>
        </w:rPr>
      </w:pPr>
      <w:r w:rsidRPr="003A13B4">
        <w:rPr>
          <w:rFonts w:cs="Times New Roman"/>
          <w:color w:val="222222"/>
          <w:szCs w:val="20"/>
          <w:shd w:val="clear" w:color="auto" w:fill="FFFFFF"/>
        </w:rPr>
        <w:t xml:space="preserve">Lobo, S. and Abid, A.F., 2020. The role of social media in </w:t>
      </w:r>
      <w:proofErr w:type="spellStart"/>
      <w:r w:rsidRPr="003A13B4">
        <w:rPr>
          <w:rFonts w:cs="Times New Roman"/>
          <w:color w:val="222222"/>
          <w:szCs w:val="20"/>
          <w:shd w:val="clear" w:color="auto" w:fill="FFFFFF"/>
        </w:rPr>
        <w:t>intrastakeholder</w:t>
      </w:r>
      <w:proofErr w:type="spellEnd"/>
      <w:r w:rsidRPr="003A13B4">
        <w:rPr>
          <w:rFonts w:cs="Times New Roman"/>
          <w:color w:val="222222"/>
          <w:szCs w:val="20"/>
          <w:shd w:val="clear" w:color="auto" w:fill="FFFFFF"/>
        </w:rPr>
        <w:t xml:space="preserve"> strategies to influence decision making in a UK infrastructure megaproject: Crossrail 2. </w:t>
      </w:r>
      <w:r w:rsidRPr="003A13B4">
        <w:rPr>
          <w:rFonts w:cs="Times New Roman"/>
          <w:i/>
          <w:iCs/>
          <w:color w:val="222222"/>
          <w:szCs w:val="20"/>
          <w:shd w:val="clear" w:color="auto" w:fill="FFFFFF"/>
        </w:rPr>
        <w:t>Project Management Journal</w:t>
      </w:r>
      <w:r w:rsidRPr="003A13B4">
        <w:rPr>
          <w:rFonts w:cs="Times New Roman"/>
          <w:color w:val="222222"/>
          <w:szCs w:val="20"/>
          <w:shd w:val="clear" w:color="auto" w:fill="FFFFFF"/>
        </w:rPr>
        <w:t>, </w:t>
      </w:r>
      <w:r w:rsidRPr="003A13B4">
        <w:rPr>
          <w:rFonts w:cs="Times New Roman"/>
          <w:i/>
          <w:iCs/>
          <w:color w:val="222222"/>
          <w:szCs w:val="20"/>
          <w:shd w:val="clear" w:color="auto" w:fill="FFFFFF"/>
        </w:rPr>
        <w:t>51</w:t>
      </w:r>
      <w:r w:rsidRPr="003A13B4">
        <w:rPr>
          <w:rFonts w:cs="Times New Roman"/>
          <w:color w:val="222222"/>
          <w:szCs w:val="20"/>
          <w:shd w:val="clear" w:color="auto" w:fill="FFFFFF"/>
        </w:rPr>
        <w:t>(1), pp.96-119.</w:t>
      </w:r>
    </w:p>
    <w:p w:rsidRPr="003A13B4" w:rsidR="00591433" w:rsidP="00591433" w:rsidRDefault="00591433" w14:paraId="211F0406" w14:textId="77777777">
      <w:pPr>
        <w:rPr>
          <w:rFonts w:cs="Times New Roman"/>
          <w:sz w:val="28"/>
        </w:rPr>
      </w:pPr>
      <w:r w:rsidRPr="003A13B4">
        <w:rPr>
          <w:rFonts w:cs="Times New Roman"/>
          <w:color w:val="222222"/>
          <w:szCs w:val="20"/>
          <w:shd w:val="clear" w:color="auto" w:fill="FFFFFF"/>
        </w:rPr>
        <w:t>Machado, F., Duarte, N., Amaral, A. and Barros, T., 2021. Project management maturity models for construction firms. </w:t>
      </w:r>
      <w:r w:rsidRPr="003A13B4">
        <w:rPr>
          <w:rFonts w:cs="Times New Roman"/>
          <w:i/>
          <w:iCs/>
          <w:color w:val="222222"/>
          <w:szCs w:val="20"/>
          <w:shd w:val="clear" w:color="auto" w:fill="FFFFFF"/>
        </w:rPr>
        <w:t>Journal of Risk and Financial Management</w:t>
      </w:r>
      <w:r w:rsidRPr="003A13B4">
        <w:rPr>
          <w:rFonts w:cs="Times New Roman"/>
          <w:color w:val="222222"/>
          <w:szCs w:val="20"/>
          <w:shd w:val="clear" w:color="auto" w:fill="FFFFFF"/>
        </w:rPr>
        <w:t>, </w:t>
      </w:r>
      <w:r w:rsidRPr="003A13B4">
        <w:rPr>
          <w:rFonts w:cs="Times New Roman"/>
          <w:i/>
          <w:iCs/>
          <w:color w:val="222222"/>
          <w:szCs w:val="20"/>
          <w:shd w:val="clear" w:color="auto" w:fill="FFFFFF"/>
        </w:rPr>
        <w:t>14</w:t>
      </w:r>
      <w:r w:rsidRPr="003A13B4">
        <w:rPr>
          <w:rFonts w:cs="Times New Roman"/>
          <w:color w:val="222222"/>
          <w:szCs w:val="20"/>
          <w:shd w:val="clear" w:color="auto" w:fill="FFFFFF"/>
        </w:rPr>
        <w:t>(12), p.571.</w:t>
      </w:r>
    </w:p>
    <w:p w:rsidRPr="003A13B4" w:rsidR="00591433" w:rsidP="00591433" w:rsidRDefault="00591433" w14:paraId="3DEA1ED1" w14:textId="77777777">
      <w:pPr>
        <w:rPr>
          <w:rFonts w:cs="Times New Roman"/>
          <w:color w:val="222222"/>
          <w:szCs w:val="20"/>
          <w:shd w:val="clear" w:color="auto" w:fill="FFFFFF"/>
        </w:rPr>
      </w:pPr>
      <w:proofErr w:type="spellStart"/>
      <w:r w:rsidRPr="003A13B4">
        <w:rPr>
          <w:rFonts w:cs="Times New Roman"/>
          <w:color w:val="222222"/>
          <w:szCs w:val="20"/>
          <w:shd w:val="clear" w:color="auto" w:fill="FFFFFF"/>
        </w:rPr>
        <w:t>Montanucci</w:t>
      </w:r>
      <w:proofErr w:type="spellEnd"/>
      <w:r w:rsidRPr="003A13B4">
        <w:rPr>
          <w:rFonts w:cs="Times New Roman"/>
          <w:color w:val="222222"/>
          <w:szCs w:val="20"/>
          <w:shd w:val="clear" w:color="auto" w:fill="FFFFFF"/>
        </w:rPr>
        <w:t xml:space="preserve">, L., Lewis-Smith, D., Collins, R.L., </w:t>
      </w:r>
      <w:proofErr w:type="spellStart"/>
      <w:r w:rsidRPr="003A13B4">
        <w:rPr>
          <w:rFonts w:cs="Times New Roman"/>
          <w:color w:val="222222"/>
          <w:szCs w:val="20"/>
          <w:shd w:val="clear" w:color="auto" w:fill="FFFFFF"/>
        </w:rPr>
        <w:t>Niestroj</w:t>
      </w:r>
      <w:proofErr w:type="spellEnd"/>
      <w:r w:rsidRPr="003A13B4">
        <w:rPr>
          <w:rFonts w:cs="Times New Roman"/>
          <w:color w:val="222222"/>
          <w:szCs w:val="20"/>
          <w:shd w:val="clear" w:color="auto" w:fill="FFFFFF"/>
        </w:rPr>
        <w:t xml:space="preserve">, L.M., Parthasarathy, S., Xian, J., Ganesan, S., Macnee, M., </w:t>
      </w:r>
      <w:proofErr w:type="spellStart"/>
      <w:r w:rsidRPr="003A13B4">
        <w:rPr>
          <w:rFonts w:cs="Times New Roman"/>
          <w:color w:val="222222"/>
          <w:szCs w:val="20"/>
          <w:shd w:val="clear" w:color="auto" w:fill="FFFFFF"/>
        </w:rPr>
        <w:t>Brünger</w:t>
      </w:r>
      <w:proofErr w:type="spellEnd"/>
      <w:r w:rsidRPr="003A13B4">
        <w:rPr>
          <w:rFonts w:cs="Times New Roman"/>
          <w:color w:val="222222"/>
          <w:szCs w:val="20"/>
          <w:shd w:val="clear" w:color="auto" w:fill="FFFFFF"/>
        </w:rPr>
        <w:t>, T., Thomas, R.H. and Talkowski, M., 2023. Genome-wide identification and phenotypic characterization of seizure-associated copy number variations in 741,075 individuals. </w:t>
      </w:r>
      <w:r w:rsidRPr="003A13B4">
        <w:rPr>
          <w:rFonts w:cs="Times New Roman"/>
          <w:i/>
          <w:iCs/>
          <w:color w:val="222222"/>
          <w:szCs w:val="20"/>
          <w:shd w:val="clear" w:color="auto" w:fill="FFFFFF"/>
        </w:rPr>
        <w:t>Nature communications</w:t>
      </w:r>
      <w:r w:rsidRPr="003A13B4">
        <w:rPr>
          <w:rFonts w:cs="Times New Roman"/>
          <w:color w:val="222222"/>
          <w:szCs w:val="20"/>
          <w:shd w:val="clear" w:color="auto" w:fill="FFFFFF"/>
        </w:rPr>
        <w:t>, </w:t>
      </w:r>
      <w:r w:rsidRPr="003A13B4">
        <w:rPr>
          <w:rFonts w:cs="Times New Roman"/>
          <w:i/>
          <w:iCs/>
          <w:color w:val="222222"/>
          <w:szCs w:val="20"/>
          <w:shd w:val="clear" w:color="auto" w:fill="FFFFFF"/>
        </w:rPr>
        <w:t>14</w:t>
      </w:r>
      <w:r w:rsidRPr="003A13B4">
        <w:rPr>
          <w:rFonts w:cs="Times New Roman"/>
          <w:color w:val="222222"/>
          <w:szCs w:val="20"/>
          <w:shd w:val="clear" w:color="auto" w:fill="FFFFFF"/>
        </w:rPr>
        <w:t>(1), p.4392.</w:t>
      </w:r>
    </w:p>
    <w:p w:rsidRPr="003A13B4" w:rsidR="00591433" w:rsidP="00591433" w:rsidRDefault="00591433" w14:paraId="59ACFA16" w14:textId="77777777">
      <w:pPr>
        <w:rPr>
          <w:rFonts w:cs="Times New Roman"/>
          <w:color w:val="222222"/>
          <w:szCs w:val="20"/>
          <w:shd w:val="clear" w:color="auto" w:fill="FFFFFF"/>
        </w:rPr>
      </w:pPr>
      <w:r w:rsidRPr="003A13B4">
        <w:rPr>
          <w:rFonts w:cs="Times New Roman"/>
          <w:color w:val="222222"/>
          <w:szCs w:val="20"/>
          <w:shd w:val="clear" w:color="auto" w:fill="FFFFFF"/>
        </w:rPr>
        <w:t>Müller, R. and Klein, G., 2020. The COVID-19 pandemic and project management research. </w:t>
      </w:r>
      <w:r w:rsidRPr="003A13B4">
        <w:rPr>
          <w:rFonts w:cs="Times New Roman"/>
          <w:i/>
          <w:iCs/>
          <w:color w:val="222222"/>
          <w:szCs w:val="20"/>
          <w:shd w:val="clear" w:color="auto" w:fill="FFFFFF"/>
        </w:rPr>
        <w:t>Project Management Journal</w:t>
      </w:r>
      <w:r w:rsidRPr="003A13B4">
        <w:rPr>
          <w:rFonts w:cs="Times New Roman"/>
          <w:color w:val="222222"/>
          <w:szCs w:val="20"/>
          <w:shd w:val="clear" w:color="auto" w:fill="FFFFFF"/>
        </w:rPr>
        <w:t>, </w:t>
      </w:r>
      <w:r w:rsidRPr="003A13B4">
        <w:rPr>
          <w:rFonts w:cs="Times New Roman"/>
          <w:i/>
          <w:iCs/>
          <w:color w:val="222222"/>
          <w:szCs w:val="20"/>
          <w:shd w:val="clear" w:color="auto" w:fill="FFFFFF"/>
        </w:rPr>
        <w:t>51</w:t>
      </w:r>
      <w:r w:rsidRPr="003A13B4">
        <w:rPr>
          <w:rFonts w:cs="Times New Roman"/>
          <w:color w:val="222222"/>
          <w:szCs w:val="20"/>
          <w:shd w:val="clear" w:color="auto" w:fill="FFFFFF"/>
        </w:rPr>
        <w:t>(6), pp.579-581.</w:t>
      </w:r>
    </w:p>
    <w:p w:rsidRPr="003A13B4" w:rsidR="00591433" w:rsidP="00591433" w:rsidRDefault="00591433" w14:paraId="5C0306BE" w14:textId="77777777">
      <w:pPr>
        <w:rPr>
          <w:rFonts w:cs="Times New Roman"/>
          <w:color w:val="222222"/>
          <w:szCs w:val="20"/>
          <w:shd w:val="clear" w:color="auto" w:fill="FFFFFF"/>
        </w:rPr>
      </w:pPr>
      <w:r w:rsidRPr="003A13B4">
        <w:rPr>
          <w:rFonts w:cs="Times New Roman"/>
          <w:color w:val="222222"/>
          <w:szCs w:val="20"/>
          <w:shd w:val="clear" w:color="auto" w:fill="FFFFFF"/>
        </w:rPr>
        <w:t xml:space="preserve">Özkan, D. and Mishra, A., 2019. Agile project management tools: a brief </w:t>
      </w:r>
      <w:proofErr w:type="spellStart"/>
      <w:r w:rsidRPr="003A13B4">
        <w:rPr>
          <w:rFonts w:cs="Times New Roman"/>
          <w:color w:val="222222"/>
          <w:szCs w:val="20"/>
          <w:shd w:val="clear" w:color="auto" w:fill="FFFFFF"/>
        </w:rPr>
        <w:t>comprative</w:t>
      </w:r>
      <w:proofErr w:type="spellEnd"/>
      <w:r w:rsidRPr="003A13B4">
        <w:rPr>
          <w:rFonts w:cs="Times New Roman"/>
          <w:color w:val="222222"/>
          <w:szCs w:val="20"/>
          <w:shd w:val="clear" w:color="auto" w:fill="FFFFFF"/>
        </w:rPr>
        <w:t xml:space="preserve"> view. </w:t>
      </w:r>
      <w:r w:rsidRPr="003A13B4">
        <w:rPr>
          <w:rFonts w:cs="Times New Roman"/>
          <w:i/>
          <w:iCs/>
          <w:color w:val="222222"/>
          <w:szCs w:val="20"/>
          <w:shd w:val="clear" w:color="auto" w:fill="FFFFFF"/>
        </w:rPr>
        <w:t>Cybernetics and Information Technologies</w:t>
      </w:r>
      <w:r w:rsidRPr="003A13B4">
        <w:rPr>
          <w:rFonts w:cs="Times New Roman"/>
          <w:color w:val="222222"/>
          <w:szCs w:val="20"/>
          <w:shd w:val="clear" w:color="auto" w:fill="FFFFFF"/>
        </w:rPr>
        <w:t>, </w:t>
      </w:r>
      <w:r w:rsidRPr="003A13B4">
        <w:rPr>
          <w:rFonts w:cs="Times New Roman"/>
          <w:i/>
          <w:iCs/>
          <w:color w:val="222222"/>
          <w:szCs w:val="20"/>
          <w:shd w:val="clear" w:color="auto" w:fill="FFFFFF"/>
        </w:rPr>
        <w:t>19</w:t>
      </w:r>
      <w:r w:rsidRPr="003A13B4">
        <w:rPr>
          <w:rFonts w:cs="Times New Roman"/>
          <w:color w:val="222222"/>
          <w:szCs w:val="20"/>
          <w:shd w:val="clear" w:color="auto" w:fill="FFFFFF"/>
        </w:rPr>
        <w:t>(4), pp.17-25.</w:t>
      </w:r>
    </w:p>
    <w:p w:rsidRPr="003A13B4" w:rsidR="00591433" w:rsidP="00591433" w:rsidRDefault="00591433" w14:paraId="7B267E50" w14:textId="77777777">
      <w:pPr>
        <w:rPr>
          <w:rFonts w:cs="Times New Roman"/>
          <w:color w:val="222222"/>
          <w:szCs w:val="20"/>
          <w:shd w:val="clear" w:color="auto" w:fill="FFFFFF"/>
        </w:rPr>
      </w:pPr>
      <w:r w:rsidRPr="003A13B4">
        <w:rPr>
          <w:rFonts w:cs="Times New Roman"/>
          <w:color w:val="222222"/>
          <w:szCs w:val="20"/>
          <w:shd w:val="clear" w:color="auto" w:fill="FFFFFF"/>
        </w:rPr>
        <w:t>Popescu, C. and Avram, L., 2021. Good Practices for Online Extended Assessment in Project Management. </w:t>
      </w:r>
      <w:r w:rsidRPr="003A13B4">
        <w:rPr>
          <w:rFonts w:cs="Times New Roman"/>
          <w:i/>
          <w:iCs/>
          <w:color w:val="222222"/>
          <w:szCs w:val="20"/>
          <w:shd w:val="clear" w:color="auto" w:fill="FFFFFF"/>
        </w:rPr>
        <w:t xml:space="preserve">Workgroups </w:t>
      </w:r>
      <w:proofErr w:type="spellStart"/>
      <w:r w:rsidRPr="003A13B4">
        <w:rPr>
          <w:rFonts w:cs="Times New Roman"/>
          <w:i/>
          <w:iCs/>
          <w:color w:val="222222"/>
          <w:szCs w:val="20"/>
          <w:shd w:val="clear" w:color="auto" w:fill="FFFFFF"/>
        </w:rPr>
        <w:t>eAssessment</w:t>
      </w:r>
      <w:proofErr w:type="spellEnd"/>
      <w:r w:rsidRPr="003A13B4">
        <w:rPr>
          <w:rFonts w:cs="Times New Roman"/>
          <w:i/>
          <w:iCs/>
          <w:color w:val="222222"/>
          <w:szCs w:val="20"/>
          <w:shd w:val="clear" w:color="auto" w:fill="FFFFFF"/>
        </w:rPr>
        <w:t>: Planning, Implementing and Analysing Frameworks</w:t>
      </w:r>
      <w:r w:rsidRPr="003A13B4">
        <w:rPr>
          <w:rFonts w:cs="Times New Roman"/>
          <w:color w:val="222222"/>
          <w:szCs w:val="20"/>
          <w:shd w:val="clear" w:color="auto" w:fill="FFFFFF"/>
        </w:rPr>
        <w:t>, pp.117-142.</w:t>
      </w:r>
    </w:p>
    <w:p w:rsidRPr="003A13B4" w:rsidR="00591433" w:rsidP="00591433" w:rsidRDefault="00591433" w14:paraId="0EC8B45B" w14:textId="77777777">
      <w:pPr>
        <w:rPr>
          <w:rFonts w:cs="Times New Roman"/>
          <w:color w:val="222222"/>
          <w:szCs w:val="20"/>
          <w:shd w:val="clear" w:color="auto" w:fill="FFFFFF"/>
        </w:rPr>
      </w:pPr>
      <w:r w:rsidRPr="003A13B4">
        <w:rPr>
          <w:rFonts w:cs="Times New Roman"/>
          <w:color w:val="222222"/>
          <w:szCs w:val="20"/>
          <w:shd w:val="clear" w:color="auto" w:fill="FFFFFF"/>
        </w:rPr>
        <w:t>Pote, M.D.K., </w:t>
      </w:r>
      <w:r w:rsidRPr="003A13B4">
        <w:rPr>
          <w:rFonts w:cs="Times New Roman"/>
          <w:i/>
          <w:iCs/>
          <w:color w:val="222222"/>
          <w:szCs w:val="20"/>
          <w:shd w:val="clear" w:color="auto" w:fill="FFFFFF"/>
        </w:rPr>
        <w:t>Final Project Report “Study of Talent Management Process and its effects on employees of Google”</w:t>
      </w:r>
      <w:r w:rsidRPr="003A13B4">
        <w:rPr>
          <w:rFonts w:cs="Times New Roman"/>
          <w:color w:val="222222"/>
          <w:szCs w:val="20"/>
          <w:shd w:val="clear" w:color="auto" w:fill="FFFFFF"/>
        </w:rPr>
        <w:t xml:space="preserve"> (Doctoral dissertation, </w:t>
      </w:r>
      <w:proofErr w:type="spellStart"/>
      <w:r w:rsidRPr="003A13B4">
        <w:rPr>
          <w:rFonts w:cs="Times New Roman"/>
          <w:color w:val="222222"/>
          <w:szCs w:val="20"/>
          <w:shd w:val="clear" w:color="auto" w:fill="FFFFFF"/>
        </w:rPr>
        <w:t>Rashtrasant</w:t>
      </w:r>
      <w:proofErr w:type="spellEnd"/>
      <w:r w:rsidRPr="003A13B4">
        <w:rPr>
          <w:rFonts w:cs="Times New Roman"/>
          <w:color w:val="222222"/>
          <w:szCs w:val="20"/>
          <w:shd w:val="clear" w:color="auto" w:fill="FFFFFF"/>
        </w:rPr>
        <w:t xml:space="preserve"> </w:t>
      </w:r>
      <w:proofErr w:type="spellStart"/>
      <w:r w:rsidRPr="003A13B4">
        <w:rPr>
          <w:rFonts w:cs="Times New Roman"/>
          <w:color w:val="222222"/>
          <w:szCs w:val="20"/>
          <w:shd w:val="clear" w:color="auto" w:fill="FFFFFF"/>
        </w:rPr>
        <w:t>Tukadoji</w:t>
      </w:r>
      <w:proofErr w:type="spellEnd"/>
      <w:r w:rsidRPr="003A13B4">
        <w:rPr>
          <w:rFonts w:cs="Times New Roman"/>
          <w:color w:val="222222"/>
          <w:szCs w:val="20"/>
          <w:shd w:val="clear" w:color="auto" w:fill="FFFFFF"/>
        </w:rPr>
        <w:t xml:space="preserve"> Maharaj Nagpur University).</w:t>
      </w:r>
    </w:p>
    <w:p w:rsidRPr="003A13B4" w:rsidR="00591433" w:rsidP="00591433" w:rsidRDefault="00591433" w14:paraId="44BBD31C" w14:textId="77777777">
      <w:pPr>
        <w:rPr>
          <w:rFonts w:cs="Times New Roman"/>
          <w:color w:val="222222"/>
          <w:szCs w:val="20"/>
          <w:shd w:val="clear" w:color="auto" w:fill="FFFFFF"/>
        </w:rPr>
      </w:pPr>
      <w:r w:rsidRPr="003A13B4">
        <w:rPr>
          <w:rFonts w:cs="Times New Roman"/>
          <w:color w:val="222222"/>
          <w:szCs w:val="20"/>
          <w:shd w:val="clear" w:color="auto" w:fill="FFFFFF"/>
        </w:rPr>
        <w:t xml:space="preserve">Stanitsas, M., </w:t>
      </w:r>
      <w:proofErr w:type="spellStart"/>
      <w:r w:rsidRPr="003A13B4">
        <w:rPr>
          <w:rFonts w:cs="Times New Roman"/>
          <w:color w:val="222222"/>
          <w:szCs w:val="20"/>
          <w:shd w:val="clear" w:color="auto" w:fill="FFFFFF"/>
        </w:rPr>
        <w:t>Kirytopoulos</w:t>
      </w:r>
      <w:proofErr w:type="spellEnd"/>
      <w:r w:rsidRPr="003A13B4">
        <w:rPr>
          <w:rFonts w:cs="Times New Roman"/>
          <w:color w:val="222222"/>
          <w:szCs w:val="20"/>
          <w:shd w:val="clear" w:color="auto" w:fill="FFFFFF"/>
        </w:rPr>
        <w:t xml:space="preserve">, K. and </w:t>
      </w:r>
      <w:proofErr w:type="spellStart"/>
      <w:r w:rsidRPr="003A13B4">
        <w:rPr>
          <w:rFonts w:cs="Times New Roman"/>
          <w:color w:val="222222"/>
          <w:szCs w:val="20"/>
          <w:shd w:val="clear" w:color="auto" w:fill="FFFFFF"/>
        </w:rPr>
        <w:t>Leopoulos</w:t>
      </w:r>
      <w:proofErr w:type="spellEnd"/>
      <w:r w:rsidRPr="003A13B4">
        <w:rPr>
          <w:rFonts w:cs="Times New Roman"/>
          <w:color w:val="222222"/>
          <w:szCs w:val="20"/>
          <w:shd w:val="clear" w:color="auto" w:fill="FFFFFF"/>
        </w:rPr>
        <w:t>, V., 2021. Integrating sustainability indicators into project management: The case of construction industry. </w:t>
      </w:r>
      <w:r w:rsidRPr="003A13B4">
        <w:rPr>
          <w:rFonts w:cs="Times New Roman"/>
          <w:i/>
          <w:iCs/>
          <w:color w:val="222222"/>
          <w:szCs w:val="20"/>
          <w:shd w:val="clear" w:color="auto" w:fill="FFFFFF"/>
        </w:rPr>
        <w:t>Journal of Cleaner Production</w:t>
      </w:r>
      <w:r w:rsidRPr="003A13B4">
        <w:rPr>
          <w:rFonts w:cs="Times New Roman"/>
          <w:color w:val="222222"/>
          <w:szCs w:val="20"/>
          <w:shd w:val="clear" w:color="auto" w:fill="FFFFFF"/>
        </w:rPr>
        <w:t>, </w:t>
      </w:r>
      <w:r w:rsidRPr="003A13B4">
        <w:rPr>
          <w:rFonts w:cs="Times New Roman"/>
          <w:i/>
          <w:iCs/>
          <w:color w:val="222222"/>
          <w:szCs w:val="20"/>
          <w:shd w:val="clear" w:color="auto" w:fill="FFFFFF"/>
        </w:rPr>
        <w:t>279</w:t>
      </w:r>
      <w:r w:rsidRPr="003A13B4">
        <w:rPr>
          <w:rFonts w:cs="Times New Roman"/>
          <w:color w:val="222222"/>
          <w:szCs w:val="20"/>
          <w:shd w:val="clear" w:color="auto" w:fill="FFFFFF"/>
        </w:rPr>
        <w:t>, p.123774.</w:t>
      </w:r>
    </w:p>
    <w:p w:rsidRPr="001C00B0" w:rsidR="00DB2905" w:rsidRDefault="00591433" w14:paraId="3C44AADC" w14:textId="065EBE29">
      <w:pPr>
        <w:rPr>
          <w:rFonts w:cs="Times New Roman"/>
          <w:color w:val="222222"/>
          <w:szCs w:val="20"/>
          <w:shd w:val="clear" w:color="auto" w:fill="FFFFFF"/>
        </w:rPr>
      </w:pPr>
      <w:r w:rsidRPr="003A13B4">
        <w:rPr>
          <w:rFonts w:cs="Times New Roman"/>
          <w:color w:val="222222"/>
          <w:szCs w:val="20"/>
          <w:shd w:val="clear" w:color="auto" w:fill="FFFFFF"/>
        </w:rPr>
        <w:t>Williams, R.T., 2023. Project Management Toolkit Essential Resources for Beginners.</w:t>
      </w:r>
    </w:p>
    <w:sectPr w:rsidRPr="001C00B0" w:rsidR="00DB2905" w:rsidSect="00541A42">
      <w:footerReference w:type="default" r:id="rId9"/>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372D3" w:rsidP="00541A42" w:rsidRDefault="005372D3" w14:paraId="3D9B4863" w14:textId="77777777">
      <w:pPr>
        <w:spacing w:after="0" w:line="240" w:lineRule="auto"/>
      </w:pPr>
      <w:r>
        <w:separator/>
      </w:r>
    </w:p>
  </w:endnote>
  <w:endnote w:type="continuationSeparator" w:id="0">
    <w:p w:rsidR="005372D3" w:rsidP="00541A42" w:rsidRDefault="005372D3" w14:paraId="48E3870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147751"/>
      <w:docPartObj>
        <w:docPartGallery w:val="Page Numbers (Bottom of Page)"/>
        <w:docPartUnique/>
      </w:docPartObj>
    </w:sdtPr>
    <w:sdtEndPr/>
    <w:sdtContent>
      <w:p w:rsidR="00541A42" w:rsidRDefault="0075344C" w14:paraId="489518A1" w14:textId="77777777">
        <w:pPr>
          <w:pStyle w:val="Footer"/>
          <w:jc w:val="right"/>
        </w:pPr>
        <w:r>
          <w:fldChar w:fldCharType="begin"/>
        </w:r>
        <w:r>
          <w:instrText xml:space="preserve"> PAGE   \* MERGEFORMAT </w:instrText>
        </w:r>
        <w:r>
          <w:fldChar w:fldCharType="separate"/>
        </w:r>
        <w:r w:rsidR="0074738F">
          <w:rPr>
            <w:noProof/>
          </w:rPr>
          <w:t>2</w:t>
        </w:r>
        <w:r>
          <w:rPr>
            <w:noProof/>
          </w:rPr>
          <w:fldChar w:fldCharType="end"/>
        </w:r>
      </w:p>
    </w:sdtContent>
  </w:sdt>
  <w:p w:rsidR="00541A42" w:rsidRDefault="00541A42" w14:paraId="1ADEB72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372D3" w:rsidP="00541A42" w:rsidRDefault="005372D3" w14:paraId="50AA2B5D" w14:textId="77777777">
      <w:pPr>
        <w:spacing w:after="0" w:line="240" w:lineRule="auto"/>
      </w:pPr>
      <w:r>
        <w:separator/>
      </w:r>
    </w:p>
  </w:footnote>
  <w:footnote w:type="continuationSeparator" w:id="0">
    <w:p w:rsidR="005372D3" w:rsidP="00541A42" w:rsidRDefault="005372D3" w14:paraId="78616731" w14:textId="77777777">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1">
    <w:nsid w:val="7ab383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CAA"/>
    <w:rsid w:val="00085B4F"/>
    <w:rsid w:val="001C00B0"/>
    <w:rsid w:val="003D33E5"/>
    <w:rsid w:val="004B0EF7"/>
    <w:rsid w:val="005372D3"/>
    <w:rsid w:val="00541A42"/>
    <w:rsid w:val="005711C8"/>
    <w:rsid w:val="00591433"/>
    <w:rsid w:val="005C6CAA"/>
    <w:rsid w:val="00666C31"/>
    <w:rsid w:val="0074738F"/>
    <w:rsid w:val="0075344C"/>
    <w:rsid w:val="00A72BBB"/>
    <w:rsid w:val="00AE7460"/>
    <w:rsid w:val="00BC11B6"/>
    <w:rsid w:val="00D4411D"/>
    <w:rsid w:val="00DB2905"/>
    <w:rsid w:val="00DC088B"/>
    <w:rsid w:val="00DF0CA4"/>
    <w:rsid w:val="00E352D1"/>
    <w:rsid w:val="00F52BFF"/>
    <w:rsid w:val="00F80FD4"/>
    <w:rsid w:val="0735F41C"/>
    <w:rsid w:val="0A6D94DE"/>
    <w:rsid w:val="15D3F6BB"/>
    <w:rsid w:val="15EC54CF"/>
    <w:rsid w:val="16A52137"/>
    <w:rsid w:val="1D0BB79B"/>
    <w:rsid w:val="5AE471C4"/>
    <w:rsid w:val="5BB09CCC"/>
    <w:rsid w:val="5E1C1286"/>
    <w:rsid w:val="5FB7E2E7"/>
    <w:rsid w:val="6153B348"/>
    <w:rsid w:val="624085CF"/>
    <w:rsid w:val="666331B5"/>
    <w:rsid w:val="7F77C790"/>
  </w:rsids>
  <m:mathPr>
    <m:mathFont m:val="Cambria Math"/>
    <m:brkBin m:val="before"/>
    <m:brkBinSub m:val="--"/>
    <m:smallFrac m:val="0"/>
    <m:dispDef/>
    <m:lMargin m:val="0"/>
    <m:rMargin m:val="0"/>
    <m:defJc m:val="centerGroup"/>
    <m:wrapIndent m:val="1440"/>
    <m:intLim m:val="subSup"/>
    <m:naryLim m:val="undOvr"/>
  </m:mathPr>
  <w:themeFontLang w:val="en-IN" w:eastAsia="ja-JP"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C68C4"/>
  <w15:docId w15:val="{B44DF558-F69F-4887-936F-B9CA9AAF9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C6CA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C6CAA"/>
    <w:pPr>
      <w:keepNext/>
      <w:keepLines/>
      <w:spacing w:before="480" w:after="0" w:line="480" w:lineRule="auto"/>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C6CAA"/>
    <w:pPr>
      <w:keepNext/>
      <w:keepLines/>
      <w:spacing w:before="200" w:after="0" w:line="480" w:lineRule="auto"/>
      <w:outlineLvl w:val="1"/>
    </w:pPr>
    <w:rPr>
      <w:rFonts w:eastAsiaTheme="majorEastAsia" w:cstheme="majorBidi"/>
      <w:b/>
      <w:bCs/>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C6CAA"/>
    <w:rPr>
      <w:rFonts w:ascii="Times New Roman" w:hAnsi="Times New Roman" w:eastAsiaTheme="majorEastAsia" w:cstheme="majorBidi"/>
      <w:b/>
      <w:bCs/>
      <w:sz w:val="28"/>
      <w:szCs w:val="28"/>
      <w:lang w:val="en-GB"/>
    </w:rPr>
  </w:style>
  <w:style w:type="character" w:styleId="Heading2Char" w:customStyle="1">
    <w:name w:val="Heading 2 Char"/>
    <w:basedOn w:val="DefaultParagraphFont"/>
    <w:link w:val="Heading2"/>
    <w:uiPriority w:val="9"/>
    <w:rsid w:val="005C6CAA"/>
    <w:rPr>
      <w:rFonts w:ascii="Times New Roman" w:hAnsi="Times New Roman" w:eastAsiaTheme="majorEastAsia" w:cstheme="majorBidi"/>
      <w:b/>
      <w:bCs/>
      <w:sz w:val="26"/>
      <w:szCs w:val="26"/>
      <w:lang w:val="en-GB"/>
    </w:rPr>
  </w:style>
  <w:style w:type="table" w:styleId="TableGrid">
    <w:name w:val="Table Grid"/>
    <w:basedOn w:val="TableNormal"/>
    <w:uiPriority w:val="59"/>
    <w:rsid w:val="005711C8"/>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semiHidden/>
    <w:unhideWhenUsed/>
    <w:rsid w:val="00541A42"/>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541A42"/>
    <w:rPr>
      <w:rFonts w:ascii="Times New Roman" w:hAnsi="Times New Roman"/>
      <w:sz w:val="24"/>
      <w:lang w:val="en-GB"/>
    </w:rPr>
  </w:style>
  <w:style w:type="paragraph" w:styleId="Footer">
    <w:name w:val="footer"/>
    <w:basedOn w:val="Normal"/>
    <w:link w:val="FooterChar"/>
    <w:uiPriority w:val="99"/>
    <w:unhideWhenUsed/>
    <w:rsid w:val="00541A42"/>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1A42"/>
    <w:rPr>
      <w:rFonts w:ascii="Times New Roman" w:hAnsi="Times New Roman"/>
      <w:sz w:val="24"/>
      <w:lang w:val="en-GB"/>
    </w:rPr>
  </w:style>
  <w:style w:type="paragraph" w:styleId="TOCHeading">
    <w:name w:val="TOC Heading"/>
    <w:basedOn w:val="Heading1"/>
    <w:next w:val="Normal"/>
    <w:uiPriority w:val="39"/>
    <w:semiHidden/>
    <w:unhideWhenUsed/>
    <w:qFormat/>
    <w:rsid w:val="0074738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74738F"/>
    <w:pPr>
      <w:spacing w:after="100"/>
    </w:pPr>
  </w:style>
  <w:style w:type="paragraph" w:styleId="TOC2">
    <w:name w:val="toc 2"/>
    <w:basedOn w:val="Normal"/>
    <w:next w:val="Normal"/>
    <w:autoRedefine/>
    <w:uiPriority w:val="39"/>
    <w:unhideWhenUsed/>
    <w:rsid w:val="0074738F"/>
    <w:pPr>
      <w:spacing w:after="100"/>
      <w:ind w:left="240"/>
    </w:pPr>
  </w:style>
  <w:style w:type="character" w:styleId="Hyperlink">
    <w:name w:val="Hyperlink"/>
    <w:basedOn w:val="DefaultParagraphFont"/>
    <w:uiPriority w:val="99"/>
    <w:unhideWhenUsed/>
    <w:rsid w:val="0074738F"/>
    <w:rPr>
      <w:color w:val="0000FF" w:themeColor="hyperlink"/>
      <w:u w:val="single"/>
    </w:rPr>
  </w:style>
  <w:style w:type="paragraph" w:styleId="BalloonText">
    <w:name w:val="Balloon Text"/>
    <w:basedOn w:val="Normal"/>
    <w:link w:val="BalloonTextChar"/>
    <w:uiPriority w:val="99"/>
    <w:semiHidden/>
    <w:unhideWhenUsed/>
    <w:rsid w:val="0074738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74738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glossaryDocument" Target="glossary/document.xml" Id="R174fabc886ae47ac" /><Relationship Type="http://schemas.openxmlformats.org/officeDocument/2006/relationships/numbering" Target="numbering.xml" Id="R4f1752eddcb24ad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c8ab919-9f5a-4097-8beb-ac39334f1c11}"/>
      </w:docPartPr>
      <w:docPartBody>
        <w:p w14:paraId="49ECEE3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C6514F-6481-45B5-A431-B9E2DF29849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Cerasela Stoica (2125057)</lastModifiedBy>
  <revision>2</revision>
  <dcterms:created xsi:type="dcterms:W3CDTF">2023-12-03T12:54:00.0000000Z</dcterms:created>
  <dcterms:modified xsi:type="dcterms:W3CDTF">2023-12-03T13:04:25.3451444Z</dcterms:modified>
</coreProperties>
</file>