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35AA8"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606A6570"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78D6F382"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03AD3ADB" w14:textId="6CC2662E"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LCMB7003</w:t>
      </w:r>
    </w:p>
    <w:p w14:paraId="27B78A26"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p>
    <w:p w14:paraId="473B9C2F"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Format- Report  </w:t>
      </w:r>
    </w:p>
    <w:p w14:paraId="54E3A2BF" w14:textId="0427961C"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Title- Strategic Management Analysis of Sunpower </w:t>
      </w:r>
      <w:r w:rsidR="000C6197">
        <w:rPr>
          <w:rFonts w:ascii="Times New Roman" w:eastAsia="Times New Roman" w:hAnsi="Times New Roman" w:cs="Times New Roman"/>
          <w:b/>
          <w:sz w:val="32"/>
          <w:szCs w:val="32"/>
        </w:rPr>
        <w:t>Corp</w:t>
      </w:r>
    </w:p>
    <w:p w14:paraId="3BE753E7"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Count- 5000</w:t>
      </w:r>
    </w:p>
    <w:p w14:paraId="348A8894"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p>
    <w:p w14:paraId="41A6706E"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br w:type="page"/>
      </w:r>
    </w:p>
    <w:p w14:paraId="2933FD8F"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4A93295F" w14:textId="77777777" w:rsidR="00637A94" w:rsidRDefault="00637A94">
      <w:pPr>
        <w:pStyle w:val="Normal1"/>
        <w:spacing w:line="480" w:lineRule="auto"/>
        <w:jc w:val="center"/>
        <w:rPr>
          <w:rFonts w:ascii="Times New Roman" w:eastAsia="Times New Roman" w:hAnsi="Times New Roman" w:cs="Times New Roman"/>
          <w:sz w:val="24"/>
          <w:szCs w:val="24"/>
        </w:rPr>
      </w:pPr>
    </w:p>
    <w:sdt>
      <w:sdtPr>
        <w:id w:val="501940139"/>
        <w:docPartObj>
          <w:docPartGallery w:val="Table of Contents"/>
          <w:docPartUnique/>
        </w:docPartObj>
      </w:sdtPr>
      <w:sdtEndPr>
        <w:rPr>
          <w:rFonts w:ascii="Times New Roman" w:hAnsi="Times New Roman" w:cs="Times New Roman"/>
          <w:sz w:val="24"/>
          <w:szCs w:val="24"/>
        </w:rPr>
      </w:sdtEndPr>
      <w:sdtContent>
        <w:p w14:paraId="0AA6F3DD" w14:textId="77777777" w:rsidR="00637A94" w:rsidRPr="00594BEA" w:rsidRDefault="00E04455" w:rsidP="00594BEA">
          <w:pPr>
            <w:pStyle w:val="Normal1"/>
            <w:tabs>
              <w:tab w:val="right" w:pos="9360"/>
            </w:tabs>
            <w:spacing w:before="80" w:line="360" w:lineRule="auto"/>
            <w:jc w:val="both"/>
            <w:rPr>
              <w:rFonts w:ascii="Times New Roman" w:eastAsia="Times New Roman" w:hAnsi="Times New Roman" w:cs="Times New Roman"/>
              <w:noProof/>
              <w:sz w:val="24"/>
              <w:szCs w:val="24"/>
            </w:rPr>
          </w:pPr>
          <w:r w:rsidRPr="00594BEA">
            <w:rPr>
              <w:rFonts w:ascii="Times New Roman" w:hAnsi="Times New Roman" w:cs="Times New Roman"/>
              <w:sz w:val="24"/>
              <w:szCs w:val="24"/>
            </w:rPr>
            <w:fldChar w:fldCharType="begin"/>
          </w:r>
          <w:r w:rsidRPr="00594BEA">
            <w:rPr>
              <w:rFonts w:ascii="Times New Roman" w:hAnsi="Times New Roman" w:cs="Times New Roman"/>
              <w:sz w:val="24"/>
              <w:szCs w:val="24"/>
            </w:rPr>
            <w:instrText xml:space="preserve"> TOC \h \u \z </w:instrText>
          </w:r>
          <w:r w:rsidRPr="00594BEA">
            <w:rPr>
              <w:rFonts w:ascii="Times New Roman" w:hAnsi="Times New Roman" w:cs="Times New Roman"/>
              <w:sz w:val="24"/>
              <w:szCs w:val="24"/>
            </w:rPr>
            <w:fldChar w:fldCharType="separate"/>
          </w:r>
          <w:hyperlink w:anchor="_iysi5dbxzlim">
            <w:r w:rsidRPr="00594BEA">
              <w:rPr>
                <w:rFonts w:ascii="Times New Roman" w:eastAsia="Times New Roman" w:hAnsi="Times New Roman" w:cs="Times New Roman"/>
                <w:noProof/>
                <w:sz w:val="24"/>
                <w:szCs w:val="24"/>
              </w:rPr>
              <w:t>Introduction</w:t>
            </w:r>
          </w:hyperlink>
          <w:r w:rsidRPr="00594BEA">
            <w:rPr>
              <w:rFonts w:ascii="Times New Roman" w:eastAsia="Times New Roman" w:hAnsi="Times New Roman" w:cs="Times New Roman"/>
              <w:noProof/>
              <w:sz w:val="24"/>
              <w:szCs w:val="24"/>
            </w:rPr>
            <w:tab/>
          </w:r>
          <w:r w:rsidRPr="00594BEA">
            <w:rPr>
              <w:rFonts w:ascii="Times New Roman" w:hAnsi="Times New Roman" w:cs="Times New Roman"/>
              <w:noProof/>
              <w:sz w:val="24"/>
              <w:szCs w:val="24"/>
            </w:rPr>
            <w:fldChar w:fldCharType="begin"/>
          </w:r>
          <w:r w:rsidRPr="00594BEA">
            <w:rPr>
              <w:rFonts w:ascii="Times New Roman" w:hAnsi="Times New Roman" w:cs="Times New Roman"/>
              <w:noProof/>
              <w:sz w:val="24"/>
              <w:szCs w:val="24"/>
            </w:rPr>
            <w:instrText xml:space="preserve"> PAGEREF _iysi5dbxzlim \h </w:instrText>
          </w:r>
          <w:r w:rsidRPr="00594BEA">
            <w:rPr>
              <w:rFonts w:ascii="Times New Roman" w:hAnsi="Times New Roman" w:cs="Times New Roman"/>
              <w:noProof/>
              <w:sz w:val="24"/>
              <w:szCs w:val="24"/>
            </w:rPr>
          </w:r>
          <w:r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3</w:t>
          </w:r>
          <w:r w:rsidRPr="00594BEA">
            <w:rPr>
              <w:rFonts w:ascii="Times New Roman" w:hAnsi="Times New Roman" w:cs="Times New Roman"/>
              <w:noProof/>
              <w:sz w:val="24"/>
              <w:szCs w:val="24"/>
            </w:rPr>
            <w:fldChar w:fldCharType="end"/>
          </w:r>
        </w:p>
        <w:p w14:paraId="41E60A4D" w14:textId="77777777" w:rsidR="00637A94" w:rsidRPr="00594BEA" w:rsidRDefault="006B3890"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2ptqq3s4z4zm">
            <w:r w:rsidR="00E04455" w:rsidRPr="00594BEA">
              <w:rPr>
                <w:rFonts w:ascii="Times New Roman" w:eastAsia="Times New Roman" w:hAnsi="Times New Roman" w:cs="Times New Roman"/>
                <w:noProof/>
                <w:color w:val="000000"/>
                <w:sz w:val="24"/>
                <w:szCs w:val="24"/>
              </w:rPr>
              <w:t>Overview of case study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_2ptqq3s4z4zm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3</w:t>
          </w:r>
          <w:r w:rsidR="00E04455" w:rsidRPr="00594BEA">
            <w:rPr>
              <w:rFonts w:ascii="Times New Roman" w:hAnsi="Times New Roman" w:cs="Times New Roman"/>
              <w:noProof/>
              <w:sz w:val="24"/>
              <w:szCs w:val="24"/>
            </w:rPr>
            <w:fldChar w:fldCharType="end"/>
          </w:r>
        </w:p>
        <w:p w14:paraId="3125FB79" w14:textId="77777777" w:rsidR="00637A94" w:rsidRPr="00594BEA" w:rsidRDefault="006B3890"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8a32ecmhltxt">
            <w:r w:rsidR="00E04455" w:rsidRPr="00594BEA">
              <w:rPr>
                <w:rFonts w:ascii="Times New Roman" w:eastAsia="Times New Roman" w:hAnsi="Times New Roman" w:cs="Times New Roman"/>
                <w:noProof/>
                <w:color w:val="000000"/>
                <w:sz w:val="24"/>
                <w:szCs w:val="24"/>
              </w:rPr>
              <w:t>Company background</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_8a32ecmhltxt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4</w:t>
          </w:r>
          <w:r w:rsidR="00E04455" w:rsidRPr="00594BEA">
            <w:rPr>
              <w:rFonts w:ascii="Times New Roman" w:hAnsi="Times New Roman" w:cs="Times New Roman"/>
              <w:noProof/>
              <w:sz w:val="24"/>
              <w:szCs w:val="24"/>
            </w:rPr>
            <w:fldChar w:fldCharType="end"/>
          </w:r>
        </w:p>
        <w:p w14:paraId="192D2016" w14:textId="77777777" w:rsidR="00637A94" w:rsidRPr="00594BEA" w:rsidRDefault="006B3890"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zhxuogl363r3">
            <w:r w:rsidR="00E04455" w:rsidRPr="00594BEA">
              <w:rPr>
                <w:rFonts w:ascii="Times New Roman" w:eastAsia="Times New Roman" w:hAnsi="Times New Roman" w:cs="Times New Roman"/>
                <w:noProof/>
                <w:color w:val="000000"/>
                <w:sz w:val="24"/>
                <w:szCs w:val="24"/>
              </w:rPr>
              <w:t>Strategic analysis of how the central issues the company is facing with the help of contemporary frameworks and models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_zhxuogl363r3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73349846" w14:textId="77777777" w:rsidR="00637A94" w:rsidRPr="00594BEA" w:rsidRDefault="006B3890"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i2euq7kgrmiv">
            <w:r w:rsidR="00E04455" w:rsidRPr="00594BEA">
              <w:rPr>
                <w:rFonts w:ascii="Times New Roman" w:eastAsia="Times New Roman" w:hAnsi="Times New Roman" w:cs="Times New Roman"/>
                <w:noProof/>
                <w:color w:val="000000"/>
                <w:sz w:val="24"/>
                <w:szCs w:val="24"/>
              </w:rPr>
              <w:t>Internal analysis of company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_i2euq7kgrmiv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43C29CAE" w14:textId="77777777" w:rsidR="00637A94" w:rsidRPr="00594BEA" w:rsidRDefault="006B3890"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uk70ftgp7ug2">
            <w:r w:rsidR="00E04455" w:rsidRPr="00594BEA">
              <w:rPr>
                <w:rFonts w:ascii="Times New Roman" w:eastAsia="Times New Roman" w:hAnsi="Times New Roman" w:cs="Times New Roman"/>
                <w:noProof/>
                <w:color w:val="000000"/>
                <w:sz w:val="24"/>
                <w:szCs w:val="24"/>
              </w:rPr>
              <w:t>SWOT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_uk70ftgp7ug2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1C01A4BE" w14:textId="77777777" w:rsidR="00637A94" w:rsidRPr="00594BEA" w:rsidRDefault="006B3890"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2dla5lvubccn">
            <w:r w:rsidR="00E04455" w:rsidRPr="00594BEA">
              <w:rPr>
                <w:rFonts w:ascii="Times New Roman" w:eastAsia="Times New Roman" w:hAnsi="Times New Roman" w:cs="Times New Roman"/>
                <w:noProof/>
                <w:color w:val="000000"/>
                <w:sz w:val="24"/>
                <w:szCs w:val="24"/>
              </w:rPr>
              <w:t>External analysis (PESTLE) of the solar power industry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_2dla5lvubccn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8</w:t>
          </w:r>
          <w:r w:rsidR="00E04455" w:rsidRPr="00594BEA">
            <w:rPr>
              <w:rFonts w:ascii="Times New Roman" w:hAnsi="Times New Roman" w:cs="Times New Roman"/>
              <w:noProof/>
              <w:sz w:val="24"/>
              <w:szCs w:val="24"/>
            </w:rPr>
            <w:fldChar w:fldCharType="end"/>
          </w:r>
        </w:p>
        <w:p w14:paraId="0619C539" w14:textId="77777777" w:rsidR="00637A94" w:rsidRPr="00594BEA" w:rsidRDefault="006B3890"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ms9fhcyy0sy9">
            <w:r w:rsidR="00E04455" w:rsidRPr="00594BEA">
              <w:rPr>
                <w:rFonts w:ascii="Times New Roman" w:eastAsia="Times New Roman" w:hAnsi="Times New Roman" w:cs="Times New Roman"/>
                <w:noProof/>
                <w:color w:val="000000"/>
                <w:sz w:val="24"/>
                <w:szCs w:val="24"/>
              </w:rPr>
              <w:t>VRIO framework</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_ms9fhcyy0sy9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11</w:t>
          </w:r>
          <w:r w:rsidR="00E04455" w:rsidRPr="00594BEA">
            <w:rPr>
              <w:rFonts w:ascii="Times New Roman" w:hAnsi="Times New Roman" w:cs="Times New Roman"/>
              <w:noProof/>
              <w:sz w:val="24"/>
              <w:szCs w:val="24"/>
            </w:rPr>
            <w:fldChar w:fldCharType="end"/>
          </w:r>
        </w:p>
        <w:p w14:paraId="25AFD807" w14:textId="77777777" w:rsidR="00637A94" w:rsidRPr="00594BEA" w:rsidRDefault="006B3890"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xrul7ihvgkm5">
            <w:r w:rsidR="00E04455" w:rsidRPr="00594BEA">
              <w:rPr>
                <w:rFonts w:ascii="Times New Roman" w:eastAsia="Times New Roman" w:hAnsi="Times New Roman" w:cs="Times New Roman"/>
                <w:noProof/>
                <w:color w:val="000000"/>
                <w:sz w:val="24"/>
                <w:szCs w:val="24"/>
              </w:rPr>
              <w:t>Porter's generic business strategy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_xrul7ihvgkm5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14</w:t>
          </w:r>
          <w:r w:rsidR="00E04455" w:rsidRPr="00594BEA">
            <w:rPr>
              <w:rFonts w:ascii="Times New Roman" w:hAnsi="Times New Roman" w:cs="Times New Roman"/>
              <w:noProof/>
              <w:sz w:val="24"/>
              <w:szCs w:val="24"/>
            </w:rPr>
            <w:fldChar w:fldCharType="end"/>
          </w:r>
        </w:p>
        <w:p w14:paraId="65FF407C" w14:textId="77777777" w:rsidR="00637A94" w:rsidRPr="00594BEA" w:rsidRDefault="006B3890"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26ee0ap1n4k8">
            <w:r w:rsidR="00E04455" w:rsidRPr="00594BEA">
              <w:rPr>
                <w:rFonts w:ascii="Times New Roman" w:eastAsia="Times New Roman" w:hAnsi="Times New Roman" w:cs="Times New Roman"/>
                <w:noProof/>
                <w:color w:val="000000"/>
                <w:sz w:val="24"/>
                <w:szCs w:val="24"/>
              </w:rPr>
              <w:t>Competitive advantage (Porter’s five force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_26ee0ap1n4k8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16</w:t>
          </w:r>
          <w:r w:rsidR="00E04455" w:rsidRPr="00594BEA">
            <w:rPr>
              <w:rFonts w:ascii="Times New Roman" w:hAnsi="Times New Roman" w:cs="Times New Roman"/>
              <w:noProof/>
              <w:sz w:val="24"/>
              <w:szCs w:val="24"/>
            </w:rPr>
            <w:fldChar w:fldCharType="end"/>
          </w:r>
        </w:p>
        <w:p w14:paraId="0C59BAE1" w14:textId="77777777" w:rsidR="00637A94" w:rsidRPr="00594BEA" w:rsidRDefault="006B3890"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mmozziq9jl4r">
            <w:r w:rsidR="00E04455" w:rsidRPr="00594BEA">
              <w:rPr>
                <w:rFonts w:ascii="Times New Roman" w:eastAsia="Times New Roman" w:hAnsi="Times New Roman" w:cs="Times New Roman"/>
                <w:noProof/>
                <w:color w:val="000000"/>
                <w:sz w:val="24"/>
                <w:szCs w:val="24"/>
              </w:rPr>
              <w:t>Key findings highlighting how these were deployed in the emergent strategies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_mmozziq9jl4r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19</w:t>
          </w:r>
          <w:r w:rsidR="00E04455" w:rsidRPr="00594BEA">
            <w:rPr>
              <w:rFonts w:ascii="Times New Roman" w:hAnsi="Times New Roman" w:cs="Times New Roman"/>
              <w:noProof/>
              <w:sz w:val="24"/>
              <w:szCs w:val="24"/>
            </w:rPr>
            <w:fldChar w:fldCharType="end"/>
          </w:r>
        </w:p>
        <w:p w14:paraId="6962F771" w14:textId="77777777" w:rsidR="00637A94" w:rsidRPr="00594BEA" w:rsidRDefault="006B3890"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f68g3j7wgerg">
            <w:r w:rsidR="00E04455" w:rsidRPr="00594BEA">
              <w:rPr>
                <w:rFonts w:ascii="Times New Roman" w:eastAsia="Times New Roman" w:hAnsi="Times New Roman" w:cs="Times New Roman"/>
                <w:noProof/>
                <w:color w:val="000000"/>
                <w:sz w:val="24"/>
                <w:szCs w:val="24"/>
              </w:rPr>
              <w:t>Critiquing the current research methodologies used in the case study with a discussion of strategic management used by the case study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_f68g3j7wgerg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22</w:t>
          </w:r>
          <w:r w:rsidR="00E04455" w:rsidRPr="00594BEA">
            <w:rPr>
              <w:rFonts w:ascii="Times New Roman" w:hAnsi="Times New Roman" w:cs="Times New Roman"/>
              <w:noProof/>
              <w:sz w:val="24"/>
              <w:szCs w:val="24"/>
            </w:rPr>
            <w:fldChar w:fldCharType="end"/>
          </w:r>
        </w:p>
        <w:p w14:paraId="14BBA29D" w14:textId="77777777" w:rsidR="00637A94" w:rsidRPr="00594BEA" w:rsidRDefault="006B3890"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a4crdn4pbb75">
            <w:r w:rsidR="00E04455" w:rsidRPr="00594BEA">
              <w:rPr>
                <w:rFonts w:ascii="Times New Roman" w:eastAsia="Times New Roman" w:hAnsi="Times New Roman" w:cs="Times New Roman"/>
                <w:noProof/>
                <w:color w:val="000000"/>
                <w:sz w:val="24"/>
                <w:szCs w:val="24"/>
              </w:rPr>
              <w:t>Conclusion and recommendation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_a4crdn4pbb75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7D5A1E79" w14:textId="77777777" w:rsidR="00637A94" w:rsidRPr="00594BEA" w:rsidRDefault="006B3890"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qhs9uv8oi34o">
            <w:r w:rsidR="00E04455" w:rsidRPr="00594BEA">
              <w:rPr>
                <w:rFonts w:ascii="Times New Roman" w:eastAsia="Times New Roman" w:hAnsi="Times New Roman" w:cs="Times New Roman"/>
                <w:noProof/>
                <w:color w:val="000000"/>
                <w:sz w:val="24"/>
                <w:szCs w:val="24"/>
              </w:rPr>
              <w:t>Conclusion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_qhs9uv8oi34o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05500611" w14:textId="77777777" w:rsidR="00637A94" w:rsidRPr="00594BEA" w:rsidRDefault="006B3890"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614mxd829t4z">
            <w:r w:rsidR="00E04455" w:rsidRPr="00594BEA">
              <w:rPr>
                <w:rFonts w:ascii="Times New Roman" w:eastAsia="Times New Roman" w:hAnsi="Times New Roman" w:cs="Times New Roman"/>
                <w:noProof/>
                <w:color w:val="000000"/>
                <w:sz w:val="24"/>
                <w:szCs w:val="24"/>
              </w:rPr>
              <w:t>Recommendation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_614mxd829t4z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6A056243" w14:textId="77777777" w:rsidR="00637A94" w:rsidRPr="00594BEA" w:rsidRDefault="006B3890" w:rsidP="00594BEA">
          <w:pPr>
            <w:pStyle w:val="Normal1"/>
            <w:tabs>
              <w:tab w:val="right" w:pos="9360"/>
            </w:tabs>
            <w:spacing w:before="200" w:after="80" w:line="360" w:lineRule="auto"/>
            <w:jc w:val="both"/>
            <w:rPr>
              <w:rFonts w:ascii="Times New Roman" w:eastAsia="Times New Roman" w:hAnsi="Times New Roman" w:cs="Times New Roman"/>
              <w:color w:val="000000"/>
              <w:sz w:val="24"/>
              <w:szCs w:val="24"/>
            </w:rPr>
          </w:pPr>
          <w:hyperlink w:anchor="_v5v7jaru9hk4">
            <w:r w:rsidR="00E04455" w:rsidRPr="00594BEA">
              <w:rPr>
                <w:rFonts w:ascii="Times New Roman" w:eastAsia="Times New Roman" w:hAnsi="Times New Roman" w:cs="Times New Roman"/>
                <w:noProof/>
                <w:color w:val="000000"/>
                <w:sz w:val="24"/>
                <w:szCs w:val="24"/>
              </w:rPr>
              <w:t>References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_v5v7jaru9hk4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24</w:t>
          </w:r>
          <w:r w:rsidR="00E04455" w:rsidRPr="00594BEA">
            <w:rPr>
              <w:rFonts w:ascii="Times New Roman" w:hAnsi="Times New Roman" w:cs="Times New Roman"/>
              <w:noProof/>
              <w:sz w:val="24"/>
              <w:szCs w:val="24"/>
            </w:rPr>
            <w:fldChar w:fldCharType="end"/>
          </w:r>
          <w:r w:rsidR="00E04455" w:rsidRPr="00594BEA">
            <w:rPr>
              <w:rFonts w:ascii="Times New Roman" w:hAnsi="Times New Roman" w:cs="Times New Roman"/>
              <w:sz w:val="24"/>
              <w:szCs w:val="24"/>
            </w:rPr>
            <w:fldChar w:fldCharType="end"/>
          </w:r>
        </w:p>
      </w:sdtContent>
    </w:sdt>
    <w:p w14:paraId="6B9784FF" w14:textId="77777777" w:rsidR="00637A94" w:rsidRDefault="00E04455">
      <w:pPr>
        <w:pStyle w:val="Heading1"/>
      </w:pPr>
      <w:bookmarkStart w:id="0" w:name="_kyob1b8yrk4j" w:colFirst="0" w:colLast="0"/>
      <w:bookmarkEnd w:id="0"/>
      <w:r>
        <w:br w:type="page"/>
      </w:r>
    </w:p>
    <w:p w14:paraId="2ED6109E" w14:textId="77777777" w:rsidR="00637A94" w:rsidRDefault="00E04455">
      <w:pPr>
        <w:pStyle w:val="Heading1"/>
      </w:pPr>
      <w:bookmarkStart w:id="1" w:name="_iysi5dbxzlim" w:colFirst="0" w:colLast="0"/>
      <w:bookmarkEnd w:id="1"/>
      <w:r>
        <w:lastRenderedPageBreak/>
        <w:t xml:space="preserve">Introduction </w:t>
      </w:r>
    </w:p>
    <w:p w14:paraId="6548391D"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Strategic management is the process of managing an organisation’s resources, analysing its internal and external forces, and building strategies to bring forward developmental aspects in the company orientation. This process is essential for organisations to critically develop strategic evaluation and internal organisational analysis (</w:t>
      </w:r>
      <w:r>
        <w:rPr>
          <w:rFonts w:ascii="Times New Roman" w:eastAsia="Times New Roman" w:hAnsi="Times New Roman" w:cs="Times New Roman"/>
          <w:color w:val="222222"/>
          <w:sz w:val="24"/>
          <w:szCs w:val="24"/>
          <w:highlight w:val="white"/>
        </w:rPr>
        <w:t xml:space="preserve">Fuertes et al., </w:t>
      </w:r>
      <w:r>
        <w:rPr>
          <w:rFonts w:ascii="Times New Roman" w:eastAsia="Times New Roman" w:hAnsi="Times New Roman" w:cs="Times New Roman"/>
          <w:sz w:val="24"/>
          <w:szCs w:val="24"/>
        </w:rPr>
        <w:t>2020). It also is a facilitator of the company to gain strategic execution through different tools and organisational resources. It is also useful for companies to rationalise changes and actualise them to create a better future for the company. It provides proper communication between the employees and the management to create a cohesive workplace. Strategic management helps in bringing order and discipline to the activities of organisations and achieve its desired outcomes in the future.</w:t>
      </w:r>
    </w:p>
    <w:p w14:paraId="1EC404D3" w14:textId="77777777" w:rsidR="00637A94" w:rsidRDefault="00E04455" w:rsidP="00594BE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of strategic management is to gain a competitive advantage. In the present marketplace, the workplace is continuously being directed through technological innovation. In such cases, strategic management can be the key to delivering a solid competitive edge to the organisations. This is one of the reasons why organisations create proper visions and missions in alignment with global trends and stakeholder expectations (</w:t>
      </w:r>
      <w:r>
        <w:rPr>
          <w:rFonts w:ascii="Times New Roman" w:eastAsia="Times New Roman" w:hAnsi="Times New Roman" w:cs="Times New Roman"/>
          <w:color w:val="222222"/>
          <w:sz w:val="24"/>
          <w:szCs w:val="24"/>
          <w:highlight w:val="white"/>
        </w:rPr>
        <w:t>Simons, 2019</w:t>
      </w:r>
      <w:r>
        <w:rPr>
          <w:rFonts w:ascii="Times New Roman" w:eastAsia="Times New Roman" w:hAnsi="Times New Roman" w:cs="Times New Roman"/>
          <w:sz w:val="24"/>
          <w:szCs w:val="24"/>
        </w:rPr>
        <w:t xml:space="preserve">). This also helps companies to create development plans and strengthen their long-term competitive position. This study aims to illustrate the strategic management of Sunpower company while analysing its external and internal criteria and their impact on its management.                                               </w:t>
      </w:r>
    </w:p>
    <w:p w14:paraId="60F9CCB8" w14:textId="77777777" w:rsidR="00637A94" w:rsidRDefault="00E04455">
      <w:pPr>
        <w:pStyle w:val="Heading2"/>
      </w:pPr>
      <w:bookmarkStart w:id="2" w:name="_2ptqq3s4z4zm" w:colFirst="0" w:colLast="0"/>
      <w:bookmarkEnd w:id="2"/>
      <w:r>
        <w:t xml:space="preserve">Overview of the case study </w:t>
      </w:r>
    </w:p>
    <w:p w14:paraId="6A2FA647" w14:textId="69F7B9CA"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particular case study deals with the different strategic implementations of SunPower company that is focused on the future of solar power. It deals with </w:t>
      </w:r>
      <w:r w:rsidR="000C6197">
        <w:rPr>
          <w:rFonts w:ascii="Times New Roman" w:eastAsia="Times New Roman" w:hAnsi="Times New Roman" w:cs="Times New Roman"/>
          <w:sz w:val="24"/>
          <w:szCs w:val="24"/>
        </w:rPr>
        <w:t>SunPower’s place</w:t>
      </w:r>
      <w:r>
        <w:rPr>
          <w:rFonts w:ascii="Times New Roman" w:eastAsia="Times New Roman" w:hAnsi="Times New Roman" w:cs="Times New Roman"/>
          <w:sz w:val="24"/>
          <w:szCs w:val="24"/>
        </w:rPr>
        <w:t xml:space="preserve"> </w:t>
      </w:r>
      <w:r w:rsidR="000C6197">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the world's most effective solar cell or photovoltaic or PV is one of the most effective elements of the company for its competitive advantage. However, it has some issues that cause hindrances in </w:t>
      </w:r>
      <w:r>
        <w:rPr>
          <w:rFonts w:ascii="Times New Roman" w:eastAsia="Times New Roman" w:hAnsi="Times New Roman" w:cs="Times New Roman"/>
          <w:sz w:val="24"/>
          <w:szCs w:val="24"/>
        </w:rPr>
        <w:lastRenderedPageBreak/>
        <w:t>its future development. It shed light on the environmental issues related to burning fossil fuels and including toxic gases like SO2, NO2 NO3, and particulates that cause a threat to human and environmental health. It also highlights that CO2 poses threats to long-term environmental risks. It elaborates on the factor of solar cell or photovoltaics system conversion of energy from the solar to electrical current (</w:t>
      </w:r>
      <w:r>
        <w:rPr>
          <w:rFonts w:ascii="Times New Roman" w:eastAsia="Times New Roman" w:hAnsi="Times New Roman" w:cs="Times New Roman"/>
          <w:color w:val="222222"/>
          <w:sz w:val="24"/>
          <w:szCs w:val="24"/>
          <w:highlight w:val="white"/>
        </w:rPr>
        <w:t xml:space="preserve">Radavičius et al., </w:t>
      </w:r>
      <w:r>
        <w:rPr>
          <w:rFonts w:ascii="Times New Roman" w:eastAsia="Times New Roman" w:hAnsi="Times New Roman" w:cs="Times New Roman"/>
          <w:sz w:val="24"/>
          <w:szCs w:val="24"/>
        </w:rPr>
        <w:t xml:space="preserve">2021). It sheds light on the AA battery </w:t>
      </w:r>
      <w:r w:rsidR="000C6197">
        <w:rPr>
          <w:rFonts w:ascii="Times New Roman" w:eastAsia="Times New Roman" w:hAnsi="Times New Roman" w:cs="Times New Roman"/>
          <w:sz w:val="24"/>
          <w:szCs w:val="24"/>
        </w:rPr>
        <w:t>and also the effectiveness solar cell performance</w:t>
      </w:r>
      <w:r>
        <w:rPr>
          <w:rFonts w:ascii="Times New Roman" w:eastAsia="Times New Roman" w:hAnsi="Times New Roman" w:cs="Times New Roman"/>
          <w:sz w:val="24"/>
          <w:szCs w:val="24"/>
        </w:rPr>
        <w:t>. It also illustrates the private equity of the industry in 2011 to be roughly $1.7</w:t>
      </w:r>
      <w:r w:rsidR="000C6197">
        <w:rPr>
          <w:rFonts w:ascii="Times New Roman" w:eastAsia="Times New Roman" w:hAnsi="Times New Roman" w:cs="Times New Roman"/>
          <w:sz w:val="24"/>
          <w:szCs w:val="24"/>
        </w:rPr>
        <w:t xml:space="preserve"> billion</w:t>
      </w:r>
      <w:r>
        <w:rPr>
          <w:rFonts w:ascii="Times New Roman" w:eastAsia="Times New Roman" w:hAnsi="Times New Roman" w:cs="Times New Roman"/>
          <w:sz w:val="24"/>
          <w:szCs w:val="24"/>
        </w:rPr>
        <w:t xml:space="preserve">. It is also evident in the case study that Japan </w:t>
      </w:r>
      <w:r w:rsidR="000C6197">
        <w:rPr>
          <w:rFonts w:ascii="Times New Roman" w:eastAsia="Times New Roman" w:hAnsi="Times New Roman" w:cs="Times New Roman"/>
          <w:sz w:val="24"/>
          <w:szCs w:val="24"/>
        </w:rPr>
        <w:t>was the world’s leader in solar cells or rather PV cells</w:t>
      </w:r>
      <w:r>
        <w:rPr>
          <w:rFonts w:ascii="Times New Roman" w:eastAsia="Times New Roman" w:hAnsi="Times New Roman" w:cs="Times New Roman"/>
          <w:sz w:val="24"/>
          <w:szCs w:val="24"/>
        </w:rPr>
        <w:t xml:space="preserve"> and had a volume that was five times more than that of the United States. </w:t>
      </w:r>
    </w:p>
    <w:p w14:paraId="410AE02A" w14:textId="0F97CE4F"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reflects that China was the market to highlight due to the growing need for energy and a large workforce. It also illustrates the different materials like silicon ingots, wafers cells, and module that is needed for Solar cell manufacturers to generate proper competitive advantage in the long run. This case study also shed light on the pricing that is evident in the solar industry (</w:t>
      </w:r>
      <w:r>
        <w:rPr>
          <w:rFonts w:ascii="Times New Roman" w:eastAsia="Times New Roman" w:hAnsi="Times New Roman" w:cs="Times New Roman"/>
          <w:color w:val="222222"/>
          <w:sz w:val="24"/>
          <w:szCs w:val="24"/>
          <w:highlight w:val="white"/>
        </w:rPr>
        <w:t>Qu, Cao, &amp; Su, 2020</w:t>
      </w:r>
      <w:r>
        <w:rPr>
          <w:rFonts w:ascii="Times New Roman" w:eastAsia="Times New Roman" w:hAnsi="Times New Roman" w:cs="Times New Roman"/>
          <w:sz w:val="24"/>
          <w:szCs w:val="24"/>
        </w:rPr>
        <w:t xml:space="preserve">). It stated that power was sold </w:t>
      </w:r>
      <w:r w:rsidR="000C6197">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$/kWh. It also describes the company SunPower along with its core capabilities. It also puts proper focus on the competition and threat from different companies like Sharp Solar, Q- Cells, First Solar, and SunTech. </w:t>
      </w:r>
    </w:p>
    <w:p w14:paraId="59467416" w14:textId="77777777" w:rsidR="00637A94" w:rsidRDefault="00E04455">
      <w:pPr>
        <w:pStyle w:val="Heading2"/>
      </w:pPr>
      <w:bookmarkStart w:id="3" w:name="_8a32ecmhltxt" w:colFirst="0" w:colLast="0"/>
      <w:bookmarkEnd w:id="3"/>
      <w:r>
        <w:t xml:space="preserve">Company background </w:t>
      </w:r>
    </w:p>
    <w:p w14:paraId="7EE05F1B" w14:textId="50D073EF" w:rsidR="00637A94" w:rsidRDefault="00E04455" w:rsidP="00594BE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was </w:t>
      </w:r>
      <w:r w:rsidR="000C6197">
        <w:rPr>
          <w:rFonts w:ascii="Times New Roman" w:eastAsia="Times New Roman" w:hAnsi="Times New Roman" w:cs="Times New Roman"/>
          <w:sz w:val="24"/>
          <w:szCs w:val="24"/>
        </w:rPr>
        <w:t>brought forward</w:t>
      </w:r>
      <w:r>
        <w:rPr>
          <w:rFonts w:ascii="Times New Roman" w:eastAsia="Times New Roman" w:hAnsi="Times New Roman" w:cs="Times New Roman"/>
          <w:sz w:val="24"/>
          <w:szCs w:val="24"/>
        </w:rPr>
        <w:t xml:space="preserve"> in 1987 by Dr Richard Swanson</w:t>
      </w:r>
      <w:r w:rsidR="000C6197">
        <w:rPr>
          <w:rFonts w:ascii="Times New Roman" w:eastAsia="Times New Roman" w:hAnsi="Times New Roman" w:cs="Times New Roman"/>
          <w:sz w:val="24"/>
          <w:szCs w:val="24"/>
        </w:rPr>
        <w:t>, a professor at Stanford. At that time period, there was an issues in VC financing aspects</w:t>
      </w:r>
      <w:r>
        <w:rPr>
          <w:rFonts w:ascii="Times New Roman" w:eastAsia="Times New Roman" w:hAnsi="Times New Roman" w:cs="Times New Roman"/>
          <w:sz w:val="24"/>
          <w:szCs w:val="24"/>
        </w:rPr>
        <w:t>. The goal of the company was to commercialise the overall solar concentrator technology that was present in the market. However, it proved to be a huge disadvantage to the company as it ended up moving in a different direction (</w:t>
      </w:r>
      <w:r>
        <w:rPr>
          <w:rFonts w:ascii="Times New Roman" w:eastAsia="Times New Roman" w:hAnsi="Times New Roman" w:cs="Times New Roman"/>
          <w:color w:val="222222"/>
          <w:sz w:val="24"/>
          <w:szCs w:val="24"/>
          <w:highlight w:val="white"/>
        </w:rPr>
        <w:t xml:space="preserve">Turk et al., </w:t>
      </w:r>
      <w:r>
        <w:rPr>
          <w:rFonts w:ascii="Times New Roman" w:eastAsia="Times New Roman" w:hAnsi="Times New Roman" w:cs="Times New Roman"/>
          <w:sz w:val="24"/>
          <w:szCs w:val="24"/>
        </w:rPr>
        <w:t xml:space="preserve">2022). It also could not implement a flat plate system which was a </w:t>
      </w:r>
      <w:r>
        <w:rPr>
          <w:rFonts w:ascii="Times New Roman" w:eastAsia="Times New Roman" w:hAnsi="Times New Roman" w:cs="Times New Roman"/>
          <w:sz w:val="24"/>
          <w:szCs w:val="24"/>
        </w:rPr>
        <w:lastRenderedPageBreak/>
        <w:t xml:space="preserve">huge way to go due to technological restrictions. Additionally, the concentrators were also not suited for small distribution or lower applications. </w:t>
      </w:r>
    </w:p>
    <w:p w14:paraId="00AD9D54" w14:textId="73D0739C"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era of 1990, the Honda motor company approached this particular company as it had already started getting a good name for its effective solar cell. This was seen by Honda to power its race cars. After proper collaboration with Honda during that time SunPower had been transformed from a research and development laboratory to a solar cell manufacturer which operated 24 hours per day.  This aspect was usually advantageous for both the company as Honda cars powered by SolarPower cells won the </w:t>
      </w:r>
      <w:r w:rsidR="000C6197">
        <w:rPr>
          <w:rFonts w:ascii="Times New Roman" w:eastAsia="Times New Roman" w:hAnsi="Times New Roman" w:cs="Times New Roman"/>
          <w:sz w:val="24"/>
          <w:szCs w:val="24"/>
        </w:rPr>
        <w:t>competion that happened</w:t>
      </w:r>
      <w:r>
        <w:rPr>
          <w:rFonts w:ascii="Times New Roman" w:eastAsia="Times New Roman" w:hAnsi="Times New Roman" w:cs="Times New Roman"/>
          <w:sz w:val="24"/>
          <w:szCs w:val="24"/>
        </w:rPr>
        <w:t xml:space="preserve"> Australia a day </w:t>
      </w:r>
      <w:r w:rsidR="000C6197">
        <w:rPr>
          <w:rFonts w:ascii="Times New Roman" w:eastAsia="Times New Roman" w:hAnsi="Times New Roman" w:cs="Times New Roman"/>
          <w:sz w:val="24"/>
          <w:szCs w:val="24"/>
        </w:rPr>
        <w:t>more than</w:t>
      </w:r>
      <w:r>
        <w:rPr>
          <w:rFonts w:ascii="Times New Roman" w:eastAsia="Times New Roman" w:hAnsi="Times New Roman" w:cs="Times New Roman"/>
          <w:sz w:val="24"/>
          <w:szCs w:val="24"/>
        </w:rPr>
        <w:t xml:space="preserve"> the car</w:t>
      </w:r>
      <w:r w:rsidR="000C6197">
        <w:rPr>
          <w:rFonts w:ascii="Times New Roman" w:eastAsia="Times New Roman" w:hAnsi="Times New Roman" w:cs="Times New Roman"/>
          <w:sz w:val="24"/>
          <w:szCs w:val="24"/>
        </w:rPr>
        <w:t xml:space="preserve"> that got the second position</w:t>
      </w:r>
      <w:r>
        <w:rPr>
          <w:rFonts w:ascii="Times New Roman" w:eastAsia="Times New Roman" w:hAnsi="Times New Roman" w:cs="Times New Roman"/>
          <w:sz w:val="24"/>
          <w:szCs w:val="24"/>
        </w:rPr>
        <w:t>. Today</w:t>
      </w:r>
      <w:r w:rsidR="000C619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revenue of the company is around $ i.3 billion (</w:t>
      </w:r>
      <w:r>
        <w:rPr>
          <w:rFonts w:ascii="Times New Roman" w:eastAsia="Times New Roman" w:hAnsi="Times New Roman" w:cs="Times New Roman"/>
          <w:color w:val="222222"/>
          <w:sz w:val="24"/>
          <w:szCs w:val="24"/>
          <w:highlight w:val="white"/>
        </w:rPr>
        <w:t>Statista, 2022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1F793F36" w14:textId="77777777" w:rsidR="00637A94" w:rsidRDefault="00E04455">
      <w:pPr>
        <w:pStyle w:val="Heading1"/>
      </w:pPr>
      <w:bookmarkStart w:id="4" w:name="_zhxuogl363r3" w:colFirst="0" w:colLast="0"/>
      <w:bookmarkEnd w:id="4"/>
      <w:r>
        <w:t>Strategic analysis of how the central issues the company is facing with the help of contemporary frameworks and models</w:t>
      </w:r>
    </w:p>
    <w:p w14:paraId="097ACE18" w14:textId="77777777" w:rsidR="00637A94" w:rsidRDefault="00E04455">
      <w:pPr>
        <w:pStyle w:val="Heading2"/>
      </w:pPr>
      <w:bookmarkStart w:id="5" w:name="_i2euq7kgrmiv" w:colFirst="0" w:colLast="0"/>
      <w:bookmarkEnd w:id="5"/>
      <w:r>
        <w:t xml:space="preserve">Internal analysis of the company </w:t>
      </w:r>
    </w:p>
    <w:p w14:paraId="474114AB" w14:textId="77777777" w:rsidR="00637A94" w:rsidRDefault="00E04455">
      <w:pPr>
        <w:pStyle w:val="Heading3"/>
      </w:pPr>
      <w:bookmarkStart w:id="6" w:name="_uk70ftgp7ug2" w:colFirst="0" w:colLast="0"/>
      <w:bookmarkEnd w:id="6"/>
      <w:r>
        <w:t>SWOT analysis</w:t>
      </w:r>
    </w:p>
    <w:p w14:paraId="26C2D12E" w14:textId="77777777" w:rsidR="00637A94" w:rsidRDefault="00637A94">
      <w:pPr>
        <w:pStyle w:val="Normal1"/>
        <w:spacing w:line="480" w:lineRule="auto"/>
        <w:jc w:val="both"/>
        <w:rPr>
          <w:rFonts w:ascii="Times New Roman" w:eastAsia="Times New Roman" w:hAnsi="Times New Roman" w:cs="Times New Roman"/>
          <w:sz w:val="24"/>
          <w:szCs w:val="24"/>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37A94" w14:paraId="2CF84878" w14:textId="77777777">
        <w:tc>
          <w:tcPr>
            <w:tcW w:w="4680" w:type="dxa"/>
            <w:shd w:val="clear" w:color="auto" w:fill="F4CCCC"/>
            <w:tcMar>
              <w:top w:w="100" w:type="dxa"/>
              <w:left w:w="100" w:type="dxa"/>
              <w:bottom w:w="100" w:type="dxa"/>
              <w:right w:w="100" w:type="dxa"/>
            </w:tcMar>
          </w:tcPr>
          <w:p w14:paraId="1ADFA6D5"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Strengths </w:t>
            </w:r>
          </w:p>
        </w:tc>
        <w:tc>
          <w:tcPr>
            <w:tcW w:w="4680" w:type="dxa"/>
            <w:shd w:val="clear" w:color="auto" w:fill="F4CCCC"/>
            <w:tcMar>
              <w:top w:w="100" w:type="dxa"/>
              <w:left w:w="100" w:type="dxa"/>
              <w:bottom w:w="100" w:type="dxa"/>
              <w:right w:w="100" w:type="dxa"/>
            </w:tcMar>
          </w:tcPr>
          <w:p w14:paraId="110FFA0C"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Weaknesses </w:t>
            </w:r>
          </w:p>
        </w:tc>
      </w:tr>
      <w:tr w:rsidR="00637A94" w14:paraId="334C9748" w14:textId="77777777">
        <w:tc>
          <w:tcPr>
            <w:tcW w:w="4680" w:type="dxa"/>
            <w:shd w:val="clear" w:color="auto" w:fill="auto"/>
            <w:tcMar>
              <w:top w:w="100" w:type="dxa"/>
              <w:left w:w="100" w:type="dxa"/>
              <w:bottom w:w="100" w:type="dxa"/>
              <w:right w:w="100" w:type="dxa"/>
            </w:tcMar>
          </w:tcPr>
          <w:p w14:paraId="4C010094"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company </w:t>
            </w:r>
          </w:p>
          <w:p w14:paraId="5D80179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research and development </w:t>
            </w:r>
          </w:p>
          <w:p w14:paraId="1614DB7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financial position with consecutive profits in the solar industry</w:t>
            </w:r>
          </w:p>
          <w:p w14:paraId="39330F49"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produces  photovoltaic  or PV </w:t>
            </w:r>
            <w:r>
              <w:rPr>
                <w:rFonts w:ascii="Times New Roman" w:eastAsia="Times New Roman" w:hAnsi="Times New Roman" w:cs="Times New Roman"/>
                <w:sz w:val="24"/>
                <w:szCs w:val="24"/>
              </w:rPr>
              <w:lastRenderedPageBreak/>
              <w:t>renowned worldwide (</w:t>
            </w:r>
            <w:r>
              <w:rPr>
                <w:rFonts w:ascii="Times New Roman" w:eastAsia="Times New Roman" w:hAnsi="Times New Roman" w:cs="Times New Roman"/>
                <w:color w:val="222222"/>
                <w:sz w:val="24"/>
                <w:szCs w:val="24"/>
                <w:highlight w:val="white"/>
              </w:rPr>
              <w:t xml:space="preserve">Benzaghta et al., </w:t>
            </w:r>
            <w:r>
              <w:rPr>
                <w:rFonts w:ascii="Times New Roman" w:eastAsia="Times New Roman" w:hAnsi="Times New Roman" w:cs="Times New Roman"/>
                <w:sz w:val="24"/>
                <w:szCs w:val="24"/>
              </w:rPr>
              <w:t>2021)</w:t>
            </w:r>
          </w:p>
          <w:p w14:paraId="76DE34D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Collaborated with Honda and Cypress  </w:t>
            </w:r>
          </w:p>
        </w:tc>
        <w:tc>
          <w:tcPr>
            <w:tcW w:w="4680" w:type="dxa"/>
            <w:shd w:val="clear" w:color="auto" w:fill="auto"/>
            <w:tcMar>
              <w:top w:w="100" w:type="dxa"/>
              <w:left w:w="100" w:type="dxa"/>
              <w:bottom w:w="100" w:type="dxa"/>
              <w:right w:w="100" w:type="dxa"/>
            </w:tcMar>
          </w:tcPr>
          <w:p w14:paraId="459D12D6" w14:textId="77777777" w:rsidR="00637A94" w:rsidRDefault="00E04455">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Faced issues in the commercialising the solar concentrator technology </w:t>
            </w:r>
          </w:p>
          <w:p w14:paraId="35E87E93" w14:textId="77777777" w:rsidR="00637A94" w:rsidRDefault="00E04455">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rise in capital investment with higher efficacy </w:t>
            </w:r>
          </w:p>
        </w:tc>
      </w:tr>
      <w:tr w:rsidR="00637A94" w14:paraId="3AF0349F" w14:textId="77777777">
        <w:tc>
          <w:tcPr>
            <w:tcW w:w="4680" w:type="dxa"/>
            <w:shd w:val="clear" w:color="auto" w:fill="F4CCCC"/>
            <w:tcMar>
              <w:top w:w="100" w:type="dxa"/>
              <w:left w:w="100" w:type="dxa"/>
              <w:bottom w:w="100" w:type="dxa"/>
              <w:right w:w="100" w:type="dxa"/>
            </w:tcMar>
          </w:tcPr>
          <w:p w14:paraId="1C5482BF"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Opportunities </w:t>
            </w:r>
          </w:p>
        </w:tc>
        <w:tc>
          <w:tcPr>
            <w:tcW w:w="4680" w:type="dxa"/>
            <w:shd w:val="clear" w:color="auto" w:fill="F4CCCC"/>
            <w:tcMar>
              <w:top w:w="100" w:type="dxa"/>
              <w:left w:w="100" w:type="dxa"/>
              <w:bottom w:w="100" w:type="dxa"/>
              <w:right w:w="100" w:type="dxa"/>
            </w:tcMar>
          </w:tcPr>
          <w:p w14:paraId="712887D7"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w:t>
            </w:r>
          </w:p>
        </w:tc>
      </w:tr>
      <w:tr w:rsidR="00637A94" w14:paraId="53567DA8" w14:textId="77777777">
        <w:tc>
          <w:tcPr>
            <w:tcW w:w="4680" w:type="dxa"/>
            <w:shd w:val="clear" w:color="auto" w:fill="auto"/>
            <w:tcMar>
              <w:top w:w="100" w:type="dxa"/>
              <w:left w:w="100" w:type="dxa"/>
              <w:bottom w:w="100" w:type="dxa"/>
              <w:right w:w="100" w:type="dxa"/>
            </w:tcMar>
          </w:tcPr>
          <w:p w14:paraId="2C1F98CC"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solar cells</w:t>
            </w:r>
          </w:p>
          <w:p w14:paraId="53358633"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Availability of highest efficacy solar cells commercially </w:t>
            </w:r>
          </w:p>
          <w:p w14:paraId="476A464B"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Equipment innovation </w:t>
            </w:r>
          </w:p>
          <w:p w14:paraId="53177713"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edge with high efficacy cells </w:t>
            </w:r>
          </w:p>
          <w:p w14:paraId="463FE6D9"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of e-commerce and social media for lead generation </w:t>
            </w:r>
          </w:p>
        </w:tc>
        <w:tc>
          <w:tcPr>
            <w:tcW w:w="4680" w:type="dxa"/>
            <w:shd w:val="clear" w:color="auto" w:fill="auto"/>
            <w:tcMar>
              <w:top w:w="100" w:type="dxa"/>
              <w:left w:w="100" w:type="dxa"/>
              <w:bottom w:w="100" w:type="dxa"/>
              <w:right w:w="100" w:type="dxa"/>
            </w:tcMar>
          </w:tcPr>
          <w:p w14:paraId="1C87EF99"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competitors like Sharp Solar, Q- Cells, First Solar, and SunTech (</w:t>
            </w:r>
            <w:r>
              <w:rPr>
                <w:rFonts w:ascii="Times New Roman" w:eastAsia="Times New Roman" w:hAnsi="Times New Roman" w:cs="Times New Roman"/>
                <w:color w:val="222222"/>
                <w:sz w:val="24"/>
                <w:szCs w:val="24"/>
                <w:highlight w:val="white"/>
              </w:rPr>
              <w:t>Henderson, Conkling, &amp; Roberts, 2007</w:t>
            </w:r>
            <w:r>
              <w:rPr>
                <w:rFonts w:ascii="Times New Roman" w:eastAsia="Times New Roman" w:hAnsi="Times New Roman" w:cs="Times New Roman"/>
                <w:sz w:val="24"/>
                <w:szCs w:val="24"/>
              </w:rPr>
              <w:t>)</w:t>
            </w:r>
          </w:p>
          <w:p w14:paraId="25FF6F1D"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in consumer taste </w:t>
            </w:r>
          </w:p>
        </w:tc>
      </w:tr>
    </w:tbl>
    <w:p w14:paraId="381F72DE" w14:textId="77777777" w:rsidR="00637A94" w:rsidRDefault="00637A94">
      <w:pPr>
        <w:pStyle w:val="Normal1"/>
        <w:spacing w:line="480" w:lineRule="auto"/>
        <w:jc w:val="both"/>
        <w:rPr>
          <w:rFonts w:ascii="Times New Roman" w:eastAsia="Times New Roman" w:hAnsi="Times New Roman" w:cs="Times New Roman"/>
          <w:sz w:val="24"/>
          <w:szCs w:val="24"/>
        </w:rPr>
      </w:pPr>
    </w:p>
    <w:p w14:paraId="29868A83"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xml:space="preserve">: It can be analysed that the company is a global leader in solar power. It has a huge name in brand integrity and brand image. It is also one of the biggest solar power brands and operates in nearly more than a hundred countries across the globe. Most importantly the products made by this company are also of high quality and help it focus on competitive advantage. It also has a strong research and development department that helped it create photovoltaic or PV cells known worldwide. It has also been able to create collaboration with Honda company for its sports car cells and Cypress. Still, it faces issues in commercialising solar contractor technology. The company realised that contractors were not according to the plan and led the overall process in a different direction. The contractors were also not well suited for the small distribution and </w:t>
      </w:r>
      <w:r>
        <w:rPr>
          <w:rFonts w:ascii="Times New Roman" w:eastAsia="Times New Roman" w:hAnsi="Times New Roman" w:cs="Times New Roman"/>
          <w:sz w:val="24"/>
          <w:szCs w:val="24"/>
        </w:rPr>
        <w:lastRenderedPageBreak/>
        <w:t>also the remote application (</w:t>
      </w:r>
      <w:r>
        <w:rPr>
          <w:rFonts w:ascii="Times New Roman" w:eastAsia="Times New Roman" w:hAnsi="Times New Roman" w:cs="Times New Roman"/>
          <w:color w:val="222222"/>
          <w:sz w:val="24"/>
          <w:szCs w:val="24"/>
          <w:highlight w:val="white"/>
        </w:rPr>
        <w:t xml:space="preserve">Puyt et al., </w:t>
      </w:r>
      <w:r>
        <w:rPr>
          <w:rFonts w:ascii="Times New Roman" w:eastAsia="Times New Roman" w:hAnsi="Times New Roman" w:cs="Times New Roman"/>
          <w:sz w:val="24"/>
          <w:szCs w:val="24"/>
        </w:rPr>
        <w:t>2020). This also created a critical situation for the company to the point where it thought of returning the money to the VCs. Moreover, it also faced issues with the rise in capital investment. It wanted to create higher efficiency and improve assets and it came with a high cost. The manufacturing process required twice as much that was needed for the solar cell manufacturing process. This also raised the overall capital expenditure of the organisation.</w:t>
      </w:r>
    </w:p>
    <w:p w14:paraId="297C919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company had different opportunities to create solar cells that opened a huge dimension for creating efficacy cells for global commercialisation. It also created a huge opportunity for the company to innovate on the equipment and Research and Development to use innovation The collaboration with Honda also opened a new dimension for the company to transform itself from research and development to an overall solar cell manufacturer which operated 24 hours per day (</w:t>
      </w:r>
      <w:r>
        <w:rPr>
          <w:rFonts w:ascii="Times New Roman" w:eastAsia="Times New Roman" w:hAnsi="Times New Roman" w:cs="Times New Roman"/>
          <w:color w:val="222222"/>
          <w:sz w:val="24"/>
          <w:szCs w:val="24"/>
          <w:highlight w:val="white"/>
        </w:rPr>
        <w:t>Phadermrod, Crowder, &amp; Wills, 2019</w:t>
      </w:r>
      <w:r>
        <w:rPr>
          <w:rFonts w:ascii="Times New Roman" w:eastAsia="Times New Roman" w:hAnsi="Times New Roman" w:cs="Times New Roman"/>
          <w:sz w:val="24"/>
          <w:szCs w:val="24"/>
        </w:rPr>
        <w:t xml:space="preserve">). It also has a name for generating PV cells that are widely known around the globe. Consequently according to the need for a lead generation the company can penetrate the Global market with the help of digital Marketing. </w:t>
      </w:r>
    </w:p>
    <w:p w14:paraId="2AEA2B1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create different social media pages and its official page where it can get traffic retention. It can illustrate different technological innovations and differentiation and also advertise the new products on the pages and get customer retention. This can help the company get more customers for future orientation. However, it has to make sure that it caters to the needs of the customers while answering all the queries. On the other hand, SunPower faces threats from other solar power companies like SharpSolar, Q-Cells, FirstSolar, and SunTech. These companies are established cell manufacturers and silicon-based cell development companies (</w:t>
      </w:r>
      <w:r>
        <w:rPr>
          <w:rFonts w:ascii="Times New Roman" w:eastAsia="Times New Roman" w:hAnsi="Times New Roman" w:cs="Times New Roman"/>
          <w:color w:val="222222"/>
          <w:sz w:val="24"/>
          <w:szCs w:val="24"/>
          <w:highlight w:val="white"/>
        </w:rPr>
        <w:t>Vlados, 2019</w:t>
      </w:r>
      <w:r>
        <w:rPr>
          <w:rFonts w:ascii="Times New Roman" w:eastAsia="Times New Roman" w:hAnsi="Times New Roman" w:cs="Times New Roman"/>
          <w:sz w:val="24"/>
          <w:szCs w:val="24"/>
        </w:rPr>
        <w:t xml:space="preserve">). They also offer potentially disruptive technologies to consumers that create </w:t>
      </w:r>
      <w:r>
        <w:rPr>
          <w:rFonts w:ascii="Times New Roman" w:eastAsia="Times New Roman" w:hAnsi="Times New Roman" w:cs="Times New Roman"/>
          <w:sz w:val="24"/>
          <w:szCs w:val="24"/>
        </w:rPr>
        <w:lastRenderedPageBreak/>
        <w:t xml:space="preserve">competitive threats to SunPower. The company has also faced changes in consumer tastes which is also a huge threat that has to be mitigated to retain its position as a leader in the solar industry. </w:t>
      </w:r>
    </w:p>
    <w:p w14:paraId="74830383" w14:textId="77777777" w:rsidR="00637A94" w:rsidRDefault="00E04455">
      <w:pPr>
        <w:pStyle w:val="Heading3"/>
      </w:pPr>
      <w:bookmarkStart w:id="7" w:name="_2dla5lvubccn" w:colFirst="0" w:colLast="0"/>
      <w:bookmarkEnd w:id="7"/>
      <w:r>
        <w:t xml:space="preserve">External analysis (PESTLE) of the solar power industry </w:t>
      </w:r>
    </w:p>
    <w:p w14:paraId="612ABEB6" w14:textId="77777777" w:rsidR="00637A94" w:rsidRDefault="00637A94">
      <w:pPr>
        <w:pStyle w:val="Normal1"/>
        <w:spacing w:line="480" w:lineRule="auto"/>
        <w:jc w:val="both"/>
        <w:rPr>
          <w:rFonts w:ascii="Times New Roman" w:eastAsia="Times New Roman" w:hAnsi="Times New Roman" w:cs="Times New Roman"/>
          <w:sz w:val="24"/>
          <w:szCs w:val="24"/>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960"/>
      </w:tblGrid>
      <w:tr w:rsidR="00637A94" w14:paraId="30CED616" w14:textId="77777777">
        <w:tc>
          <w:tcPr>
            <w:tcW w:w="2400" w:type="dxa"/>
            <w:shd w:val="clear" w:color="auto" w:fill="auto"/>
            <w:tcMar>
              <w:top w:w="100" w:type="dxa"/>
              <w:left w:w="100" w:type="dxa"/>
              <w:bottom w:w="100" w:type="dxa"/>
              <w:right w:w="100" w:type="dxa"/>
            </w:tcMar>
          </w:tcPr>
          <w:p w14:paraId="3FE32B5A"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Political </w:t>
            </w:r>
          </w:p>
        </w:tc>
        <w:tc>
          <w:tcPr>
            <w:tcW w:w="6960" w:type="dxa"/>
            <w:shd w:val="clear" w:color="auto" w:fill="auto"/>
            <w:tcMar>
              <w:top w:w="100" w:type="dxa"/>
              <w:left w:w="100" w:type="dxa"/>
              <w:bottom w:w="100" w:type="dxa"/>
              <w:right w:w="100" w:type="dxa"/>
            </w:tcMar>
          </w:tcPr>
          <w:p w14:paraId="0902F05E"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has 14 trade agreements (FTAs) with 20 countries (</w:t>
            </w:r>
            <w:r>
              <w:rPr>
                <w:rFonts w:ascii="Times New Roman" w:eastAsia="Times New Roman" w:hAnsi="Times New Roman" w:cs="Times New Roman"/>
                <w:color w:val="0F2741"/>
                <w:sz w:val="24"/>
                <w:szCs w:val="24"/>
                <w:highlight w:val="white"/>
              </w:rPr>
              <w:t>ITA, 2022</w:t>
            </w:r>
            <w:r>
              <w:rPr>
                <w:rFonts w:ascii="Times New Roman" w:eastAsia="Times New Roman" w:hAnsi="Times New Roman" w:cs="Times New Roman"/>
                <w:sz w:val="24"/>
                <w:szCs w:val="24"/>
              </w:rPr>
              <w:t>)</w:t>
            </w:r>
          </w:p>
          <w:p w14:paraId="50CC035D"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 also abides by the KYOTO protocol </w:t>
            </w:r>
          </w:p>
          <w:p w14:paraId="3DA9EFFC"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Solar power industry in the USA is hugely profitable by this to get free trade agreements with the international market</w:t>
            </w:r>
          </w:p>
          <w:p w14:paraId="3B687149"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useful for the industry in the USA to supply photovoltaic cells in the global market and gain a competitive advantage, in the long run, </w:t>
            </w:r>
          </w:p>
        </w:tc>
      </w:tr>
      <w:tr w:rsidR="00637A94" w14:paraId="60BE73EA" w14:textId="77777777">
        <w:tc>
          <w:tcPr>
            <w:tcW w:w="2400" w:type="dxa"/>
            <w:shd w:val="clear" w:color="auto" w:fill="auto"/>
            <w:tcMar>
              <w:top w:w="100" w:type="dxa"/>
              <w:left w:w="100" w:type="dxa"/>
              <w:bottom w:w="100" w:type="dxa"/>
              <w:right w:w="100" w:type="dxa"/>
            </w:tcMar>
          </w:tcPr>
          <w:p w14:paraId="09F7D84C"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Economical </w:t>
            </w:r>
          </w:p>
        </w:tc>
        <w:tc>
          <w:tcPr>
            <w:tcW w:w="6960" w:type="dxa"/>
            <w:shd w:val="clear" w:color="auto" w:fill="auto"/>
            <w:tcMar>
              <w:top w:w="100" w:type="dxa"/>
              <w:left w:w="100" w:type="dxa"/>
              <w:bottom w:w="100" w:type="dxa"/>
              <w:right w:w="100" w:type="dxa"/>
            </w:tcMar>
          </w:tcPr>
          <w:p w14:paraId="043187F9"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inflation in the USA is around 9.1% (</w:t>
            </w:r>
            <w:r>
              <w:rPr>
                <w:rFonts w:ascii="Times New Roman" w:eastAsia="Times New Roman" w:hAnsi="Times New Roman" w:cs="Times New Roman"/>
                <w:color w:val="0F2741"/>
                <w:sz w:val="24"/>
                <w:szCs w:val="24"/>
                <w:highlight w:val="white"/>
              </w:rPr>
              <w:t>Statista, 2022</w:t>
            </w:r>
            <w:r>
              <w:rPr>
                <w:rFonts w:ascii="Times New Roman" w:eastAsia="Times New Roman" w:hAnsi="Times New Roman" w:cs="Times New Roman"/>
                <w:sz w:val="24"/>
                <w:szCs w:val="24"/>
              </w:rPr>
              <w:t>)</w:t>
            </w:r>
          </w:p>
          <w:p w14:paraId="7B39FCF2"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GDP of the country is around $2.22 trillion in 2021</w:t>
            </w:r>
          </w:p>
          <w:p w14:paraId="7AA9D788"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fruitful for the solar companies in the USA to develop their solar research and development in the future orientation  </w:t>
            </w:r>
          </w:p>
        </w:tc>
      </w:tr>
      <w:tr w:rsidR="00637A94" w14:paraId="62006E3B" w14:textId="77777777">
        <w:tc>
          <w:tcPr>
            <w:tcW w:w="2400" w:type="dxa"/>
            <w:shd w:val="clear" w:color="auto" w:fill="auto"/>
            <w:tcMar>
              <w:top w:w="100" w:type="dxa"/>
              <w:left w:w="100" w:type="dxa"/>
              <w:bottom w:w="100" w:type="dxa"/>
              <w:right w:w="100" w:type="dxa"/>
            </w:tcMar>
          </w:tcPr>
          <w:p w14:paraId="0571CD6D"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tc>
        <w:tc>
          <w:tcPr>
            <w:tcW w:w="6960" w:type="dxa"/>
            <w:shd w:val="clear" w:color="auto" w:fill="auto"/>
            <w:tcMar>
              <w:top w:w="100" w:type="dxa"/>
              <w:left w:w="100" w:type="dxa"/>
              <w:bottom w:w="100" w:type="dxa"/>
              <w:right w:w="100" w:type="dxa"/>
            </w:tcMar>
          </w:tcPr>
          <w:p w14:paraId="79E273E9"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unemployment in the USA is around 3.7% (</w:t>
            </w:r>
            <w:r>
              <w:rPr>
                <w:rFonts w:ascii="Times New Roman" w:eastAsia="Times New Roman" w:hAnsi="Times New Roman" w:cs="Times New Roman"/>
                <w:color w:val="0F2741"/>
                <w:sz w:val="24"/>
                <w:szCs w:val="24"/>
                <w:highlight w:val="white"/>
              </w:rPr>
              <w:t>Statista, 2022</w:t>
            </w:r>
            <w:r>
              <w:rPr>
                <w:rFonts w:ascii="Times New Roman" w:eastAsia="Times New Roman" w:hAnsi="Times New Roman" w:cs="Times New Roman"/>
                <w:sz w:val="24"/>
                <w:szCs w:val="24"/>
              </w:rPr>
              <w:t>)</w:t>
            </w:r>
          </w:p>
          <w:p w14:paraId="7F859D03"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Employment Act in the country also covers the aspect of Bullying and harassment</w:t>
            </w:r>
          </w:p>
          <w:p w14:paraId="43E58788"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solar industry in the US is hugely benefited from </w:t>
            </w:r>
            <w:r>
              <w:rPr>
                <w:rFonts w:ascii="Times New Roman" w:eastAsia="Times New Roman" w:hAnsi="Times New Roman" w:cs="Times New Roman"/>
                <w:sz w:val="24"/>
                <w:szCs w:val="24"/>
              </w:rPr>
              <w:lastRenderedPageBreak/>
              <w:t xml:space="preserve">unemployment as it can get cheap labour at the low piece to manufacture solar cells </w:t>
            </w:r>
          </w:p>
          <w:p w14:paraId="578D4798"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also have to look after the laws stated in the Employment Act to subtract any unwanted situations that can create risks to the companies </w:t>
            </w:r>
          </w:p>
        </w:tc>
      </w:tr>
      <w:tr w:rsidR="00637A94" w14:paraId="5BE2A590" w14:textId="77777777">
        <w:tc>
          <w:tcPr>
            <w:tcW w:w="2400" w:type="dxa"/>
            <w:shd w:val="clear" w:color="auto" w:fill="auto"/>
            <w:tcMar>
              <w:top w:w="100" w:type="dxa"/>
              <w:left w:w="100" w:type="dxa"/>
              <w:bottom w:w="100" w:type="dxa"/>
              <w:right w:w="100" w:type="dxa"/>
            </w:tcMar>
          </w:tcPr>
          <w:p w14:paraId="4591A95F"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Technological </w:t>
            </w:r>
          </w:p>
        </w:tc>
        <w:tc>
          <w:tcPr>
            <w:tcW w:w="6960" w:type="dxa"/>
            <w:shd w:val="clear" w:color="auto" w:fill="auto"/>
            <w:tcMar>
              <w:top w:w="100" w:type="dxa"/>
              <w:left w:w="100" w:type="dxa"/>
              <w:bottom w:w="100" w:type="dxa"/>
              <w:right w:w="100" w:type="dxa"/>
            </w:tcMar>
          </w:tcPr>
          <w:p w14:paraId="001B767C"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investment made by the government in the solar industry is around $33 billion</w:t>
            </w:r>
          </w:p>
          <w:p w14:paraId="389D25C6"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useful for the industry to develop the production of silicon production, Ingot, wafers, solar module manufacturing, and system installation</w:t>
            </w:r>
          </w:p>
          <w:p w14:paraId="7FBEF5A5"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huge investment made by the government can also be fruitful for the industry to develop a proper pricing strategy that is effective from other countries like Japan </w:t>
            </w:r>
          </w:p>
        </w:tc>
      </w:tr>
      <w:tr w:rsidR="00637A94" w14:paraId="644C7548" w14:textId="77777777">
        <w:tc>
          <w:tcPr>
            <w:tcW w:w="2400" w:type="dxa"/>
            <w:shd w:val="clear" w:color="auto" w:fill="auto"/>
            <w:tcMar>
              <w:top w:w="100" w:type="dxa"/>
              <w:left w:w="100" w:type="dxa"/>
              <w:bottom w:w="100" w:type="dxa"/>
              <w:right w:w="100" w:type="dxa"/>
            </w:tcMar>
          </w:tcPr>
          <w:p w14:paraId="20F67170"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Legal </w:t>
            </w:r>
          </w:p>
        </w:tc>
        <w:tc>
          <w:tcPr>
            <w:tcW w:w="6960" w:type="dxa"/>
            <w:shd w:val="clear" w:color="auto" w:fill="auto"/>
            <w:tcMar>
              <w:top w:w="100" w:type="dxa"/>
              <w:left w:w="100" w:type="dxa"/>
              <w:bottom w:w="100" w:type="dxa"/>
              <w:right w:w="100" w:type="dxa"/>
            </w:tcMar>
          </w:tcPr>
          <w:p w14:paraId="296A8D49"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Around the world, there are 1000 pro-solar policies implemented by the international and US governing bodies </w:t>
            </w:r>
          </w:p>
          <w:p w14:paraId="77BAFAD0"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 solar market is diverse </w:t>
            </w:r>
          </w:p>
          <w:p w14:paraId="5B3500D6"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 regulations and policies that are present in the market range from being supportive to non-existing</w:t>
            </w:r>
          </w:p>
          <w:p w14:paraId="1B6DF493"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system is also focused on diverse pricing and product availability </w:t>
            </w:r>
          </w:p>
        </w:tc>
      </w:tr>
      <w:tr w:rsidR="00637A94" w14:paraId="7B1E0C33" w14:textId="77777777">
        <w:tc>
          <w:tcPr>
            <w:tcW w:w="2400" w:type="dxa"/>
            <w:shd w:val="clear" w:color="auto" w:fill="auto"/>
            <w:tcMar>
              <w:top w:w="100" w:type="dxa"/>
              <w:left w:w="100" w:type="dxa"/>
              <w:bottom w:w="100" w:type="dxa"/>
              <w:right w:w="100" w:type="dxa"/>
            </w:tcMar>
          </w:tcPr>
          <w:p w14:paraId="643C28BD"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tc>
        <w:tc>
          <w:tcPr>
            <w:tcW w:w="6960" w:type="dxa"/>
            <w:shd w:val="clear" w:color="auto" w:fill="auto"/>
            <w:tcMar>
              <w:top w:w="100" w:type="dxa"/>
              <w:left w:w="100" w:type="dxa"/>
              <w:bottom w:w="100" w:type="dxa"/>
              <w:right w:w="100" w:type="dxa"/>
            </w:tcMar>
          </w:tcPr>
          <w:p w14:paraId="72F3D5D7" w14:textId="77777777"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solar power industry is highly favoured by the USA as it </w:t>
            </w:r>
            <w:r>
              <w:rPr>
                <w:rFonts w:ascii="Times New Roman" w:eastAsia="Times New Roman" w:hAnsi="Times New Roman" w:cs="Times New Roman"/>
                <w:sz w:val="24"/>
                <w:szCs w:val="24"/>
              </w:rPr>
              <w:lastRenderedPageBreak/>
              <w:t>helps it to reduce the Co2 emissions of 280 parts per million volume</w:t>
            </w:r>
          </w:p>
          <w:p w14:paraId="0F5F8AA0" w14:textId="5105A71C"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Intergovernmental Panel on Climate policy developed countries including the USA accounted for over 20% of the population </w:t>
            </w:r>
            <w:r w:rsidR="000C6197">
              <w:rPr>
                <w:rFonts w:ascii="Times New Roman" w:eastAsia="Times New Roman" w:hAnsi="Times New Roman" w:cs="Times New Roman"/>
                <w:sz w:val="24"/>
                <w:szCs w:val="24"/>
              </w:rPr>
              <w:t xml:space="preserve">accross the world </w:t>
            </w:r>
            <w:r>
              <w:rPr>
                <w:rFonts w:ascii="Times New Roman" w:eastAsia="Times New Roman" w:hAnsi="Times New Roman" w:cs="Times New Roman"/>
                <w:sz w:val="24"/>
                <w:szCs w:val="24"/>
              </w:rPr>
              <w:t xml:space="preserve">and 46% </w:t>
            </w:r>
            <w:r w:rsidR="000C6197">
              <w:rPr>
                <w:rFonts w:ascii="Times New Roman" w:eastAsia="Times New Roman" w:hAnsi="Times New Roman" w:cs="Times New Roman"/>
                <w:sz w:val="24"/>
                <w:szCs w:val="24"/>
              </w:rPr>
              <w:t xml:space="preserve">the overall greenhouse gas produced internationally </w:t>
            </w:r>
          </w:p>
          <w:p w14:paraId="5F55D6CB" w14:textId="77777777"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the solar industry is a boon to the country by cutting an amount of toxic waste by providing solar-powered implements (</w:t>
            </w:r>
            <w:r>
              <w:rPr>
                <w:rFonts w:ascii="Times New Roman" w:eastAsia="Times New Roman" w:hAnsi="Times New Roman" w:cs="Times New Roman"/>
                <w:color w:val="222222"/>
                <w:sz w:val="24"/>
                <w:szCs w:val="24"/>
                <w:highlight w:val="white"/>
              </w:rPr>
              <w:t xml:space="preserve">Khan et al., </w:t>
            </w:r>
            <w:r>
              <w:rPr>
                <w:rFonts w:ascii="Times New Roman" w:eastAsia="Times New Roman" w:hAnsi="Times New Roman" w:cs="Times New Roman"/>
                <w:sz w:val="24"/>
                <w:szCs w:val="24"/>
              </w:rPr>
              <w:t xml:space="preserve">2020) </w:t>
            </w:r>
          </w:p>
        </w:tc>
      </w:tr>
    </w:tbl>
    <w:p w14:paraId="4AC6F44B" w14:textId="77777777" w:rsidR="00637A94" w:rsidRDefault="00637A94">
      <w:pPr>
        <w:pStyle w:val="Normal1"/>
        <w:spacing w:line="480" w:lineRule="auto"/>
        <w:jc w:val="both"/>
        <w:rPr>
          <w:rFonts w:ascii="Times New Roman" w:eastAsia="Times New Roman" w:hAnsi="Times New Roman" w:cs="Times New Roman"/>
          <w:sz w:val="24"/>
          <w:szCs w:val="24"/>
        </w:rPr>
      </w:pPr>
    </w:p>
    <w:p w14:paraId="4D96AD26"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It can be analysed that the USA  follows the Kyoto Protocols which is useful for the solar industry to get proper access to be created across boundaries. Moreover, the country also has free trade agreements with different countries. This also allows USA's Solar industry to produce proper photovoltaic sales and gain a competitive advantage in the international market. The rate of inflation in the USA is around 7.1 % and The GDP of the country is around $2.2 trillion in 2021. This is useful for the industry operating in the solar power market in the US to implement proper research and development for their betterment in terms of AA battery cells. The rate of unemployment in the USA is around 3.4 %. The Employment Act of the country also illustrates legal rights against bullying and harassment. This particular policy is useful for the solar industry to generate cheap labour and also lookout for laws that have to be covered to keep track of unwanted cases that generate risks for the companies' reputations (</w:t>
      </w:r>
      <w:r>
        <w:rPr>
          <w:rFonts w:ascii="Times New Roman" w:eastAsia="Times New Roman" w:hAnsi="Times New Roman" w:cs="Times New Roman"/>
          <w:color w:val="222222"/>
          <w:sz w:val="24"/>
          <w:szCs w:val="24"/>
          <w:highlight w:val="white"/>
        </w:rPr>
        <w:t xml:space="preserve">Farjana et al., </w:t>
      </w:r>
      <w:r>
        <w:rPr>
          <w:rFonts w:ascii="Times New Roman" w:eastAsia="Times New Roman" w:hAnsi="Times New Roman" w:cs="Times New Roman"/>
          <w:sz w:val="24"/>
          <w:szCs w:val="24"/>
        </w:rPr>
        <w:t xml:space="preserve">2018). The investment made by the government in the solar industry is about $ 33 billion. The companies working in the Solar industries are benefited from this aspect as they can develop new </w:t>
      </w:r>
      <w:r>
        <w:rPr>
          <w:rFonts w:ascii="Times New Roman" w:eastAsia="Times New Roman" w:hAnsi="Times New Roman" w:cs="Times New Roman"/>
          <w:sz w:val="24"/>
          <w:szCs w:val="24"/>
        </w:rPr>
        <w:lastRenderedPageBreak/>
        <w:t xml:space="preserve">silicon production, ingots, wafers, and solar module manufacturers, and also build new technologies for system installations.  </w:t>
      </w:r>
    </w:p>
    <w:p w14:paraId="287D64B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beneficial for the particular industry to bring forward pricing strategies that are useful to gain high position than countries like Japan which are already making advanced development in the solar industry (</w:t>
      </w:r>
      <w:r>
        <w:rPr>
          <w:rFonts w:ascii="Times New Roman" w:eastAsia="Times New Roman" w:hAnsi="Times New Roman" w:cs="Times New Roman"/>
          <w:color w:val="222222"/>
          <w:sz w:val="24"/>
          <w:szCs w:val="24"/>
          <w:highlight w:val="white"/>
        </w:rPr>
        <w:t>Liu, 2018</w:t>
      </w:r>
      <w:r>
        <w:rPr>
          <w:rFonts w:ascii="Times New Roman" w:eastAsia="Times New Roman" w:hAnsi="Times New Roman" w:cs="Times New Roman"/>
          <w:sz w:val="24"/>
          <w:szCs w:val="24"/>
        </w:rPr>
        <w:t>). There are about 1000 solar policies that are implemented by the international as well as the governing bodies in the USA. It is evident that the Solar market in the US is diverse as well as differentiated according to the needs and wants of the customers. Most importantly the solar Industries are also favoured by state regulations and policies that are supportive for the long term. Moreover, the legal system has also assisted in highlighting diverse pricing according to the different states with their product availability. Lastly, it is seen that the solar market is critical for the development of the US in the reduction of CO2 emissions. As per the Intergovernmental Panel on Climate Policy,  developed countries including the USA account for 46% of global greenhouse gas production in the whole world. It is one of the most important reasons why solar companies are needed by the country to reduce the risk of toxic waste (</w:t>
      </w:r>
      <w:r>
        <w:rPr>
          <w:rFonts w:ascii="Times New Roman" w:eastAsia="Times New Roman" w:hAnsi="Times New Roman" w:cs="Times New Roman"/>
          <w:color w:val="222222"/>
          <w:sz w:val="24"/>
          <w:szCs w:val="24"/>
          <w:highlight w:val="white"/>
        </w:rPr>
        <w:t xml:space="preserve">Kabir et al., </w:t>
      </w:r>
      <w:r>
        <w:rPr>
          <w:rFonts w:ascii="Times New Roman" w:eastAsia="Times New Roman" w:hAnsi="Times New Roman" w:cs="Times New Roman"/>
          <w:sz w:val="24"/>
          <w:szCs w:val="24"/>
        </w:rPr>
        <w:t xml:space="preserve">2018). It is also critical in bringing forward solar-powered goods and products for competitive advantage in the international market as well as market sustainability.   </w:t>
      </w:r>
    </w:p>
    <w:p w14:paraId="6D8DBF7B" w14:textId="77777777" w:rsidR="00637A94" w:rsidRDefault="00E04455">
      <w:pPr>
        <w:pStyle w:val="Heading3"/>
      </w:pPr>
      <w:bookmarkStart w:id="8" w:name="_ms9fhcyy0sy9" w:colFirst="0" w:colLast="0"/>
      <w:bookmarkEnd w:id="8"/>
      <w:r>
        <w:t xml:space="preserve">VRIO framework </w:t>
      </w:r>
    </w:p>
    <w:p w14:paraId="71F7CD50" w14:textId="77777777" w:rsidR="00637A94" w:rsidRDefault="00637A94" w:rsidP="00B32861">
      <w:pPr>
        <w:pStyle w:val="Normal1"/>
        <w:spacing w:line="480" w:lineRule="auto"/>
        <w:jc w:val="both"/>
        <w:rPr>
          <w:rFonts w:ascii="Times New Roman" w:eastAsia="Times New Roman" w:hAnsi="Times New Roman" w:cs="Times New Roman"/>
          <w:b/>
          <w:sz w:val="24"/>
          <w:szCs w:val="24"/>
        </w:rPr>
      </w:pP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37A94" w14:paraId="555D0102" w14:textId="77777777">
        <w:tc>
          <w:tcPr>
            <w:tcW w:w="1560" w:type="dxa"/>
            <w:shd w:val="clear" w:color="auto" w:fill="auto"/>
            <w:tcMar>
              <w:top w:w="100" w:type="dxa"/>
              <w:left w:w="100" w:type="dxa"/>
              <w:bottom w:w="100" w:type="dxa"/>
              <w:right w:w="100" w:type="dxa"/>
            </w:tcMar>
          </w:tcPr>
          <w:p w14:paraId="4A8C6B2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 or capability</w:t>
            </w:r>
          </w:p>
        </w:tc>
        <w:tc>
          <w:tcPr>
            <w:tcW w:w="1560" w:type="dxa"/>
            <w:shd w:val="clear" w:color="auto" w:fill="auto"/>
            <w:tcMar>
              <w:top w:w="100" w:type="dxa"/>
              <w:left w:w="100" w:type="dxa"/>
              <w:bottom w:w="100" w:type="dxa"/>
              <w:right w:w="100" w:type="dxa"/>
            </w:tcMar>
          </w:tcPr>
          <w:p w14:paraId="07F87398"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Valuable</w:t>
            </w:r>
          </w:p>
        </w:tc>
        <w:tc>
          <w:tcPr>
            <w:tcW w:w="1560" w:type="dxa"/>
            <w:shd w:val="clear" w:color="auto" w:fill="auto"/>
            <w:tcMar>
              <w:top w:w="100" w:type="dxa"/>
              <w:left w:w="100" w:type="dxa"/>
              <w:bottom w:w="100" w:type="dxa"/>
              <w:right w:w="100" w:type="dxa"/>
            </w:tcMar>
          </w:tcPr>
          <w:p w14:paraId="6177445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Rare</w:t>
            </w:r>
          </w:p>
        </w:tc>
        <w:tc>
          <w:tcPr>
            <w:tcW w:w="1560" w:type="dxa"/>
            <w:shd w:val="clear" w:color="auto" w:fill="auto"/>
            <w:tcMar>
              <w:top w:w="100" w:type="dxa"/>
              <w:left w:w="100" w:type="dxa"/>
              <w:bottom w:w="100" w:type="dxa"/>
              <w:right w:w="100" w:type="dxa"/>
            </w:tcMar>
          </w:tcPr>
          <w:p w14:paraId="3784B6CF"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Inimitable</w:t>
            </w:r>
          </w:p>
        </w:tc>
        <w:tc>
          <w:tcPr>
            <w:tcW w:w="1560" w:type="dxa"/>
            <w:shd w:val="clear" w:color="auto" w:fill="auto"/>
            <w:tcMar>
              <w:top w:w="100" w:type="dxa"/>
              <w:left w:w="100" w:type="dxa"/>
              <w:bottom w:w="100" w:type="dxa"/>
              <w:right w:w="100" w:type="dxa"/>
            </w:tcMar>
          </w:tcPr>
          <w:p w14:paraId="796605C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Organised</w:t>
            </w:r>
          </w:p>
        </w:tc>
        <w:tc>
          <w:tcPr>
            <w:tcW w:w="1560" w:type="dxa"/>
            <w:shd w:val="clear" w:color="auto" w:fill="auto"/>
            <w:tcMar>
              <w:top w:w="100" w:type="dxa"/>
              <w:left w:w="100" w:type="dxa"/>
              <w:bottom w:w="100" w:type="dxa"/>
              <w:right w:w="100" w:type="dxa"/>
            </w:tcMar>
          </w:tcPr>
          <w:p w14:paraId="59F98B2C"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competitive advantage</w:t>
            </w:r>
          </w:p>
        </w:tc>
      </w:tr>
      <w:tr w:rsidR="00637A94" w14:paraId="25D9281B" w14:textId="77777777">
        <w:tc>
          <w:tcPr>
            <w:tcW w:w="1560" w:type="dxa"/>
            <w:shd w:val="clear" w:color="auto" w:fill="auto"/>
            <w:tcMar>
              <w:top w:w="100" w:type="dxa"/>
              <w:left w:w="100" w:type="dxa"/>
              <w:bottom w:w="100" w:type="dxa"/>
              <w:right w:w="100" w:type="dxa"/>
            </w:tcMar>
          </w:tcPr>
          <w:p w14:paraId="6BFC8463"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Brand image</w:t>
            </w:r>
          </w:p>
        </w:tc>
        <w:tc>
          <w:tcPr>
            <w:tcW w:w="1560" w:type="dxa"/>
            <w:shd w:val="clear" w:color="auto" w:fill="auto"/>
            <w:tcMar>
              <w:top w:w="100" w:type="dxa"/>
              <w:left w:w="100" w:type="dxa"/>
              <w:bottom w:w="100" w:type="dxa"/>
              <w:right w:w="100" w:type="dxa"/>
            </w:tcMar>
          </w:tcPr>
          <w:p w14:paraId="516FC1E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476F7398"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19B2678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C3ABA06"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23FF6E6B"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w:t>
            </w:r>
          </w:p>
          <w:p w14:paraId="193BCAA0"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advantage</w:t>
            </w:r>
          </w:p>
        </w:tc>
      </w:tr>
      <w:tr w:rsidR="00637A94" w14:paraId="2521B0D4" w14:textId="77777777">
        <w:tc>
          <w:tcPr>
            <w:tcW w:w="1560" w:type="dxa"/>
            <w:shd w:val="clear" w:color="auto" w:fill="auto"/>
            <w:tcMar>
              <w:top w:w="100" w:type="dxa"/>
              <w:left w:w="100" w:type="dxa"/>
              <w:bottom w:w="100" w:type="dxa"/>
              <w:right w:w="100" w:type="dxa"/>
            </w:tcMar>
          </w:tcPr>
          <w:p w14:paraId="16E44E55"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presence</w:t>
            </w:r>
          </w:p>
        </w:tc>
        <w:tc>
          <w:tcPr>
            <w:tcW w:w="1560" w:type="dxa"/>
            <w:shd w:val="clear" w:color="auto" w:fill="auto"/>
            <w:tcMar>
              <w:top w:w="100" w:type="dxa"/>
              <w:left w:w="100" w:type="dxa"/>
              <w:bottom w:w="100" w:type="dxa"/>
              <w:right w:w="100" w:type="dxa"/>
            </w:tcMar>
          </w:tcPr>
          <w:p w14:paraId="4F9DC10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72034BE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03841B17"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7E0FF52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453BE08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global recognition</w:t>
            </w:r>
          </w:p>
        </w:tc>
      </w:tr>
      <w:tr w:rsidR="00637A94" w14:paraId="5B034E51" w14:textId="77777777">
        <w:tc>
          <w:tcPr>
            <w:tcW w:w="1560" w:type="dxa"/>
            <w:shd w:val="clear" w:color="auto" w:fill="auto"/>
            <w:tcMar>
              <w:top w:w="100" w:type="dxa"/>
              <w:left w:w="100" w:type="dxa"/>
              <w:bottom w:w="100" w:type="dxa"/>
              <w:right w:w="100" w:type="dxa"/>
            </w:tcMar>
          </w:tcPr>
          <w:p w14:paraId="18896C5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Quality</w:t>
            </w:r>
          </w:p>
        </w:tc>
        <w:tc>
          <w:tcPr>
            <w:tcW w:w="1560" w:type="dxa"/>
            <w:shd w:val="clear" w:color="auto" w:fill="auto"/>
            <w:tcMar>
              <w:top w:w="100" w:type="dxa"/>
              <w:left w:w="100" w:type="dxa"/>
              <w:bottom w:w="100" w:type="dxa"/>
              <w:right w:w="100" w:type="dxa"/>
            </w:tcMar>
          </w:tcPr>
          <w:p w14:paraId="6B0D14D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FE5B63A"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5A8CB067"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62583775"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D546DC0"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competitive parity</w:t>
            </w:r>
          </w:p>
        </w:tc>
      </w:tr>
    </w:tbl>
    <w:p w14:paraId="28E06519" w14:textId="77777777" w:rsidR="00637A94" w:rsidRDefault="00637A94" w:rsidP="00B32861">
      <w:pPr>
        <w:pStyle w:val="Normal1"/>
        <w:spacing w:line="480" w:lineRule="auto"/>
        <w:jc w:val="both"/>
        <w:rPr>
          <w:rFonts w:ascii="Times New Roman" w:eastAsia="Times New Roman" w:hAnsi="Times New Roman" w:cs="Times New Roman"/>
          <w:b/>
          <w:sz w:val="24"/>
          <w:szCs w:val="24"/>
        </w:rPr>
      </w:pPr>
    </w:p>
    <w:p w14:paraId="43934A98"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image</w:t>
      </w:r>
    </w:p>
    <w:p w14:paraId="04A1933F"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has a very unique brand image and high brand integrity. This brand image has been developed by the company through continuous effort and by offering its customers quality products. The company respects the factors of honesty and trust massively and maintains transparency with its customers which affect positively on its brand image (Vargas-Hernández &amp; Garcia, 2019). The company also has high brand recognition in the solar power industry. The brand image and recognition of the company have been generated by long-term investments which cannot be substituted by other companies in the industry. The company also has a very good relationship with its suppliers and has a valuable global distribution system. Due to this reason the company has a large number of resources which empowers the company to exploit the opportunities in many regions. </w:t>
      </w:r>
    </w:p>
    <w:p w14:paraId="459A8C30"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Global presence </w:t>
      </w:r>
    </w:p>
    <w:p w14:paraId="5500DF09"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Sunpower Corporation has the biggest Global presence in the solar power industry as it operates in close to 100 countries across the world. The Global presence allowed us to build an expanded customer base and earn more profits by doing business in multiple regions. Sunpower Corporation has also been known for taking calculated risks for better profit (Geraldes, Lopes Da Costa &amp; Geraldes, 2019). The risk-taking characteristic of the company has helped it to expand itself in unknown regions which has resulted in greater business growth. Such International presence has not been replicated by any other company in the solar power industry still. Although it must be mentioned that sharp solar has also strongly increased its International presence in the last few years. </w:t>
      </w:r>
    </w:p>
    <w:p w14:paraId="1D792EB1"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Quality</w:t>
      </w:r>
    </w:p>
    <w:p w14:paraId="4D010EA6"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Sunpower Corporation also offers high-quality products to maintain its brand appeal. The quality of the products the company provides leads to repeat purchases and an increase in demand. The company has endured a competitive advantage because of the quality of its products for a long time (</w:t>
      </w:r>
      <w:r>
        <w:rPr>
          <w:rFonts w:ascii="Times New Roman" w:eastAsia="Times New Roman" w:hAnsi="Times New Roman" w:cs="Times New Roman"/>
          <w:color w:val="222222"/>
          <w:sz w:val="24"/>
          <w:szCs w:val="24"/>
          <w:highlight w:val="white"/>
        </w:rPr>
        <w:t>Rockwell, 2019)</w:t>
      </w:r>
      <w:r>
        <w:rPr>
          <w:rFonts w:ascii="Times New Roman" w:eastAsia="Times New Roman" w:hAnsi="Times New Roman" w:cs="Times New Roman"/>
          <w:sz w:val="24"/>
          <w:szCs w:val="24"/>
        </w:rPr>
        <w:t xml:space="preserve">. But the competition in the solar power industry is rapidly growing. Opposing companies such as  Sharp solar and Q cells have also increased the quality of their products significantly. As other companies in the industry and also focusing on improving their product quality, this has not remained an inimitable aspect. </w:t>
      </w:r>
    </w:p>
    <w:p w14:paraId="3C9BC1AF"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4BFCC9B9" wp14:editId="3BD395F3">
            <wp:extent cx="4276725" cy="1866602"/>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3" name="image1.jpg"/>
                    <pic:cNvPicPr/>
                  </pic:nvPicPr>
                  <pic:blipFill>
                    <a:blip r:embed="rId8"/>
                    <a:srcRect t="17660"/>
                    <a:stretch>
                      <a:fillRect/>
                    </a:stretch>
                  </pic:blipFill>
                  <pic:spPr>
                    <a:xfrm>
                      <a:off x="0" y="0"/>
                      <a:ext cx="4276725" cy="1866602"/>
                    </a:xfrm>
                    <a:prstGeom prst="rect">
                      <a:avLst/>
                    </a:prstGeom>
                  </pic:spPr>
                </pic:pic>
              </a:graphicData>
            </a:graphic>
          </wp:inline>
        </w:drawing>
      </w:r>
    </w:p>
    <w:p w14:paraId="3E622613"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VRIO analysis</w:t>
      </w:r>
    </w:p>
    <w:p w14:paraId="565B7607" w14:textId="4055BCCD"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Source: </w:t>
      </w:r>
      <w:r w:rsidR="00E04455">
        <w:rPr>
          <w:rFonts w:ascii="Times New Roman" w:eastAsia="Times New Roman" w:hAnsi="Times New Roman" w:cs="Times New Roman"/>
          <w:b/>
          <w:sz w:val="24"/>
          <w:szCs w:val="24"/>
        </w:rPr>
        <w:t xml:space="preserve"> (Vargas-Hernández &amp; Garcia, 2019)</w:t>
      </w:r>
    </w:p>
    <w:p w14:paraId="0DCBBD31" w14:textId="77777777" w:rsidR="00637A94" w:rsidRDefault="00E04455">
      <w:pPr>
        <w:pStyle w:val="Heading3"/>
      </w:pPr>
      <w:bookmarkStart w:id="9" w:name="_xrul7ihvgkm5" w:colFirst="0" w:colLast="0"/>
      <w:bookmarkEnd w:id="9"/>
      <w:r>
        <w:t xml:space="preserve">Porter's generic business strategy analysis </w:t>
      </w:r>
    </w:p>
    <w:p w14:paraId="5C25C1B0"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leadership</w:t>
      </w:r>
    </w:p>
    <w:p w14:paraId="2F84625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looks to sustain its competitive advantage in the solar power industry by using cost leadership. The basic objective of the company is to preserve the position of leader in the industry through efficient value chain management. The company focuses on both accessibilities as well as affordability for its customers. Sunpower Corporation has obtained an immense competitive advantage and brand awareness by charging low prices for its products (Dombrowski, Krenkel &amp; Wullbrandt, 2018). Sunpower Corporation can charge low prices for its products as the company has cleverly minimised its production costs and maximised the supply chain efficiency. The company consistently keeps offering coupons and discounts to its customers to attract them and repeat purchases (Negulescu, 2019). The use of the cost leadership strategy has helped Sunpower Corporation in gaining brand recognition very fast. Through the use of cost leadership, the company has also managed to increase its customer base on a global scale as well as make its products affordable and accessible to a wider audience. </w:t>
      </w:r>
    </w:p>
    <w:p w14:paraId="04BC8E0D"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Differentiation</w:t>
      </w:r>
    </w:p>
    <w:p w14:paraId="50A24D4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 of Innovation and new technologies is a big part of the differentiation strategy implemented by Sunpower Corporation. The company has enjoyed a competitive advantage in the industry where it operates due to the increased quality of the product it provides. The company takes the quality of its products to a different level as compared to its rivals with the use of modern technology and innovation. Sunpower Corporation Spends a lot on research and development because of its thirst for innovation (Singh, 2021). The company also has extended its product line after analysing that customer interests have changed in the last few </w:t>
      </w:r>
      <w:r>
        <w:rPr>
          <w:rFonts w:ascii="Times New Roman" w:eastAsia="Times New Roman" w:hAnsi="Times New Roman" w:cs="Times New Roman"/>
          <w:sz w:val="24"/>
          <w:szCs w:val="24"/>
        </w:rPr>
        <w:lastRenderedPageBreak/>
        <w:t xml:space="preserve">years. The company also heavily invests in marketing,  advertisements and celebrity endorsements to separate itself from the competition in the market. The company effectively uses various social media platforms to run advertisements. The strong brand image and presence which has been created by Sunpower Corporation from the ears also help to differentiate it from its competitors (Visser, 2020). The differentiation strategy and cost leadership applied by the company together helps in providing growth and long-term objectives. The product quality provided by the Rivals of Sunpower Corporation in the solar power industry has also increased significantly,  the strong brand image and loyalty the company has achieved throughout its history is still acting as a massive difference although it may prove to be only temporary. </w:t>
      </w:r>
    </w:p>
    <w:p w14:paraId="7D7BA4B6"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w:t>
      </w:r>
    </w:p>
    <w:p w14:paraId="0B6AC6F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adopts a focus strategy both concerning low cost as well as offering the best value in the market. The low-cost focus strategy which is adopted by the company focuses on keeping the prices of the products as low as possible to increase competitive advantage. The company can implement this strategy as they have effectively lowered the cost of production and supply chain management inside the company as already mentioned is also very efficient (Keiningham et al., 2020). The best value focus strategy of the company helps to develop and improve the products according to changing customer demands. The company keeps changing and innovating its product designs continuously to satisfy the expectations of the customers and stay one step ahead of all the competitors in the market.  The company has also understood that innovation is the key to maintaining a competitive advantage in multiple international markets. </w:t>
      </w:r>
    </w:p>
    <w:p w14:paraId="1A60AEE8"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3F2C59A7" wp14:editId="2378355C">
            <wp:extent cx="4210050" cy="255299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pic:nvPicPr>
                  <pic:blipFill>
                    <a:blip r:embed="rId9"/>
                    <a:srcRect b="9141"/>
                    <a:stretch>
                      <a:fillRect/>
                    </a:stretch>
                  </pic:blipFill>
                  <pic:spPr>
                    <a:xfrm>
                      <a:off x="0" y="0"/>
                      <a:ext cx="4210050" cy="2552998"/>
                    </a:xfrm>
                    <a:prstGeom prst="rect">
                      <a:avLst/>
                    </a:prstGeom>
                  </pic:spPr>
                </pic:pic>
              </a:graphicData>
            </a:graphic>
          </wp:inline>
        </w:drawing>
      </w:r>
    </w:p>
    <w:p w14:paraId="0A22A957"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Porter’s generic strategy</w:t>
      </w:r>
    </w:p>
    <w:p w14:paraId="6EC724C7" w14:textId="617DABC0"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sidR="00E04455">
        <w:rPr>
          <w:rFonts w:ascii="Times New Roman" w:eastAsia="Times New Roman" w:hAnsi="Times New Roman" w:cs="Times New Roman"/>
          <w:b/>
          <w:sz w:val="24"/>
          <w:szCs w:val="24"/>
        </w:rPr>
        <w:t xml:space="preserve"> (Dombrowski, Krenkel &amp; Wullbrandt, 2018)</w:t>
      </w:r>
    </w:p>
    <w:p w14:paraId="68DACCA5" w14:textId="77777777" w:rsidR="00637A94" w:rsidRDefault="00E04455">
      <w:pPr>
        <w:pStyle w:val="Heading3"/>
      </w:pPr>
      <w:bookmarkStart w:id="10" w:name="_26ee0ap1n4k8" w:colFirst="0" w:colLast="0"/>
      <w:bookmarkEnd w:id="10"/>
      <w:r>
        <w:t xml:space="preserve">Competitive advantage (Porter’s five force analysis) </w:t>
      </w:r>
    </w:p>
    <w:p w14:paraId="2CE9B494"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entrants (Low)</w:t>
      </w:r>
    </w:p>
    <w:p w14:paraId="1CC1550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solar power industry is becoming a major focus of new entrants. But it is very difficult for new companies to pose a significant threat to Sunpower Corporation. The company has a lot of history behind its back and huge brand recognition (</w:t>
      </w:r>
      <w:r>
        <w:rPr>
          <w:rFonts w:ascii="Times New Roman" w:eastAsia="Times New Roman" w:hAnsi="Times New Roman" w:cs="Times New Roman"/>
          <w:color w:val="222222"/>
          <w:sz w:val="24"/>
          <w:szCs w:val="24"/>
          <w:highlight w:val="white"/>
        </w:rPr>
        <w:t>Bruijl &amp; Gerard, 2018)</w:t>
      </w:r>
      <w:r>
        <w:rPr>
          <w:rFonts w:ascii="Times New Roman" w:eastAsia="Times New Roman" w:hAnsi="Times New Roman" w:cs="Times New Roman"/>
          <w:sz w:val="24"/>
          <w:szCs w:val="24"/>
        </w:rPr>
        <w:t xml:space="preserve">. Moreover to compete with Sunpower Corporation the new entrants will have to provide high-quality products which will require a significant amount of capital. Sunpower Corporation sells products at very low cost which will be very difficult to match for new competitors as well. </w:t>
      </w:r>
    </w:p>
    <w:p w14:paraId="3FE8B1E8"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buyers(High)</w:t>
      </w:r>
    </w:p>
    <w:p w14:paraId="5CFDF77B"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bargaining power of buyers in the solar power industries is extremely high. This is mainly due to the fact that there are plenty of alternatives to Sunpower Corporation in the industry. Many companies in the industry have also implemented cost-effective strategies to make products more affordable for customers. Many companies also provide similar quality as compared to Sunpower Corporation (Vlados &amp; Chatzinikolaou, 2019). The switching costs in </w:t>
      </w:r>
      <w:r>
        <w:rPr>
          <w:rFonts w:ascii="Times New Roman" w:eastAsia="Times New Roman" w:hAnsi="Times New Roman" w:cs="Times New Roman"/>
          <w:sz w:val="24"/>
          <w:szCs w:val="24"/>
        </w:rPr>
        <w:lastRenderedPageBreak/>
        <w:t>this industry are also very low for the customers which work as a sign for Sunpower Corporation to stay on its toes. The company keeps offering customers discounts and offers to attract them.</w:t>
      </w:r>
    </w:p>
    <w:p w14:paraId="160C2099"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suppliers(Low)</w:t>
      </w:r>
    </w:p>
    <w:p w14:paraId="6A4B4B2C"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bargaining power of suppliers against Sunpower corporation is fairly low. The company has a large list of distributors and suppliers which it operates with. Connection to such a large number of suppliers gives the company an edge while bargaining with them. The access to multiple distributors of the company is amongst its biggest strengths. It must be mentioned that Sunpower Corporation arguably has access to the biggest network of suppliers in the entire solar power industry (Gosens, Binz &amp; Lema, 2020). Great relationships with top suppliers related to the solar power industry help the company to acquire the best quality raw materials. </w:t>
      </w:r>
    </w:p>
    <w:p w14:paraId="658FBCA9"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substitute products(Low)</w:t>
      </w:r>
    </w:p>
    <w:p w14:paraId="56458BE4"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number of substitute products that can prove to be a threat to Sunpower Corporation is fairly low. The very few available substitute products will never be able to provide the same quality of value which is provided by Sunpower Corporation itself. The high-quality Substitutes that are available will cost customers higher amounts which will restrict them automatically from switching their preferences. The Smaller amount of substitute products acts as a definite competitive advantage for Sunpower Corporation. One also has to remember that although the solar power industry is on course to rapid growth, it is still one of the lowest profit-earning industries.  Due to this fact, the demand for creating substitute products in this industry is also very low. </w:t>
      </w:r>
    </w:p>
    <w:p w14:paraId="45148444"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rivalry(High)</w:t>
      </w:r>
    </w:p>
    <w:p w14:paraId="3F2307C2"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competitive rivalry in the solar power industry as mentioned before is becoming very fierce. This rising competition has become the cause of Huge problems for Sunpower </w:t>
      </w:r>
      <w:r>
        <w:rPr>
          <w:rFonts w:ascii="Times New Roman" w:eastAsia="Times New Roman" w:hAnsi="Times New Roman" w:cs="Times New Roman"/>
          <w:sz w:val="24"/>
          <w:szCs w:val="24"/>
        </w:rPr>
        <w:lastRenderedPageBreak/>
        <w:t>Corporation. The company understands that the competitive edge it is enjoying might prove to be only a temporary thing because of such a drastic rise in competition. Sharp solar, Q-cells, REC Group, First Solar and Suntech are providing tough competition to Sunpower corporation. First Solar is one of the biggest companies in this industry which also has great brand recognition and companies such as Sharp Solar as well as Q-cell are also on a path towards rapid growth. Sunpower Corporation has sustained competitive advantage due to Innovation and quality products. But product quality offered by its rivals has shown significant growth which is already generating positive responses from the customers. The current environment in the business world is also very unpredictable as customer demands are also constantly changing. At a time such as this, the company needs to be on its toes at all times or it might completely lose the competitive footing it has had for the past several years.</w:t>
      </w:r>
    </w:p>
    <w:p w14:paraId="3DED7C43"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55A3CE28" wp14:editId="0828B62B">
            <wp:extent cx="4543425" cy="285883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543425" cy="2858839"/>
                    </a:xfrm>
                    <a:prstGeom prst="rect">
                      <a:avLst/>
                    </a:prstGeom>
                  </pic:spPr>
                </pic:pic>
              </a:graphicData>
            </a:graphic>
          </wp:inline>
        </w:drawing>
      </w:r>
    </w:p>
    <w:p w14:paraId="5AC4E790"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Porter’s five forces</w:t>
      </w:r>
    </w:p>
    <w:p w14:paraId="4EF45541" w14:textId="29271E8E"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sidR="00E04455">
        <w:rPr>
          <w:rFonts w:ascii="Times New Roman" w:eastAsia="Times New Roman" w:hAnsi="Times New Roman" w:cs="Times New Roman"/>
          <w:b/>
          <w:sz w:val="24"/>
          <w:szCs w:val="24"/>
        </w:rPr>
        <w:t>(</w:t>
      </w:r>
      <w:r w:rsidR="00E04455">
        <w:rPr>
          <w:rFonts w:ascii="Times New Roman" w:eastAsia="Times New Roman" w:hAnsi="Times New Roman" w:cs="Times New Roman"/>
          <w:b/>
          <w:color w:val="222222"/>
          <w:sz w:val="24"/>
          <w:szCs w:val="24"/>
          <w:highlight w:val="white"/>
        </w:rPr>
        <w:t>Bruijl &amp; Gerard, 2018)</w:t>
      </w:r>
    </w:p>
    <w:p w14:paraId="0E778591" w14:textId="77777777" w:rsidR="00637A94" w:rsidRDefault="00E04455">
      <w:pPr>
        <w:pStyle w:val="Heading1"/>
      </w:pPr>
      <w:bookmarkStart w:id="11" w:name="_mmozziq9jl4r" w:colFirst="0" w:colLast="0"/>
      <w:bookmarkEnd w:id="11"/>
      <w:r>
        <w:lastRenderedPageBreak/>
        <w:t xml:space="preserve">Key findings highlighting how these were deployed in the emergent strategies </w:t>
      </w:r>
    </w:p>
    <w:p w14:paraId="1A4BD52F"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connected to this study helped to map out the tremendous growth of Sun Power Corporation throughout the years. The company built solar cells which empowered Honda's solar-powered race cars to win in the year 2006. From that point, the company has grown immensely and become one of the leaders in the solar power industry itself (Illa &amp; Padhi, 2018). Another basic finding of this study is also that gaining a competitive advantage in the solar power industry is becoming increasingly difficult because of the rise of major rivals. This complication is very well recognised by Sunpower Corporation. It was found in the case study that the biggest driver of renewed interest in solar power was driven by a combination of environmental benefits and energy independence. The level of greenhouse gases Rose almost 70% between 1970 to 2004. The demand for solar energy Rose drastically between the years 2003 to 2006. Average growth of almost 41% was seen each year. </w:t>
      </w:r>
    </w:p>
    <w:p w14:paraId="6A3E26D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year 2006, Sunpower Corporation developed a different type of solar cell which allowed more sunlight to hit the Silicon material inside the cell giving better performance. Although the efficiency of the product improved, creating this new type of solar cell included almost double the steps as compared to the previous ones (Sachenko et al., 2019). The cost of production was also increasing. To deal with this the company decided to complete most of its development activities in the Philippines where engineers can be available at low cost and high technology is also available (Gordon, Moses &amp; Katz, 2021). Manufacturing was still done in the United States. This high efficiency in sales provided the company with a significant advantage in the industry. To further improve upon this competitive advantage the company also improved its supply chain management and reduced extra costs to decrease the purchase amount of solar cells </w:t>
      </w:r>
      <w:r>
        <w:rPr>
          <w:rFonts w:ascii="Times New Roman" w:eastAsia="Times New Roman" w:hAnsi="Times New Roman" w:cs="Times New Roman"/>
          <w:sz w:val="24"/>
          <w:szCs w:val="24"/>
        </w:rPr>
        <w:lastRenderedPageBreak/>
        <w:t xml:space="preserve">as well. As already mentioned in the study, being cost-effective is one of the major strategies implemented by the company to maintain a competitive advantage. </w:t>
      </w:r>
    </w:p>
    <w:p w14:paraId="6D640959"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high-efficiency solar cells provided by the company also provide a competitive advantage in the system installation segment of the value chain. This was due to the fact that increased efficiency cells and modules packed an increased power production capacity into a limited space. Less amount of models and low installation costs meant that the products also were way cheaper (Sachenko et al., 2019). The case study reveals that the demand for these solar cells was so high that customers were ready to pay more money to have their hands on them. This is just a small example of the innovative prowess that Sunpower Corporation possesses. The company Spends a lot of money on innovation research and development for differentiating its products from the other ones available in the market (Ji et al., 2019). The value chain of the solar power industry depends on Silicon production,  water manufacture,  solar cell manufacturers,  solar module manufacturer and system installation as revealed in the case study attached to this study. Among these, Silicon can be termed the biggest priority in this industry. But a message problem is that silicon is becoming a very scarce item with each day. Although this problem is not a huge headache for Sunpower Corporation. The company e signed an agreement with the South Korean company DC chemical in July 2006 (Radhacharan &amp; Vardhan, 2020). As a part of this agreement, Sunpower Corporation obtains a large amount of silicon supply from the South Korean company. It has already been mentioned that focusing on research, development and innovation is considered a priority for the company. Through their innovations, the company was able to further cut costs related to the Installation segment of the valuation. Due to the technological innovations implemented by the company, dynamic cost reductions were seen in the final assembly and installation of solar systems. The company also implemented </w:t>
      </w:r>
      <w:r>
        <w:rPr>
          <w:rFonts w:ascii="Times New Roman" w:eastAsia="Times New Roman" w:hAnsi="Times New Roman" w:cs="Times New Roman"/>
          <w:sz w:val="24"/>
          <w:szCs w:val="24"/>
        </w:rPr>
        <w:lastRenderedPageBreak/>
        <w:t xml:space="preserve">standardisation with the help of cookie-cutter applications such as 2 kW standard roof-mounted systems. Such innovations were hardly seen in the industry Priorly. This is also another great example of how the company was able to implement its effective strategy because this innovation made product costs even lower. </w:t>
      </w:r>
    </w:p>
    <w:p w14:paraId="31C78AFA"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study also provides an overall picture of the solar power industry where it states the massive growth of the solar power industry transformed the Silicon business as a whole also. But recently due to the shortage of Silicon, the price has increased sufficiently. The factor of pricing was also described as a very tricky part as interest rates, subsidies and more can make the final product expensive (</w:t>
      </w:r>
      <w:r>
        <w:rPr>
          <w:rFonts w:ascii="Times New Roman" w:eastAsia="Times New Roman" w:hAnsi="Times New Roman" w:cs="Times New Roman"/>
          <w:color w:val="222222"/>
          <w:sz w:val="24"/>
          <w:szCs w:val="24"/>
          <w:highlight w:val="white"/>
        </w:rPr>
        <w:t>Hayat et al., 2019)</w:t>
      </w:r>
      <w:r>
        <w:rPr>
          <w:rFonts w:ascii="Times New Roman" w:eastAsia="Times New Roman" w:hAnsi="Times New Roman" w:cs="Times New Roman"/>
          <w:sz w:val="24"/>
          <w:szCs w:val="24"/>
        </w:rPr>
        <w:t xml:space="preserve">. In such a situation it can be argued whether SunPower should focus on cost-effectiveness or innovation to maintain its competitive advantage in the future. While the scarcity of raw materials and many other aspects are increasing, staying cost-effective can prove to be very difficult. An increase in interest rates and subsidiaries will also make life very hard for Sunpower Corporation. The findings of the case study have also suggested that people showed interest in buying the high-efficiency cells designed by Sunpower at increased rates as well (Horowitz et al., 2018). One must also consider the fact that the business environment currently is very unpredictable so the company will need to keep innovating to stay relevant for a long time. Innovation has also proved to be a differentiating point for the company and its rivals. Through innovation, the company has been able to sustain its position as a leader in the solar power industry. Catering to customers from various parts of the world would also become very difficult without the implementation of innovative ideas. Although staying cost-effective is very important for sustaining a competitive advantage, innovation must be given priority e by Sunpower Corporation. </w:t>
      </w:r>
    </w:p>
    <w:p w14:paraId="4F2B652C" w14:textId="77777777" w:rsidR="00637A94" w:rsidRDefault="00E04455">
      <w:pPr>
        <w:pStyle w:val="Heading1"/>
      </w:pPr>
      <w:bookmarkStart w:id="12" w:name="_f68g3j7wgerg" w:colFirst="0" w:colLast="0"/>
      <w:bookmarkEnd w:id="12"/>
      <w:r>
        <w:lastRenderedPageBreak/>
        <w:t xml:space="preserve">Critiquing the current research methodologies used in the case study with a discussion of strategic management used by the case study </w:t>
      </w:r>
    </w:p>
    <w:p w14:paraId="4ED52658"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this particular case study, </w:t>
      </w:r>
      <w:r>
        <w:rPr>
          <w:rFonts w:ascii="Times New Roman" w:eastAsia="Times New Roman" w:hAnsi="Times New Roman" w:cs="Times New Roman"/>
          <w:b/>
          <w:i/>
          <w:sz w:val="24"/>
          <w:szCs w:val="24"/>
        </w:rPr>
        <w:t>secondary data analysis</w:t>
      </w:r>
      <w:r>
        <w:rPr>
          <w:rFonts w:ascii="Times New Roman" w:eastAsia="Times New Roman" w:hAnsi="Times New Roman" w:cs="Times New Roman"/>
          <w:sz w:val="24"/>
          <w:szCs w:val="24"/>
        </w:rPr>
        <w:t xml:space="preserve"> has been implemented to understand the relevance of the solar power industry in the USA. It is also effective in understanding the producer-consumer relation, and the overall manufacture of silicon, ingot, cell, and module (</w:t>
      </w:r>
      <w:r>
        <w:rPr>
          <w:rFonts w:ascii="Times New Roman" w:eastAsia="Times New Roman" w:hAnsi="Times New Roman" w:cs="Times New Roman"/>
          <w:color w:val="222222"/>
          <w:sz w:val="24"/>
          <w:szCs w:val="24"/>
          <w:highlight w:val="white"/>
        </w:rPr>
        <w:t>Harding, 2018</w:t>
      </w:r>
      <w:r>
        <w:rPr>
          <w:rFonts w:ascii="Times New Roman" w:eastAsia="Times New Roman" w:hAnsi="Times New Roman" w:cs="Times New Roman"/>
          <w:sz w:val="24"/>
          <w:szCs w:val="24"/>
        </w:rPr>
        <w:t xml:space="preserve">). It is also useful in understanding the pricing situation that is tricky in the USA solar power industry. The most important lead also helped in getting a clear view of the policy support that is highly diverse in the USA solar power industry. However, One of the </w:t>
      </w:r>
      <w:r>
        <w:rPr>
          <w:rFonts w:ascii="Times New Roman" w:eastAsia="Times New Roman" w:hAnsi="Times New Roman" w:cs="Times New Roman"/>
          <w:b/>
          <w:i/>
          <w:sz w:val="24"/>
          <w:szCs w:val="24"/>
        </w:rPr>
        <w:t>critical disadvantages</w:t>
      </w:r>
      <w:r>
        <w:rPr>
          <w:rFonts w:ascii="Times New Roman" w:eastAsia="Times New Roman" w:hAnsi="Times New Roman" w:cs="Times New Roman"/>
          <w:sz w:val="24"/>
          <w:szCs w:val="24"/>
        </w:rPr>
        <w:t xml:space="preserve"> of secondary data analysis is that it can be less reliable and accurate because secondary data analysis is not regulated and is subjected to the personal bias of the researchers in this case.</w:t>
      </w:r>
    </w:p>
    <w:p w14:paraId="622CE43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w:t>
      </w:r>
      <w:r>
        <w:rPr>
          <w:rFonts w:ascii="Times New Roman" w:eastAsia="Times New Roman" w:hAnsi="Times New Roman" w:cs="Times New Roman"/>
          <w:color w:val="222222"/>
          <w:sz w:val="24"/>
          <w:szCs w:val="24"/>
          <w:highlight w:val="white"/>
        </w:rPr>
        <w:t>Ferreira, Mueller, &amp; Papa, 2018</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strategic management theory</w:t>
      </w:r>
      <w:r>
        <w:rPr>
          <w:rFonts w:ascii="Times New Roman" w:eastAsia="Times New Roman" w:hAnsi="Times New Roman" w:cs="Times New Roman"/>
          <w:sz w:val="24"/>
          <w:szCs w:val="24"/>
        </w:rPr>
        <w:t xml:space="preserve"> is related to the development of policies, objectives, and plans and also illustrates the processes that are used to reach the objectives with proper resources and implementations. It also sheds light on the correlations of monitoring and analysis and also understanding the market threats for future orientations. In this case study, the aspects of strategic management have been truly effective in understanding the diverse situation in the Solar market present in the US. It also has been useful to get proper data about state regulations and policies put forward toward solar power ranging from supportive to nonexisting (</w:t>
      </w:r>
      <w:r>
        <w:rPr>
          <w:rFonts w:ascii="Times New Roman" w:eastAsia="Times New Roman" w:hAnsi="Times New Roman" w:cs="Times New Roman"/>
          <w:color w:val="222222"/>
          <w:sz w:val="24"/>
          <w:szCs w:val="24"/>
          <w:highlight w:val="white"/>
        </w:rPr>
        <w:t>Makadok, Burton, &amp; Barney, 2018</w:t>
      </w:r>
      <w:r>
        <w:rPr>
          <w:rFonts w:ascii="Times New Roman" w:eastAsia="Times New Roman" w:hAnsi="Times New Roman" w:cs="Times New Roman"/>
          <w:sz w:val="24"/>
          <w:szCs w:val="24"/>
        </w:rPr>
        <w:t>). The elements in the theory are truly useful to derive the relevancy of power prices and availability of solar radiation and public attitude towards the environment. Most importantly it is also useful to get proper statistics in the case of the company SunPower and illustrate all the data needed for the proper completion of the case study analysis.</w:t>
      </w:r>
    </w:p>
    <w:p w14:paraId="6F3D1C67" w14:textId="77777777" w:rsidR="00637A94" w:rsidRDefault="00E04455">
      <w:pPr>
        <w:pStyle w:val="Heading1"/>
      </w:pPr>
      <w:bookmarkStart w:id="13" w:name="_a4crdn4pbb75" w:colFirst="0" w:colLast="0"/>
      <w:bookmarkEnd w:id="13"/>
      <w:r>
        <w:lastRenderedPageBreak/>
        <w:t>Conclusion and recommendation</w:t>
      </w:r>
    </w:p>
    <w:p w14:paraId="16777B41" w14:textId="77777777" w:rsidR="00637A94" w:rsidRDefault="00E04455">
      <w:pPr>
        <w:pStyle w:val="Heading2"/>
      </w:pPr>
      <w:bookmarkStart w:id="14" w:name="_qhs9uv8oi34o" w:colFirst="0" w:colLast="0"/>
      <w:bookmarkEnd w:id="14"/>
      <w:r>
        <w:t>Conclusion</w:t>
      </w:r>
    </w:p>
    <w:p w14:paraId="00C02C62"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stated that this study sheds light on the aspect of strategic management in the Solar industry with the help of a case study analysis. As per the case study power company has been focused on its photovoltaic cells to derive a competitive advantage. |It also sheds light on the internal as well as the external context of the company as well as the overall solar market present in the USA. It highlights different Frameworks like SWOT, and PESTLE  to get proper knowledge about the internal and external atmosphere. It also implements frameworks like VRIO and Porter's generic strategy to get proper data for successful completion. I also use proper methodology with secondary data analysis and Strategic Management Theory to get valid data needed for critiquing. </w:t>
      </w:r>
    </w:p>
    <w:p w14:paraId="67734ED1" w14:textId="77777777" w:rsidR="00637A94" w:rsidRDefault="00E04455">
      <w:pPr>
        <w:pStyle w:val="Heading2"/>
      </w:pPr>
      <w:bookmarkStart w:id="15" w:name="_614mxd829t4z" w:colFirst="0" w:colLast="0"/>
      <w:bookmarkEnd w:id="15"/>
      <w:r>
        <w:t>Recommendation</w:t>
      </w:r>
    </w:p>
    <w:p w14:paraId="4DA39000"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 solar market can develop its Supply chain hugely with the help of new-age technology like </w:t>
      </w:r>
      <w:r>
        <w:rPr>
          <w:rFonts w:ascii="Times New Roman" w:eastAsia="Times New Roman" w:hAnsi="Times New Roman" w:cs="Times New Roman"/>
          <w:b/>
          <w:i/>
          <w:sz w:val="24"/>
          <w:szCs w:val="24"/>
        </w:rPr>
        <w:t>AI and IoT</w:t>
      </w:r>
      <w:r>
        <w:rPr>
          <w:rFonts w:ascii="Times New Roman" w:eastAsia="Times New Roman" w:hAnsi="Times New Roman" w:cs="Times New Roman"/>
          <w:sz w:val="24"/>
          <w:szCs w:val="24"/>
        </w:rPr>
        <w:t xml:space="preserve"> to generate relevant demand forecasting. Additionally, AI-powered big data supply chains can be critical to creating sustainable means to deal with logistic issues. </w:t>
      </w:r>
    </w:p>
    <w:p w14:paraId="16D840C5"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SunPower can be hugely beneficial in deriving more lead generation with the help of </w:t>
      </w:r>
      <w:r>
        <w:rPr>
          <w:rFonts w:ascii="Times New Roman" w:eastAsia="Times New Roman" w:hAnsi="Times New Roman" w:cs="Times New Roman"/>
          <w:b/>
          <w:i/>
          <w:sz w:val="24"/>
          <w:szCs w:val="24"/>
        </w:rPr>
        <w:t>social media penetration</w:t>
      </w:r>
      <w:r>
        <w:rPr>
          <w:rFonts w:ascii="Times New Roman" w:eastAsia="Times New Roman" w:hAnsi="Times New Roman" w:cs="Times New Roman"/>
          <w:sz w:val="24"/>
          <w:szCs w:val="24"/>
        </w:rPr>
        <w:t>. It can be useful to the company in not only generating leads but also creating advertisements on the official page as well as the social media pages (</w:t>
      </w:r>
      <w:r>
        <w:rPr>
          <w:rFonts w:ascii="Times New Roman" w:eastAsia="Times New Roman" w:hAnsi="Times New Roman" w:cs="Times New Roman"/>
          <w:color w:val="222222"/>
          <w:sz w:val="24"/>
          <w:szCs w:val="24"/>
          <w:highlight w:val="white"/>
        </w:rPr>
        <w:t xml:space="preserve">Dash et al., </w:t>
      </w:r>
      <w:r>
        <w:rPr>
          <w:rFonts w:ascii="Times New Roman" w:eastAsia="Times New Roman" w:hAnsi="Times New Roman" w:cs="Times New Roman"/>
          <w:sz w:val="24"/>
          <w:szCs w:val="24"/>
        </w:rPr>
        <w:t xml:space="preserve">2019). With this, the company can advertise its photovoltaic cells and other products like AA batteries and also answer customer queries related to the products. This can not only retain the old customers but also bring forward new customers and help the company in creating more revenue for a competitive advantage. </w:t>
      </w:r>
    </w:p>
    <w:p w14:paraId="01398735" w14:textId="77777777" w:rsidR="00637A94" w:rsidRDefault="00E04455">
      <w:pPr>
        <w:pStyle w:val="Heading1"/>
      </w:pPr>
      <w:bookmarkStart w:id="16" w:name="_cu1c3bbcgzsw" w:colFirst="0" w:colLast="0"/>
      <w:bookmarkEnd w:id="16"/>
      <w:r>
        <w:br w:type="page"/>
      </w:r>
    </w:p>
    <w:p w14:paraId="1704B43A" w14:textId="77777777" w:rsidR="00637A94" w:rsidRDefault="00E04455">
      <w:pPr>
        <w:pStyle w:val="Heading1"/>
      </w:pPr>
      <w:bookmarkStart w:id="17" w:name="_v5v7jaru9hk4" w:colFirst="0" w:colLast="0"/>
      <w:bookmarkEnd w:id="17"/>
      <w:r>
        <w:lastRenderedPageBreak/>
        <w:t>References</w:t>
      </w:r>
    </w:p>
    <w:p w14:paraId="3322AFFC" w14:textId="77777777" w:rsidR="00594BEA" w:rsidRDefault="00594BEA" w:rsidP="00594BEA">
      <w:pPr>
        <w:pStyle w:val="Normal1"/>
        <w:spacing w:line="480" w:lineRule="auto"/>
        <w:ind w:left="284" w:hanging="284"/>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Benzaghta, M. A., Elwalda, A., Mousa, M. M., Erkan, I., &amp; Rahman, M. (2021). SWOT analysis appl</w:t>
      </w:r>
      <w:bookmarkStart w:id="18" w:name="_GoBack"/>
      <w:bookmarkEnd w:id="18"/>
      <w:r>
        <w:rPr>
          <w:rFonts w:ascii="Times New Roman" w:eastAsia="Times New Roman" w:hAnsi="Times New Roman" w:cs="Times New Roman"/>
          <w:color w:val="222222"/>
          <w:sz w:val="24"/>
          <w:szCs w:val="24"/>
          <w:highlight w:val="white"/>
        </w:rPr>
        <w:t xml:space="preserve">ications: An integrative literature review. </w:t>
      </w:r>
      <w:r>
        <w:rPr>
          <w:rFonts w:ascii="Times New Roman" w:eastAsia="Times New Roman" w:hAnsi="Times New Roman" w:cs="Times New Roman"/>
          <w:i/>
          <w:color w:val="222222"/>
          <w:sz w:val="24"/>
          <w:szCs w:val="24"/>
          <w:highlight w:val="white"/>
        </w:rPr>
        <w:t>Journal of Global Business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(1), 55-73. </w:t>
      </w:r>
      <w:r>
        <w:rPr>
          <w:rFonts w:ascii="Times New Roman" w:eastAsia="Times New Roman" w:hAnsi="Times New Roman" w:cs="Times New Roman"/>
          <w:color w:val="0F2741"/>
          <w:sz w:val="24"/>
          <w:szCs w:val="24"/>
          <w:highlight w:val="white"/>
        </w:rPr>
        <w:t xml:space="preserve">Retrieved from: </w:t>
      </w:r>
      <w:hyperlink r:id="rId11">
        <w:r>
          <w:rPr>
            <w:rFonts w:ascii="Times New Roman" w:eastAsia="Times New Roman" w:hAnsi="Times New Roman" w:cs="Times New Roman"/>
            <w:color w:val="1155CC"/>
            <w:sz w:val="24"/>
            <w:szCs w:val="24"/>
            <w:highlight w:val="white"/>
            <w:u w:val="single"/>
          </w:rPr>
          <w:t>https://digitalcommons.usf.edu/globe/vol6/iss1/5/</w:t>
        </w:r>
      </w:hyperlink>
      <w:r>
        <w:rPr>
          <w:rFonts w:ascii="Times New Roman" w:eastAsia="Times New Roman" w:hAnsi="Times New Roman" w:cs="Times New Roman"/>
          <w:color w:val="0F2741"/>
          <w:sz w:val="24"/>
          <w:szCs w:val="24"/>
          <w:highlight w:val="white"/>
        </w:rPr>
        <w:t xml:space="preserve"> </w:t>
      </w:r>
    </w:p>
    <w:p w14:paraId="54C61722"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Bruijl, D., &amp; Gerard, H. T. (2018). The relevance of Porter's five forces in today's innovative and changing business environment. </w:t>
      </w:r>
      <w:r>
        <w:rPr>
          <w:rFonts w:ascii="Times New Roman" w:eastAsia="Times New Roman" w:hAnsi="Times New Roman" w:cs="Times New Roman"/>
          <w:i/>
          <w:color w:val="222222"/>
          <w:sz w:val="24"/>
          <w:szCs w:val="24"/>
          <w:highlight w:val="white"/>
        </w:rPr>
        <w:t>Available at SSRN 3192207</w:t>
      </w:r>
      <w:r>
        <w:rPr>
          <w:rFonts w:ascii="Times New Roman" w:eastAsia="Times New Roman" w:hAnsi="Times New Roman" w:cs="Times New Roman"/>
          <w:color w:val="222222"/>
          <w:sz w:val="24"/>
          <w:szCs w:val="24"/>
          <w:highlight w:val="white"/>
        </w:rPr>
        <w:t xml:space="preserve">. </w:t>
      </w:r>
      <w:hyperlink r:id="rId12">
        <w:r>
          <w:rPr>
            <w:rFonts w:ascii="Times New Roman" w:eastAsia="Times New Roman" w:hAnsi="Times New Roman" w:cs="Times New Roman"/>
            <w:color w:val="1155CC"/>
            <w:sz w:val="24"/>
            <w:szCs w:val="24"/>
            <w:highlight w:val="white"/>
            <w:u w:val="single"/>
          </w:rPr>
          <w:t>https://papers.ssrn.com/sol3/papers.cfm?abstract_id=3192207</w:t>
        </w:r>
      </w:hyperlink>
      <w:r>
        <w:rPr>
          <w:rFonts w:ascii="Times New Roman" w:eastAsia="Times New Roman" w:hAnsi="Times New Roman" w:cs="Times New Roman"/>
          <w:color w:val="222222"/>
          <w:sz w:val="24"/>
          <w:szCs w:val="24"/>
          <w:highlight w:val="white"/>
        </w:rPr>
        <w:t xml:space="preserve"> </w:t>
      </w:r>
    </w:p>
    <w:p w14:paraId="4E726338"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Dash, R., McMurtrey, M., Rebman, C., &amp; Kar, U. K. (2019). Application of artificial intelligence in automation of supply chain management. </w:t>
      </w:r>
      <w:r>
        <w:rPr>
          <w:rFonts w:ascii="Times New Roman" w:eastAsia="Times New Roman" w:hAnsi="Times New Roman" w:cs="Times New Roman"/>
          <w:i/>
          <w:color w:val="222222"/>
          <w:sz w:val="24"/>
          <w:szCs w:val="24"/>
          <w:highlight w:val="white"/>
        </w:rPr>
        <w:t>Journal of Strategic Innovation and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(3), 43-53. </w:t>
      </w:r>
      <w:r>
        <w:rPr>
          <w:rFonts w:ascii="Times New Roman" w:eastAsia="Times New Roman" w:hAnsi="Times New Roman" w:cs="Times New Roman"/>
          <w:color w:val="0F2741"/>
          <w:sz w:val="24"/>
          <w:szCs w:val="24"/>
          <w:highlight w:val="white"/>
        </w:rPr>
        <w:t xml:space="preserve">Retrieved from: </w:t>
      </w:r>
      <w:hyperlink r:id="rId13">
        <w:r>
          <w:rPr>
            <w:rFonts w:ascii="Times New Roman" w:eastAsia="Times New Roman" w:hAnsi="Times New Roman" w:cs="Times New Roman"/>
            <w:color w:val="1155CC"/>
            <w:sz w:val="24"/>
            <w:szCs w:val="24"/>
            <w:highlight w:val="white"/>
            <w:u w:val="single"/>
          </w:rPr>
          <w:t>http://www.m.www.na-businesspress.com/JSIS/JSIS14-3/DashR_14_3_.pdf</w:t>
        </w:r>
      </w:hyperlink>
      <w:r>
        <w:rPr>
          <w:rFonts w:ascii="Times New Roman" w:eastAsia="Times New Roman" w:hAnsi="Times New Roman" w:cs="Times New Roman"/>
          <w:color w:val="0F2741"/>
          <w:sz w:val="24"/>
          <w:szCs w:val="24"/>
          <w:highlight w:val="white"/>
        </w:rPr>
        <w:t xml:space="preserve"> </w:t>
      </w:r>
    </w:p>
    <w:p w14:paraId="15553C74"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Dombrowski, U., Krenkel, P., &amp; Wullbrandt, J. (2018). Strategic positioning of production within the generic competitive strategies. </w:t>
      </w:r>
      <w:r>
        <w:rPr>
          <w:rFonts w:ascii="Times New Roman" w:eastAsia="Times New Roman" w:hAnsi="Times New Roman" w:cs="Times New Roman"/>
          <w:i/>
          <w:color w:val="222222"/>
          <w:sz w:val="24"/>
          <w:szCs w:val="24"/>
          <w:highlight w:val="white"/>
        </w:rPr>
        <w:t>Procedia CIRP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72</w:t>
      </w:r>
      <w:r>
        <w:rPr>
          <w:rFonts w:ascii="Times New Roman" w:eastAsia="Times New Roman" w:hAnsi="Times New Roman" w:cs="Times New Roman"/>
          <w:color w:val="222222"/>
          <w:sz w:val="24"/>
          <w:szCs w:val="24"/>
          <w:highlight w:val="white"/>
        </w:rPr>
        <w:t xml:space="preserve">, 1196-1201. </w:t>
      </w:r>
      <w:hyperlink r:id="rId14">
        <w:r>
          <w:rPr>
            <w:rFonts w:ascii="Times New Roman" w:eastAsia="Times New Roman" w:hAnsi="Times New Roman" w:cs="Times New Roman"/>
            <w:color w:val="1155CC"/>
            <w:sz w:val="24"/>
            <w:szCs w:val="24"/>
            <w:highlight w:val="white"/>
            <w:u w:val="single"/>
          </w:rPr>
          <w:t>https://www.sciencedirect.com/science/article/pii/S2212827118301045</w:t>
        </w:r>
      </w:hyperlink>
      <w:r>
        <w:rPr>
          <w:rFonts w:ascii="Times New Roman" w:eastAsia="Times New Roman" w:hAnsi="Times New Roman" w:cs="Times New Roman"/>
          <w:color w:val="222222"/>
          <w:sz w:val="24"/>
          <w:szCs w:val="24"/>
          <w:highlight w:val="white"/>
        </w:rPr>
        <w:t xml:space="preserve"> </w:t>
      </w:r>
    </w:p>
    <w:p w14:paraId="01FCF13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Farjana, S. H., Huda, N., Mahmud, M. P., &amp; Saidur, R. (2018). Solar process heat in industrial systems–A global review.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xml:space="preserve">, 2270-2286. </w:t>
      </w:r>
      <w:r>
        <w:rPr>
          <w:rFonts w:ascii="Times New Roman" w:eastAsia="Times New Roman" w:hAnsi="Times New Roman" w:cs="Times New Roman"/>
          <w:color w:val="0F2741"/>
          <w:sz w:val="24"/>
          <w:szCs w:val="24"/>
          <w:highlight w:val="white"/>
        </w:rPr>
        <w:t xml:space="preserve">Retrieved from: </w:t>
      </w:r>
      <w:r>
        <w:rPr>
          <w:rFonts w:ascii="Times New Roman" w:eastAsia="Times New Roman" w:hAnsi="Times New Roman" w:cs="Times New Roman"/>
          <w:color w:val="222222"/>
          <w:sz w:val="24"/>
          <w:szCs w:val="24"/>
          <w:highlight w:val="white"/>
        </w:rPr>
        <w:t xml:space="preserve"> </w:t>
      </w:r>
      <w:hyperlink r:id="rId15">
        <w:r>
          <w:rPr>
            <w:rFonts w:ascii="Times New Roman" w:eastAsia="Times New Roman" w:hAnsi="Times New Roman" w:cs="Times New Roman"/>
            <w:color w:val="1155CC"/>
            <w:sz w:val="24"/>
            <w:szCs w:val="24"/>
            <w:highlight w:val="white"/>
            <w:u w:val="single"/>
          </w:rPr>
          <w:t>https://www.sciencedirect.com/science/article/abs/pii/S1364032117312108</w:t>
        </w:r>
      </w:hyperlink>
      <w:r>
        <w:rPr>
          <w:rFonts w:ascii="Times New Roman" w:eastAsia="Times New Roman" w:hAnsi="Times New Roman" w:cs="Times New Roman"/>
          <w:color w:val="222222"/>
          <w:sz w:val="24"/>
          <w:szCs w:val="24"/>
          <w:highlight w:val="white"/>
        </w:rPr>
        <w:t xml:space="preserve"> </w:t>
      </w:r>
    </w:p>
    <w:p w14:paraId="5FBE212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Ferreira, J., Mueller, J., &amp; Papa, A. (2018). Strategic knowledge management: theory, practice and future challenges. </w:t>
      </w:r>
      <w:r>
        <w:rPr>
          <w:rFonts w:ascii="Times New Roman" w:eastAsia="Times New Roman" w:hAnsi="Times New Roman" w:cs="Times New Roman"/>
          <w:i/>
          <w:color w:val="222222"/>
          <w:sz w:val="24"/>
          <w:szCs w:val="24"/>
          <w:highlight w:val="white"/>
        </w:rPr>
        <w:t>Journal of knowledge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F2741"/>
          <w:sz w:val="24"/>
          <w:szCs w:val="24"/>
          <w:highlight w:val="white"/>
        </w:rPr>
        <w:t xml:space="preserve">Retrieved from: </w:t>
      </w:r>
      <w:hyperlink r:id="rId16">
        <w:r>
          <w:rPr>
            <w:rFonts w:ascii="Times New Roman" w:eastAsia="Times New Roman" w:hAnsi="Times New Roman" w:cs="Times New Roman"/>
            <w:color w:val="1155CC"/>
            <w:sz w:val="24"/>
            <w:szCs w:val="24"/>
            <w:highlight w:val="white"/>
            <w:u w:val="single"/>
          </w:rPr>
          <w:t>https://www.emerald.com/insight/content/doi/10.1108/JKM-07-2018-0461/full/html</w:t>
        </w:r>
      </w:hyperlink>
      <w:r>
        <w:rPr>
          <w:rFonts w:ascii="Times New Roman" w:eastAsia="Times New Roman" w:hAnsi="Times New Roman" w:cs="Times New Roman"/>
          <w:color w:val="0F2741"/>
          <w:sz w:val="24"/>
          <w:szCs w:val="24"/>
          <w:highlight w:val="white"/>
        </w:rPr>
        <w:t xml:space="preserve"> </w:t>
      </w:r>
    </w:p>
    <w:p w14:paraId="1C0B613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Fuertes, G., Alfaro, M., Vargas, M., Gutierrez, S., Ternero, R., &amp; Sabattin, J. (2020). A conceptual framework for the strategic management: a literature review—descriptive. </w:t>
      </w:r>
      <w:r>
        <w:rPr>
          <w:rFonts w:ascii="Times New Roman" w:eastAsia="Times New Roman" w:hAnsi="Times New Roman" w:cs="Times New Roman"/>
          <w:i/>
          <w:color w:val="222222"/>
          <w:sz w:val="24"/>
          <w:szCs w:val="24"/>
          <w:highlight w:val="white"/>
        </w:rPr>
        <w:lastRenderedPageBreak/>
        <w:t>Journal of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2020</w:t>
      </w:r>
      <w:r>
        <w:rPr>
          <w:rFonts w:ascii="Times New Roman" w:eastAsia="Times New Roman" w:hAnsi="Times New Roman" w:cs="Times New Roman"/>
          <w:color w:val="222222"/>
          <w:sz w:val="24"/>
          <w:szCs w:val="24"/>
          <w:highlight w:val="white"/>
        </w:rPr>
        <w:t xml:space="preserve">. Retrieved from: </w:t>
      </w:r>
      <w:hyperlink r:id="rId17">
        <w:r>
          <w:rPr>
            <w:rFonts w:ascii="Times New Roman" w:eastAsia="Times New Roman" w:hAnsi="Times New Roman" w:cs="Times New Roman"/>
            <w:color w:val="1155CC"/>
            <w:sz w:val="24"/>
            <w:szCs w:val="24"/>
            <w:highlight w:val="white"/>
            <w:u w:val="single"/>
          </w:rPr>
          <w:t>https://www.hindawi.com/journals/je/2020/6253013/</w:t>
        </w:r>
      </w:hyperlink>
      <w:r>
        <w:rPr>
          <w:rFonts w:ascii="Times New Roman" w:eastAsia="Times New Roman" w:hAnsi="Times New Roman" w:cs="Times New Roman"/>
          <w:color w:val="222222"/>
          <w:sz w:val="24"/>
          <w:szCs w:val="24"/>
          <w:highlight w:val="white"/>
        </w:rPr>
        <w:t xml:space="preserve"> </w:t>
      </w:r>
    </w:p>
    <w:p w14:paraId="7B9C54DC"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Geraldes, R., Lopes Da Costa, R., &amp; Geraldes, J. (2019). VRIO FRAMEWORKSTATIC OR DYNAMIC?. </w:t>
      </w:r>
      <w:r>
        <w:rPr>
          <w:rFonts w:ascii="Times New Roman" w:eastAsia="Times New Roman" w:hAnsi="Times New Roman" w:cs="Times New Roman"/>
          <w:i/>
          <w:color w:val="222222"/>
          <w:sz w:val="24"/>
          <w:szCs w:val="24"/>
          <w:highlight w:val="white"/>
        </w:rPr>
        <w:t>Exploring the Future of Management. Lisbon: EURAM</w:t>
      </w:r>
      <w:r>
        <w:rPr>
          <w:rFonts w:ascii="Times New Roman" w:eastAsia="Times New Roman" w:hAnsi="Times New Roman" w:cs="Times New Roman"/>
          <w:color w:val="222222"/>
          <w:sz w:val="24"/>
          <w:szCs w:val="24"/>
          <w:highlight w:val="white"/>
        </w:rPr>
        <w:t>.</w:t>
      </w:r>
      <w:hyperlink r:id="rId18">
        <w:r>
          <w:rPr>
            <w:rFonts w:ascii="Times New Roman" w:eastAsia="Times New Roman" w:hAnsi="Times New Roman" w:cs="Times New Roman"/>
            <w:color w:val="1155CC"/>
            <w:sz w:val="24"/>
            <w:szCs w:val="24"/>
            <w:highlight w:val="white"/>
            <w:u w:val="single"/>
          </w:rPr>
          <w:t>http://amz.xcdsystem.com/15B4DBD5-FFD1-D393-0F4517B218EA66B2_abstract_File828/183_Uploadyoursubmission_0425034314.pdf</w:t>
        </w:r>
      </w:hyperlink>
      <w:r>
        <w:rPr>
          <w:rFonts w:ascii="Times New Roman" w:eastAsia="Times New Roman" w:hAnsi="Times New Roman" w:cs="Times New Roman"/>
          <w:color w:val="222222"/>
          <w:sz w:val="24"/>
          <w:szCs w:val="24"/>
          <w:highlight w:val="white"/>
        </w:rPr>
        <w:t xml:space="preserve"> </w:t>
      </w:r>
    </w:p>
    <w:p w14:paraId="377087B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Gordon, J. M., Moses, G., &amp; Katz, E. A. (2021). Boosting silicon photovoltaic efficiency from regasification of liquefied natural gas. </w:t>
      </w:r>
      <w:r>
        <w:rPr>
          <w:rFonts w:ascii="Times New Roman" w:eastAsia="Times New Roman" w:hAnsi="Times New Roman" w:cs="Times New Roman"/>
          <w:i/>
          <w:color w:val="222222"/>
          <w:sz w:val="24"/>
          <w:szCs w:val="24"/>
          <w:highlight w:val="white"/>
        </w:rPr>
        <w:t>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214</w:t>
      </w:r>
      <w:r>
        <w:rPr>
          <w:rFonts w:ascii="Times New Roman" w:eastAsia="Times New Roman" w:hAnsi="Times New Roman" w:cs="Times New Roman"/>
          <w:color w:val="222222"/>
          <w:sz w:val="24"/>
          <w:szCs w:val="24"/>
          <w:highlight w:val="white"/>
        </w:rPr>
        <w:t xml:space="preserve">, 118907. </w:t>
      </w:r>
      <w:hyperlink r:id="rId19">
        <w:r>
          <w:rPr>
            <w:rFonts w:ascii="Times New Roman" w:eastAsia="Times New Roman" w:hAnsi="Times New Roman" w:cs="Times New Roman"/>
            <w:color w:val="1155CC"/>
            <w:sz w:val="24"/>
            <w:szCs w:val="24"/>
            <w:highlight w:val="white"/>
            <w:u w:val="single"/>
          </w:rPr>
          <w:t>https://www.sciencedirect.com/science/article/pii/S0360544220320144</w:t>
        </w:r>
      </w:hyperlink>
      <w:r>
        <w:rPr>
          <w:rFonts w:ascii="Times New Roman" w:eastAsia="Times New Roman" w:hAnsi="Times New Roman" w:cs="Times New Roman"/>
          <w:color w:val="222222"/>
          <w:sz w:val="24"/>
          <w:szCs w:val="24"/>
          <w:highlight w:val="white"/>
        </w:rPr>
        <w:t xml:space="preserve"> </w:t>
      </w:r>
    </w:p>
    <w:p w14:paraId="73143566"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Gosens, J., Binz, C., &amp; Lema, R. (2020). China’s role in the next phase of the energy transition: contributions to global niche formation in the Concentrated Solar Power sector. </w:t>
      </w:r>
      <w:r>
        <w:rPr>
          <w:rFonts w:ascii="Times New Roman" w:eastAsia="Times New Roman" w:hAnsi="Times New Roman" w:cs="Times New Roman"/>
          <w:i/>
          <w:color w:val="222222"/>
          <w:sz w:val="24"/>
          <w:szCs w:val="24"/>
          <w:highlight w:val="white"/>
        </w:rPr>
        <w:t>Environmental Innovation and Societal Transitions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 61-75. </w:t>
      </w:r>
      <w:hyperlink r:id="rId20">
        <w:r>
          <w:rPr>
            <w:rFonts w:ascii="Times New Roman" w:eastAsia="Times New Roman" w:hAnsi="Times New Roman" w:cs="Times New Roman"/>
            <w:color w:val="1155CC"/>
            <w:sz w:val="24"/>
            <w:szCs w:val="24"/>
            <w:highlight w:val="white"/>
            <w:u w:val="single"/>
          </w:rPr>
          <w:t>https://www.sciencedirect.com/science/article/pii/S2210422420300058</w:t>
        </w:r>
      </w:hyperlink>
      <w:r>
        <w:rPr>
          <w:rFonts w:ascii="Times New Roman" w:eastAsia="Times New Roman" w:hAnsi="Times New Roman" w:cs="Times New Roman"/>
          <w:color w:val="222222"/>
          <w:sz w:val="24"/>
          <w:szCs w:val="24"/>
          <w:highlight w:val="white"/>
        </w:rPr>
        <w:t xml:space="preserve"> </w:t>
      </w:r>
    </w:p>
    <w:p w14:paraId="69517EC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 Harding, J. (2018). </w:t>
      </w:r>
      <w:r>
        <w:rPr>
          <w:rFonts w:ascii="Times New Roman" w:eastAsia="Times New Roman" w:hAnsi="Times New Roman" w:cs="Times New Roman"/>
          <w:i/>
          <w:color w:val="222222"/>
          <w:sz w:val="24"/>
          <w:szCs w:val="24"/>
          <w:highlight w:val="white"/>
        </w:rPr>
        <w:t>Qualitative data analysis: From start to finish</w:t>
      </w:r>
      <w:r>
        <w:rPr>
          <w:rFonts w:ascii="Times New Roman" w:eastAsia="Times New Roman" w:hAnsi="Times New Roman" w:cs="Times New Roman"/>
          <w:color w:val="222222"/>
          <w:sz w:val="24"/>
          <w:szCs w:val="24"/>
          <w:highlight w:val="white"/>
        </w:rPr>
        <w:t xml:space="preserve">. Sage. </w:t>
      </w:r>
      <w:r>
        <w:rPr>
          <w:rFonts w:ascii="Times New Roman" w:eastAsia="Times New Roman" w:hAnsi="Times New Roman" w:cs="Times New Roman"/>
          <w:color w:val="0F2741"/>
          <w:sz w:val="24"/>
          <w:szCs w:val="24"/>
          <w:highlight w:val="white"/>
        </w:rPr>
        <w:t xml:space="preserve">Retrieved from: </w:t>
      </w:r>
      <w:hyperlink r:id="rId21" w:anchor="v=onepage&amp;q&amp;f=false">
        <w:r>
          <w:rPr>
            <w:rFonts w:ascii="Times New Roman" w:eastAsia="Times New Roman" w:hAnsi="Times New Roman" w:cs="Times New Roman"/>
            <w:color w:val="1155CC"/>
            <w:sz w:val="24"/>
            <w:szCs w:val="24"/>
            <w:highlight w:val="white"/>
            <w:u w:val="single"/>
          </w:rPr>
          <w:t>https://books.google.co.in/books?hl=en&amp;lr=&amp;id=IFt0DwAAQBAJ&amp;oi=fnd&amp;pg=PP1&amp;dq=secondary+data+analysis+advantages&amp;ots=UtqMaTOiDr&amp;sig=_gr9Q2ms8NSw41FUQF3qWUaH8eQ&amp;redir_esc=y#v=onepage&amp;q&amp;f=false</w:t>
        </w:r>
      </w:hyperlink>
      <w:r>
        <w:rPr>
          <w:rFonts w:ascii="Times New Roman" w:eastAsia="Times New Roman" w:hAnsi="Times New Roman" w:cs="Times New Roman"/>
          <w:color w:val="0F2741"/>
          <w:sz w:val="24"/>
          <w:szCs w:val="24"/>
          <w:highlight w:val="white"/>
        </w:rPr>
        <w:t xml:space="preserve"> </w:t>
      </w:r>
    </w:p>
    <w:p w14:paraId="767A0B9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Hayat, M. B., Ali, D., Monyake, K. C., Alagha, L., &amp; Ahmed, N. (2019). Solar energy—A look into power generation, challenges, and a solar‐powered future. </w:t>
      </w:r>
      <w:r>
        <w:rPr>
          <w:rFonts w:ascii="Times New Roman" w:eastAsia="Times New Roman" w:hAnsi="Times New Roman" w:cs="Times New Roman"/>
          <w:i/>
          <w:color w:val="222222"/>
          <w:sz w:val="24"/>
          <w:szCs w:val="24"/>
          <w:highlight w:val="white"/>
        </w:rPr>
        <w:t>International Journal of Energy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(3), 1049-1067. </w:t>
      </w:r>
      <w:hyperlink r:id="rId22">
        <w:r>
          <w:rPr>
            <w:rFonts w:ascii="Times New Roman" w:eastAsia="Times New Roman" w:hAnsi="Times New Roman" w:cs="Times New Roman"/>
            <w:color w:val="1155CC"/>
            <w:sz w:val="24"/>
            <w:szCs w:val="24"/>
            <w:highlight w:val="white"/>
            <w:u w:val="single"/>
          </w:rPr>
          <w:t>https://onlinelibrary.wiley.com/doi/abs/10.1002/er.4252</w:t>
        </w:r>
      </w:hyperlink>
      <w:r>
        <w:rPr>
          <w:rFonts w:ascii="Times New Roman" w:eastAsia="Times New Roman" w:hAnsi="Times New Roman" w:cs="Times New Roman"/>
          <w:color w:val="222222"/>
          <w:sz w:val="24"/>
          <w:szCs w:val="24"/>
          <w:highlight w:val="white"/>
        </w:rPr>
        <w:t xml:space="preserve"> </w:t>
      </w:r>
    </w:p>
    <w:p w14:paraId="431B4B2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Henderson, R. M., Conkling, J., &amp; Roberts, S. (2007). SunPower: Focused on the future of solar power. </w:t>
      </w:r>
      <w:r>
        <w:rPr>
          <w:rFonts w:ascii="Times New Roman" w:eastAsia="Times New Roman" w:hAnsi="Times New Roman" w:cs="Times New Roman"/>
          <w:color w:val="0F2741"/>
          <w:sz w:val="24"/>
          <w:szCs w:val="24"/>
          <w:highlight w:val="white"/>
        </w:rPr>
        <w:t xml:space="preserve">Retrieved from: </w:t>
      </w:r>
      <w:hyperlink r:id="rId23">
        <w:r>
          <w:rPr>
            <w:rFonts w:ascii="Times New Roman" w:eastAsia="Times New Roman" w:hAnsi="Times New Roman" w:cs="Times New Roman"/>
            <w:color w:val="1155CC"/>
            <w:sz w:val="24"/>
            <w:szCs w:val="24"/>
            <w:highlight w:val="white"/>
            <w:u w:val="single"/>
          </w:rPr>
          <w:t>http://dln.jaipuria.ac.in:8080/jspui/bitstream/123456789/1156/1/07-042-SunPower-Henderson.pdf</w:t>
        </w:r>
      </w:hyperlink>
      <w:r>
        <w:rPr>
          <w:rFonts w:ascii="Times New Roman" w:eastAsia="Times New Roman" w:hAnsi="Times New Roman" w:cs="Times New Roman"/>
          <w:color w:val="0F2741"/>
          <w:sz w:val="24"/>
          <w:szCs w:val="24"/>
          <w:highlight w:val="white"/>
        </w:rPr>
        <w:t xml:space="preserve"> </w:t>
      </w:r>
    </w:p>
    <w:p w14:paraId="091F63C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Horowitz, K. A., Remo, T. W., Smith, B., &amp; Ptak, A. J. (2018). </w:t>
      </w:r>
      <w:r>
        <w:rPr>
          <w:rFonts w:ascii="Times New Roman" w:eastAsia="Times New Roman" w:hAnsi="Times New Roman" w:cs="Times New Roman"/>
          <w:i/>
          <w:color w:val="222222"/>
          <w:sz w:val="24"/>
          <w:szCs w:val="24"/>
          <w:highlight w:val="white"/>
        </w:rPr>
        <w:t>A techno-economic analysis and cost reduction roadmap for III-V solar cells</w:t>
      </w:r>
      <w:r>
        <w:rPr>
          <w:rFonts w:ascii="Times New Roman" w:eastAsia="Times New Roman" w:hAnsi="Times New Roman" w:cs="Times New Roman"/>
          <w:color w:val="222222"/>
          <w:sz w:val="24"/>
          <w:szCs w:val="24"/>
          <w:highlight w:val="white"/>
        </w:rPr>
        <w:t xml:space="preserve"> (No. NREL/TP-6A20-72103). National Renewable Energy Lab.(NREL), Golden, CO (United States). </w:t>
      </w:r>
      <w:hyperlink r:id="rId24">
        <w:r>
          <w:rPr>
            <w:rFonts w:ascii="Times New Roman" w:eastAsia="Times New Roman" w:hAnsi="Times New Roman" w:cs="Times New Roman"/>
            <w:color w:val="1155CC"/>
            <w:sz w:val="24"/>
            <w:szCs w:val="24"/>
            <w:highlight w:val="white"/>
            <w:u w:val="single"/>
          </w:rPr>
          <w:t>https://www.osti.gov/biblio/1484349</w:t>
        </w:r>
      </w:hyperlink>
      <w:r>
        <w:rPr>
          <w:rFonts w:ascii="Times New Roman" w:eastAsia="Times New Roman" w:hAnsi="Times New Roman" w:cs="Times New Roman"/>
          <w:color w:val="222222"/>
          <w:sz w:val="24"/>
          <w:szCs w:val="24"/>
          <w:highlight w:val="white"/>
        </w:rPr>
        <w:t xml:space="preserve"> </w:t>
      </w:r>
    </w:p>
    <w:p w14:paraId="14446546"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Illa, P. K., &amp; Padhi, N. (2018). Practical guide to smart factory transition using IoT, big data and edge analytics. </w:t>
      </w:r>
      <w:r>
        <w:rPr>
          <w:rFonts w:ascii="Times New Roman" w:eastAsia="Times New Roman" w:hAnsi="Times New Roman" w:cs="Times New Roman"/>
          <w:i/>
          <w:color w:val="222222"/>
          <w:sz w:val="24"/>
          <w:szCs w:val="24"/>
          <w:highlight w:val="white"/>
        </w:rPr>
        <w:t>Ieee Access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 55162-55170. </w:t>
      </w:r>
      <w:hyperlink r:id="rId25">
        <w:r>
          <w:rPr>
            <w:rFonts w:ascii="Times New Roman" w:eastAsia="Times New Roman" w:hAnsi="Times New Roman" w:cs="Times New Roman"/>
            <w:color w:val="1155CC"/>
            <w:sz w:val="24"/>
            <w:szCs w:val="24"/>
            <w:highlight w:val="white"/>
            <w:u w:val="single"/>
          </w:rPr>
          <w:t>https://ieeexplore.ieee.org/abstract/document/8478188/</w:t>
        </w:r>
      </w:hyperlink>
      <w:r>
        <w:rPr>
          <w:rFonts w:ascii="Times New Roman" w:eastAsia="Times New Roman" w:hAnsi="Times New Roman" w:cs="Times New Roman"/>
          <w:color w:val="222222"/>
          <w:sz w:val="24"/>
          <w:szCs w:val="24"/>
          <w:highlight w:val="white"/>
        </w:rPr>
        <w:t xml:space="preserve"> </w:t>
      </w:r>
    </w:p>
    <w:p w14:paraId="1EEDF1F1"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ITA, 2022 Free Trade agreements Retrieved from:  </w:t>
      </w:r>
      <w:hyperlink r:id="rId26" w:anchor=":~:text=The%20United%20States%20currently%20has,origin%2C%20which%20affects%20tariff%20schedules">
        <w:r>
          <w:rPr>
            <w:rFonts w:ascii="Times New Roman" w:eastAsia="Times New Roman" w:hAnsi="Times New Roman" w:cs="Times New Roman"/>
            <w:color w:val="1155CC"/>
            <w:sz w:val="24"/>
            <w:szCs w:val="24"/>
            <w:highlight w:val="white"/>
            <w:u w:val="single"/>
          </w:rPr>
          <w:t>https://www.trade.gov/free-trade-agreements#:~:text=The%20United%20States%20currently%20has,origin%2C%20which%20affects%20tariff%20schedules</w:t>
        </w:r>
      </w:hyperlink>
      <w:r>
        <w:rPr>
          <w:rFonts w:ascii="Times New Roman" w:eastAsia="Times New Roman" w:hAnsi="Times New Roman" w:cs="Times New Roman"/>
          <w:color w:val="0F2741"/>
          <w:sz w:val="24"/>
          <w:szCs w:val="24"/>
          <w:highlight w:val="white"/>
        </w:rPr>
        <w:t xml:space="preserve">. </w:t>
      </w:r>
    </w:p>
    <w:p w14:paraId="29677747"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 C., Zhang, Z., Masuda, T., Kudo, Y., &amp; Guo, L. J. (2019). Vivid-colored silicon solar panels with high efficiency and non-iridescent appearance. </w:t>
      </w:r>
      <w:r>
        <w:rPr>
          <w:rFonts w:ascii="Times New Roman" w:eastAsia="Times New Roman" w:hAnsi="Times New Roman" w:cs="Times New Roman"/>
          <w:i/>
          <w:color w:val="222222"/>
          <w:sz w:val="24"/>
          <w:szCs w:val="24"/>
          <w:highlight w:val="white"/>
        </w:rPr>
        <w:t>Nanoscale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(4), 874-880. </w:t>
      </w:r>
      <w:hyperlink r:id="rId27">
        <w:r>
          <w:rPr>
            <w:rFonts w:ascii="Times New Roman" w:eastAsia="Times New Roman" w:hAnsi="Times New Roman" w:cs="Times New Roman"/>
            <w:color w:val="1155CC"/>
            <w:sz w:val="24"/>
            <w:szCs w:val="24"/>
            <w:highlight w:val="white"/>
            <w:u w:val="single"/>
          </w:rPr>
          <w:t>https://pubs.rsc.org/en/content/articlehtml/2019/nh/c8nh00368h</w:t>
        </w:r>
      </w:hyperlink>
      <w:r>
        <w:rPr>
          <w:rFonts w:ascii="Times New Roman" w:eastAsia="Times New Roman" w:hAnsi="Times New Roman" w:cs="Times New Roman"/>
          <w:color w:val="222222"/>
          <w:sz w:val="24"/>
          <w:szCs w:val="24"/>
          <w:highlight w:val="white"/>
        </w:rPr>
        <w:t xml:space="preserve"> </w:t>
      </w:r>
    </w:p>
    <w:p w14:paraId="0157B8A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Kabir, E., Kumar, P., Kumar, S., Adelodun, A. A., &amp; Kim, K. H. (2018). Solar energy: Potential and future prospects.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xml:space="preserve">, 894-900. </w:t>
      </w:r>
      <w:r>
        <w:rPr>
          <w:rFonts w:ascii="Times New Roman" w:eastAsia="Times New Roman" w:hAnsi="Times New Roman" w:cs="Times New Roman"/>
          <w:color w:val="0F2741"/>
          <w:sz w:val="24"/>
          <w:szCs w:val="24"/>
          <w:highlight w:val="white"/>
        </w:rPr>
        <w:t xml:space="preserve">Retrieved from: </w:t>
      </w:r>
      <w:hyperlink r:id="rId28">
        <w:r>
          <w:rPr>
            <w:rFonts w:ascii="Times New Roman" w:eastAsia="Times New Roman" w:hAnsi="Times New Roman" w:cs="Times New Roman"/>
            <w:color w:val="1155CC"/>
            <w:sz w:val="24"/>
            <w:szCs w:val="24"/>
            <w:highlight w:val="white"/>
            <w:u w:val="single"/>
          </w:rPr>
          <w:t>https://www.sciencedirect.com/science/article/abs/pii/S1364032117313485</w:t>
        </w:r>
      </w:hyperlink>
      <w:r>
        <w:rPr>
          <w:rFonts w:ascii="Times New Roman" w:eastAsia="Times New Roman" w:hAnsi="Times New Roman" w:cs="Times New Roman"/>
          <w:color w:val="222222"/>
          <w:sz w:val="24"/>
          <w:szCs w:val="24"/>
          <w:highlight w:val="white"/>
        </w:rPr>
        <w:t xml:space="preserve"> </w:t>
      </w:r>
    </w:p>
    <w:p w14:paraId="1D52F087"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Keiningham, T., Aksoy, L., Bruce, H. L., Cadet, F., Clennell, N., Hodgkinson, I. R., &amp; Kearney, T. (2020). Customer experience driven business model innovation.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116</w:t>
      </w:r>
      <w:r>
        <w:rPr>
          <w:rFonts w:ascii="Times New Roman" w:eastAsia="Times New Roman" w:hAnsi="Times New Roman" w:cs="Times New Roman"/>
          <w:color w:val="222222"/>
          <w:sz w:val="24"/>
          <w:szCs w:val="24"/>
          <w:highlight w:val="white"/>
        </w:rPr>
        <w:t xml:space="preserve">, 431-440. </w:t>
      </w:r>
      <w:hyperlink r:id="rId29">
        <w:r>
          <w:rPr>
            <w:rFonts w:ascii="Times New Roman" w:eastAsia="Times New Roman" w:hAnsi="Times New Roman" w:cs="Times New Roman"/>
            <w:color w:val="1155CC"/>
            <w:sz w:val="24"/>
            <w:szCs w:val="24"/>
            <w:highlight w:val="white"/>
            <w:u w:val="single"/>
          </w:rPr>
          <w:t>https://www.sciencedirect.com/science/article/pii/S014829631930462X</w:t>
        </w:r>
      </w:hyperlink>
      <w:r>
        <w:rPr>
          <w:rFonts w:ascii="Times New Roman" w:eastAsia="Times New Roman" w:hAnsi="Times New Roman" w:cs="Times New Roman"/>
          <w:color w:val="222222"/>
          <w:sz w:val="24"/>
          <w:szCs w:val="24"/>
          <w:highlight w:val="white"/>
        </w:rPr>
        <w:t xml:space="preserve"> </w:t>
      </w:r>
    </w:p>
    <w:p w14:paraId="11E21E1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Khan, S. A. R., Zhang, Y., Kumar, A., Zavadskas, E., &amp; Streimikiene, D. (2020). Measuring the impact of renewable energy, public health expenditure, logistics, and environmental performance on sustainable economic growth. </w:t>
      </w:r>
      <w:r>
        <w:rPr>
          <w:rFonts w:ascii="Times New Roman" w:eastAsia="Times New Roman" w:hAnsi="Times New Roman" w:cs="Times New Roman"/>
          <w:i/>
          <w:color w:val="222222"/>
          <w:sz w:val="24"/>
          <w:szCs w:val="24"/>
          <w:highlight w:val="white"/>
        </w:rPr>
        <w:t>Sustainable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(4), 833-843. </w:t>
      </w:r>
      <w:r>
        <w:rPr>
          <w:rFonts w:ascii="Times New Roman" w:eastAsia="Times New Roman" w:hAnsi="Times New Roman" w:cs="Times New Roman"/>
          <w:color w:val="0F2741"/>
          <w:sz w:val="24"/>
          <w:szCs w:val="24"/>
          <w:highlight w:val="white"/>
        </w:rPr>
        <w:t xml:space="preserve">Retrieved from: </w:t>
      </w:r>
      <w:r>
        <w:rPr>
          <w:rFonts w:ascii="Times New Roman" w:eastAsia="Times New Roman" w:hAnsi="Times New Roman" w:cs="Times New Roman"/>
          <w:color w:val="222222"/>
          <w:sz w:val="24"/>
          <w:szCs w:val="24"/>
          <w:highlight w:val="white"/>
        </w:rPr>
        <w:t xml:space="preserve"> </w:t>
      </w:r>
      <w:hyperlink r:id="rId30">
        <w:r>
          <w:rPr>
            <w:rFonts w:ascii="Times New Roman" w:eastAsia="Times New Roman" w:hAnsi="Times New Roman" w:cs="Times New Roman"/>
            <w:color w:val="1155CC"/>
            <w:sz w:val="24"/>
            <w:szCs w:val="24"/>
            <w:highlight w:val="white"/>
            <w:u w:val="single"/>
          </w:rPr>
          <w:t>https://onlinelibrary.wiley.com/doi/abs/10.1002/sd.2034</w:t>
        </w:r>
      </w:hyperlink>
      <w:r>
        <w:rPr>
          <w:rFonts w:ascii="Times New Roman" w:eastAsia="Times New Roman" w:hAnsi="Times New Roman" w:cs="Times New Roman"/>
          <w:color w:val="222222"/>
          <w:sz w:val="24"/>
          <w:szCs w:val="24"/>
          <w:highlight w:val="white"/>
        </w:rPr>
        <w:t xml:space="preserve"> </w:t>
      </w:r>
    </w:p>
    <w:p w14:paraId="2AA87244"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Z. (2018). What is the future of solar energy? Economic and policy barriers. </w:t>
      </w:r>
      <w:r>
        <w:rPr>
          <w:rFonts w:ascii="Times New Roman" w:eastAsia="Times New Roman" w:hAnsi="Times New Roman" w:cs="Times New Roman"/>
          <w:i/>
          <w:color w:val="222222"/>
          <w:sz w:val="24"/>
          <w:szCs w:val="24"/>
          <w:highlight w:val="white"/>
        </w:rPr>
        <w:t>Energy Sources, Part B: Economics, Planning, and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(3), 169-172. </w:t>
      </w:r>
      <w:r>
        <w:rPr>
          <w:rFonts w:ascii="Times New Roman" w:eastAsia="Times New Roman" w:hAnsi="Times New Roman" w:cs="Times New Roman"/>
          <w:color w:val="0F2741"/>
          <w:sz w:val="24"/>
          <w:szCs w:val="24"/>
          <w:highlight w:val="white"/>
        </w:rPr>
        <w:t xml:space="preserve">Retrieved from: </w:t>
      </w:r>
      <w:hyperlink r:id="rId31">
        <w:r>
          <w:rPr>
            <w:rFonts w:ascii="Times New Roman" w:eastAsia="Times New Roman" w:hAnsi="Times New Roman" w:cs="Times New Roman"/>
            <w:color w:val="1155CC"/>
            <w:sz w:val="24"/>
            <w:szCs w:val="24"/>
            <w:highlight w:val="white"/>
            <w:u w:val="single"/>
          </w:rPr>
          <w:t>https://www.tandfonline.com/doi/abs/10.1080/15567249.2017.1416704</w:t>
        </w:r>
      </w:hyperlink>
      <w:r>
        <w:rPr>
          <w:rFonts w:ascii="Times New Roman" w:eastAsia="Times New Roman" w:hAnsi="Times New Roman" w:cs="Times New Roman"/>
          <w:color w:val="222222"/>
          <w:sz w:val="24"/>
          <w:szCs w:val="24"/>
          <w:highlight w:val="white"/>
        </w:rPr>
        <w:t xml:space="preserve"> </w:t>
      </w:r>
    </w:p>
    <w:p w14:paraId="1B34751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Makadok, R., Burton, R., &amp; Barney, J. (2018). A practical guide for making theory contributions in strategic management. </w:t>
      </w:r>
      <w:r>
        <w:rPr>
          <w:rFonts w:ascii="Times New Roman" w:eastAsia="Times New Roman" w:hAnsi="Times New Roman" w:cs="Times New Roman"/>
          <w:i/>
          <w:color w:val="222222"/>
          <w:sz w:val="24"/>
          <w:szCs w:val="24"/>
          <w:highlight w:val="white"/>
        </w:rPr>
        <w:t>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xml:space="preserve">(6), 1530-1545. </w:t>
      </w:r>
      <w:r>
        <w:rPr>
          <w:rFonts w:ascii="Times New Roman" w:eastAsia="Times New Roman" w:hAnsi="Times New Roman" w:cs="Times New Roman"/>
          <w:color w:val="0F2741"/>
          <w:sz w:val="24"/>
          <w:szCs w:val="24"/>
          <w:highlight w:val="white"/>
        </w:rPr>
        <w:t xml:space="preserve">Retrieved from: </w:t>
      </w:r>
      <w:hyperlink r:id="rId32">
        <w:r>
          <w:rPr>
            <w:rFonts w:ascii="Times New Roman" w:eastAsia="Times New Roman" w:hAnsi="Times New Roman" w:cs="Times New Roman"/>
            <w:color w:val="1155CC"/>
            <w:sz w:val="24"/>
            <w:szCs w:val="24"/>
            <w:highlight w:val="white"/>
            <w:u w:val="single"/>
          </w:rPr>
          <w:t>https://onlinelibrary.wiley.com/doi/abs/10.1002/smj.2789</w:t>
        </w:r>
      </w:hyperlink>
      <w:r>
        <w:rPr>
          <w:rFonts w:ascii="Times New Roman" w:eastAsia="Times New Roman" w:hAnsi="Times New Roman" w:cs="Times New Roman"/>
          <w:color w:val="0F2741"/>
          <w:sz w:val="24"/>
          <w:szCs w:val="24"/>
          <w:highlight w:val="white"/>
        </w:rPr>
        <w:t xml:space="preserve"> </w:t>
      </w:r>
    </w:p>
    <w:p w14:paraId="467D593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Negulescu, O. H. (2019). The importance of competitive advantage assessment in selecting the organization's strategy. </w:t>
      </w:r>
      <w:r>
        <w:rPr>
          <w:rFonts w:ascii="Times New Roman" w:eastAsia="Times New Roman" w:hAnsi="Times New Roman" w:cs="Times New Roman"/>
          <w:i/>
          <w:color w:val="222222"/>
          <w:sz w:val="24"/>
          <w:szCs w:val="24"/>
          <w:highlight w:val="white"/>
        </w:rPr>
        <w:t>Review of General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 xml:space="preserve">(1), 70-82. </w:t>
      </w:r>
      <w:hyperlink r:id="rId33">
        <w:r>
          <w:rPr>
            <w:rFonts w:ascii="Times New Roman" w:eastAsia="Times New Roman" w:hAnsi="Times New Roman" w:cs="Times New Roman"/>
            <w:color w:val="1155CC"/>
            <w:sz w:val="24"/>
            <w:szCs w:val="24"/>
            <w:highlight w:val="white"/>
            <w:u w:val="single"/>
          </w:rPr>
          <w:t>http://www.managementgeneral.ro/pdf/1-2019-8.pdf</w:t>
        </w:r>
      </w:hyperlink>
      <w:r>
        <w:rPr>
          <w:rFonts w:ascii="Times New Roman" w:eastAsia="Times New Roman" w:hAnsi="Times New Roman" w:cs="Times New Roman"/>
          <w:color w:val="222222"/>
          <w:sz w:val="24"/>
          <w:szCs w:val="24"/>
          <w:highlight w:val="white"/>
        </w:rPr>
        <w:t xml:space="preserve"> </w:t>
      </w:r>
    </w:p>
    <w:p w14:paraId="51D3C731"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Phadermrod, B., Crowder, R. M., &amp; Wills, G. B. (2019). Importance-performance analysis based SWOT analysis.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 194-203. </w:t>
      </w:r>
      <w:r>
        <w:rPr>
          <w:rFonts w:ascii="Times New Roman" w:eastAsia="Times New Roman" w:hAnsi="Times New Roman" w:cs="Times New Roman"/>
          <w:color w:val="0F2741"/>
          <w:sz w:val="24"/>
          <w:szCs w:val="24"/>
          <w:highlight w:val="white"/>
        </w:rPr>
        <w:t xml:space="preserve">Retrieved from: </w:t>
      </w:r>
      <w:hyperlink r:id="rId34">
        <w:r>
          <w:rPr>
            <w:rFonts w:ascii="Times New Roman" w:eastAsia="Times New Roman" w:hAnsi="Times New Roman" w:cs="Times New Roman"/>
            <w:color w:val="1155CC"/>
            <w:sz w:val="24"/>
            <w:szCs w:val="24"/>
            <w:highlight w:val="white"/>
            <w:u w:val="single"/>
          </w:rPr>
          <w:t>https://www.sciencedirect.com/science/article/abs/pii/S0268401216301694</w:t>
        </w:r>
      </w:hyperlink>
      <w:r>
        <w:rPr>
          <w:rFonts w:ascii="Times New Roman" w:eastAsia="Times New Roman" w:hAnsi="Times New Roman" w:cs="Times New Roman"/>
          <w:color w:val="0F2741"/>
          <w:sz w:val="24"/>
          <w:szCs w:val="24"/>
          <w:highlight w:val="white"/>
        </w:rPr>
        <w:t xml:space="preserve"> </w:t>
      </w:r>
    </w:p>
    <w:p w14:paraId="448D73E0"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Puyt, R., Lie, F. B., De Graaf, F. J., &amp; Wilderom, C. P. (2020). Origins of SWOT analysis. In </w:t>
      </w:r>
      <w:r>
        <w:rPr>
          <w:rFonts w:ascii="Times New Roman" w:eastAsia="Times New Roman" w:hAnsi="Times New Roman" w:cs="Times New Roman"/>
          <w:i/>
          <w:color w:val="222222"/>
          <w:sz w:val="24"/>
          <w:szCs w:val="24"/>
          <w:highlight w:val="white"/>
        </w:rPr>
        <w:t>Academy of Management Proceedings</w:t>
      </w:r>
      <w:r>
        <w:rPr>
          <w:rFonts w:ascii="Times New Roman" w:eastAsia="Times New Roman" w:hAnsi="Times New Roman" w:cs="Times New Roman"/>
          <w:color w:val="222222"/>
          <w:sz w:val="24"/>
          <w:szCs w:val="24"/>
          <w:highlight w:val="white"/>
        </w:rPr>
        <w:t xml:space="preserve"> (Vol. 2020, No. 1, p. 17416). Briarcliff Manor, NY 10510: Academy of Management. </w:t>
      </w:r>
      <w:r>
        <w:rPr>
          <w:rFonts w:ascii="Times New Roman" w:eastAsia="Times New Roman" w:hAnsi="Times New Roman" w:cs="Times New Roman"/>
          <w:color w:val="0F2741"/>
          <w:sz w:val="24"/>
          <w:szCs w:val="24"/>
          <w:highlight w:val="white"/>
        </w:rPr>
        <w:t xml:space="preserve">Retrieved from: </w:t>
      </w:r>
      <w:hyperlink r:id="rId35">
        <w:r>
          <w:rPr>
            <w:rFonts w:ascii="Times New Roman" w:eastAsia="Times New Roman" w:hAnsi="Times New Roman" w:cs="Times New Roman"/>
            <w:color w:val="1155CC"/>
            <w:sz w:val="24"/>
            <w:szCs w:val="24"/>
            <w:highlight w:val="white"/>
            <w:u w:val="single"/>
          </w:rPr>
          <w:t>https://journals.aom.org/doi/abs/10.5465/AMBPP.2020.132</w:t>
        </w:r>
      </w:hyperlink>
      <w:r>
        <w:rPr>
          <w:rFonts w:ascii="Times New Roman" w:eastAsia="Times New Roman" w:hAnsi="Times New Roman" w:cs="Times New Roman"/>
          <w:color w:val="0F2741"/>
          <w:sz w:val="24"/>
          <w:szCs w:val="24"/>
          <w:highlight w:val="white"/>
        </w:rPr>
        <w:t xml:space="preserve"> </w:t>
      </w:r>
    </w:p>
    <w:p w14:paraId="01A3206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Qu, W., Cao, W., &amp; Su, Y. C. (2020). Design and implementation of smart manufacturing execution system in solar industry. </w:t>
      </w:r>
      <w:r>
        <w:rPr>
          <w:rFonts w:ascii="Times New Roman" w:eastAsia="Times New Roman" w:hAnsi="Times New Roman" w:cs="Times New Roman"/>
          <w:i/>
          <w:color w:val="222222"/>
          <w:sz w:val="24"/>
          <w:szCs w:val="24"/>
          <w:highlight w:val="white"/>
        </w:rPr>
        <w:t xml:space="preserve">Journal of Ambient Intelligence and Humanized </w:t>
      </w:r>
      <w:r>
        <w:rPr>
          <w:rFonts w:ascii="Times New Roman" w:eastAsia="Times New Roman" w:hAnsi="Times New Roman" w:cs="Times New Roman"/>
          <w:i/>
          <w:color w:val="222222"/>
          <w:sz w:val="24"/>
          <w:szCs w:val="24"/>
          <w:highlight w:val="white"/>
        </w:rPr>
        <w:lastRenderedPageBreak/>
        <w:t>Computing</w:t>
      </w:r>
      <w:r>
        <w:rPr>
          <w:rFonts w:ascii="Times New Roman" w:eastAsia="Times New Roman" w:hAnsi="Times New Roman" w:cs="Times New Roman"/>
          <w:color w:val="222222"/>
          <w:sz w:val="24"/>
          <w:szCs w:val="24"/>
          <w:highlight w:val="white"/>
        </w:rPr>
        <w:t xml:space="preserve">, 1-17. Retrieved from: </w:t>
      </w:r>
      <w:hyperlink r:id="rId36">
        <w:r>
          <w:rPr>
            <w:rFonts w:ascii="Times New Roman" w:eastAsia="Times New Roman" w:hAnsi="Times New Roman" w:cs="Times New Roman"/>
            <w:color w:val="1155CC"/>
            <w:sz w:val="24"/>
            <w:szCs w:val="24"/>
            <w:highlight w:val="white"/>
            <w:u w:val="single"/>
          </w:rPr>
          <w:t>https://link.springer.com/article/10.1007/s12652-020-02292-5</w:t>
        </w:r>
      </w:hyperlink>
      <w:r>
        <w:rPr>
          <w:rFonts w:ascii="Times New Roman" w:eastAsia="Times New Roman" w:hAnsi="Times New Roman" w:cs="Times New Roman"/>
          <w:color w:val="222222"/>
          <w:sz w:val="24"/>
          <w:szCs w:val="24"/>
          <w:highlight w:val="white"/>
        </w:rPr>
        <w:t xml:space="preserve"> </w:t>
      </w:r>
    </w:p>
    <w:p w14:paraId="6A1E186E"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Radavičius, T., Van Der Heide, A., Palitzsch, W., Rommens, T., Denafas, J., &amp; Tvaronavičienė, M. (2021). Circular solar industry supply chain through product technological design changes. </w:t>
      </w:r>
      <w:r>
        <w:rPr>
          <w:rFonts w:ascii="Times New Roman" w:eastAsia="Times New Roman" w:hAnsi="Times New Roman" w:cs="Times New Roman"/>
          <w:i/>
          <w:color w:val="222222"/>
          <w:sz w:val="24"/>
          <w:szCs w:val="24"/>
          <w:highlight w:val="white"/>
        </w:rPr>
        <w:t>Insights into Regional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(3), 10-30. Retrieved from: </w:t>
      </w:r>
      <w:hyperlink r:id="rId37">
        <w:r>
          <w:rPr>
            <w:rFonts w:ascii="Times New Roman" w:eastAsia="Times New Roman" w:hAnsi="Times New Roman" w:cs="Times New Roman"/>
            <w:color w:val="1155CC"/>
            <w:sz w:val="24"/>
            <w:szCs w:val="24"/>
            <w:highlight w:val="white"/>
            <w:u w:val="single"/>
          </w:rPr>
          <w:t>https://hal.archives-ouvertes.fr/hal-03583961/</w:t>
        </w:r>
      </w:hyperlink>
      <w:r>
        <w:rPr>
          <w:rFonts w:ascii="Times New Roman" w:eastAsia="Times New Roman" w:hAnsi="Times New Roman" w:cs="Times New Roman"/>
          <w:color w:val="222222"/>
          <w:sz w:val="24"/>
          <w:szCs w:val="24"/>
          <w:highlight w:val="white"/>
        </w:rPr>
        <w:t xml:space="preserve"> </w:t>
      </w:r>
    </w:p>
    <w:p w14:paraId="1F9C231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Radhacharan, C., &amp; Vardhan, S. V. (2020). Designing and Evaluating the Solar Roof Top Plant Interconnectivity System for the Residential Buildings. </w:t>
      </w:r>
      <w:r>
        <w:rPr>
          <w:rFonts w:ascii="Times New Roman" w:eastAsia="Times New Roman" w:hAnsi="Times New Roman" w:cs="Times New Roman"/>
          <w:i/>
          <w:color w:val="222222"/>
          <w:sz w:val="24"/>
          <w:szCs w:val="24"/>
          <w:highlight w:val="white"/>
        </w:rPr>
        <w:t>Helix-The Scientific Explorer| Peer Reviewed Bimonthly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(04), 97-103. </w:t>
      </w:r>
      <w:hyperlink r:id="rId38">
        <w:r>
          <w:rPr>
            <w:rFonts w:ascii="Times New Roman" w:eastAsia="Times New Roman" w:hAnsi="Times New Roman" w:cs="Times New Roman"/>
            <w:color w:val="1155CC"/>
            <w:sz w:val="24"/>
            <w:szCs w:val="24"/>
            <w:highlight w:val="white"/>
            <w:u w:val="single"/>
          </w:rPr>
          <w:t>https://helixscientific.pub/index.php/home/article/download/198/168</w:t>
        </w:r>
      </w:hyperlink>
      <w:r>
        <w:rPr>
          <w:rFonts w:ascii="Times New Roman" w:eastAsia="Times New Roman" w:hAnsi="Times New Roman" w:cs="Times New Roman"/>
          <w:color w:val="222222"/>
          <w:sz w:val="24"/>
          <w:szCs w:val="24"/>
          <w:highlight w:val="white"/>
        </w:rPr>
        <w:t xml:space="preserve"> </w:t>
      </w:r>
    </w:p>
    <w:p w14:paraId="43FAA9E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Rockwell, S. (2019). A resource-based framework for strategically managing identity. </w:t>
      </w:r>
      <w:r>
        <w:rPr>
          <w:rFonts w:ascii="Times New Roman" w:eastAsia="Times New Roman" w:hAnsi="Times New Roman" w:cs="Times New Roman"/>
          <w:i/>
          <w:color w:val="222222"/>
          <w:sz w:val="24"/>
          <w:szCs w:val="24"/>
          <w:highlight w:val="white"/>
        </w:rPr>
        <w:t>Journal of Organizational Change Management</w:t>
      </w:r>
      <w:r>
        <w:rPr>
          <w:rFonts w:ascii="Times New Roman" w:eastAsia="Times New Roman" w:hAnsi="Times New Roman" w:cs="Times New Roman"/>
          <w:color w:val="222222"/>
          <w:sz w:val="24"/>
          <w:szCs w:val="24"/>
          <w:highlight w:val="white"/>
        </w:rPr>
        <w:t xml:space="preserve">. </w:t>
      </w:r>
      <w:hyperlink r:id="rId39">
        <w:r>
          <w:rPr>
            <w:rFonts w:ascii="Times New Roman" w:eastAsia="Times New Roman" w:hAnsi="Times New Roman" w:cs="Times New Roman"/>
            <w:color w:val="1155CC"/>
            <w:sz w:val="24"/>
            <w:szCs w:val="24"/>
            <w:highlight w:val="white"/>
            <w:u w:val="single"/>
          </w:rPr>
          <w:t>https://www.emerald.com/insight/content/doi/10.1108/JOCM-01-2018-0012/full/html</w:t>
        </w:r>
      </w:hyperlink>
      <w:r>
        <w:rPr>
          <w:rFonts w:ascii="Times New Roman" w:eastAsia="Times New Roman" w:hAnsi="Times New Roman" w:cs="Times New Roman"/>
          <w:color w:val="222222"/>
          <w:sz w:val="24"/>
          <w:szCs w:val="24"/>
          <w:highlight w:val="white"/>
        </w:rPr>
        <w:t xml:space="preserve"> </w:t>
      </w:r>
    </w:p>
    <w:p w14:paraId="025400FF"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Sachenko, A. V., Kostylyov, V. P., Vlasyuk, V. M., Korkishko, R. M., Sokolovskyi, I. O., Chernenko, V. V., ... &amp; Evstigneev, M. A. (2019). Key parameters of commercial silicon solar cells with rear metallization. </w:t>
      </w:r>
      <w:r>
        <w:rPr>
          <w:rFonts w:ascii="Times New Roman" w:eastAsia="Times New Roman" w:hAnsi="Times New Roman" w:cs="Times New Roman"/>
          <w:i/>
          <w:color w:val="222222"/>
          <w:sz w:val="24"/>
          <w:szCs w:val="24"/>
          <w:highlight w:val="white"/>
        </w:rPr>
        <w:t>Semiconductor Physics, Quantum Electronics and Optoelectronics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(3), 277-284. </w:t>
      </w:r>
      <w:hyperlink r:id="rId40">
        <w:r>
          <w:rPr>
            <w:rFonts w:ascii="Times New Roman" w:eastAsia="Times New Roman" w:hAnsi="Times New Roman" w:cs="Times New Roman"/>
            <w:color w:val="1155CC"/>
            <w:sz w:val="24"/>
            <w:szCs w:val="24"/>
            <w:highlight w:val="white"/>
            <w:u w:val="single"/>
          </w:rPr>
          <w:t>http://journal-spqeo.org.ua/n3_2019/v22n3-p277-284.pdf</w:t>
        </w:r>
      </w:hyperlink>
      <w:r>
        <w:rPr>
          <w:rFonts w:ascii="Times New Roman" w:eastAsia="Times New Roman" w:hAnsi="Times New Roman" w:cs="Times New Roman"/>
          <w:color w:val="222222"/>
          <w:sz w:val="24"/>
          <w:szCs w:val="24"/>
          <w:highlight w:val="white"/>
        </w:rPr>
        <w:t xml:space="preserve"> </w:t>
      </w:r>
    </w:p>
    <w:p w14:paraId="6BB6EB7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Sachenko, A. V., Kostylyov, V. P., Vlasyuk, V. M., Korkishko, R. M., Sokolovskyi, I. O., Chernenko, V. V., ... &amp; Evstigneev, M. A. (2019). Key parameters of commercial silicon solar cells with rear metallization. </w:t>
      </w:r>
      <w:r>
        <w:rPr>
          <w:rFonts w:ascii="Times New Roman" w:eastAsia="Times New Roman" w:hAnsi="Times New Roman" w:cs="Times New Roman"/>
          <w:i/>
          <w:color w:val="222222"/>
          <w:sz w:val="24"/>
          <w:szCs w:val="24"/>
          <w:highlight w:val="white"/>
        </w:rPr>
        <w:t>Semiconductor Physics, Quantum Electronics and Optoelectronics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(3), 277-284. </w:t>
      </w:r>
      <w:hyperlink r:id="rId41">
        <w:r>
          <w:rPr>
            <w:rFonts w:ascii="Times New Roman" w:eastAsia="Times New Roman" w:hAnsi="Times New Roman" w:cs="Times New Roman"/>
            <w:color w:val="1155CC"/>
            <w:sz w:val="24"/>
            <w:szCs w:val="24"/>
            <w:highlight w:val="white"/>
            <w:u w:val="single"/>
          </w:rPr>
          <w:t>http://journal-spqeo.org.ua/n3_2019/v22n3-p277-284.pdf</w:t>
        </w:r>
      </w:hyperlink>
      <w:r>
        <w:rPr>
          <w:rFonts w:ascii="Times New Roman" w:eastAsia="Times New Roman" w:hAnsi="Times New Roman" w:cs="Times New Roman"/>
          <w:color w:val="222222"/>
          <w:sz w:val="24"/>
          <w:szCs w:val="24"/>
          <w:highlight w:val="white"/>
        </w:rPr>
        <w:t xml:space="preserve"> </w:t>
      </w:r>
    </w:p>
    <w:p w14:paraId="6373E9E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Simons, R. (2019). The role of management control systems in creating competitive advantage: new perspectives. In </w:t>
      </w:r>
      <w:r>
        <w:rPr>
          <w:rFonts w:ascii="Times New Roman" w:eastAsia="Times New Roman" w:hAnsi="Times New Roman" w:cs="Times New Roman"/>
          <w:i/>
          <w:color w:val="222222"/>
          <w:sz w:val="24"/>
          <w:szCs w:val="24"/>
          <w:highlight w:val="white"/>
        </w:rPr>
        <w:t>Management Control Theory</w:t>
      </w:r>
      <w:r>
        <w:rPr>
          <w:rFonts w:ascii="Times New Roman" w:eastAsia="Times New Roman" w:hAnsi="Times New Roman" w:cs="Times New Roman"/>
          <w:color w:val="222222"/>
          <w:sz w:val="24"/>
          <w:szCs w:val="24"/>
          <w:highlight w:val="white"/>
        </w:rPr>
        <w:t xml:space="preserve"> (pp. 173-194). Routledge. Retrieved from: </w:t>
      </w:r>
      <w:hyperlink r:id="rId42">
        <w:r>
          <w:rPr>
            <w:rFonts w:ascii="Times New Roman" w:eastAsia="Times New Roman" w:hAnsi="Times New Roman" w:cs="Times New Roman"/>
            <w:color w:val="1155CC"/>
            <w:sz w:val="24"/>
            <w:szCs w:val="24"/>
            <w:highlight w:val="white"/>
            <w:u w:val="single"/>
          </w:rPr>
          <w:t>https://www.taylorfrancis.com/chapters/edit/10.4324/9780429422553-13/role-management-control-systems-creating-competitive-advantage-new-perspectives-robert-simons</w:t>
        </w:r>
      </w:hyperlink>
      <w:r>
        <w:rPr>
          <w:rFonts w:ascii="Times New Roman" w:eastAsia="Times New Roman" w:hAnsi="Times New Roman" w:cs="Times New Roman"/>
          <w:color w:val="222222"/>
          <w:sz w:val="24"/>
          <w:szCs w:val="24"/>
          <w:highlight w:val="white"/>
        </w:rPr>
        <w:t xml:space="preserve"> </w:t>
      </w:r>
    </w:p>
    <w:p w14:paraId="70E04FC0"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Singh, A. (2021). SunPower: A Path Toward Strategic Development. </w:t>
      </w:r>
      <w:r>
        <w:rPr>
          <w:rFonts w:ascii="Times New Roman" w:eastAsia="Times New Roman" w:hAnsi="Times New Roman" w:cs="Times New Roman"/>
          <w:i/>
          <w:color w:val="222222"/>
          <w:sz w:val="24"/>
          <w:szCs w:val="24"/>
          <w:highlight w:val="white"/>
        </w:rPr>
        <w:t>Emerging Economies Cases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(2), 77-86. </w:t>
      </w:r>
      <w:hyperlink r:id="rId43">
        <w:r>
          <w:rPr>
            <w:rFonts w:ascii="Times New Roman" w:eastAsia="Times New Roman" w:hAnsi="Times New Roman" w:cs="Times New Roman"/>
            <w:color w:val="1155CC"/>
            <w:sz w:val="24"/>
            <w:szCs w:val="24"/>
            <w:highlight w:val="white"/>
            <w:u w:val="single"/>
          </w:rPr>
          <w:t>https://journals.sagepub.com/doi/abs/10.1177/25166042211058534</w:t>
        </w:r>
      </w:hyperlink>
      <w:r>
        <w:rPr>
          <w:rFonts w:ascii="Times New Roman" w:eastAsia="Times New Roman" w:hAnsi="Times New Roman" w:cs="Times New Roman"/>
          <w:color w:val="222222"/>
          <w:sz w:val="24"/>
          <w:szCs w:val="24"/>
          <w:highlight w:val="white"/>
        </w:rPr>
        <w:t xml:space="preserve"> </w:t>
      </w:r>
    </w:p>
    <w:p w14:paraId="686071F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Statista, 2022 Inflation in the U.S. - statistics &amp; facts Retrieved from: </w:t>
      </w:r>
      <w:hyperlink r:id="rId44" w:anchor=":~:text=Inflation%20in%20the%20United%20States,of%209.1%20percent%20in%202022">
        <w:r>
          <w:rPr>
            <w:rFonts w:ascii="Times New Roman" w:eastAsia="Times New Roman" w:hAnsi="Times New Roman" w:cs="Times New Roman"/>
            <w:color w:val="1155CC"/>
            <w:sz w:val="24"/>
            <w:szCs w:val="24"/>
            <w:highlight w:val="white"/>
            <w:u w:val="single"/>
          </w:rPr>
          <w:t>https://www.statista.com/topics/774/inflation/#:~:text=Inflation%20in%20the%20United%20States,of%209.1%20percent%20in%202022</w:t>
        </w:r>
      </w:hyperlink>
      <w:r>
        <w:rPr>
          <w:rFonts w:ascii="Times New Roman" w:eastAsia="Times New Roman" w:hAnsi="Times New Roman" w:cs="Times New Roman"/>
          <w:color w:val="0F2741"/>
          <w:sz w:val="24"/>
          <w:szCs w:val="24"/>
          <w:highlight w:val="white"/>
        </w:rPr>
        <w:t xml:space="preserve">. </w:t>
      </w:r>
    </w:p>
    <w:p w14:paraId="5701A67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2022 </w:t>
      </w:r>
      <w:r>
        <w:rPr>
          <w:rFonts w:ascii="Times New Roman" w:eastAsia="Times New Roman" w:hAnsi="Times New Roman" w:cs="Times New Roman"/>
          <w:color w:val="0F2741"/>
          <w:sz w:val="24"/>
          <w:szCs w:val="24"/>
          <w:highlight w:val="white"/>
        </w:rPr>
        <w:t xml:space="preserve">Revenue of SunPower Corporation from financial year 2010 to 2021 Retrieved from: </w:t>
      </w:r>
      <w:hyperlink r:id="rId45">
        <w:r>
          <w:rPr>
            <w:rFonts w:ascii="Times New Roman" w:eastAsia="Times New Roman" w:hAnsi="Times New Roman" w:cs="Times New Roman"/>
            <w:color w:val="1155CC"/>
            <w:sz w:val="24"/>
            <w:szCs w:val="24"/>
            <w:highlight w:val="white"/>
            <w:u w:val="single"/>
          </w:rPr>
          <w:t>https://www.statista.com/statistics/477473/revenue-of-sunpower-corporation/</w:t>
        </w:r>
      </w:hyperlink>
      <w:r>
        <w:rPr>
          <w:rFonts w:ascii="Times New Roman" w:eastAsia="Times New Roman" w:hAnsi="Times New Roman" w:cs="Times New Roman"/>
          <w:color w:val="222222"/>
          <w:sz w:val="24"/>
          <w:szCs w:val="24"/>
          <w:highlight w:val="white"/>
        </w:rPr>
        <w:t xml:space="preserve"> </w:t>
      </w:r>
    </w:p>
    <w:p w14:paraId="755CF05C"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Statista, 2022, Monthly unemployment rate in the United States from November 2021 to November 2022 Retrieved from: </w:t>
      </w:r>
      <w:hyperlink r:id="rId46">
        <w:r>
          <w:rPr>
            <w:rFonts w:ascii="Times New Roman" w:eastAsia="Times New Roman" w:hAnsi="Times New Roman" w:cs="Times New Roman"/>
            <w:color w:val="1155CC"/>
            <w:sz w:val="24"/>
            <w:szCs w:val="24"/>
            <w:highlight w:val="white"/>
            <w:u w:val="single"/>
          </w:rPr>
          <w:t>https://www.statista.com/statistics/273909/seasonally-adjusted-monthly-unemployment-rate-in-the-us/</w:t>
        </w:r>
      </w:hyperlink>
      <w:r>
        <w:rPr>
          <w:rFonts w:ascii="Times New Roman" w:eastAsia="Times New Roman" w:hAnsi="Times New Roman" w:cs="Times New Roman"/>
          <w:color w:val="0F2741"/>
          <w:sz w:val="24"/>
          <w:szCs w:val="24"/>
          <w:highlight w:val="white"/>
        </w:rPr>
        <w:t xml:space="preserve"> </w:t>
      </w:r>
    </w:p>
    <w:p w14:paraId="097DE94B"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Turk, I., Ozbek, E., Ekici, S., &amp; Karakoc, T. H. (2022). A conceptual design of a solar powered UAV and assessment for continental climate flight conditions. </w:t>
      </w:r>
      <w:r>
        <w:rPr>
          <w:rFonts w:ascii="Times New Roman" w:eastAsia="Times New Roman" w:hAnsi="Times New Roman" w:cs="Times New Roman"/>
          <w:i/>
          <w:color w:val="222222"/>
          <w:sz w:val="24"/>
          <w:szCs w:val="24"/>
          <w:highlight w:val="white"/>
        </w:rPr>
        <w:t>International Journal of Green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(6), 638-648. Retrieved from: </w:t>
      </w:r>
      <w:hyperlink r:id="rId47">
        <w:r>
          <w:rPr>
            <w:rFonts w:ascii="Times New Roman" w:eastAsia="Times New Roman" w:hAnsi="Times New Roman" w:cs="Times New Roman"/>
            <w:color w:val="1155CC"/>
            <w:sz w:val="24"/>
            <w:szCs w:val="24"/>
            <w:highlight w:val="white"/>
            <w:u w:val="single"/>
          </w:rPr>
          <w:t>https://www.tandfonline.com/doi/abs/10.1080/15435075.2021.1954008</w:t>
        </w:r>
      </w:hyperlink>
      <w:r>
        <w:rPr>
          <w:rFonts w:ascii="Times New Roman" w:eastAsia="Times New Roman" w:hAnsi="Times New Roman" w:cs="Times New Roman"/>
          <w:color w:val="222222"/>
          <w:sz w:val="24"/>
          <w:szCs w:val="24"/>
          <w:highlight w:val="white"/>
        </w:rPr>
        <w:t xml:space="preserve"> </w:t>
      </w:r>
    </w:p>
    <w:p w14:paraId="3E6B9D1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Vargas-Hernández, J. G., &amp; Garcia, F. C. (2019). The Link between a Firm´ s Internal Characteristics and Performance: GPTW &amp; VRIO Dimension Analysis. </w:t>
      </w:r>
      <w:r>
        <w:rPr>
          <w:rFonts w:ascii="Times New Roman" w:eastAsia="Times New Roman" w:hAnsi="Times New Roman" w:cs="Times New Roman"/>
          <w:i/>
          <w:color w:val="222222"/>
          <w:sz w:val="24"/>
          <w:szCs w:val="24"/>
          <w:highlight w:val="white"/>
        </w:rPr>
        <w:t>REBRAE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 19-30. </w:t>
      </w:r>
      <w:hyperlink r:id="rId48">
        <w:r>
          <w:rPr>
            <w:rFonts w:ascii="Times New Roman" w:eastAsia="Times New Roman" w:hAnsi="Times New Roman" w:cs="Times New Roman"/>
            <w:color w:val="1155CC"/>
            <w:sz w:val="24"/>
            <w:szCs w:val="24"/>
            <w:highlight w:val="white"/>
            <w:u w:val="single"/>
          </w:rPr>
          <w:t>http://periodicos.pucpr.br/REBRAE/article/view/24645</w:t>
        </w:r>
      </w:hyperlink>
      <w:r>
        <w:rPr>
          <w:rFonts w:ascii="Times New Roman" w:eastAsia="Times New Roman" w:hAnsi="Times New Roman" w:cs="Times New Roman"/>
          <w:color w:val="222222"/>
          <w:sz w:val="24"/>
          <w:szCs w:val="24"/>
          <w:highlight w:val="white"/>
        </w:rPr>
        <w:t xml:space="preserve"> </w:t>
      </w:r>
    </w:p>
    <w:p w14:paraId="41755F3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Visser, W. (2020). Integrated Innovation: Applying Systems Thinking to Sustainable Innovation and Transformation.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(13), 5247. </w:t>
      </w:r>
      <w:hyperlink r:id="rId49">
        <w:r>
          <w:rPr>
            <w:rFonts w:ascii="Times New Roman" w:eastAsia="Times New Roman" w:hAnsi="Times New Roman" w:cs="Times New Roman"/>
            <w:color w:val="1155CC"/>
            <w:sz w:val="24"/>
            <w:szCs w:val="24"/>
            <w:highlight w:val="white"/>
            <w:u w:val="single"/>
          </w:rPr>
          <w:t>https://www.mdpi.com/754950</w:t>
        </w:r>
      </w:hyperlink>
      <w:r>
        <w:rPr>
          <w:rFonts w:ascii="Times New Roman" w:eastAsia="Times New Roman" w:hAnsi="Times New Roman" w:cs="Times New Roman"/>
          <w:color w:val="222222"/>
          <w:sz w:val="24"/>
          <w:szCs w:val="24"/>
          <w:highlight w:val="white"/>
        </w:rPr>
        <w:t xml:space="preserve"> </w:t>
      </w:r>
    </w:p>
    <w:p w14:paraId="4ED2396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Vlados, C. (2019). On a correlative and evolutionary SWOT analysis. </w:t>
      </w:r>
      <w:r>
        <w:rPr>
          <w:rFonts w:ascii="Times New Roman" w:eastAsia="Times New Roman" w:hAnsi="Times New Roman" w:cs="Times New Roman"/>
          <w:i/>
          <w:color w:val="222222"/>
          <w:sz w:val="24"/>
          <w:szCs w:val="24"/>
          <w:highlight w:val="white"/>
        </w:rPr>
        <w:t>Journal of Strategy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F2741"/>
          <w:sz w:val="24"/>
          <w:szCs w:val="24"/>
          <w:highlight w:val="white"/>
        </w:rPr>
        <w:t xml:space="preserve">Retrieved from: </w:t>
      </w:r>
      <w:hyperlink r:id="rId50">
        <w:r>
          <w:rPr>
            <w:rFonts w:ascii="Times New Roman" w:eastAsia="Times New Roman" w:hAnsi="Times New Roman" w:cs="Times New Roman"/>
            <w:color w:val="1155CC"/>
            <w:sz w:val="24"/>
            <w:szCs w:val="24"/>
            <w:highlight w:val="white"/>
            <w:u w:val="single"/>
          </w:rPr>
          <w:t>https://www.emerald.com/insight/content/doi/10.1108/JSMA-02-2019-0026/full/html</w:t>
        </w:r>
      </w:hyperlink>
      <w:r>
        <w:rPr>
          <w:rFonts w:ascii="Times New Roman" w:eastAsia="Times New Roman" w:hAnsi="Times New Roman" w:cs="Times New Roman"/>
          <w:color w:val="0F2741"/>
          <w:sz w:val="24"/>
          <w:szCs w:val="24"/>
          <w:highlight w:val="white"/>
        </w:rPr>
        <w:t xml:space="preserve"> </w:t>
      </w:r>
    </w:p>
    <w:p w14:paraId="71F1641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Vlados, C., &amp; Chatzinikolaou, D. (2019). Methodological redirections for an evolutionary approach of the external business environment. </w:t>
      </w:r>
      <w:r>
        <w:rPr>
          <w:rFonts w:ascii="Times New Roman" w:eastAsia="Times New Roman" w:hAnsi="Times New Roman" w:cs="Times New Roman"/>
          <w:i/>
          <w:color w:val="222222"/>
          <w:sz w:val="24"/>
          <w:szCs w:val="24"/>
          <w:highlight w:val="white"/>
        </w:rPr>
        <w:t>J. Mgmt. &amp;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xml:space="preserve">, 25. </w:t>
      </w:r>
      <w:hyperlink r:id="rId51">
        <w:r>
          <w:rPr>
            <w:rFonts w:ascii="Times New Roman" w:eastAsia="Times New Roman" w:hAnsi="Times New Roman" w:cs="Times New Roman"/>
            <w:color w:val="1155CC"/>
            <w:sz w:val="24"/>
            <w:szCs w:val="24"/>
            <w:highlight w:val="white"/>
            <w:u w:val="single"/>
          </w:rPr>
          <w:t>https://heinonline.org/hol-cgi-bin/get_pdf.cgi?handle=hein.journals/jms9&amp;section=17</w:t>
        </w:r>
      </w:hyperlink>
      <w:r>
        <w:rPr>
          <w:rFonts w:ascii="Times New Roman" w:eastAsia="Times New Roman" w:hAnsi="Times New Roman" w:cs="Times New Roman"/>
          <w:color w:val="222222"/>
          <w:sz w:val="24"/>
          <w:szCs w:val="24"/>
          <w:highlight w:val="white"/>
        </w:rPr>
        <w:t xml:space="preserve"> </w:t>
      </w:r>
    </w:p>
    <w:p w14:paraId="36C2E14D" w14:textId="77777777" w:rsidR="00637A94" w:rsidRDefault="00637A94">
      <w:pPr>
        <w:pStyle w:val="Normal1"/>
        <w:spacing w:line="480" w:lineRule="auto"/>
        <w:jc w:val="both"/>
        <w:rPr>
          <w:rFonts w:ascii="Times New Roman" w:eastAsia="Times New Roman" w:hAnsi="Times New Roman" w:cs="Times New Roman"/>
          <w:b/>
          <w:sz w:val="24"/>
          <w:szCs w:val="24"/>
        </w:rPr>
      </w:pPr>
    </w:p>
    <w:p w14:paraId="6D4A0709" w14:textId="77777777" w:rsidR="00637A94" w:rsidRDefault="00637A94">
      <w:pPr>
        <w:pStyle w:val="Normal1"/>
        <w:widowControl w:val="0"/>
        <w:pBdr>
          <w:top w:val="nil"/>
          <w:left w:val="nil"/>
          <w:bottom w:val="nil"/>
          <w:right w:val="nil"/>
          <w:between w:val="nil"/>
        </w:pBdr>
        <w:rPr>
          <w:rFonts w:ascii="Times New Roman" w:eastAsia="Times New Roman" w:hAnsi="Times New Roman" w:cs="Times New Roman"/>
          <w:b/>
          <w:sz w:val="24"/>
          <w:szCs w:val="24"/>
        </w:rPr>
      </w:pPr>
    </w:p>
    <w:sectPr w:rsidR="00637A94">
      <w:headerReference w:type="default" r:id="rId52"/>
      <w:headerReference w:type="first" r:id="rId53"/>
      <w:footerReference w:type="first" r:id="rId54"/>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D4B6CF" w14:textId="77777777" w:rsidR="006B3890" w:rsidRDefault="006B3890">
      <w:pPr>
        <w:spacing w:line="240" w:lineRule="auto"/>
      </w:pPr>
      <w:r>
        <w:separator/>
      </w:r>
    </w:p>
  </w:endnote>
  <w:endnote w:type="continuationSeparator" w:id="0">
    <w:p w14:paraId="5C618D4C" w14:textId="77777777" w:rsidR="006B3890" w:rsidRDefault="006B38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B70F4" w14:textId="77777777" w:rsidR="00637A94" w:rsidRDefault="00637A94">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E9F24" w14:textId="77777777" w:rsidR="006B3890" w:rsidRDefault="006B3890">
      <w:pPr>
        <w:spacing w:line="240" w:lineRule="auto"/>
      </w:pPr>
      <w:r>
        <w:separator/>
      </w:r>
    </w:p>
  </w:footnote>
  <w:footnote w:type="continuationSeparator" w:id="0">
    <w:p w14:paraId="1FD5FE5C" w14:textId="77777777" w:rsidR="006B3890" w:rsidRDefault="006B38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3F294" w14:textId="77777777" w:rsidR="00637A94" w:rsidRDefault="00E04455">
    <w:pPr>
      <w:pStyle w:val="Normal1"/>
    </w:pPr>
    <w:r>
      <w:rPr>
        <w:rFonts w:ascii="Times New Roman" w:eastAsia="Times New Roman" w:hAnsi="Times New Roman" w:cs="Times New Roman"/>
        <w:sz w:val="24"/>
        <w:szCs w:val="24"/>
      </w:rPr>
      <w:t>Strategic management of Sunpower corp.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fldChar w:fldCharType="begin"/>
    </w:r>
    <w:r>
      <w:instrText>PAGE</w:instrText>
    </w:r>
    <w:r>
      <w:fldChar w:fldCharType="separate"/>
    </w:r>
    <w:r w:rsidR="00594BEA">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E96F7" w14:textId="77777777" w:rsidR="00637A94" w:rsidRDefault="00E04455">
    <w:pPr>
      <w:pStyle w:val="Normal1"/>
    </w:pPr>
    <w:r>
      <w:rPr>
        <w:rFonts w:ascii="Times New Roman" w:eastAsia="Times New Roman" w:hAnsi="Times New Roman" w:cs="Times New Roman"/>
        <w:b/>
        <w:sz w:val="24"/>
        <w:szCs w:val="24"/>
      </w:rPr>
      <w:t xml:space="preserve">Running head- </w:t>
    </w:r>
    <w:r>
      <w:rPr>
        <w:rFonts w:ascii="Times New Roman" w:eastAsia="Times New Roman" w:hAnsi="Times New Roman" w:cs="Times New Roman"/>
        <w:sz w:val="24"/>
        <w:szCs w:val="24"/>
      </w:rPr>
      <w:t>Strategic management of Sunpower corp.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fldChar w:fldCharType="begin"/>
    </w:r>
    <w:r>
      <w:instrText>PAGE</w:instrText>
    </w:r>
    <w:r>
      <w:fldChar w:fldCharType="separate"/>
    </w:r>
    <w:r w:rsidR="00594BEA">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3BA2"/>
    <w:multiLevelType w:val="hybridMultilevel"/>
    <w:tmpl w:val="00000000"/>
    <w:lvl w:ilvl="0" w:tplc="0846A0C0">
      <w:start w:val="1"/>
      <w:numFmt w:val="bullet"/>
      <w:lvlText w:val="●"/>
      <w:lvlJc w:val="left"/>
      <w:pPr>
        <w:ind w:left="720" w:hanging="360"/>
      </w:pPr>
      <w:rPr>
        <w:u w:val="none"/>
      </w:rPr>
    </w:lvl>
    <w:lvl w:ilvl="1" w:tplc="94B8F0FA">
      <w:start w:val="1"/>
      <w:numFmt w:val="bullet"/>
      <w:lvlText w:val="○"/>
      <w:lvlJc w:val="left"/>
      <w:pPr>
        <w:ind w:left="1440" w:hanging="360"/>
      </w:pPr>
      <w:rPr>
        <w:u w:val="none"/>
      </w:rPr>
    </w:lvl>
    <w:lvl w:ilvl="2" w:tplc="28CC6DE4">
      <w:start w:val="1"/>
      <w:numFmt w:val="bullet"/>
      <w:lvlText w:val="■"/>
      <w:lvlJc w:val="left"/>
      <w:pPr>
        <w:ind w:left="2160" w:hanging="360"/>
      </w:pPr>
      <w:rPr>
        <w:u w:val="none"/>
      </w:rPr>
    </w:lvl>
    <w:lvl w:ilvl="3" w:tplc="5FE09836">
      <w:start w:val="1"/>
      <w:numFmt w:val="bullet"/>
      <w:lvlText w:val="●"/>
      <w:lvlJc w:val="left"/>
      <w:pPr>
        <w:ind w:left="2880" w:hanging="360"/>
      </w:pPr>
      <w:rPr>
        <w:u w:val="none"/>
      </w:rPr>
    </w:lvl>
    <w:lvl w:ilvl="4" w:tplc="BD6EB796">
      <w:start w:val="1"/>
      <w:numFmt w:val="bullet"/>
      <w:lvlText w:val="○"/>
      <w:lvlJc w:val="left"/>
      <w:pPr>
        <w:ind w:left="3600" w:hanging="360"/>
      </w:pPr>
      <w:rPr>
        <w:u w:val="none"/>
      </w:rPr>
    </w:lvl>
    <w:lvl w:ilvl="5" w:tplc="A518195A">
      <w:start w:val="1"/>
      <w:numFmt w:val="bullet"/>
      <w:lvlText w:val="■"/>
      <w:lvlJc w:val="left"/>
      <w:pPr>
        <w:ind w:left="4320" w:hanging="360"/>
      </w:pPr>
      <w:rPr>
        <w:u w:val="none"/>
      </w:rPr>
    </w:lvl>
    <w:lvl w:ilvl="6" w:tplc="04C2D648">
      <w:start w:val="1"/>
      <w:numFmt w:val="bullet"/>
      <w:lvlText w:val="●"/>
      <w:lvlJc w:val="left"/>
      <w:pPr>
        <w:ind w:left="5040" w:hanging="360"/>
      </w:pPr>
      <w:rPr>
        <w:u w:val="none"/>
      </w:rPr>
    </w:lvl>
    <w:lvl w:ilvl="7" w:tplc="4210D8E6">
      <w:start w:val="1"/>
      <w:numFmt w:val="bullet"/>
      <w:lvlText w:val="○"/>
      <w:lvlJc w:val="left"/>
      <w:pPr>
        <w:ind w:left="5760" w:hanging="360"/>
      </w:pPr>
      <w:rPr>
        <w:u w:val="none"/>
      </w:rPr>
    </w:lvl>
    <w:lvl w:ilvl="8" w:tplc="89B42888">
      <w:start w:val="1"/>
      <w:numFmt w:val="bullet"/>
      <w:lvlText w:val="■"/>
      <w:lvlJc w:val="left"/>
      <w:pPr>
        <w:ind w:left="6480" w:hanging="360"/>
      </w:pPr>
      <w:rPr>
        <w:u w:val="none"/>
      </w:rPr>
    </w:lvl>
  </w:abstractNum>
  <w:abstractNum w:abstractNumId="1">
    <w:nsid w:val="13FF289E"/>
    <w:multiLevelType w:val="hybridMultilevel"/>
    <w:tmpl w:val="00000000"/>
    <w:lvl w:ilvl="0" w:tplc="94609D30">
      <w:start w:val="1"/>
      <w:numFmt w:val="bullet"/>
      <w:lvlText w:val="●"/>
      <w:lvlJc w:val="left"/>
      <w:pPr>
        <w:ind w:left="720" w:hanging="360"/>
      </w:pPr>
      <w:rPr>
        <w:u w:val="none"/>
      </w:rPr>
    </w:lvl>
    <w:lvl w:ilvl="1" w:tplc="C56C7C6A">
      <w:start w:val="1"/>
      <w:numFmt w:val="bullet"/>
      <w:lvlText w:val="○"/>
      <w:lvlJc w:val="left"/>
      <w:pPr>
        <w:ind w:left="1440" w:hanging="360"/>
      </w:pPr>
      <w:rPr>
        <w:u w:val="none"/>
      </w:rPr>
    </w:lvl>
    <w:lvl w:ilvl="2" w:tplc="87007080">
      <w:start w:val="1"/>
      <w:numFmt w:val="bullet"/>
      <w:lvlText w:val="■"/>
      <w:lvlJc w:val="left"/>
      <w:pPr>
        <w:ind w:left="2160" w:hanging="360"/>
      </w:pPr>
      <w:rPr>
        <w:u w:val="none"/>
      </w:rPr>
    </w:lvl>
    <w:lvl w:ilvl="3" w:tplc="4D1A72C4">
      <w:start w:val="1"/>
      <w:numFmt w:val="bullet"/>
      <w:lvlText w:val="●"/>
      <w:lvlJc w:val="left"/>
      <w:pPr>
        <w:ind w:left="2880" w:hanging="360"/>
      </w:pPr>
      <w:rPr>
        <w:u w:val="none"/>
      </w:rPr>
    </w:lvl>
    <w:lvl w:ilvl="4" w:tplc="5CE8C68E">
      <w:start w:val="1"/>
      <w:numFmt w:val="bullet"/>
      <w:lvlText w:val="○"/>
      <w:lvlJc w:val="left"/>
      <w:pPr>
        <w:ind w:left="3600" w:hanging="360"/>
      </w:pPr>
      <w:rPr>
        <w:u w:val="none"/>
      </w:rPr>
    </w:lvl>
    <w:lvl w:ilvl="5" w:tplc="C5C83942">
      <w:start w:val="1"/>
      <w:numFmt w:val="bullet"/>
      <w:lvlText w:val="■"/>
      <w:lvlJc w:val="left"/>
      <w:pPr>
        <w:ind w:left="4320" w:hanging="360"/>
      </w:pPr>
      <w:rPr>
        <w:u w:val="none"/>
      </w:rPr>
    </w:lvl>
    <w:lvl w:ilvl="6" w:tplc="E822EC5E">
      <w:start w:val="1"/>
      <w:numFmt w:val="bullet"/>
      <w:lvlText w:val="●"/>
      <w:lvlJc w:val="left"/>
      <w:pPr>
        <w:ind w:left="5040" w:hanging="360"/>
      </w:pPr>
      <w:rPr>
        <w:u w:val="none"/>
      </w:rPr>
    </w:lvl>
    <w:lvl w:ilvl="7" w:tplc="916C72C0">
      <w:start w:val="1"/>
      <w:numFmt w:val="bullet"/>
      <w:lvlText w:val="○"/>
      <w:lvlJc w:val="left"/>
      <w:pPr>
        <w:ind w:left="5760" w:hanging="360"/>
      </w:pPr>
      <w:rPr>
        <w:u w:val="none"/>
      </w:rPr>
    </w:lvl>
    <w:lvl w:ilvl="8" w:tplc="D2AA529A">
      <w:start w:val="1"/>
      <w:numFmt w:val="bullet"/>
      <w:lvlText w:val="■"/>
      <w:lvlJc w:val="left"/>
      <w:pPr>
        <w:ind w:left="6480" w:hanging="360"/>
      </w:pPr>
      <w:rPr>
        <w:u w:val="none"/>
      </w:rPr>
    </w:lvl>
  </w:abstractNum>
  <w:abstractNum w:abstractNumId="2">
    <w:nsid w:val="16B2D521"/>
    <w:multiLevelType w:val="hybridMultilevel"/>
    <w:tmpl w:val="00000000"/>
    <w:lvl w:ilvl="0" w:tplc="D5163EEA">
      <w:start w:val="1"/>
      <w:numFmt w:val="bullet"/>
      <w:lvlText w:val="●"/>
      <w:lvlJc w:val="left"/>
      <w:pPr>
        <w:ind w:left="720" w:hanging="360"/>
      </w:pPr>
      <w:rPr>
        <w:u w:val="none"/>
      </w:rPr>
    </w:lvl>
    <w:lvl w:ilvl="1" w:tplc="15FA55A6">
      <w:start w:val="1"/>
      <w:numFmt w:val="bullet"/>
      <w:lvlText w:val="○"/>
      <w:lvlJc w:val="left"/>
      <w:pPr>
        <w:ind w:left="1440" w:hanging="360"/>
      </w:pPr>
      <w:rPr>
        <w:u w:val="none"/>
      </w:rPr>
    </w:lvl>
    <w:lvl w:ilvl="2" w:tplc="1A5ED690">
      <w:start w:val="1"/>
      <w:numFmt w:val="bullet"/>
      <w:lvlText w:val="■"/>
      <w:lvlJc w:val="left"/>
      <w:pPr>
        <w:ind w:left="2160" w:hanging="360"/>
      </w:pPr>
      <w:rPr>
        <w:u w:val="none"/>
      </w:rPr>
    </w:lvl>
    <w:lvl w:ilvl="3" w:tplc="F0E2A16E">
      <w:start w:val="1"/>
      <w:numFmt w:val="bullet"/>
      <w:lvlText w:val="●"/>
      <w:lvlJc w:val="left"/>
      <w:pPr>
        <w:ind w:left="2880" w:hanging="360"/>
      </w:pPr>
      <w:rPr>
        <w:u w:val="none"/>
      </w:rPr>
    </w:lvl>
    <w:lvl w:ilvl="4" w:tplc="9906F86A">
      <w:start w:val="1"/>
      <w:numFmt w:val="bullet"/>
      <w:lvlText w:val="○"/>
      <w:lvlJc w:val="left"/>
      <w:pPr>
        <w:ind w:left="3600" w:hanging="360"/>
      </w:pPr>
      <w:rPr>
        <w:u w:val="none"/>
      </w:rPr>
    </w:lvl>
    <w:lvl w:ilvl="5" w:tplc="BD9EF63E">
      <w:start w:val="1"/>
      <w:numFmt w:val="bullet"/>
      <w:lvlText w:val="■"/>
      <w:lvlJc w:val="left"/>
      <w:pPr>
        <w:ind w:left="4320" w:hanging="360"/>
      </w:pPr>
      <w:rPr>
        <w:u w:val="none"/>
      </w:rPr>
    </w:lvl>
    <w:lvl w:ilvl="6" w:tplc="2AF41FB2">
      <w:start w:val="1"/>
      <w:numFmt w:val="bullet"/>
      <w:lvlText w:val="●"/>
      <w:lvlJc w:val="left"/>
      <w:pPr>
        <w:ind w:left="5040" w:hanging="360"/>
      </w:pPr>
      <w:rPr>
        <w:u w:val="none"/>
      </w:rPr>
    </w:lvl>
    <w:lvl w:ilvl="7" w:tplc="4BE89B9E">
      <w:start w:val="1"/>
      <w:numFmt w:val="bullet"/>
      <w:lvlText w:val="○"/>
      <w:lvlJc w:val="left"/>
      <w:pPr>
        <w:ind w:left="5760" w:hanging="360"/>
      </w:pPr>
      <w:rPr>
        <w:u w:val="none"/>
      </w:rPr>
    </w:lvl>
    <w:lvl w:ilvl="8" w:tplc="9000DA0E">
      <w:start w:val="1"/>
      <w:numFmt w:val="bullet"/>
      <w:lvlText w:val="■"/>
      <w:lvlJc w:val="left"/>
      <w:pPr>
        <w:ind w:left="6480" w:hanging="360"/>
      </w:pPr>
      <w:rPr>
        <w:u w:val="none"/>
      </w:rPr>
    </w:lvl>
  </w:abstractNum>
  <w:abstractNum w:abstractNumId="3">
    <w:nsid w:val="1B4E27F2"/>
    <w:multiLevelType w:val="hybridMultilevel"/>
    <w:tmpl w:val="00000000"/>
    <w:lvl w:ilvl="0" w:tplc="A2807376">
      <w:start w:val="1"/>
      <w:numFmt w:val="bullet"/>
      <w:lvlText w:val="●"/>
      <w:lvlJc w:val="left"/>
      <w:pPr>
        <w:ind w:left="720" w:hanging="360"/>
      </w:pPr>
      <w:rPr>
        <w:u w:val="none"/>
      </w:rPr>
    </w:lvl>
    <w:lvl w:ilvl="1" w:tplc="05DAEC54">
      <w:start w:val="1"/>
      <w:numFmt w:val="bullet"/>
      <w:lvlText w:val="○"/>
      <w:lvlJc w:val="left"/>
      <w:pPr>
        <w:ind w:left="1440" w:hanging="360"/>
      </w:pPr>
      <w:rPr>
        <w:u w:val="none"/>
      </w:rPr>
    </w:lvl>
    <w:lvl w:ilvl="2" w:tplc="03D8B6E4">
      <w:start w:val="1"/>
      <w:numFmt w:val="bullet"/>
      <w:lvlText w:val="■"/>
      <w:lvlJc w:val="left"/>
      <w:pPr>
        <w:ind w:left="2160" w:hanging="360"/>
      </w:pPr>
      <w:rPr>
        <w:u w:val="none"/>
      </w:rPr>
    </w:lvl>
    <w:lvl w:ilvl="3" w:tplc="C7BE5A9A">
      <w:start w:val="1"/>
      <w:numFmt w:val="bullet"/>
      <w:lvlText w:val="●"/>
      <w:lvlJc w:val="left"/>
      <w:pPr>
        <w:ind w:left="2880" w:hanging="360"/>
      </w:pPr>
      <w:rPr>
        <w:u w:val="none"/>
      </w:rPr>
    </w:lvl>
    <w:lvl w:ilvl="4" w:tplc="52D07610">
      <w:start w:val="1"/>
      <w:numFmt w:val="bullet"/>
      <w:lvlText w:val="○"/>
      <w:lvlJc w:val="left"/>
      <w:pPr>
        <w:ind w:left="3600" w:hanging="360"/>
      </w:pPr>
      <w:rPr>
        <w:u w:val="none"/>
      </w:rPr>
    </w:lvl>
    <w:lvl w:ilvl="5" w:tplc="B626510A">
      <w:start w:val="1"/>
      <w:numFmt w:val="bullet"/>
      <w:lvlText w:val="■"/>
      <w:lvlJc w:val="left"/>
      <w:pPr>
        <w:ind w:left="4320" w:hanging="360"/>
      </w:pPr>
      <w:rPr>
        <w:u w:val="none"/>
      </w:rPr>
    </w:lvl>
    <w:lvl w:ilvl="6" w:tplc="6F5A5B82">
      <w:start w:val="1"/>
      <w:numFmt w:val="bullet"/>
      <w:lvlText w:val="●"/>
      <w:lvlJc w:val="left"/>
      <w:pPr>
        <w:ind w:left="5040" w:hanging="360"/>
      </w:pPr>
      <w:rPr>
        <w:u w:val="none"/>
      </w:rPr>
    </w:lvl>
    <w:lvl w:ilvl="7" w:tplc="149C1044">
      <w:start w:val="1"/>
      <w:numFmt w:val="bullet"/>
      <w:lvlText w:val="○"/>
      <w:lvlJc w:val="left"/>
      <w:pPr>
        <w:ind w:left="5760" w:hanging="360"/>
      </w:pPr>
      <w:rPr>
        <w:u w:val="none"/>
      </w:rPr>
    </w:lvl>
    <w:lvl w:ilvl="8" w:tplc="5358C338">
      <w:start w:val="1"/>
      <w:numFmt w:val="bullet"/>
      <w:lvlText w:val="■"/>
      <w:lvlJc w:val="left"/>
      <w:pPr>
        <w:ind w:left="6480" w:hanging="360"/>
      </w:pPr>
      <w:rPr>
        <w:u w:val="none"/>
      </w:rPr>
    </w:lvl>
  </w:abstractNum>
  <w:abstractNum w:abstractNumId="4">
    <w:nsid w:val="1FDC7677"/>
    <w:multiLevelType w:val="hybridMultilevel"/>
    <w:tmpl w:val="00000000"/>
    <w:lvl w:ilvl="0" w:tplc="172AE4D4">
      <w:start w:val="1"/>
      <w:numFmt w:val="bullet"/>
      <w:lvlText w:val="●"/>
      <w:lvlJc w:val="left"/>
      <w:pPr>
        <w:ind w:left="720" w:hanging="360"/>
      </w:pPr>
      <w:rPr>
        <w:u w:val="none"/>
      </w:rPr>
    </w:lvl>
    <w:lvl w:ilvl="1" w:tplc="52D2A24A">
      <w:start w:val="1"/>
      <w:numFmt w:val="bullet"/>
      <w:lvlText w:val="○"/>
      <w:lvlJc w:val="left"/>
      <w:pPr>
        <w:ind w:left="1440" w:hanging="360"/>
      </w:pPr>
      <w:rPr>
        <w:u w:val="none"/>
      </w:rPr>
    </w:lvl>
    <w:lvl w:ilvl="2" w:tplc="678AA748">
      <w:start w:val="1"/>
      <w:numFmt w:val="bullet"/>
      <w:lvlText w:val="■"/>
      <w:lvlJc w:val="left"/>
      <w:pPr>
        <w:ind w:left="2160" w:hanging="360"/>
      </w:pPr>
      <w:rPr>
        <w:u w:val="none"/>
      </w:rPr>
    </w:lvl>
    <w:lvl w:ilvl="3" w:tplc="ED10217C">
      <w:start w:val="1"/>
      <w:numFmt w:val="bullet"/>
      <w:lvlText w:val="●"/>
      <w:lvlJc w:val="left"/>
      <w:pPr>
        <w:ind w:left="2880" w:hanging="360"/>
      </w:pPr>
      <w:rPr>
        <w:u w:val="none"/>
      </w:rPr>
    </w:lvl>
    <w:lvl w:ilvl="4" w:tplc="13DC4ECA">
      <w:start w:val="1"/>
      <w:numFmt w:val="bullet"/>
      <w:lvlText w:val="○"/>
      <w:lvlJc w:val="left"/>
      <w:pPr>
        <w:ind w:left="3600" w:hanging="360"/>
      </w:pPr>
      <w:rPr>
        <w:u w:val="none"/>
      </w:rPr>
    </w:lvl>
    <w:lvl w:ilvl="5" w:tplc="2CFC290E">
      <w:start w:val="1"/>
      <w:numFmt w:val="bullet"/>
      <w:lvlText w:val="■"/>
      <w:lvlJc w:val="left"/>
      <w:pPr>
        <w:ind w:left="4320" w:hanging="360"/>
      </w:pPr>
      <w:rPr>
        <w:u w:val="none"/>
      </w:rPr>
    </w:lvl>
    <w:lvl w:ilvl="6" w:tplc="7556E4FC">
      <w:start w:val="1"/>
      <w:numFmt w:val="bullet"/>
      <w:lvlText w:val="●"/>
      <w:lvlJc w:val="left"/>
      <w:pPr>
        <w:ind w:left="5040" w:hanging="360"/>
      </w:pPr>
      <w:rPr>
        <w:u w:val="none"/>
      </w:rPr>
    </w:lvl>
    <w:lvl w:ilvl="7" w:tplc="5C3E2F6E">
      <w:start w:val="1"/>
      <w:numFmt w:val="bullet"/>
      <w:lvlText w:val="○"/>
      <w:lvlJc w:val="left"/>
      <w:pPr>
        <w:ind w:left="5760" w:hanging="360"/>
      </w:pPr>
      <w:rPr>
        <w:u w:val="none"/>
      </w:rPr>
    </w:lvl>
    <w:lvl w:ilvl="8" w:tplc="114E1FDA">
      <w:start w:val="1"/>
      <w:numFmt w:val="bullet"/>
      <w:lvlText w:val="■"/>
      <w:lvlJc w:val="left"/>
      <w:pPr>
        <w:ind w:left="6480" w:hanging="360"/>
      </w:pPr>
      <w:rPr>
        <w:u w:val="none"/>
      </w:rPr>
    </w:lvl>
  </w:abstractNum>
  <w:abstractNum w:abstractNumId="5">
    <w:nsid w:val="2517FCE0"/>
    <w:multiLevelType w:val="hybridMultilevel"/>
    <w:tmpl w:val="00000000"/>
    <w:lvl w:ilvl="0" w:tplc="4A586F5C">
      <w:start w:val="1"/>
      <w:numFmt w:val="bullet"/>
      <w:lvlText w:val="●"/>
      <w:lvlJc w:val="left"/>
      <w:pPr>
        <w:ind w:left="720" w:hanging="360"/>
      </w:pPr>
      <w:rPr>
        <w:u w:val="none"/>
      </w:rPr>
    </w:lvl>
    <w:lvl w:ilvl="1" w:tplc="956CFF58">
      <w:start w:val="1"/>
      <w:numFmt w:val="bullet"/>
      <w:lvlText w:val="○"/>
      <w:lvlJc w:val="left"/>
      <w:pPr>
        <w:ind w:left="1440" w:hanging="360"/>
      </w:pPr>
      <w:rPr>
        <w:u w:val="none"/>
      </w:rPr>
    </w:lvl>
    <w:lvl w:ilvl="2" w:tplc="6E2AA902">
      <w:start w:val="1"/>
      <w:numFmt w:val="bullet"/>
      <w:lvlText w:val="■"/>
      <w:lvlJc w:val="left"/>
      <w:pPr>
        <w:ind w:left="2160" w:hanging="360"/>
      </w:pPr>
      <w:rPr>
        <w:u w:val="none"/>
      </w:rPr>
    </w:lvl>
    <w:lvl w:ilvl="3" w:tplc="33E4441A">
      <w:start w:val="1"/>
      <w:numFmt w:val="bullet"/>
      <w:lvlText w:val="●"/>
      <w:lvlJc w:val="left"/>
      <w:pPr>
        <w:ind w:left="2880" w:hanging="360"/>
      </w:pPr>
      <w:rPr>
        <w:u w:val="none"/>
      </w:rPr>
    </w:lvl>
    <w:lvl w:ilvl="4" w:tplc="1298B26A">
      <w:start w:val="1"/>
      <w:numFmt w:val="bullet"/>
      <w:lvlText w:val="○"/>
      <w:lvlJc w:val="left"/>
      <w:pPr>
        <w:ind w:left="3600" w:hanging="360"/>
      </w:pPr>
      <w:rPr>
        <w:u w:val="none"/>
      </w:rPr>
    </w:lvl>
    <w:lvl w:ilvl="5" w:tplc="37B80816">
      <w:start w:val="1"/>
      <w:numFmt w:val="bullet"/>
      <w:lvlText w:val="■"/>
      <w:lvlJc w:val="left"/>
      <w:pPr>
        <w:ind w:left="4320" w:hanging="360"/>
      </w:pPr>
      <w:rPr>
        <w:u w:val="none"/>
      </w:rPr>
    </w:lvl>
    <w:lvl w:ilvl="6" w:tplc="93268CE6">
      <w:start w:val="1"/>
      <w:numFmt w:val="bullet"/>
      <w:lvlText w:val="●"/>
      <w:lvlJc w:val="left"/>
      <w:pPr>
        <w:ind w:left="5040" w:hanging="360"/>
      </w:pPr>
      <w:rPr>
        <w:u w:val="none"/>
      </w:rPr>
    </w:lvl>
    <w:lvl w:ilvl="7" w:tplc="D570B6E0">
      <w:start w:val="1"/>
      <w:numFmt w:val="bullet"/>
      <w:lvlText w:val="○"/>
      <w:lvlJc w:val="left"/>
      <w:pPr>
        <w:ind w:left="5760" w:hanging="360"/>
      </w:pPr>
      <w:rPr>
        <w:u w:val="none"/>
      </w:rPr>
    </w:lvl>
    <w:lvl w:ilvl="8" w:tplc="3BB871B4">
      <w:start w:val="1"/>
      <w:numFmt w:val="bullet"/>
      <w:lvlText w:val="■"/>
      <w:lvlJc w:val="left"/>
      <w:pPr>
        <w:ind w:left="6480" w:hanging="360"/>
      </w:pPr>
      <w:rPr>
        <w:u w:val="none"/>
      </w:rPr>
    </w:lvl>
  </w:abstractNum>
  <w:abstractNum w:abstractNumId="6">
    <w:nsid w:val="2E2D8EC3"/>
    <w:multiLevelType w:val="hybridMultilevel"/>
    <w:tmpl w:val="00000000"/>
    <w:lvl w:ilvl="0" w:tplc="0882BCB2">
      <w:start w:val="1"/>
      <w:numFmt w:val="bullet"/>
      <w:lvlText w:val="●"/>
      <w:lvlJc w:val="left"/>
      <w:pPr>
        <w:ind w:left="720" w:hanging="360"/>
      </w:pPr>
      <w:rPr>
        <w:u w:val="none"/>
      </w:rPr>
    </w:lvl>
    <w:lvl w:ilvl="1" w:tplc="A45CFDE6">
      <w:start w:val="1"/>
      <w:numFmt w:val="bullet"/>
      <w:lvlText w:val="○"/>
      <w:lvlJc w:val="left"/>
      <w:pPr>
        <w:ind w:left="1440" w:hanging="360"/>
      </w:pPr>
      <w:rPr>
        <w:u w:val="none"/>
      </w:rPr>
    </w:lvl>
    <w:lvl w:ilvl="2" w:tplc="EFE6DCF2">
      <w:start w:val="1"/>
      <w:numFmt w:val="bullet"/>
      <w:lvlText w:val="■"/>
      <w:lvlJc w:val="left"/>
      <w:pPr>
        <w:ind w:left="2160" w:hanging="360"/>
      </w:pPr>
      <w:rPr>
        <w:u w:val="none"/>
      </w:rPr>
    </w:lvl>
    <w:lvl w:ilvl="3" w:tplc="A88A5A3C">
      <w:start w:val="1"/>
      <w:numFmt w:val="bullet"/>
      <w:lvlText w:val="●"/>
      <w:lvlJc w:val="left"/>
      <w:pPr>
        <w:ind w:left="2880" w:hanging="360"/>
      </w:pPr>
      <w:rPr>
        <w:u w:val="none"/>
      </w:rPr>
    </w:lvl>
    <w:lvl w:ilvl="4" w:tplc="48BE1A44">
      <w:start w:val="1"/>
      <w:numFmt w:val="bullet"/>
      <w:lvlText w:val="○"/>
      <w:lvlJc w:val="left"/>
      <w:pPr>
        <w:ind w:left="3600" w:hanging="360"/>
      </w:pPr>
      <w:rPr>
        <w:u w:val="none"/>
      </w:rPr>
    </w:lvl>
    <w:lvl w:ilvl="5" w:tplc="2082A192">
      <w:start w:val="1"/>
      <w:numFmt w:val="bullet"/>
      <w:lvlText w:val="■"/>
      <w:lvlJc w:val="left"/>
      <w:pPr>
        <w:ind w:left="4320" w:hanging="360"/>
      </w:pPr>
      <w:rPr>
        <w:u w:val="none"/>
      </w:rPr>
    </w:lvl>
    <w:lvl w:ilvl="6" w:tplc="070A5A12">
      <w:start w:val="1"/>
      <w:numFmt w:val="bullet"/>
      <w:lvlText w:val="●"/>
      <w:lvlJc w:val="left"/>
      <w:pPr>
        <w:ind w:left="5040" w:hanging="360"/>
      </w:pPr>
      <w:rPr>
        <w:u w:val="none"/>
      </w:rPr>
    </w:lvl>
    <w:lvl w:ilvl="7" w:tplc="BD864DF2">
      <w:start w:val="1"/>
      <w:numFmt w:val="bullet"/>
      <w:lvlText w:val="○"/>
      <w:lvlJc w:val="left"/>
      <w:pPr>
        <w:ind w:left="5760" w:hanging="360"/>
      </w:pPr>
      <w:rPr>
        <w:u w:val="none"/>
      </w:rPr>
    </w:lvl>
    <w:lvl w:ilvl="8" w:tplc="90F8E7F8">
      <w:start w:val="1"/>
      <w:numFmt w:val="bullet"/>
      <w:lvlText w:val="■"/>
      <w:lvlJc w:val="left"/>
      <w:pPr>
        <w:ind w:left="6480" w:hanging="360"/>
      </w:pPr>
      <w:rPr>
        <w:u w:val="none"/>
      </w:rPr>
    </w:lvl>
  </w:abstractNum>
  <w:abstractNum w:abstractNumId="7">
    <w:nsid w:val="3D89C8E8"/>
    <w:multiLevelType w:val="hybridMultilevel"/>
    <w:tmpl w:val="00000000"/>
    <w:lvl w:ilvl="0" w:tplc="DE74BA80">
      <w:start w:val="1"/>
      <w:numFmt w:val="bullet"/>
      <w:lvlText w:val="●"/>
      <w:lvlJc w:val="left"/>
      <w:pPr>
        <w:ind w:left="720" w:hanging="360"/>
      </w:pPr>
      <w:rPr>
        <w:u w:val="none"/>
      </w:rPr>
    </w:lvl>
    <w:lvl w:ilvl="1" w:tplc="79ECF856">
      <w:start w:val="1"/>
      <w:numFmt w:val="bullet"/>
      <w:lvlText w:val="○"/>
      <w:lvlJc w:val="left"/>
      <w:pPr>
        <w:ind w:left="1440" w:hanging="360"/>
      </w:pPr>
      <w:rPr>
        <w:u w:val="none"/>
      </w:rPr>
    </w:lvl>
    <w:lvl w:ilvl="2" w:tplc="85ACA88A">
      <w:start w:val="1"/>
      <w:numFmt w:val="bullet"/>
      <w:lvlText w:val="■"/>
      <w:lvlJc w:val="left"/>
      <w:pPr>
        <w:ind w:left="2160" w:hanging="360"/>
      </w:pPr>
      <w:rPr>
        <w:u w:val="none"/>
      </w:rPr>
    </w:lvl>
    <w:lvl w:ilvl="3" w:tplc="4644255C">
      <w:start w:val="1"/>
      <w:numFmt w:val="bullet"/>
      <w:lvlText w:val="●"/>
      <w:lvlJc w:val="left"/>
      <w:pPr>
        <w:ind w:left="2880" w:hanging="360"/>
      </w:pPr>
      <w:rPr>
        <w:u w:val="none"/>
      </w:rPr>
    </w:lvl>
    <w:lvl w:ilvl="4" w:tplc="9B26905E">
      <w:start w:val="1"/>
      <w:numFmt w:val="bullet"/>
      <w:lvlText w:val="○"/>
      <w:lvlJc w:val="left"/>
      <w:pPr>
        <w:ind w:left="3600" w:hanging="360"/>
      </w:pPr>
      <w:rPr>
        <w:u w:val="none"/>
      </w:rPr>
    </w:lvl>
    <w:lvl w:ilvl="5" w:tplc="0B180720">
      <w:start w:val="1"/>
      <w:numFmt w:val="bullet"/>
      <w:lvlText w:val="■"/>
      <w:lvlJc w:val="left"/>
      <w:pPr>
        <w:ind w:left="4320" w:hanging="360"/>
      </w:pPr>
      <w:rPr>
        <w:u w:val="none"/>
      </w:rPr>
    </w:lvl>
    <w:lvl w:ilvl="6" w:tplc="B52AA45C">
      <w:start w:val="1"/>
      <w:numFmt w:val="bullet"/>
      <w:lvlText w:val="●"/>
      <w:lvlJc w:val="left"/>
      <w:pPr>
        <w:ind w:left="5040" w:hanging="360"/>
      </w:pPr>
      <w:rPr>
        <w:u w:val="none"/>
      </w:rPr>
    </w:lvl>
    <w:lvl w:ilvl="7" w:tplc="E2A69F74">
      <w:start w:val="1"/>
      <w:numFmt w:val="bullet"/>
      <w:lvlText w:val="○"/>
      <w:lvlJc w:val="left"/>
      <w:pPr>
        <w:ind w:left="5760" w:hanging="360"/>
      </w:pPr>
      <w:rPr>
        <w:u w:val="none"/>
      </w:rPr>
    </w:lvl>
    <w:lvl w:ilvl="8" w:tplc="C382E5EE">
      <w:start w:val="1"/>
      <w:numFmt w:val="bullet"/>
      <w:lvlText w:val="■"/>
      <w:lvlJc w:val="left"/>
      <w:pPr>
        <w:ind w:left="6480" w:hanging="360"/>
      </w:pPr>
      <w:rPr>
        <w:u w:val="none"/>
      </w:rPr>
    </w:lvl>
  </w:abstractNum>
  <w:abstractNum w:abstractNumId="8">
    <w:nsid w:val="44801862"/>
    <w:multiLevelType w:val="hybridMultilevel"/>
    <w:tmpl w:val="00000000"/>
    <w:lvl w:ilvl="0" w:tplc="25AE0EAA">
      <w:start w:val="1"/>
      <w:numFmt w:val="bullet"/>
      <w:lvlText w:val="●"/>
      <w:lvlJc w:val="left"/>
      <w:pPr>
        <w:ind w:left="720" w:hanging="360"/>
      </w:pPr>
      <w:rPr>
        <w:u w:val="none"/>
      </w:rPr>
    </w:lvl>
    <w:lvl w:ilvl="1" w:tplc="12CEF048">
      <w:start w:val="1"/>
      <w:numFmt w:val="bullet"/>
      <w:lvlText w:val="○"/>
      <w:lvlJc w:val="left"/>
      <w:pPr>
        <w:ind w:left="1440" w:hanging="360"/>
      </w:pPr>
      <w:rPr>
        <w:u w:val="none"/>
      </w:rPr>
    </w:lvl>
    <w:lvl w:ilvl="2" w:tplc="BCA6A6CA">
      <w:start w:val="1"/>
      <w:numFmt w:val="bullet"/>
      <w:lvlText w:val="■"/>
      <w:lvlJc w:val="left"/>
      <w:pPr>
        <w:ind w:left="2160" w:hanging="360"/>
      </w:pPr>
      <w:rPr>
        <w:u w:val="none"/>
      </w:rPr>
    </w:lvl>
    <w:lvl w:ilvl="3" w:tplc="1B222820">
      <w:start w:val="1"/>
      <w:numFmt w:val="bullet"/>
      <w:lvlText w:val="●"/>
      <w:lvlJc w:val="left"/>
      <w:pPr>
        <w:ind w:left="2880" w:hanging="360"/>
      </w:pPr>
      <w:rPr>
        <w:u w:val="none"/>
      </w:rPr>
    </w:lvl>
    <w:lvl w:ilvl="4" w:tplc="B956C7B8">
      <w:start w:val="1"/>
      <w:numFmt w:val="bullet"/>
      <w:lvlText w:val="○"/>
      <w:lvlJc w:val="left"/>
      <w:pPr>
        <w:ind w:left="3600" w:hanging="360"/>
      </w:pPr>
      <w:rPr>
        <w:u w:val="none"/>
      </w:rPr>
    </w:lvl>
    <w:lvl w:ilvl="5" w:tplc="63E01E7C">
      <w:start w:val="1"/>
      <w:numFmt w:val="bullet"/>
      <w:lvlText w:val="■"/>
      <w:lvlJc w:val="left"/>
      <w:pPr>
        <w:ind w:left="4320" w:hanging="360"/>
      </w:pPr>
      <w:rPr>
        <w:u w:val="none"/>
      </w:rPr>
    </w:lvl>
    <w:lvl w:ilvl="6" w:tplc="F7B8F874">
      <w:start w:val="1"/>
      <w:numFmt w:val="bullet"/>
      <w:lvlText w:val="●"/>
      <w:lvlJc w:val="left"/>
      <w:pPr>
        <w:ind w:left="5040" w:hanging="360"/>
      </w:pPr>
      <w:rPr>
        <w:u w:val="none"/>
      </w:rPr>
    </w:lvl>
    <w:lvl w:ilvl="7" w:tplc="45EE1636">
      <w:start w:val="1"/>
      <w:numFmt w:val="bullet"/>
      <w:lvlText w:val="○"/>
      <w:lvlJc w:val="left"/>
      <w:pPr>
        <w:ind w:left="5760" w:hanging="360"/>
      </w:pPr>
      <w:rPr>
        <w:u w:val="none"/>
      </w:rPr>
    </w:lvl>
    <w:lvl w:ilvl="8" w:tplc="5C7A17D2">
      <w:start w:val="1"/>
      <w:numFmt w:val="bullet"/>
      <w:lvlText w:val="■"/>
      <w:lvlJc w:val="left"/>
      <w:pPr>
        <w:ind w:left="6480" w:hanging="360"/>
      </w:pPr>
      <w:rPr>
        <w:u w:val="none"/>
      </w:rPr>
    </w:lvl>
  </w:abstractNum>
  <w:num w:numId="1">
    <w:abstractNumId w:val="5"/>
  </w:num>
  <w:num w:numId="2">
    <w:abstractNumId w:val="8"/>
  </w:num>
  <w:num w:numId="3">
    <w:abstractNumId w:val="2"/>
  </w:num>
  <w:num w:numId="4">
    <w:abstractNumId w:val="6"/>
  </w:num>
  <w:num w:numId="5">
    <w:abstractNumId w:val="0"/>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A94"/>
    <w:rsid w:val="000C6197"/>
    <w:rsid w:val="000E5736"/>
    <w:rsid w:val="001B520F"/>
    <w:rsid w:val="004A784C"/>
    <w:rsid w:val="00594BEA"/>
    <w:rsid w:val="00637A94"/>
    <w:rsid w:val="006B3890"/>
    <w:rsid w:val="00B32861"/>
    <w:rsid w:val="00E04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4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48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line="48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94B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B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48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line="48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94B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B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m.www.na-businesspress.com/JSIS/JSIS14-3/DashR_14_3_.pdf" TargetMode="External"/><Relationship Id="rId18" Type="http://schemas.openxmlformats.org/officeDocument/2006/relationships/hyperlink" Target="http://amz.xcdsystem.com/15B4DBD5-FFD1-D393-0F4517B218EA66B2_abstract_File828/183_Uploadyoursubmission_0425034314.pdf" TargetMode="External"/><Relationship Id="rId26" Type="http://schemas.openxmlformats.org/officeDocument/2006/relationships/hyperlink" Target="https://www.trade.gov/free-trade-agreements" TargetMode="External"/><Relationship Id="rId39" Type="http://schemas.openxmlformats.org/officeDocument/2006/relationships/hyperlink" Target="https://www.emerald.com/insight/content/doi/10.1108/JOCM-01-2018-0012/full/html" TargetMode="External"/><Relationship Id="rId21" Type="http://schemas.openxmlformats.org/officeDocument/2006/relationships/hyperlink" Target="https://books.google.co.in/books?hl=en&amp;lr=&amp;id=IFt0DwAAQBAJ&amp;oi=fnd&amp;pg=PP1&amp;dq=secondary+data+analysis+advantages&amp;ots=UtqMaTOiDr&amp;sig=_gr9Q2ms8NSw41FUQF3qWUaH8eQ&amp;redir_esc=y" TargetMode="External"/><Relationship Id="rId34" Type="http://schemas.openxmlformats.org/officeDocument/2006/relationships/hyperlink" Target="https://www.sciencedirect.com/science/article/abs/pii/S0268401216301694" TargetMode="External"/><Relationship Id="rId42" Type="http://schemas.openxmlformats.org/officeDocument/2006/relationships/hyperlink" Target="https://www.taylorfrancis.com/chapters/edit/10.4324/9780429422553-13/role-management-control-systems-creating-competitive-advantage-new-perspectives-robert-simons" TargetMode="External"/><Relationship Id="rId47" Type="http://schemas.openxmlformats.org/officeDocument/2006/relationships/hyperlink" Target="https://www.tandfonline.com/doi/abs/10.1080/15435075.2021.1954008" TargetMode="External"/><Relationship Id="rId50" Type="http://schemas.openxmlformats.org/officeDocument/2006/relationships/hyperlink" Target="https://www.emerald.com/insight/content/doi/10.1108/JSMA-02-2019-0026/full/html"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apers.ssrn.com/sol3/papers.cfm?abstract_id=3192207" TargetMode="External"/><Relationship Id="rId17" Type="http://schemas.openxmlformats.org/officeDocument/2006/relationships/hyperlink" Target="https://www.hindawi.com/journals/je/2020/6253013/" TargetMode="External"/><Relationship Id="rId25" Type="http://schemas.openxmlformats.org/officeDocument/2006/relationships/hyperlink" Target="https://ieeexplore.ieee.org/abstract/document/8478188/" TargetMode="External"/><Relationship Id="rId33" Type="http://schemas.openxmlformats.org/officeDocument/2006/relationships/hyperlink" Target="http://www.managementgeneral.ro/pdf/1-2019-8.pdf" TargetMode="External"/><Relationship Id="rId38" Type="http://schemas.openxmlformats.org/officeDocument/2006/relationships/hyperlink" Target="https://helixscientific.pub/index.php/home/article/download/198/168" TargetMode="External"/><Relationship Id="rId46" Type="http://schemas.openxmlformats.org/officeDocument/2006/relationships/hyperlink" Target="https://www.statista.com/statistics/273909/seasonally-adjusted-monthly-unemployment-rate-in-the-us/" TargetMode="External"/><Relationship Id="rId2" Type="http://schemas.openxmlformats.org/officeDocument/2006/relationships/styles" Target="styles.xml"/><Relationship Id="rId16" Type="http://schemas.openxmlformats.org/officeDocument/2006/relationships/hyperlink" Target="https://www.emerald.com/insight/content/doi/10.1108/JKM-07-2018-0461/full/html" TargetMode="External"/><Relationship Id="rId20" Type="http://schemas.openxmlformats.org/officeDocument/2006/relationships/hyperlink" Target="https://www.sciencedirect.com/science/article/pii/S2210422420300058" TargetMode="External"/><Relationship Id="rId29" Type="http://schemas.openxmlformats.org/officeDocument/2006/relationships/hyperlink" Target="https://www.sciencedirect.com/science/article/pii/S014829631930462X" TargetMode="External"/><Relationship Id="rId41" Type="http://schemas.openxmlformats.org/officeDocument/2006/relationships/hyperlink" Target="http://journal-spqeo.org.ua/n3_2019/v22n3-p277-284.pdf"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gitalcommons.usf.edu/globe/vol6/iss1/5/" TargetMode="External"/><Relationship Id="rId24" Type="http://schemas.openxmlformats.org/officeDocument/2006/relationships/hyperlink" Target="https://www.osti.gov/biblio/1484349" TargetMode="External"/><Relationship Id="rId32" Type="http://schemas.openxmlformats.org/officeDocument/2006/relationships/hyperlink" Target="https://onlinelibrary.wiley.com/doi/abs/10.1002/smj.2789" TargetMode="External"/><Relationship Id="rId37" Type="http://schemas.openxmlformats.org/officeDocument/2006/relationships/hyperlink" Target="https://hal.archives-ouvertes.fr/hal-03583961/" TargetMode="External"/><Relationship Id="rId40" Type="http://schemas.openxmlformats.org/officeDocument/2006/relationships/hyperlink" Target="http://journal-spqeo.org.ua/n3_2019/v22n3-p277-284.pdf" TargetMode="External"/><Relationship Id="rId45" Type="http://schemas.openxmlformats.org/officeDocument/2006/relationships/hyperlink" Target="https://www.statista.com/statistics/477473/revenue-of-sunpower-corporation/"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ciencedirect.com/science/article/abs/pii/S1364032117312108" TargetMode="External"/><Relationship Id="rId23" Type="http://schemas.openxmlformats.org/officeDocument/2006/relationships/hyperlink" Target="http://dln.jaipuria.ac.in:8080/jspui/bitstream/123456789/1156/1/07-042-SunPower-Henderson.pdf" TargetMode="External"/><Relationship Id="rId28" Type="http://schemas.openxmlformats.org/officeDocument/2006/relationships/hyperlink" Target="https://www.sciencedirect.com/science/article/abs/pii/S1364032117313485" TargetMode="External"/><Relationship Id="rId36" Type="http://schemas.openxmlformats.org/officeDocument/2006/relationships/hyperlink" Target="https://link.springer.com/article/10.1007/s12652-020-02292-5" TargetMode="External"/><Relationship Id="rId49" Type="http://schemas.openxmlformats.org/officeDocument/2006/relationships/hyperlink" Target="https://www.mdpi.com/754950" TargetMode="External"/><Relationship Id="rId10" Type="http://schemas.openxmlformats.org/officeDocument/2006/relationships/image" Target="media/image3.png"/><Relationship Id="rId19" Type="http://schemas.openxmlformats.org/officeDocument/2006/relationships/hyperlink" Target="https://www.sciencedirect.com/science/article/pii/S0360544220320144" TargetMode="External"/><Relationship Id="rId31" Type="http://schemas.openxmlformats.org/officeDocument/2006/relationships/hyperlink" Target="https://www.tandfonline.com/doi/abs/10.1080/15567249.2017.1416704" TargetMode="External"/><Relationship Id="rId44" Type="http://schemas.openxmlformats.org/officeDocument/2006/relationships/hyperlink" Target="https://www.statista.com/topics/774/inflation/"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pii/S2212827118301045" TargetMode="External"/><Relationship Id="rId22" Type="http://schemas.openxmlformats.org/officeDocument/2006/relationships/hyperlink" Target="https://onlinelibrary.wiley.com/doi/abs/10.1002/er.4252" TargetMode="External"/><Relationship Id="rId27" Type="http://schemas.openxmlformats.org/officeDocument/2006/relationships/hyperlink" Target="https://pubs.rsc.org/en/content/articlehtml/2019/nh/c8nh00368h" TargetMode="External"/><Relationship Id="rId30" Type="http://schemas.openxmlformats.org/officeDocument/2006/relationships/hyperlink" Target="https://onlinelibrary.wiley.com/doi/abs/10.1002/sd.2034" TargetMode="External"/><Relationship Id="rId35" Type="http://schemas.openxmlformats.org/officeDocument/2006/relationships/hyperlink" Target="https://journals.aom.org/doi/abs/10.5465/AMBPP.2020.132" TargetMode="External"/><Relationship Id="rId43" Type="http://schemas.openxmlformats.org/officeDocument/2006/relationships/hyperlink" Target="https://journals.sagepub.com/doi/abs/10.1177/25166042211058534" TargetMode="External"/><Relationship Id="rId48" Type="http://schemas.openxmlformats.org/officeDocument/2006/relationships/hyperlink" Target="http://periodicos.pucpr.br/REBRAE/article/view/24645"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heinonline.org/hol-cgi-bin/get_pdf.cgi?handle=hein.journals/jms9&amp;section=17"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7511</Words>
  <Characters>42819</Characters>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2022-12-16T15:54:00Z</dcterms:created>
  <dcterms:modified xsi:type="dcterms:W3CDTF">2022-12-16T15:54:00Z</dcterms:modified>
</cp:coreProperties>
</file>