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E2281" w14:textId="298E7DC4" w:rsidR="005902B1" w:rsidRDefault="005902B1" w:rsidP="0081419C">
      <w:pPr>
        <w:jc w:val="center"/>
        <w:rPr>
          <w:b/>
          <w:sz w:val="28"/>
          <w:szCs w:val="24"/>
        </w:rPr>
      </w:pPr>
      <w:r>
        <w:rPr>
          <w:noProof/>
          <w14:ligatures w14:val="standardContextual"/>
        </w:rPr>
        <w:drawing>
          <wp:inline distT="0" distB="0" distL="0" distR="0" wp14:anchorId="5A7B85F1" wp14:editId="4FCE622A">
            <wp:extent cx="1809750" cy="723900"/>
            <wp:effectExtent l="0" t="0" r="0" b="0"/>
            <wp:docPr id="1185609422" name="Picture 118560942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6214B28" w14:textId="3A8F7A28" w:rsidR="0081419C" w:rsidRPr="0081419C" w:rsidRDefault="0081419C" w:rsidP="0081419C">
      <w:pPr>
        <w:jc w:val="center"/>
        <w:rPr>
          <w:b/>
          <w:sz w:val="28"/>
          <w:szCs w:val="24"/>
        </w:rPr>
      </w:pPr>
      <w:r w:rsidRPr="0081419C">
        <w:rPr>
          <w:b/>
          <w:sz w:val="28"/>
          <w:szCs w:val="24"/>
        </w:rPr>
        <w:t>University of Wales Trinity Saint David</w:t>
      </w:r>
    </w:p>
    <w:p w14:paraId="764D2202" w14:textId="77777777" w:rsidR="0081419C" w:rsidRPr="00EB5D0E" w:rsidRDefault="0081419C" w:rsidP="0081419C">
      <w:pPr>
        <w:jc w:val="center"/>
        <w:rPr>
          <w:b/>
          <w:sz w:val="32"/>
          <w:szCs w:val="28"/>
        </w:rPr>
      </w:pPr>
      <w:r w:rsidRPr="00EB5D0E">
        <w:rPr>
          <w:b/>
          <w:sz w:val="32"/>
          <w:szCs w:val="28"/>
        </w:rPr>
        <w:t>Strategic Management Analysis of Airbus SE</w:t>
      </w:r>
    </w:p>
    <w:p w14:paraId="081E96E6" w14:textId="77777777" w:rsidR="0081419C" w:rsidRPr="00E00463" w:rsidRDefault="0081419C" w:rsidP="0081419C">
      <w:pPr>
        <w:jc w:val="center"/>
        <w:rPr>
          <w:i/>
          <w:iCs/>
        </w:rPr>
      </w:pPr>
      <w:r w:rsidRPr="00E00463">
        <w:rPr>
          <w:i/>
          <w:iCs/>
        </w:rPr>
        <w:t>Sustainable competitive advantage, strategic implementation and reflective practice</w:t>
      </w:r>
    </w:p>
    <w:tbl>
      <w:tblPr>
        <w:tblStyle w:val="TableGrid"/>
        <w:tblW w:w="0" w:type="auto"/>
        <w:jc w:val="center"/>
        <w:tblLook w:val="04A0" w:firstRow="1" w:lastRow="0" w:firstColumn="1" w:lastColumn="0" w:noHBand="0" w:noVBand="1"/>
      </w:tblPr>
      <w:tblGrid>
        <w:gridCol w:w="2835"/>
        <w:gridCol w:w="5102"/>
      </w:tblGrid>
      <w:tr w:rsidR="0081419C" w:rsidRPr="0081419C" w14:paraId="5BD5CCBF"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188FA5E3" w14:textId="77777777" w:rsidR="0081419C" w:rsidRPr="0081419C" w:rsidRDefault="0081419C" w:rsidP="0081419C">
            <w:pPr>
              <w:jc w:val="center"/>
            </w:pPr>
            <w:proofErr w:type="spellStart"/>
            <w:r w:rsidRPr="0081419C">
              <w:rPr>
                <w:b/>
              </w:rPr>
              <w:t>Programme</w:t>
            </w:r>
            <w:proofErr w:type="spellEnd"/>
          </w:p>
        </w:tc>
        <w:tc>
          <w:tcPr>
            <w:tcW w:w="5102" w:type="dxa"/>
            <w:tcBorders>
              <w:top w:val="single" w:sz="4" w:space="0" w:color="auto"/>
              <w:left w:val="single" w:sz="4" w:space="0" w:color="auto"/>
              <w:bottom w:val="single" w:sz="4" w:space="0" w:color="auto"/>
              <w:right w:val="single" w:sz="4" w:space="0" w:color="auto"/>
            </w:tcBorders>
            <w:vAlign w:val="center"/>
            <w:hideMark/>
          </w:tcPr>
          <w:p w14:paraId="59DBAF02" w14:textId="77777777" w:rsidR="0081419C" w:rsidRPr="0081419C" w:rsidRDefault="0081419C" w:rsidP="0081419C">
            <w:pPr>
              <w:jc w:val="center"/>
            </w:pPr>
            <w:r w:rsidRPr="0081419C">
              <w:t>Master of Business Administration</w:t>
            </w:r>
          </w:p>
        </w:tc>
      </w:tr>
      <w:tr w:rsidR="0081419C" w:rsidRPr="0081419C" w14:paraId="25265758"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341CA03E" w14:textId="77777777" w:rsidR="0081419C" w:rsidRPr="0081419C" w:rsidRDefault="0081419C" w:rsidP="0081419C">
            <w:pPr>
              <w:jc w:val="center"/>
            </w:pPr>
            <w:r w:rsidRPr="0081419C">
              <w:rPr>
                <w:b/>
              </w:rPr>
              <w:t>Module</w:t>
            </w:r>
          </w:p>
        </w:tc>
        <w:tc>
          <w:tcPr>
            <w:tcW w:w="5102" w:type="dxa"/>
            <w:tcBorders>
              <w:top w:val="single" w:sz="4" w:space="0" w:color="auto"/>
              <w:left w:val="single" w:sz="4" w:space="0" w:color="auto"/>
              <w:bottom w:val="single" w:sz="4" w:space="0" w:color="auto"/>
              <w:right w:val="single" w:sz="4" w:space="0" w:color="auto"/>
            </w:tcBorders>
            <w:vAlign w:val="center"/>
            <w:hideMark/>
          </w:tcPr>
          <w:p w14:paraId="493C30BB" w14:textId="77777777" w:rsidR="0081419C" w:rsidRPr="0081419C" w:rsidRDefault="0081419C" w:rsidP="0081419C">
            <w:pPr>
              <w:jc w:val="center"/>
            </w:pPr>
            <w:r w:rsidRPr="0081419C">
              <w:t>Strategic Management</w:t>
            </w:r>
          </w:p>
        </w:tc>
      </w:tr>
      <w:tr w:rsidR="0081419C" w:rsidRPr="0081419C" w14:paraId="538D1EF2"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4AF1838A" w14:textId="77777777" w:rsidR="0081419C" w:rsidRPr="0081419C" w:rsidRDefault="0081419C" w:rsidP="0081419C">
            <w:pPr>
              <w:jc w:val="center"/>
            </w:pPr>
            <w:r w:rsidRPr="0081419C">
              <w:rPr>
                <w:b/>
              </w:rPr>
              <w:t>Module code</w:t>
            </w:r>
          </w:p>
        </w:tc>
        <w:tc>
          <w:tcPr>
            <w:tcW w:w="5102" w:type="dxa"/>
            <w:tcBorders>
              <w:top w:val="single" w:sz="4" w:space="0" w:color="auto"/>
              <w:left w:val="single" w:sz="4" w:space="0" w:color="auto"/>
              <w:bottom w:val="single" w:sz="4" w:space="0" w:color="auto"/>
              <w:right w:val="single" w:sz="4" w:space="0" w:color="auto"/>
            </w:tcBorders>
            <w:vAlign w:val="center"/>
            <w:hideMark/>
          </w:tcPr>
          <w:p w14:paraId="2E50244B" w14:textId="77777777" w:rsidR="0081419C" w:rsidRPr="0081419C" w:rsidRDefault="0081419C" w:rsidP="0081419C">
            <w:pPr>
              <w:jc w:val="center"/>
            </w:pPr>
            <w:r w:rsidRPr="0081419C">
              <w:t>LCMB7003</w:t>
            </w:r>
          </w:p>
        </w:tc>
      </w:tr>
      <w:tr w:rsidR="0081419C" w:rsidRPr="0081419C" w14:paraId="366F822F"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67E9119D" w14:textId="77777777" w:rsidR="0081419C" w:rsidRPr="0081419C" w:rsidRDefault="0081419C" w:rsidP="0081419C">
            <w:pPr>
              <w:jc w:val="center"/>
            </w:pPr>
            <w:r w:rsidRPr="0081419C">
              <w:rPr>
                <w:b/>
              </w:rPr>
              <w:t>Lecturer</w:t>
            </w:r>
          </w:p>
        </w:tc>
        <w:tc>
          <w:tcPr>
            <w:tcW w:w="5102" w:type="dxa"/>
            <w:tcBorders>
              <w:top w:val="single" w:sz="4" w:space="0" w:color="auto"/>
              <w:left w:val="single" w:sz="4" w:space="0" w:color="auto"/>
              <w:bottom w:val="single" w:sz="4" w:space="0" w:color="auto"/>
              <w:right w:val="single" w:sz="4" w:space="0" w:color="auto"/>
            </w:tcBorders>
            <w:vAlign w:val="center"/>
          </w:tcPr>
          <w:p w14:paraId="73559CDB" w14:textId="0E3A086A" w:rsidR="0081419C" w:rsidRPr="0081419C" w:rsidRDefault="00731C03" w:rsidP="0081419C">
            <w:pPr>
              <w:jc w:val="center"/>
            </w:pPr>
            <w:r w:rsidRPr="00731C03">
              <w:t xml:space="preserve">Ejike </w:t>
            </w:r>
            <w:proofErr w:type="spellStart"/>
            <w:r w:rsidRPr="00731C03">
              <w:t>Udeogu</w:t>
            </w:r>
            <w:proofErr w:type="spellEnd"/>
          </w:p>
        </w:tc>
      </w:tr>
      <w:tr w:rsidR="0081419C" w:rsidRPr="0081419C" w14:paraId="6B77584D"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6EE20C07" w14:textId="77777777" w:rsidR="0081419C" w:rsidRPr="0081419C" w:rsidRDefault="0081419C" w:rsidP="0081419C">
            <w:pPr>
              <w:jc w:val="center"/>
            </w:pPr>
            <w:r w:rsidRPr="0081419C">
              <w:rPr>
                <w:b/>
              </w:rPr>
              <w:t>Student name</w:t>
            </w:r>
          </w:p>
        </w:tc>
        <w:tc>
          <w:tcPr>
            <w:tcW w:w="5102" w:type="dxa"/>
            <w:tcBorders>
              <w:top w:val="single" w:sz="4" w:space="0" w:color="auto"/>
              <w:left w:val="single" w:sz="4" w:space="0" w:color="auto"/>
              <w:bottom w:val="single" w:sz="4" w:space="0" w:color="auto"/>
              <w:right w:val="single" w:sz="4" w:space="0" w:color="auto"/>
            </w:tcBorders>
            <w:vAlign w:val="center"/>
          </w:tcPr>
          <w:p w14:paraId="70F46944" w14:textId="7E6EC622" w:rsidR="0081419C" w:rsidRPr="0081419C" w:rsidRDefault="00EB5D0E" w:rsidP="0081419C">
            <w:pPr>
              <w:jc w:val="center"/>
            </w:pPr>
            <w:proofErr w:type="spellStart"/>
            <w:r>
              <w:t>Promi</w:t>
            </w:r>
            <w:proofErr w:type="spellEnd"/>
            <w:r>
              <w:t xml:space="preserve"> Das Gupta</w:t>
            </w:r>
          </w:p>
        </w:tc>
      </w:tr>
      <w:tr w:rsidR="0081419C" w:rsidRPr="0081419C" w14:paraId="30AA7962"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5C8372E3" w14:textId="77777777" w:rsidR="0081419C" w:rsidRPr="0081419C" w:rsidRDefault="0081419C" w:rsidP="0081419C">
            <w:pPr>
              <w:jc w:val="center"/>
            </w:pPr>
            <w:r w:rsidRPr="0081419C">
              <w:rPr>
                <w:b/>
              </w:rPr>
              <w:t>Student ID</w:t>
            </w:r>
          </w:p>
        </w:tc>
        <w:tc>
          <w:tcPr>
            <w:tcW w:w="5102" w:type="dxa"/>
            <w:tcBorders>
              <w:top w:val="single" w:sz="4" w:space="0" w:color="auto"/>
              <w:left w:val="single" w:sz="4" w:space="0" w:color="auto"/>
              <w:bottom w:val="single" w:sz="4" w:space="0" w:color="auto"/>
              <w:right w:val="single" w:sz="4" w:space="0" w:color="auto"/>
            </w:tcBorders>
            <w:vAlign w:val="center"/>
          </w:tcPr>
          <w:p w14:paraId="39DB647A" w14:textId="7CF74E0E" w:rsidR="0081419C" w:rsidRPr="0081419C" w:rsidRDefault="00EB5D0E" w:rsidP="0081419C">
            <w:pPr>
              <w:jc w:val="center"/>
            </w:pPr>
            <w:r>
              <w:t>2428537</w:t>
            </w:r>
          </w:p>
        </w:tc>
      </w:tr>
      <w:tr w:rsidR="0081419C" w:rsidRPr="0081419C" w14:paraId="536E0B1E" w14:textId="77777777">
        <w:trPr>
          <w:jc w:val="center"/>
        </w:trPr>
        <w:tc>
          <w:tcPr>
            <w:tcW w:w="2835" w:type="dxa"/>
            <w:tcBorders>
              <w:top w:val="single" w:sz="4" w:space="0" w:color="auto"/>
              <w:left w:val="single" w:sz="4" w:space="0" w:color="auto"/>
              <w:bottom w:val="single" w:sz="4" w:space="0" w:color="auto"/>
              <w:right w:val="single" w:sz="4" w:space="0" w:color="auto"/>
            </w:tcBorders>
            <w:shd w:val="clear" w:color="auto" w:fill="EAF1FB"/>
            <w:vAlign w:val="center"/>
            <w:hideMark/>
          </w:tcPr>
          <w:p w14:paraId="16FF6F02" w14:textId="77777777" w:rsidR="0081419C" w:rsidRPr="0081419C" w:rsidRDefault="0081419C" w:rsidP="0081419C">
            <w:pPr>
              <w:jc w:val="center"/>
            </w:pPr>
            <w:r w:rsidRPr="0081419C">
              <w:rPr>
                <w:b/>
              </w:rPr>
              <w:t>Word count</w:t>
            </w:r>
          </w:p>
        </w:tc>
        <w:tc>
          <w:tcPr>
            <w:tcW w:w="5102" w:type="dxa"/>
            <w:tcBorders>
              <w:top w:val="single" w:sz="4" w:space="0" w:color="auto"/>
              <w:left w:val="single" w:sz="4" w:space="0" w:color="auto"/>
              <w:bottom w:val="single" w:sz="4" w:space="0" w:color="auto"/>
              <w:right w:val="single" w:sz="4" w:space="0" w:color="auto"/>
            </w:tcBorders>
            <w:vAlign w:val="center"/>
          </w:tcPr>
          <w:p w14:paraId="6052615D" w14:textId="3808354E" w:rsidR="0081419C" w:rsidRPr="0081419C" w:rsidRDefault="00EB5D0E" w:rsidP="0081419C">
            <w:pPr>
              <w:jc w:val="center"/>
            </w:pPr>
            <w:r>
              <w:t>Approx. 5500</w:t>
            </w:r>
          </w:p>
        </w:tc>
      </w:tr>
    </w:tbl>
    <w:p w14:paraId="64026F72" w14:textId="77777777" w:rsidR="0081419C" w:rsidRDefault="0081419C" w:rsidP="0081419C">
      <w:pPr>
        <w:jc w:val="center"/>
        <w:sectPr w:rsidR="0081419C" w:rsidSect="0081419C">
          <w:footerReference w:type="default" r:id="rId9"/>
          <w:type w:val="continuous"/>
          <w:pgSz w:w="12240" w:h="15840" w:code="1"/>
          <w:pgMar w:top="1440" w:right="1440" w:bottom="1440" w:left="1440" w:header="720" w:footer="720" w:gutter="0"/>
          <w:cols w:space="720"/>
          <w:vAlign w:val="center"/>
          <w:docGrid w:linePitch="360"/>
        </w:sectPr>
      </w:pPr>
    </w:p>
    <w:sdt>
      <w:sdtPr>
        <w:rPr>
          <w:rFonts w:asciiTheme="minorHAnsi" w:eastAsia="Times New Roman" w:hAnsiTheme="minorHAnsi" w:cstheme="minorBidi"/>
          <w:color w:val="auto"/>
          <w:sz w:val="24"/>
          <w:szCs w:val="22"/>
        </w:rPr>
        <w:id w:val="1418289060"/>
        <w:docPartObj>
          <w:docPartGallery w:val="Table of Contents"/>
          <w:docPartUnique/>
        </w:docPartObj>
      </w:sdtPr>
      <w:sdtEndPr>
        <w:rPr>
          <w:b/>
          <w:bCs/>
          <w:noProof/>
        </w:rPr>
      </w:sdtEndPr>
      <w:sdtContent>
        <w:p w14:paraId="61104C9B" w14:textId="6D1E7687" w:rsidR="0081419C" w:rsidRPr="0081419C" w:rsidRDefault="0081419C">
          <w:pPr>
            <w:pStyle w:val="TOCHeading"/>
            <w:rPr>
              <w:b/>
              <w:bCs/>
              <w:color w:val="auto"/>
            </w:rPr>
          </w:pPr>
          <w:r w:rsidRPr="0081419C">
            <w:rPr>
              <w:b/>
              <w:bCs/>
              <w:color w:val="auto"/>
            </w:rPr>
            <w:t>Table of Contents</w:t>
          </w:r>
        </w:p>
        <w:p w14:paraId="3F9095CD" w14:textId="507491C0" w:rsidR="0081419C" w:rsidRDefault="0081419C">
          <w:pPr>
            <w:pStyle w:val="TOC1"/>
            <w:tabs>
              <w:tab w:val="right" w:leader="dot" w:pos="9350"/>
            </w:tabs>
            <w:rPr>
              <w:noProof/>
            </w:rPr>
          </w:pPr>
          <w:r>
            <w:fldChar w:fldCharType="begin"/>
          </w:r>
          <w:r>
            <w:instrText xml:space="preserve"> TOC \o "1-3" \h \z \u </w:instrText>
          </w:r>
          <w:r>
            <w:fldChar w:fldCharType="separate"/>
          </w:r>
          <w:hyperlink w:anchor="_Toc224607652" w:history="1">
            <w:r w:rsidRPr="00E26CCD">
              <w:rPr>
                <w:rStyle w:val="Hyperlink"/>
                <w:noProof/>
              </w:rPr>
              <w:t>1. Introduction</w:t>
            </w:r>
            <w:r>
              <w:rPr>
                <w:noProof/>
                <w:webHidden/>
              </w:rPr>
              <w:tab/>
            </w:r>
            <w:r>
              <w:rPr>
                <w:noProof/>
                <w:webHidden/>
              </w:rPr>
              <w:fldChar w:fldCharType="begin"/>
            </w:r>
            <w:r>
              <w:rPr>
                <w:noProof/>
                <w:webHidden/>
              </w:rPr>
              <w:instrText xml:space="preserve"> PAGEREF _Toc224607652 \h </w:instrText>
            </w:r>
            <w:r>
              <w:rPr>
                <w:noProof/>
                <w:webHidden/>
              </w:rPr>
            </w:r>
            <w:r>
              <w:rPr>
                <w:noProof/>
                <w:webHidden/>
              </w:rPr>
              <w:fldChar w:fldCharType="separate"/>
            </w:r>
            <w:r>
              <w:rPr>
                <w:noProof/>
                <w:webHidden/>
              </w:rPr>
              <w:t>3</w:t>
            </w:r>
            <w:r>
              <w:rPr>
                <w:noProof/>
                <w:webHidden/>
              </w:rPr>
              <w:fldChar w:fldCharType="end"/>
            </w:r>
          </w:hyperlink>
        </w:p>
        <w:p w14:paraId="28CFA5FA" w14:textId="100D52ED" w:rsidR="0081419C" w:rsidRDefault="0081419C">
          <w:pPr>
            <w:pStyle w:val="TOC1"/>
            <w:tabs>
              <w:tab w:val="right" w:leader="dot" w:pos="9350"/>
            </w:tabs>
            <w:rPr>
              <w:noProof/>
            </w:rPr>
          </w:pPr>
          <w:hyperlink w:anchor="_Toc224607653" w:history="1">
            <w:r w:rsidRPr="00E26CCD">
              <w:rPr>
                <w:rStyle w:val="Hyperlink"/>
                <w:noProof/>
              </w:rPr>
              <w:t>2. Section 1: Strategic management analysis of Airbus SE</w:t>
            </w:r>
            <w:r>
              <w:rPr>
                <w:noProof/>
                <w:webHidden/>
              </w:rPr>
              <w:tab/>
            </w:r>
            <w:r>
              <w:rPr>
                <w:noProof/>
                <w:webHidden/>
              </w:rPr>
              <w:fldChar w:fldCharType="begin"/>
            </w:r>
            <w:r>
              <w:rPr>
                <w:noProof/>
                <w:webHidden/>
              </w:rPr>
              <w:instrText xml:space="preserve"> PAGEREF _Toc224607653 \h </w:instrText>
            </w:r>
            <w:r>
              <w:rPr>
                <w:noProof/>
                <w:webHidden/>
              </w:rPr>
            </w:r>
            <w:r>
              <w:rPr>
                <w:noProof/>
                <w:webHidden/>
              </w:rPr>
              <w:fldChar w:fldCharType="separate"/>
            </w:r>
            <w:r>
              <w:rPr>
                <w:noProof/>
                <w:webHidden/>
              </w:rPr>
              <w:t>4</w:t>
            </w:r>
            <w:r>
              <w:rPr>
                <w:noProof/>
                <w:webHidden/>
              </w:rPr>
              <w:fldChar w:fldCharType="end"/>
            </w:r>
          </w:hyperlink>
        </w:p>
        <w:p w14:paraId="411F2CC1" w14:textId="457F0BA8" w:rsidR="0081419C" w:rsidRDefault="0081419C">
          <w:pPr>
            <w:pStyle w:val="TOC2"/>
            <w:tabs>
              <w:tab w:val="right" w:leader="dot" w:pos="9350"/>
            </w:tabs>
            <w:rPr>
              <w:noProof/>
            </w:rPr>
          </w:pPr>
          <w:hyperlink w:anchor="_Toc224607654" w:history="1">
            <w:r w:rsidRPr="00E26CCD">
              <w:rPr>
                <w:rStyle w:val="Hyperlink"/>
                <w:noProof/>
              </w:rPr>
              <w:t>2.1 Organisational context and overview</w:t>
            </w:r>
            <w:r>
              <w:rPr>
                <w:noProof/>
                <w:webHidden/>
              </w:rPr>
              <w:tab/>
            </w:r>
            <w:r>
              <w:rPr>
                <w:noProof/>
                <w:webHidden/>
              </w:rPr>
              <w:fldChar w:fldCharType="begin"/>
            </w:r>
            <w:r>
              <w:rPr>
                <w:noProof/>
                <w:webHidden/>
              </w:rPr>
              <w:instrText xml:space="preserve"> PAGEREF _Toc224607654 \h </w:instrText>
            </w:r>
            <w:r>
              <w:rPr>
                <w:noProof/>
                <w:webHidden/>
              </w:rPr>
            </w:r>
            <w:r>
              <w:rPr>
                <w:noProof/>
                <w:webHidden/>
              </w:rPr>
              <w:fldChar w:fldCharType="separate"/>
            </w:r>
            <w:r>
              <w:rPr>
                <w:noProof/>
                <w:webHidden/>
              </w:rPr>
              <w:t>4</w:t>
            </w:r>
            <w:r>
              <w:rPr>
                <w:noProof/>
                <w:webHidden/>
              </w:rPr>
              <w:fldChar w:fldCharType="end"/>
            </w:r>
          </w:hyperlink>
        </w:p>
        <w:p w14:paraId="6404C625" w14:textId="2C56DDFB" w:rsidR="0081419C" w:rsidRDefault="0081419C">
          <w:pPr>
            <w:pStyle w:val="TOC2"/>
            <w:tabs>
              <w:tab w:val="right" w:leader="dot" w:pos="9350"/>
            </w:tabs>
            <w:rPr>
              <w:noProof/>
            </w:rPr>
          </w:pPr>
          <w:hyperlink w:anchor="_Toc224607655" w:history="1">
            <w:r w:rsidRPr="00E26CCD">
              <w:rPr>
                <w:rStyle w:val="Hyperlink"/>
                <w:noProof/>
              </w:rPr>
              <w:t>2.2 External and internal environment analysis</w:t>
            </w:r>
            <w:r>
              <w:rPr>
                <w:noProof/>
                <w:webHidden/>
              </w:rPr>
              <w:tab/>
            </w:r>
            <w:r>
              <w:rPr>
                <w:noProof/>
                <w:webHidden/>
              </w:rPr>
              <w:fldChar w:fldCharType="begin"/>
            </w:r>
            <w:r>
              <w:rPr>
                <w:noProof/>
                <w:webHidden/>
              </w:rPr>
              <w:instrText xml:space="preserve"> PAGEREF _Toc224607655 \h </w:instrText>
            </w:r>
            <w:r>
              <w:rPr>
                <w:noProof/>
                <w:webHidden/>
              </w:rPr>
            </w:r>
            <w:r>
              <w:rPr>
                <w:noProof/>
                <w:webHidden/>
              </w:rPr>
              <w:fldChar w:fldCharType="separate"/>
            </w:r>
            <w:r>
              <w:rPr>
                <w:noProof/>
                <w:webHidden/>
              </w:rPr>
              <w:t>6</w:t>
            </w:r>
            <w:r>
              <w:rPr>
                <w:noProof/>
                <w:webHidden/>
              </w:rPr>
              <w:fldChar w:fldCharType="end"/>
            </w:r>
          </w:hyperlink>
        </w:p>
        <w:p w14:paraId="26327812" w14:textId="4BAC1768" w:rsidR="0081419C" w:rsidRDefault="0081419C">
          <w:pPr>
            <w:pStyle w:val="TOC2"/>
            <w:tabs>
              <w:tab w:val="right" w:leader="dot" w:pos="9350"/>
            </w:tabs>
            <w:rPr>
              <w:noProof/>
            </w:rPr>
          </w:pPr>
          <w:hyperlink w:anchor="_Toc224607656" w:history="1">
            <w:r w:rsidRPr="00E26CCD">
              <w:rPr>
                <w:rStyle w:val="Hyperlink"/>
                <w:noProof/>
              </w:rPr>
              <w:t>2.3 CSR and sustainability objectives</w:t>
            </w:r>
            <w:r>
              <w:rPr>
                <w:noProof/>
                <w:webHidden/>
              </w:rPr>
              <w:tab/>
            </w:r>
            <w:r>
              <w:rPr>
                <w:noProof/>
                <w:webHidden/>
              </w:rPr>
              <w:fldChar w:fldCharType="begin"/>
            </w:r>
            <w:r>
              <w:rPr>
                <w:noProof/>
                <w:webHidden/>
              </w:rPr>
              <w:instrText xml:space="preserve"> PAGEREF _Toc224607656 \h </w:instrText>
            </w:r>
            <w:r>
              <w:rPr>
                <w:noProof/>
                <w:webHidden/>
              </w:rPr>
            </w:r>
            <w:r>
              <w:rPr>
                <w:noProof/>
                <w:webHidden/>
              </w:rPr>
              <w:fldChar w:fldCharType="separate"/>
            </w:r>
            <w:r>
              <w:rPr>
                <w:noProof/>
                <w:webHidden/>
              </w:rPr>
              <w:t>12</w:t>
            </w:r>
            <w:r>
              <w:rPr>
                <w:noProof/>
                <w:webHidden/>
              </w:rPr>
              <w:fldChar w:fldCharType="end"/>
            </w:r>
          </w:hyperlink>
        </w:p>
        <w:p w14:paraId="79352353" w14:textId="4E313A3E" w:rsidR="0081419C" w:rsidRDefault="0081419C">
          <w:pPr>
            <w:pStyle w:val="TOC2"/>
            <w:tabs>
              <w:tab w:val="right" w:leader="dot" w:pos="9350"/>
            </w:tabs>
            <w:rPr>
              <w:noProof/>
            </w:rPr>
          </w:pPr>
          <w:hyperlink w:anchor="_Toc224607657" w:history="1">
            <w:r w:rsidRPr="00E26CCD">
              <w:rPr>
                <w:rStyle w:val="Hyperlink"/>
                <w:noProof/>
              </w:rPr>
              <w:t>2.4 Comprehensive and holistic view: Balanced Scorecard</w:t>
            </w:r>
            <w:r>
              <w:rPr>
                <w:noProof/>
                <w:webHidden/>
              </w:rPr>
              <w:tab/>
            </w:r>
            <w:r>
              <w:rPr>
                <w:noProof/>
                <w:webHidden/>
              </w:rPr>
              <w:fldChar w:fldCharType="begin"/>
            </w:r>
            <w:r>
              <w:rPr>
                <w:noProof/>
                <w:webHidden/>
              </w:rPr>
              <w:instrText xml:space="preserve"> PAGEREF _Toc224607657 \h </w:instrText>
            </w:r>
            <w:r>
              <w:rPr>
                <w:noProof/>
                <w:webHidden/>
              </w:rPr>
            </w:r>
            <w:r>
              <w:rPr>
                <w:noProof/>
                <w:webHidden/>
              </w:rPr>
              <w:fldChar w:fldCharType="separate"/>
            </w:r>
            <w:r>
              <w:rPr>
                <w:noProof/>
                <w:webHidden/>
              </w:rPr>
              <w:t>13</w:t>
            </w:r>
            <w:r>
              <w:rPr>
                <w:noProof/>
                <w:webHidden/>
              </w:rPr>
              <w:fldChar w:fldCharType="end"/>
            </w:r>
          </w:hyperlink>
        </w:p>
        <w:p w14:paraId="069930B9" w14:textId="3E245D63" w:rsidR="0081419C" w:rsidRDefault="0081419C">
          <w:pPr>
            <w:pStyle w:val="TOC2"/>
            <w:tabs>
              <w:tab w:val="right" w:leader="dot" w:pos="9350"/>
            </w:tabs>
            <w:rPr>
              <w:noProof/>
            </w:rPr>
          </w:pPr>
          <w:hyperlink w:anchor="_Toc224607658" w:history="1">
            <w:r w:rsidRPr="00E26CCD">
              <w:rPr>
                <w:rStyle w:val="Hyperlink"/>
                <w:noProof/>
              </w:rPr>
              <w:t>2.5 Strategic choices and implementation</w:t>
            </w:r>
            <w:r>
              <w:rPr>
                <w:noProof/>
                <w:webHidden/>
              </w:rPr>
              <w:tab/>
            </w:r>
            <w:r>
              <w:rPr>
                <w:noProof/>
                <w:webHidden/>
              </w:rPr>
              <w:fldChar w:fldCharType="begin"/>
            </w:r>
            <w:r>
              <w:rPr>
                <w:noProof/>
                <w:webHidden/>
              </w:rPr>
              <w:instrText xml:space="preserve"> PAGEREF _Toc224607658 \h </w:instrText>
            </w:r>
            <w:r>
              <w:rPr>
                <w:noProof/>
                <w:webHidden/>
              </w:rPr>
            </w:r>
            <w:r>
              <w:rPr>
                <w:noProof/>
                <w:webHidden/>
              </w:rPr>
              <w:fldChar w:fldCharType="separate"/>
            </w:r>
            <w:r>
              <w:rPr>
                <w:noProof/>
                <w:webHidden/>
              </w:rPr>
              <w:t>16</w:t>
            </w:r>
            <w:r>
              <w:rPr>
                <w:noProof/>
                <w:webHidden/>
              </w:rPr>
              <w:fldChar w:fldCharType="end"/>
            </w:r>
          </w:hyperlink>
        </w:p>
        <w:p w14:paraId="3DEEEF91" w14:textId="17F6F6AA" w:rsidR="0081419C" w:rsidRDefault="0081419C">
          <w:pPr>
            <w:pStyle w:val="TOC2"/>
            <w:tabs>
              <w:tab w:val="right" w:leader="dot" w:pos="9350"/>
            </w:tabs>
            <w:rPr>
              <w:noProof/>
            </w:rPr>
          </w:pPr>
          <w:hyperlink w:anchor="_Toc224607659" w:history="1">
            <w:r w:rsidRPr="00E26CCD">
              <w:rPr>
                <w:rStyle w:val="Hyperlink"/>
                <w:noProof/>
              </w:rPr>
              <w:t>2.6 Strategic evaluation and recommendations</w:t>
            </w:r>
            <w:r>
              <w:rPr>
                <w:noProof/>
                <w:webHidden/>
              </w:rPr>
              <w:tab/>
            </w:r>
            <w:r>
              <w:rPr>
                <w:noProof/>
                <w:webHidden/>
              </w:rPr>
              <w:fldChar w:fldCharType="begin"/>
            </w:r>
            <w:r>
              <w:rPr>
                <w:noProof/>
                <w:webHidden/>
              </w:rPr>
              <w:instrText xml:space="preserve"> PAGEREF _Toc224607659 \h </w:instrText>
            </w:r>
            <w:r>
              <w:rPr>
                <w:noProof/>
                <w:webHidden/>
              </w:rPr>
            </w:r>
            <w:r>
              <w:rPr>
                <w:noProof/>
                <w:webHidden/>
              </w:rPr>
              <w:fldChar w:fldCharType="separate"/>
            </w:r>
            <w:r>
              <w:rPr>
                <w:noProof/>
                <w:webHidden/>
              </w:rPr>
              <w:t>17</w:t>
            </w:r>
            <w:r>
              <w:rPr>
                <w:noProof/>
                <w:webHidden/>
              </w:rPr>
              <w:fldChar w:fldCharType="end"/>
            </w:r>
          </w:hyperlink>
        </w:p>
        <w:p w14:paraId="126956A9" w14:textId="5218C39B" w:rsidR="0081419C" w:rsidRDefault="0081419C">
          <w:pPr>
            <w:pStyle w:val="TOC1"/>
            <w:tabs>
              <w:tab w:val="right" w:leader="dot" w:pos="9350"/>
            </w:tabs>
            <w:rPr>
              <w:noProof/>
            </w:rPr>
          </w:pPr>
          <w:hyperlink w:anchor="_Toc224607660" w:history="1">
            <w:r w:rsidRPr="00E26CCD">
              <w:rPr>
                <w:rStyle w:val="Hyperlink"/>
                <w:noProof/>
              </w:rPr>
              <w:t>3. Section 2: Reflective account using Kolb’s learning cycle</w:t>
            </w:r>
            <w:r>
              <w:rPr>
                <w:noProof/>
                <w:webHidden/>
              </w:rPr>
              <w:tab/>
            </w:r>
            <w:r>
              <w:rPr>
                <w:noProof/>
                <w:webHidden/>
              </w:rPr>
              <w:fldChar w:fldCharType="begin"/>
            </w:r>
            <w:r>
              <w:rPr>
                <w:noProof/>
                <w:webHidden/>
              </w:rPr>
              <w:instrText xml:space="preserve"> PAGEREF _Toc224607660 \h </w:instrText>
            </w:r>
            <w:r>
              <w:rPr>
                <w:noProof/>
                <w:webHidden/>
              </w:rPr>
            </w:r>
            <w:r>
              <w:rPr>
                <w:noProof/>
                <w:webHidden/>
              </w:rPr>
              <w:fldChar w:fldCharType="separate"/>
            </w:r>
            <w:r>
              <w:rPr>
                <w:noProof/>
                <w:webHidden/>
              </w:rPr>
              <w:t>20</w:t>
            </w:r>
            <w:r>
              <w:rPr>
                <w:noProof/>
                <w:webHidden/>
              </w:rPr>
              <w:fldChar w:fldCharType="end"/>
            </w:r>
          </w:hyperlink>
        </w:p>
        <w:p w14:paraId="6E2E41B9" w14:textId="0C5FE48D" w:rsidR="0081419C" w:rsidRDefault="0081419C">
          <w:pPr>
            <w:pStyle w:val="TOC2"/>
            <w:tabs>
              <w:tab w:val="right" w:leader="dot" w:pos="9350"/>
            </w:tabs>
            <w:rPr>
              <w:noProof/>
            </w:rPr>
          </w:pPr>
          <w:hyperlink w:anchor="_Toc224607661" w:history="1">
            <w:r w:rsidRPr="00E26CCD">
              <w:rPr>
                <w:rStyle w:val="Hyperlink"/>
                <w:noProof/>
              </w:rPr>
              <w:t>3.1 Concrete experience</w:t>
            </w:r>
            <w:r>
              <w:rPr>
                <w:noProof/>
                <w:webHidden/>
              </w:rPr>
              <w:tab/>
            </w:r>
            <w:r>
              <w:rPr>
                <w:noProof/>
                <w:webHidden/>
              </w:rPr>
              <w:fldChar w:fldCharType="begin"/>
            </w:r>
            <w:r>
              <w:rPr>
                <w:noProof/>
                <w:webHidden/>
              </w:rPr>
              <w:instrText xml:space="preserve"> PAGEREF _Toc224607661 \h </w:instrText>
            </w:r>
            <w:r>
              <w:rPr>
                <w:noProof/>
                <w:webHidden/>
              </w:rPr>
            </w:r>
            <w:r>
              <w:rPr>
                <w:noProof/>
                <w:webHidden/>
              </w:rPr>
              <w:fldChar w:fldCharType="separate"/>
            </w:r>
            <w:r>
              <w:rPr>
                <w:noProof/>
                <w:webHidden/>
              </w:rPr>
              <w:t>20</w:t>
            </w:r>
            <w:r>
              <w:rPr>
                <w:noProof/>
                <w:webHidden/>
              </w:rPr>
              <w:fldChar w:fldCharType="end"/>
            </w:r>
          </w:hyperlink>
        </w:p>
        <w:p w14:paraId="7F9C361D" w14:textId="18D8801A" w:rsidR="0081419C" w:rsidRDefault="0081419C">
          <w:pPr>
            <w:pStyle w:val="TOC2"/>
            <w:tabs>
              <w:tab w:val="right" w:leader="dot" w:pos="9350"/>
            </w:tabs>
            <w:rPr>
              <w:noProof/>
            </w:rPr>
          </w:pPr>
          <w:hyperlink w:anchor="_Toc224607662" w:history="1">
            <w:r w:rsidRPr="00E26CCD">
              <w:rPr>
                <w:rStyle w:val="Hyperlink"/>
                <w:noProof/>
              </w:rPr>
              <w:t>3.2 Reflective observation</w:t>
            </w:r>
            <w:r>
              <w:rPr>
                <w:noProof/>
                <w:webHidden/>
              </w:rPr>
              <w:tab/>
            </w:r>
            <w:r>
              <w:rPr>
                <w:noProof/>
                <w:webHidden/>
              </w:rPr>
              <w:fldChar w:fldCharType="begin"/>
            </w:r>
            <w:r>
              <w:rPr>
                <w:noProof/>
                <w:webHidden/>
              </w:rPr>
              <w:instrText xml:space="preserve"> PAGEREF _Toc224607662 \h </w:instrText>
            </w:r>
            <w:r>
              <w:rPr>
                <w:noProof/>
                <w:webHidden/>
              </w:rPr>
            </w:r>
            <w:r>
              <w:rPr>
                <w:noProof/>
                <w:webHidden/>
              </w:rPr>
              <w:fldChar w:fldCharType="separate"/>
            </w:r>
            <w:r>
              <w:rPr>
                <w:noProof/>
                <w:webHidden/>
              </w:rPr>
              <w:t>21</w:t>
            </w:r>
            <w:r>
              <w:rPr>
                <w:noProof/>
                <w:webHidden/>
              </w:rPr>
              <w:fldChar w:fldCharType="end"/>
            </w:r>
          </w:hyperlink>
        </w:p>
        <w:p w14:paraId="26D4E38F" w14:textId="3FD960AE" w:rsidR="0081419C" w:rsidRDefault="0081419C">
          <w:pPr>
            <w:pStyle w:val="TOC2"/>
            <w:tabs>
              <w:tab w:val="right" w:leader="dot" w:pos="9350"/>
            </w:tabs>
            <w:rPr>
              <w:noProof/>
            </w:rPr>
          </w:pPr>
          <w:hyperlink w:anchor="_Toc224607663" w:history="1">
            <w:r w:rsidRPr="00E26CCD">
              <w:rPr>
                <w:rStyle w:val="Hyperlink"/>
                <w:noProof/>
              </w:rPr>
              <w:t>3.3 Abstract conceptualisation</w:t>
            </w:r>
            <w:r>
              <w:rPr>
                <w:noProof/>
                <w:webHidden/>
              </w:rPr>
              <w:tab/>
            </w:r>
            <w:r>
              <w:rPr>
                <w:noProof/>
                <w:webHidden/>
              </w:rPr>
              <w:fldChar w:fldCharType="begin"/>
            </w:r>
            <w:r>
              <w:rPr>
                <w:noProof/>
                <w:webHidden/>
              </w:rPr>
              <w:instrText xml:space="preserve"> PAGEREF _Toc224607663 \h </w:instrText>
            </w:r>
            <w:r>
              <w:rPr>
                <w:noProof/>
                <w:webHidden/>
              </w:rPr>
            </w:r>
            <w:r>
              <w:rPr>
                <w:noProof/>
                <w:webHidden/>
              </w:rPr>
              <w:fldChar w:fldCharType="separate"/>
            </w:r>
            <w:r>
              <w:rPr>
                <w:noProof/>
                <w:webHidden/>
              </w:rPr>
              <w:t>22</w:t>
            </w:r>
            <w:r>
              <w:rPr>
                <w:noProof/>
                <w:webHidden/>
              </w:rPr>
              <w:fldChar w:fldCharType="end"/>
            </w:r>
          </w:hyperlink>
        </w:p>
        <w:p w14:paraId="502AA384" w14:textId="7F3D62C0" w:rsidR="0081419C" w:rsidRDefault="0081419C">
          <w:pPr>
            <w:pStyle w:val="TOC2"/>
            <w:tabs>
              <w:tab w:val="right" w:leader="dot" w:pos="9350"/>
            </w:tabs>
            <w:rPr>
              <w:noProof/>
            </w:rPr>
          </w:pPr>
          <w:hyperlink w:anchor="_Toc224607664" w:history="1">
            <w:r w:rsidRPr="00E26CCD">
              <w:rPr>
                <w:rStyle w:val="Hyperlink"/>
                <w:noProof/>
              </w:rPr>
              <w:t>3.4 Active experimentation</w:t>
            </w:r>
            <w:r>
              <w:rPr>
                <w:noProof/>
                <w:webHidden/>
              </w:rPr>
              <w:tab/>
            </w:r>
            <w:r>
              <w:rPr>
                <w:noProof/>
                <w:webHidden/>
              </w:rPr>
              <w:fldChar w:fldCharType="begin"/>
            </w:r>
            <w:r>
              <w:rPr>
                <w:noProof/>
                <w:webHidden/>
              </w:rPr>
              <w:instrText xml:space="preserve"> PAGEREF _Toc224607664 \h </w:instrText>
            </w:r>
            <w:r>
              <w:rPr>
                <w:noProof/>
                <w:webHidden/>
              </w:rPr>
            </w:r>
            <w:r>
              <w:rPr>
                <w:noProof/>
                <w:webHidden/>
              </w:rPr>
              <w:fldChar w:fldCharType="separate"/>
            </w:r>
            <w:r>
              <w:rPr>
                <w:noProof/>
                <w:webHidden/>
              </w:rPr>
              <w:t>23</w:t>
            </w:r>
            <w:r>
              <w:rPr>
                <w:noProof/>
                <w:webHidden/>
              </w:rPr>
              <w:fldChar w:fldCharType="end"/>
            </w:r>
          </w:hyperlink>
        </w:p>
        <w:p w14:paraId="0ECFCC22" w14:textId="0258EEB4" w:rsidR="0081419C" w:rsidRDefault="0081419C">
          <w:pPr>
            <w:pStyle w:val="TOC1"/>
            <w:tabs>
              <w:tab w:val="right" w:leader="dot" w:pos="9350"/>
            </w:tabs>
            <w:rPr>
              <w:noProof/>
            </w:rPr>
          </w:pPr>
          <w:hyperlink w:anchor="_Toc224607665" w:history="1">
            <w:r w:rsidRPr="00E26CCD">
              <w:rPr>
                <w:rStyle w:val="Hyperlink"/>
                <w:noProof/>
              </w:rPr>
              <w:t>References</w:t>
            </w:r>
            <w:r>
              <w:rPr>
                <w:noProof/>
                <w:webHidden/>
              </w:rPr>
              <w:tab/>
            </w:r>
            <w:r>
              <w:rPr>
                <w:noProof/>
                <w:webHidden/>
              </w:rPr>
              <w:fldChar w:fldCharType="begin"/>
            </w:r>
            <w:r>
              <w:rPr>
                <w:noProof/>
                <w:webHidden/>
              </w:rPr>
              <w:instrText xml:space="preserve"> PAGEREF _Toc224607665 \h </w:instrText>
            </w:r>
            <w:r>
              <w:rPr>
                <w:noProof/>
                <w:webHidden/>
              </w:rPr>
            </w:r>
            <w:r>
              <w:rPr>
                <w:noProof/>
                <w:webHidden/>
              </w:rPr>
              <w:fldChar w:fldCharType="separate"/>
            </w:r>
            <w:r>
              <w:rPr>
                <w:noProof/>
                <w:webHidden/>
              </w:rPr>
              <w:t>24</w:t>
            </w:r>
            <w:r>
              <w:rPr>
                <w:noProof/>
                <w:webHidden/>
              </w:rPr>
              <w:fldChar w:fldCharType="end"/>
            </w:r>
          </w:hyperlink>
        </w:p>
        <w:p w14:paraId="4957B4CB" w14:textId="28CA1F46" w:rsidR="0081419C" w:rsidRDefault="0081419C">
          <w:r>
            <w:rPr>
              <w:b/>
              <w:bCs/>
              <w:noProof/>
            </w:rPr>
            <w:fldChar w:fldCharType="end"/>
          </w:r>
        </w:p>
      </w:sdtContent>
    </w:sdt>
    <w:p w14:paraId="6A329914" w14:textId="77777777" w:rsidR="0081419C" w:rsidRPr="0081419C" w:rsidRDefault="0081419C" w:rsidP="0081419C">
      <w:r w:rsidRPr="0081419C">
        <w:br w:type="page"/>
      </w:r>
    </w:p>
    <w:p w14:paraId="32277B25" w14:textId="77777777" w:rsidR="0081419C" w:rsidRPr="0081419C" w:rsidRDefault="0081419C" w:rsidP="0081419C">
      <w:pPr>
        <w:pStyle w:val="Heading1"/>
        <w:numPr>
          <w:ilvl w:val="0"/>
          <w:numId w:val="0"/>
        </w:numPr>
        <w:jc w:val="both"/>
      </w:pPr>
      <w:bookmarkStart w:id="0" w:name="_Toc224607652"/>
      <w:r w:rsidRPr="0081419C">
        <w:lastRenderedPageBreak/>
        <w:t>1. Introduction</w:t>
      </w:r>
      <w:bookmarkEnd w:id="0"/>
    </w:p>
    <w:p w14:paraId="15A1BC1A" w14:textId="77777777" w:rsidR="00F23010" w:rsidRDefault="00F23010" w:rsidP="00F23010">
      <w:r>
        <w:t xml:space="preserve">The Airbus SE provides a notably challenging environment to conduct the strategic management analysis due to both duopoly competition in the commercial aircraft sector and due to the </w:t>
      </w:r>
      <w:proofErr w:type="spellStart"/>
      <w:r>
        <w:t>defence</w:t>
      </w:r>
      <w:proofErr w:type="spellEnd"/>
      <w:r>
        <w:t xml:space="preserve"> area and space, helicopters, sustainability regulation and long-term industrial implementation. The company is in operation in markets where the performance is not based on branding or price alone but rather on the capability to coordinate technology, safety, certification, global suppliers, geopolitical relations and production ramp-up through many years. By 2025 Airbus had reported revenues of EUR73.4 billion, EBIT Adjusted of EUR7.1 billion and 793 commercial aircraft deliveries and had a record commercial aircraft backlog of 8,754 aircraft, which demonstrates the intensity of demand and the challenge of translating demand into a consistent output (Airbus, 2026a; Airbus, 2026b).</w:t>
      </w:r>
    </w:p>
    <w:p w14:paraId="7414E80C" w14:textId="122AB9E5" w:rsidR="0081419C" w:rsidRPr="0081419C" w:rsidRDefault="00F23010" w:rsidP="00F23010">
      <w:r>
        <w:t xml:space="preserve">The thesis of this report is that Airbus is still in a good strategic position since its competitive advantage is based on a capability system, and not on any given product line. Those abilities consist of engineering richness, deployed fleet economics, worldwide service </w:t>
      </w:r>
      <w:proofErr w:type="spellStart"/>
      <w:r>
        <w:t>connexions</w:t>
      </w:r>
      <w:proofErr w:type="spellEnd"/>
      <w:r>
        <w:t xml:space="preserve">, </w:t>
      </w:r>
      <w:proofErr w:type="spellStart"/>
      <w:r>
        <w:t>programme</w:t>
      </w:r>
      <w:proofErr w:type="spellEnd"/>
      <w:r>
        <w:t xml:space="preserve"> administration, certification experience and a library that connects civil aerospace to </w:t>
      </w:r>
      <w:proofErr w:type="spellStart"/>
      <w:r>
        <w:t>defence</w:t>
      </w:r>
      <w:proofErr w:type="spellEnd"/>
      <w:r>
        <w:t xml:space="preserve"> and space. The advantage is however getting pressured by three overlapping tensions, which are fragility of the supply chain that is here to stay, the challenge of </w:t>
      </w:r>
      <w:proofErr w:type="spellStart"/>
      <w:r>
        <w:t>decarbonising</w:t>
      </w:r>
      <w:proofErr w:type="spellEnd"/>
      <w:r>
        <w:t xml:space="preserve"> aviation, and scaling up of commercial output without compromising quality or strategic agility. The report thus considers Airbus not as a stable incumbent, but as an </w:t>
      </w:r>
      <w:proofErr w:type="spellStart"/>
      <w:r>
        <w:t>organisation</w:t>
      </w:r>
      <w:proofErr w:type="spellEnd"/>
      <w:r>
        <w:t xml:space="preserve"> that is trying to defend current strength whilst remaking itself to be more politically exposed, carbon-constrained and digitally integrated aerospace future</w:t>
      </w:r>
      <w:r w:rsidR="0081419C" w:rsidRPr="0081419C">
        <w:t>.</w:t>
      </w:r>
    </w:p>
    <w:p w14:paraId="0ABF589B" w14:textId="77777777" w:rsidR="0081419C" w:rsidRDefault="0081419C">
      <w:pPr>
        <w:spacing w:after="160" w:line="278" w:lineRule="auto"/>
        <w:jc w:val="left"/>
        <w:rPr>
          <w:b/>
        </w:rPr>
      </w:pPr>
      <w:r>
        <w:rPr>
          <w:b/>
        </w:rPr>
        <w:br w:type="page"/>
      </w:r>
    </w:p>
    <w:p w14:paraId="6116FD68" w14:textId="4C7A4BEB" w:rsidR="0081419C" w:rsidRPr="0081419C" w:rsidRDefault="0081419C" w:rsidP="0081419C">
      <w:pPr>
        <w:pStyle w:val="Heading1"/>
        <w:numPr>
          <w:ilvl w:val="0"/>
          <w:numId w:val="0"/>
        </w:numPr>
        <w:jc w:val="both"/>
      </w:pPr>
      <w:bookmarkStart w:id="1" w:name="_Toc224607653"/>
      <w:r w:rsidRPr="0081419C">
        <w:lastRenderedPageBreak/>
        <w:t>2. Section 1: Strategic management analysis of Airbus SE</w:t>
      </w:r>
      <w:bookmarkEnd w:id="1"/>
    </w:p>
    <w:p w14:paraId="4A047218" w14:textId="77777777" w:rsidR="0081419C" w:rsidRPr="0081419C" w:rsidRDefault="0081419C" w:rsidP="0081419C">
      <w:pPr>
        <w:pStyle w:val="Heading2"/>
        <w:numPr>
          <w:ilvl w:val="0"/>
          <w:numId w:val="0"/>
        </w:numPr>
      </w:pPr>
      <w:bookmarkStart w:id="2" w:name="_Toc224607654"/>
      <w:r w:rsidRPr="0081419C">
        <w:t xml:space="preserve">2.1 </w:t>
      </w:r>
      <w:proofErr w:type="spellStart"/>
      <w:r w:rsidRPr="0081419C">
        <w:t>Organisational</w:t>
      </w:r>
      <w:proofErr w:type="spellEnd"/>
      <w:r w:rsidRPr="0081419C">
        <w:t xml:space="preserve"> context and overview</w:t>
      </w:r>
      <w:bookmarkEnd w:id="2"/>
    </w:p>
    <w:p w14:paraId="3256A82B" w14:textId="77777777" w:rsidR="00F23010" w:rsidRDefault="00F23010" w:rsidP="00F23010">
      <w:r>
        <w:t xml:space="preserve">Airbus has its roots in the late 1960s European initiative to develop a viable aerospace powerhouse that can compete against the US giants. That ancient reasoning does have its significance. Airbus did not develop in single-brand consumer business but as a multinational industrial alliance that was able to transform scale, engineering cooperation and political coordination to strategic resource. The group currently designs and produces commercial aircraft, helicopters, military transport, </w:t>
      </w:r>
      <w:proofErr w:type="spellStart"/>
      <w:r>
        <w:t>defence</w:t>
      </w:r>
      <w:proofErr w:type="spellEnd"/>
      <w:r>
        <w:t xml:space="preserve"> systems, satellites and space-related services, and is currently the largest aerospace company in Europe and one of the most strategic and important industrial companies in the area (Airbus, 2026c; Airbus, 2026d).</w:t>
      </w:r>
    </w:p>
    <w:p w14:paraId="417E4959" w14:textId="77777777" w:rsidR="00F23010" w:rsidRDefault="00F23010" w:rsidP="00F23010">
      <w:r>
        <w:t>Airbus is not a company that has its core strategic intent as a simplified slogan but as purpose. It claims to be creating sustainable aerospace to a safe and united world, and its strategic approach focuses on serving the customers, retaining market strength throughout the company and ensuring safety, quality, integrity, compliance and security, which are the non-negotiable pillars (Airbus, 2025a; Airbus, 2026d). To make it analytical, the vision of Airbus can thus be taken as the leadership in safe and sustainable aerospace systems and not the leadership in aircraft volume. Its positioning is reflected in its business model. The value is created in the process of long development cycles, platform sales, the aftermarket services, digital support, military and governmental relationships, and economics of the fleet commonality. In the case of commercial air transport, customers are not just purchasing airplanes, they are also purchasing operating performance, training consistency, trainings logic, financing reliability and residual-value assurance. The latter makes the model of Airbus technological, relational, and ecosystem-based at the same time.</w:t>
      </w:r>
    </w:p>
    <w:p w14:paraId="0DE6B3A6" w14:textId="74FCD394" w:rsidR="0081419C" w:rsidRPr="0081419C" w:rsidRDefault="00F23010" w:rsidP="00F23010">
      <w:r>
        <w:t xml:space="preserve">The strategic </w:t>
      </w:r>
      <w:proofErr w:type="spellStart"/>
      <w:r>
        <w:t>behaviour</w:t>
      </w:r>
      <w:proofErr w:type="spellEnd"/>
      <w:r>
        <w:t xml:space="preserve"> of Airbus is based on industry structure. On the large commercial aircraft the company is competing mainly with Boeing, with some selected segments also having to contend with Embraer and other </w:t>
      </w:r>
      <w:proofErr w:type="spellStart"/>
      <w:r>
        <w:t>specialised</w:t>
      </w:r>
      <w:proofErr w:type="spellEnd"/>
      <w:r>
        <w:t xml:space="preserve"> manufacturers. Airbus was the largest commercial aircraft manufacturer in terms of deliveries at the end of 2025 with 793 commercial aircrafts </w:t>
      </w:r>
      <w:r>
        <w:lastRenderedPageBreak/>
        <w:t xml:space="preserve">delivered in a year versus 600 commercial aircrafts delivered by Boeing in a year (Airbus, 2026a; Boeing, 2026). Competition however cannot be reduced to annual delivery tables. The total company revenue reported by Boeing was still 89.5 and a historic backlog of 682billion, which proves that the strategic competition is still fierce and that Airbus cannot count on a competitor that is temporarily disrupted as a sustainable source of competitive advantage (Boeing, 2026). The market position of Airbus is good in that it is a scale of narrowbody, credibility of widebody, large installed fleet and adjacency </w:t>
      </w:r>
      <w:proofErr w:type="spellStart"/>
      <w:r>
        <w:t>defence</w:t>
      </w:r>
      <w:proofErr w:type="spellEnd"/>
      <w:r>
        <w:t>-space capability but the position is still subject to its capacity to perform reliably at higher rates</w:t>
      </w:r>
      <w:r w:rsidR="0081419C" w:rsidRPr="0081419C">
        <w:t>.</w:t>
      </w:r>
    </w:p>
    <w:p w14:paraId="6686AAF7" w14:textId="07E4905E" w:rsidR="0081419C" w:rsidRPr="0081419C" w:rsidRDefault="0081419C" w:rsidP="0081419C">
      <w:r w:rsidRPr="0081419C">
        <w:rPr>
          <w:noProof/>
        </w:rPr>
        <w:drawing>
          <wp:inline distT="0" distB="0" distL="0" distR="0" wp14:anchorId="4AA1F5C0" wp14:editId="6561360E">
            <wp:extent cx="5943600" cy="3308985"/>
            <wp:effectExtent l="0" t="0" r="0" b="5715"/>
            <wp:docPr id="20927398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5759A065" w14:textId="77777777" w:rsidR="0081419C" w:rsidRPr="0081419C" w:rsidRDefault="0081419C" w:rsidP="0081419C">
      <w:pPr>
        <w:jc w:val="center"/>
        <w:rPr>
          <w:i/>
          <w:sz w:val="22"/>
          <w:szCs w:val="20"/>
        </w:rPr>
      </w:pPr>
      <w:r w:rsidRPr="0081419C">
        <w:rPr>
          <w:i/>
          <w:sz w:val="22"/>
          <w:szCs w:val="20"/>
        </w:rPr>
        <w:t>Figure 1. Airbus revenue and commercial aircraft deliveries, FY2023-FY2025. Source: compiled from Airbus (2024), Airbus (2025b) and Airbus (2026a).</w:t>
      </w:r>
    </w:p>
    <w:p w14:paraId="246B144A" w14:textId="1D3AF971" w:rsidR="0081419C" w:rsidRPr="0081419C" w:rsidRDefault="00F23010" w:rsidP="0081419C">
      <w:r w:rsidRPr="00F23010">
        <w:t xml:space="preserve">The broader business environment is positive. The 2025 Global Market Forecast of Airbus estimates the demand of 43,420 new passenger and freighter aircraft between 2025 and 2044, of which 34,250 tend to be single-aisle and 9,170 tend to be widebody aircraft, as a result of the anticipated annual growth of traffic of 3.6% (Airbus, 2025c). This is a strategic move since it proves that the Airbus problem is not the poor long-run demand. The issue is implementation on </w:t>
      </w:r>
      <w:r w:rsidRPr="00F23010">
        <w:lastRenderedPageBreak/>
        <w:t>abundance: transforming a traditionally profound order book into lucrative, top-quality and reduced-carbon delivery expansion.</w:t>
      </w:r>
    </w:p>
    <w:p w14:paraId="3AF62D4E" w14:textId="77777777" w:rsidR="0081419C" w:rsidRPr="0081419C" w:rsidRDefault="0081419C" w:rsidP="0081419C">
      <w:pPr>
        <w:pStyle w:val="Heading2"/>
        <w:numPr>
          <w:ilvl w:val="0"/>
          <w:numId w:val="0"/>
        </w:numPr>
      </w:pPr>
      <w:bookmarkStart w:id="3" w:name="_Toc224607655"/>
      <w:r w:rsidRPr="0081419C">
        <w:t>2.2 External and internal environment analysis</w:t>
      </w:r>
      <w:bookmarkEnd w:id="3"/>
    </w:p>
    <w:p w14:paraId="1134DBAF" w14:textId="43FCA03A" w:rsidR="0081419C" w:rsidRDefault="00F23010" w:rsidP="0081419C">
      <w:r w:rsidRPr="00F23010">
        <w:t xml:space="preserve">PESTEL analysis can be </w:t>
      </w:r>
      <w:proofErr w:type="spellStart"/>
      <w:r w:rsidRPr="00F23010">
        <w:t>utilised</w:t>
      </w:r>
      <w:proofErr w:type="spellEnd"/>
      <w:r w:rsidRPr="00F23010">
        <w:t xml:space="preserve"> in this case as the external environment of Airbus is more interdependent than usual. </w:t>
      </w:r>
      <w:proofErr w:type="spellStart"/>
      <w:r w:rsidRPr="00F23010">
        <w:t>Defence</w:t>
      </w:r>
      <w:proofErr w:type="spellEnd"/>
      <w:r w:rsidRPr="00F23010">
        <w:t xml:space="preserve"> budgets, export controls, industrial subsidies and transatlantic trade conditions are influenced by politics. Economic reasons have an impact on airline profitability, the demand of leasing, the availability of financing, as well as exchange rates. Social factors involve passenger movement trends and legitimacy pressures exerted on the aviation sector as a high-emitting sector. The technological factors are propulsion, digital engineering, materials, satellite systems and cyber-security. Of particular interest are environmental forces as aviation </w:t>
      </w:r>
      <w:proofErr w:type="spellStart"/>
      <w:r w:rsidRPr="00F23010">
        <w:t>decarbonisation</w:t>
      </w:r>
      <w:proofErr w:type="spellEnd"/>
      <w:r w:rsidRPr="00F23010">
        <w:t xml:space="preserve"> is a growing factor in fleet renewal, regulatory legitimacy and investor scrutiny. Legal forces consist of certification regimes, safety compliance, competition law and procurement regulation. These areas do not work separately in case of Airbus. Their strategic impact is a result of interaction.</w:t>
      </w:r>
    </w:p>
    <w:p w14:paraId="389E935A" w14:textId="339238A5" w:rsidR="0081419C" w:rsidRPr="0081419C" w:rsidRDefault="0081419C" w:rsidP="0081419C">
      <w:r w:rsidRPr="0081419C">
        <w:rPr>
          <w:b/>
          <w:bCs/>
        </w:rPr>
        <w:t>Table 1.</w:t>
      </w:r>
      <w:r w:rsidRPr="0081419C">
        <w:t xml:space="preserve"> PESTEL synthesis for Airbus. Source: author’s analysis based on Airbus (2026b), Airbus (2026d), ICAO (2025) and Reuters reporting.</w:t>
      </w:r>
    </w:p>
    <w:tbl>
      <w:tblPr>
        <w:tblStyle w:val="TableGrid"/>
        <w:tblW w:w="0" w:type="auto"/>
        <w:jc w:val="center"/>
        <w:tblLook w:val="04A0" w:firstRow="1" w:lastRow="0" w:firstColumn="1" w:lastColumn="0" w:noHBand="0" w:noVBand="1"/>
      </w:tblPr>
      <w:tblGrid>
        <w:gridCol w:w="1701"/>
        <w:gridCol w:w="3515"/>
        <w:gridCol w:w="3402"/>
      </w:tblGrid>
      <w:tr w:rsidR="0081419C" w:rsidRPr="0081419C" w14:paraId="1134C08A" w14:textId="77777777">
        <w:trPr>
          <w:jc w:val="center"/>
        </w:trPr>
        <w:tc>
          <w:tcPr>
            <w:tcW w:w="1701"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33DC93F4" w14:textId="77777777" w:rsidR="0081419C" w:rsidRPr="0081419C" w:rsidRDefault="0081419C" w:rsidP="0081419C">
            <w:r w:rsidRPr="0081419C">
              <w:rPr>
                <w:b/>
              </w:rPr>
              <w:t>PESTEL factor</w:t>
            </w:r>
          </w:p>
        </w:tc>
        <w:tc>
          <w:tcPr>
            <w:tcW w:w="3515"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3024C724" w14:textId="77777777" w:rsidR="0081419C" w:rsidRPr="0081419C" w:rsidRDefault="0081419C" w:rsidP="0081419C">
            <w:r w:rsidRPr="0081419C">
              <w:rPr>
                <w:b/>
              </w:rPr>
              <w:t>Strategic implication for Airbus</w:t>
            </w:r>
          </w:p>
        </w:tc>
        <w:tc>
          <w:tcPr>
            <w:tcW w:w="3402"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0DF87F35" w14:textId="77777777" w:rsidR="0081419C" w:rsidRPr="0081419C" w:rsidRDefault="0081419C" w:rsidP="0081419C">
            <w:r w:rsidRPr="0081419C">
              <w:rPr>
                <w:b/>
              </w:rPr>
              <w:t>Why it matters</w:t>
            </w:r>
          </w:p>
        </w:tc>
      </w:tr>
      <w:tr w:rsidR="0081419C" w:rsidRPr="0081419C" w14:paraId="4956D7F1"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2FCB2F06" w14:textId="77777777" w:rsidR="0081419C" w:rsidRPr="0081419C" w:rsidRDefault="0081419C" w:rsidP="0081419C">
            <w:r w:rsidRPr="0081419C">
              <w:t>Political</w:t>
            </w:r>
          </w:p>
        </w:tc>
        <w:tc>
          <w:tcPr>
            <w:tcW w:w="3515" w:type="dxa"/>
            <w:tcBorders>
              <w:top w:val="single" w:sz="4" w:space="0" w:color="auto"/>
              <w:left w:val="single" w:sz="4" w:space="0" w:color="auto"/>
              <w:bottom w:val="single" w:sz="4" w:space="0" w:color="auto"/>
              <w:right w:val="single" w:sz="4" w:space="0" w:color="auto"/>
            </w:tcBorders>
            <w:vAlign w:val="center"/>
            <w:hideMark/>
          </w:tcPr>
          <w:p w14:paraId="20D7B832" w14:textId="77777777" w:rsidR="0081419C" w:rsidRPr="0081419C" w:rsidRDefault="0081419C" w:rsidP="0081419C">
            <w:r w:rsidRPr="0081419C">
              <w:t xml:space="preserve">Rising European </w:t>
            </w:r>
            <w:proofErr w:type="spellStart"/>
            <w:r w:rsidRPr="0081419C">
              <w:t>defence</w:t>
            </w:r>
            <w:proofErr w:type="spellEnd"/>
            <w:r w:rsidRPr="0081419C">
              <w:t xml:space="preserve"> spending improves demand in </w:t>
            </w:r>
            <w:proofErr w:type="spellStart"/>
            <w:r w:rsidRPr="0081419C">
              <w:t>Defence</w:t>
            </w:r>
            <w:proofErr w:type="spellEnd"/>
            <w:r w:rsidRPr="0081419C">
              <w:t xml:space="preserve"> and Space, while export controls and industrial policy complicate market access.</w:t>
            </w:r>
          </w:p>
        </w:tc>
        <w:tc>
          <w:tcPr>
            <w:tcW w:w="3402" w:type="dxa"/>
            <w:tcBorders>
              <w:top w:val="single" w:sz="4" w:space="0" w:color="auto"/>
              <w:left w:val="single" w:sz="4" w:space="0" w:color="auto"/>
              <w:bottom w:val="single" w:sz="4" w:space="0" w:color="auto"/>
              <w:right w:val="single" w:sz="4" w:space="0" w:color="auto"/>
            </w:tcBorders>
            <w:vAlign w:val="center"/>
            <w:hideMark/>
          </w:tcPr>
          <w:p w14:paraId="0EC226CA" w14:textId="77777777" w:rsidR="0081419C" w:rsidRPr="0081419C" w:rsidRDefault="0081419C" w:rsidP="0081419C">
            <w:r w:rsidRPr="0081419C">
              <w:t>Portfolio value depends partly on Airbus’ ability to leverage dual-use scale without overexposure to political volatility.</w:t>
            </w:r>
          </w:p>
        </w:tc>
      </w:tr>
      <w:tr w:rsidR="0081419C" w:rsidRPr="0081419C" w14:paraId="3AEEFC70"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23A71A1C" w14:textId="77777777" w:rsidR="0081419C" w:rsidRPr="0081419C" w:rsidRDefault="0081419C" w:rsidP="0081419C">
            <w:r w:rsidRPr="0081419C">
              <w:t>Economic</w:t>
            </w:r>
          </w:p>
        </w:tc>
        <w:tc>
          <w:tcPr>
            <w:tcW w:w="3515" w:type="dxa"/>
            <w:tcBorders>
              <w:top w:val="single" w:sz="4" w:space="0" w:color="auto"/>
              <w:left w:val="single" w:sz="4" w:space="0" w:color="auto"/>
              <w:bottom w:val="single" w:sz="4" w:space="0" w:color="auto"/>
              <w:right w:val="single" w:sz="4" w:space="0" w:color="auto"/>
            </w:tcBorders>
            <w:vAlign w:val="center"/>
            <w:hideMark/>
          </w:tcPr>
          <w:p w14:paraId="5CA16AAE" w14:textId="77777777" w:rsidR="0081419C" w:rsidRPr="0081419C" w:rsidRDefault="0081419C" w:rsidP="0081419C">
            <w:r w:rsidRPr="0081419C">
              <w:t>Airline profitability and financing affect fleet orders; currency movements influence reported earnings and backlog value.</w:t>
            </w:r>
          </w:p>
        </w:tc>
        <w:tc>
          <w:tcPr>
            <w:tcW w:w="3402" w:type="dxa"/>
            <w:tcBorders>
              <w:top w:val="single" w:sz="4" w:space="0" w:color="auto"/>
              <w:left w:val="single" w:sz="4" w:space="0" w:color="auto"/>
              <w:bottom w:val="single" w:sz="4" w:space="0" w:color="auto"/>
              <w:right w:val="single" w:sz="4" w:space="0" w:color="auto"/>
            </w:tcBorders>
            <w:vAlign w:val="center"/>
            <w:hideMark/>
          </w:tcPr>
          <w:p w14:paraId="37866C21" w14:textId="77777777" w:rsidR="0081419C" w:rsidRPr="0081419C" w:rsidRDefault="0081419C" w:rsidP="0081419C">
            <w:r w:rsidRPr="0081419C">
              <w:t>Backlog strength is valuable only if customers can finance deliveries and Airbus can defend margins.</w:t>
            </w:r>
          </w:p>
        </w:tc>
      </w:tr>
      <w:tr w:rsidR="0081419C" w:rsidRPr="0081419C" w14:paraId="3EA2FE8F"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7D573557" w14:textId="77777777" w:rsidR="0081419C" w:rsidRPr="0081419C" w:rsidRDefault="0081419C" w:rsidP="0081419C">
            <w:r w:rsidRPr="0081419C">
              <w:lastRenderedPageBreak/>
              <w:t>Social</w:t>
            </w:r>
          </w:p>
        </w:tc>
        <w:tc>
          <w:tcPr>
            <w:tcW w:w="3515" w:type="dxa"/>
            <w:tcBorders>
              <w:top w:val="single" w:sz="4" w:space="0" w:color="auto"/>
              <w:left w:val="single" w:sz="4" w:space="0" w:color="auto"/>
              <w:bottom w:val="single" w:sz="4" w:space="0" w:color="auto"/>
              <w:right w:val="single" w:sz="4" w:space="0" w:color="auto"/>
            </w:tcBorders>
            <w:vAlign w:val="center"/>
            <w:hideMark/>
          </w:tcPr>
          <w:p w14:paraId="15A656F3" w14:textId="77777777" w:rsidR="0081419C" w:rsidRPr="0081419C" w:rsidRDefault="0081419C" w:rsidP="0081419C">
            <w:r w:rsidRPr="0081419C">
              <w:t xml:space="preserve">Air travel recovery supports growth, but social </w:t>
            </w:r>
            <w:proofErr w:type="spellStart"/>
            <w:r w:rsidRPr="0081419C">
              <w:t>licence</w:t>
            </w:r>
            <w:proofErr w:type="spellEnd"/>
            <w:r w:rsidRPr="0081419C">
              <w:t xml:space="preserve"> is constrained by climate criticism and pressure for responsible mobility.</w:t>
            </w:r>
          </w:p>
        </w:tc>
        <w:tc>
          <w:tcPr>
            <w:tcW w:w="3402" w:type="dxa"/>
            <w:tcBorders>
              <w:top w:val="single" w:sz="4" w:space="0" w:color="auto"/>
              <w:left w:val="single" w:sz="4" w:space="0" w:color="auto"/>
              <w:bottom w:val="single" w:sz="4" w:space="0" w:color="auto"/>
              <w:right w:val="single" w:sz="4" w:space="0" w:color="auto"/>
            </w:tcBorders>
            <w:vAlign w:val="center"/>
            <w:hideMark/>
          </w:tcPr>
          <w:p w14:paraId="296263FF" w14:textId="77777777" w:rsidR="0081419C" w:rsidRPr="0081419C" w:rsidRDefault="0081419C" w:rsidP="0081419C">
            <w:r w:rsidRPr="0081419C">
              <w:t>Demand growth now coexists with rising expectations around carbon, noise and community impact.</w:t>
            </w:r>
          </w:p>
        </w:tc>
      </w:tr>
      <w:tr w:rsidR="0081419C" w:rsidRPr="0081419C" w14:paraId="62EB6263"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0E0C9463" w14:textId="77777777" w:rsidR="0081419C" w:rsidRPr="0081419C" w:rsidRDefault="0081419C" w:rsidP="0081419C">
            <w:r w:rsidRPr="0081419C">
              <w:t>Technological</w:t>
            </w:r>
          </w:p>
        </w:tc>
        <w:tc>
          <w:tcPr>
            <w:tcW w:w="3515" w:type="dxa"/>
            <w:tcBorders>
              <w:top w:val="single" w:sz="4" w:space="0" w:color="auto"/>
              <w:left w:val="single" w:sz="4" w:space="0" w:color="auto"/>
              <w:bottom w:val="single" w:sz="4" w:space="0" w:color="auto"/>
              <w:right w:val="single" w:sz="4" w:space="0" w:color="auto"/>
            </w:tcBorders>
            <w:vAlign w:val="center"/>
            <w:hideMark/>
          </w:tcPr>
          <w:p w14:paraId="13A544AD" w14:textId="77777777" w:rsidR="0081419C" w:rsidRPr="0081419C" w:rsidRDefault="0081419C" w:rsidP="0081419C">
            <w:r w:rsidRPr="0081419C">
              <w:t>Hydrogen, SAF compatibility, digital design and systems integration will shape future competitiveness.</w:t>
            </w:r>
          </w:p>
        </w:tc>
        <w:tc>
          <w:tcPr>
            <w:tcW w:w="3402" w:type="dxa"/>
            <w:tcBorders>
              <w:top w:val="single" w:sz="4" w:space="0" w:color="auto"/>
              <w:left w:val="single" w:sz="4" w:space="0" w:color="auto"/>
              <w:bottom w:val="single" w:sz="4" w:space="0" w:color="auto"/>
              <w:right w:val="single" w:sz="4" w:space="0" w:color="auto"/>
            </w:tcBorders>
            <w:vAlign w:val="center"/>
            <w:hideMark/>
          </w:tcPr>
          <w:p w14:paraId="464868DB" w14:textId="77777777" w:rsidR="0081419C" w:rsidRPr="0081419C" w:rsidRDefault="0081419C" w:rsidP="0081419C">
            <w:r w:rsidRPr="0081419C">
              <w:t>Aerospace advantage is cumulative and path-dependent, so delayed technology choices can become structural disadvantages.</w:t>
            </w:r>
          </w:p>
        </w:tc>
      </w:tr>
      <w:tr w:rsidR="0081419C" w:rsidRPr="0081419C" w14:paraId="6D2255F3"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7B2A5F15" w14:textId="77777777" w:rsidR="0081419C" w:rsidRPr="0081419C" w:rsidRDefault="0081419C" w:rsidP="0081419C">
            <w:r w:rsidRPr="0081419C">
              <w:t>Environmental</w:t>
            </w:r>
          </w:p>
        </w:tc>
        <w:tc>
          <w:tcPr>
            <w:tcW w:w="3515" w:type="dxa"/>
            <w:tcBorders>
              <w:top w:val="single" w:sz="4" w:space="0" w:color="auto"/>
              <w:left w:val="single" w:sz="4" w:space="0" w:color="auto"/>
              <w:bottom w:val="single" w:sz="4" w:space="0" w:color="auto"/>
              <w:right w:val="single" w:sz="4" w:space="0" w:color="auto"/>
            </w:tcBorders>
            <w:vAlign w:val="center"/>
            <w:hideMark/>
          </w:tcPr>
          <w:p w14:paraId="238E90C8" w14:textId="77777777" w:rsidR="0081419C" w:rsidRPr="0081419C" w:rsidRDefault="0081419C" w:rsidP="0081419C">
            <w:r w:rsidRPr="0081419C">
              <w:t>Net-zero commitments, lifecycle emissions scrutiny and SAF availability affect product strategy and operating legitimacy.</w:t>
            </w:r>
          </w:p>
        </w:tc>
        <w:tc>
          <w:tcPr>
            <w:tcW w:w="3402" w:type="dxa"/>
            <w:tcBorders>
              <w:top w:val="single" w:sz="4" w:space="0" w:color="auto"/>
              <w:left w:val="single" w:sz="4" w:space="0" w:color="auto"/>
              <w:bottom w:val="single" w:sz="4" w:space="0" w:color="auto"/>
              <w:right w:val="single" w:sz="4" w:space="0" w:color="auto"/>
            </w:tcBorders>
            <w:vAlign w:val="center"/>
            <w:hideMark/>
          </w:tcPr>
          <w:p w14:paraId="2F550EB7" w14:textId="77777777" w:rsidR="0081419C" w:rsidRPr="0081419C" w:rsidRDefault="0081419C" w:rsidP="0081419C">
            <w:r w:rsidRPr="0081419C">
              <w:t xml:space="preserve">Airbus must show that growth and </w:t>
            </w:r>
            <w:proofErr w:type="spellStart"/>
            <w:r w:rsidRPr="0081419C">
              <w:t>decarbonisation</w:t>
            </w:r>
            <w:proofErr w:type="spellEnd"/>
            <w:r w:rsidRPr="0081419C">
              <w:t xml:space="preserve"> are compatible in practice, not only in ambition.</w:t>
            </w:r>
          </w:p>
        </w:tc>
      </w:tr>
      <w:tr w:rsidR="0081419C" w:rsidRPr="0081419C" w14:paraId="2AA5932C"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59483274" w14:textId="77777777" w:rsidR="0081419C" w:rsidRPr="0081419C" w:rsidRDefault="0081419C" w:rsidP="0081419C">
            <w:r w:rsidRPr="0081419C">
              <w:t>Legal</w:t>
            </w:r>
          </w:p>
        </w:tc>
        <w:tc>
          <w:tcPr>
            <w:tcW w:w="3515" w:type="dxa"/>
            <w:tcBorders>
              <w:top w:val="single" w:sz="4" w:space="0" w:color="auto"/>
              <w:left w:val="single" w:sz="4" w:space="0" w:color="auto"/>
              <w:bottom w:val="single" w:sz="4" w:space="0" w:color="auto"/>
              <w:right w:val="single" w:sz="4" w:space="0" w:color="auto"/>
            </w:tcBorders>
            <w:vAlign w:val="center"/>
            <w:hideMark/>
          </w:tcPr>
          <w:p w14:paraId="41C46AA0" w14:textId="77777777" w:rsidR="0081419C" w:rsidRPr="0081419C" w:rsidRDefault="0081419C" w:rsidP="0081419C">
            <w:r w:rsidRPr="0081419C">
              <w:t xml:space="preserve">Certification, safety rules, export control, procurement law and trade actions alter </w:t>
            </w:r>
            <w:proofErr w:type="spellStart"/>
            <w:r w:rsidRPr="0081419C">
              <w:t>programme</w:t>
            </w:r>
            <w:proofErr w:type="spellEnd"/>
            <w:r w:rsidRPr="0081419C">
              <w:t xml:space="preserve"> economics and timing.</w:t>
            </w:r>
          </w:p>
        </w:tc>
        <w:tc>
          <w:tcPr>
            <w:tcW w:w="3402" w:type="dxa"/>
            <w:tcBorders>
              <w:top w:val="single" w:sz="4" w:space="0" w:color="auto"/>
              <w:left w:val="single" w:sz="4" w:space="0" w:color="auto"/>
              <w:bottom w:val="single" w:sz="4" w:space="0" w:color="auto"/>
              <w:right w:val="single" w:sz="4" w:space="0" w:color="auto"/>
            </w:tcBorders>
            <w:vAlign w:val="center"/>
            <w:hideMark/>
          </w:tcPr>
          <w:p w14:paraId="273B57D7" w14:textId="77777777" w:rsidR="0081419C" w:rsidRPr="0081419C" w:rsidRDefault="0081419C" w:rsidP="0081419C">
            <w:r w:rsidRPr="0081419C">
              <w:t>In aerospace, legal compliance is not back-office administration; it is embedded in product viability.</w:t>
            </w:r>
          </w:p>
        </w:tc>
      </w:tr>
    </w:tbl>
    <w:p w14:paraId="56CD1A79" w14:textId="77777777" w:rsidR="00101B38" w:rsidRDefault="00101B38" w:rsidP="00101B38">
      <w:r>
        <w:t xml:space="preserve">Supply-chain execution is the most pressing strategic force in 2026. Airbus also admitted to have managed to operate in a complicated environment, yet the management and Reuters coverage both point to ongoing bottlenecks, particularly in the case of Pratt &amp; Whitney engine supply and other late-stage parts problems (Airbus, 2026a; Reuters, 2026a; Reuters, 2026b). This is not some inconvenience in the day-to-day running of the operation. Delayed engines or structural components in the aerospace market may conceal the values of completed stock, ram-up strategies as well as shaking the confidence of the customers. Airbus was forced to reduce its objective of producing narrowbody aircraft to a target of between 70 and 75 units per month </w:t>
      </w:r>
      <w:r>
        <w:lastRenderedPageBreak/>
        <w:t>instead of a single 75 target, which shows how competition performance is currently reliant on supplier strength as much as factory ambition (Reuters, 2026a).</w:t>
      </w:r>
    </w:p>
    <w:p w14:paraId="157D83D4" w14:textId="77777777" w:rsidR="00101B38" w:rsidRDefault="00101B38" w:rsidP="00101B38">
      <w:r>
        <w:t xml:space="preserve">The second critical success factor is durability of product-market fit in single aisle segment. In its disclosure, Airbus indicated that the A320neo family retained a c. 60% share of the single-aisle backlog by the year 2025, which is an indication that customers were keen on its narrowbody platform and its foundation of a considerable part of the long-term value creation (Airbus, 2026b). This strength however presents a strategic challenge. Since single-aisle demand is clustered and ramp-up strategies are observable, supplier conflicts, </w:t>
      </w:r>
      <w:proofErr w:type="spellStart"/>
      <w:r>
        <w:t>labour</w:t>
      </w:r>
      <w:proofErr w:type="spellEnd"/>
      <w:r>
        <w:t>-constrained or failed quality in that area can have excessive company-wide impacts. Scale is then the origin of the advantage of Airbus as well as the medium through which the execution risk can be increased.</w:t>
      </w:r>
    </w:p>
    <w:p w14:paraId="0B3716C3" w14:textId="0CF15907" w:rsidR="00101B38" w:rsidRDefault="00101B38" w:rsidP="00101B38">
      <w:r>
        <w:t xml:space="preserve">The environmental aspect forms a rather vague strategic image. Airbus makes sustainability a strategic element, with all aircrafts aimed to be compatible with 100 percent sustainable aviation fuel by 2030 and extended investment in hydrogen and other technological innovations (Airbus, 2025d; Airbus, 2026d). </w:t>
      </w:r>
      <w:r w:rsidR="00893FBE">
        <w:t>However,</w:t>
      </w:r>
      <w:r>
        <w:t xml:space="preserve"> the company also pushed the anticipated time when a hydrogen-powered aircraft can commercially work to later than 2035 as the ecosystem is advancing at a slower pace than is projected (Airbus, 2026b; Reuters, 2025a). This is a strategically significant issue since it is a sign that again and again, there is a mismatch between the technologies which are the most significant in terms of long-term legitimacy and those which are best prepared to be used on a commercial scale in the near term. Airbus will have to accomplish a </w:t>
      </w:r>
      <w:proofErr w:type="spellStart"/>
      <w:r>
        <w:t>decarbonisation</w:t>
      </w:r>
      <w:proofErr w:type="spellEnd"/>
      <w:r>
        <w:t xml:space="preserve"> transition in layers, fleet renewal and SAF compatibility will be nearer-term </w:t>
      </w:r>
      <w:proofErr w:type="spellStart"/>
      <w:r>
        <w:t>decarbonisation</w:t>
      </w:r>
      <w:proofErr w:type="spellEnd"/>
      <w:r>
        <w:t xml:space="preserve"> levers, but the hydrogen and electrification options should remain open.</w:t>
      </w:r>
    </w:p>
    <w:p w14:paraId="38D0E13B" w14:textId="2BD6A106" w:rsidR="0081419C" w:rsidRPr="0081419C" w:rsidRDefault="00101B38" w:rsidP="00101B38">
      <w:r>
        <w:t xml:space="preserve">There </w:t>
      </w:r>
      <w:r w:rsidR="000B093E">
        <w:t>are</w:t>
      </w:r>
      <w:r>
        <w:t xml:space="preserve"> also a trade and geopolitical exposure which complicates strategic decision-making. According to Reuters, the chief executive of Airbus warned about new risks following serious losses on trade, and also, the company reported better conditions in </w:t>
      </w:r>
      <w:proofErr w:type="spellStart"/>
      <w:r>
        <w:t>defence</w:t>
      </w:r>
      <w:proofErr w:type="spellEnd"/>
      <w:r>
        <w:t xml:space="preserve"> and helicopters (Reuters, 2026c). This supports a larger argument: Airbus is not a commercial aircraft company in its purest form that is susceptible to the cyclical demand of airlines. Its multi-segment profile gives it a hedging value, although it also drags the company into politically disputed areas like </w:t>
      </w:r>
      <w:proofErr w:type="spellStart"/>
      <w:r>
        <w:lastRenderedPageBreak/>
        <w:t>defence</w:t>
      </w:r>
      <w:proofErr w:type="spellEnd"/>
      <w:r>
        <w:t xml:space="preserve"> procurement, cross-border industrial policy and sanctions-sensitive supply structures. The portfolio that contributes to resilience can thus bring about governance and </w:t>
      </w:r>
      <w:proofErr w:type="spellStart"/>
      <w:r>
        <w:t>prioritisation</w:t>
      </w:r>
      <w:proofErr w:type="spellEnd"/>
      <w:r>
        <w:t xml:space="preserve"> problems.</w:t>
      </w:r>
    </w:p>
    <w:p w14:paraId="405D56E5" w14:textId="54267EC9" w:rsidR="0081419C" w:rsidRPr="0081419C" w:rsidRDefault="0081419C" w:rsidP="0081419C">
      <w:r w:rsidRPr="0081419C">
        <w:rPr>
          <w:noProof/>
        </w:rPr>
        <w:drawing>
          <wp:inline distT="0" distB="0" distL="0" distR="0" wp14:anchorId="425D908E" wp14:editId="4035C46F">
            <wp:extent cx="5762625" cy="3905250"/>
            <wp:effectExtent l="0" t="0" r="9525" b="0"/>
            <wp:docPr id="18172522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2625" cy="3905250"/>
                    </a:xfrm>
                    <a:prstGeom prst="rect">
                      <a:avLst/>
                    </a:prstGeom>
                    <a:noFill/>
                    <a:ln>
                      <a:noFill/>
                    </a:ln>
                  </pic:spPr>
                </pic:pic>
              </a:graphicData>
            </a:graphic>
          </wp:inline>
        </w:drawing>
      </w:r>
    </w:p>
    <w:p w14:paraId="57DB6D73" w14:textId="77777777" w:rsidR="0081419C" w:rsidRPr="0081419C" w:rsidRDefault="0081419C" w:rsidP="0081419C">
      <w:pPr>
        <w:jc w:val="center"/>
        <w:rPr>
          <w:i/>
          <w:sz w:val="22"/>
          <w:szCs w:val="20"/>
        </w:rPr>
      </w:pPr>
      <w:r w:rsidRPr="0081419C">
        <w:rPr>
          <w:i/>
          <w:sz w:val="22"/>
          <w:szCs w:val="20"/>
        </w:rPr>
        <w:t>Figure 2. Strategic pressure matrix for Airbus in 2026. Source: author’s synthesis from Airbus (2026a; 2026b) and Reuters (2025a; 2026a; 2026c).</w:t>
      </w:r>
    </w:p>
    <w:p w14:paraId="2C4DAB85" w14:textId="77777777" w:rsidR="00101B38" w:rsidRDefault="00101B38" w:rsidP="00101B38">
      <w:r>
        <w:t xml:space="preserve">By going inward, the resource-based view will be used to explain why Airbus has been able to stay strategically strong despite such external pressures. Airbus has critical resources which are not physical like assembly lines, patents and tools. They comprise systems level capacities as well: certification expert knowledge, </w:t>
      </w:r>
      <w:proofErr w:type="spellStart"/>
      <w:r>
        <w:t>programme</w:t>
      </w:r>
      <w:proofErr w:type="spellEnd"/>
      <w:r>
        <w:t xml:space="preserve"> governance, multinational engineering work together, installed fleet economics, relationship with airline, digital support systems, and capability to organize civil and military technological learning. According to Grant, (1991), competitive advantage is not as much based on possession of resources alone but on the combination of the resources into capabilities that are hard to imitate. Airbus conforms to the </w:t>
      </w:r>
      <w:r>
        <w:lastRenderedPageBreak/>
        <w:t>case. Its combination of narrowbody size, regulatory expertise, services platform and European industrial support cannot easily be replicated by its competitors.</w:t>
      </w:r>
    </w:p>
    <w:p w14:paraId="3CD753B4" w14:textId="05EEDD59" w:rsidR="0081419C" w:rsidRDefault="00101B38" w:rsidP="00101B38">
      <w:r>
        <w:t xml:space="preserve">Meanwhile, the critical analysis should distinguish between high-value capabilities and expensive capabilities. The huge backlog and production system that Airbus has is only useful when the </w:t>
      </w:r>
      <w:proofErr w:type="spellStart"/>
      <w:r>
        <w:t>organisation</w:t>
      </w:r>
      <w:proofErr w:type="spellEnd"/>
      <w:r>
        <w:t xml:space="preserve"> is capable of exploiting it by means of well-</w:t>
      </w:r>
      <w:proofErr w:type="spellStart"/>
      <w:r>
        <w:t>organised</w:t>
      </w:r>
      <w:proofErr w:type="spellEnd"/>
      <w:r>
        <w:t xml:space="preserve"> operations. Similarly, a sustainability ambition brings about a strategic value when it helps in customer economics, regulatory credibility and discipline in capital allocation. Teece, Pisano and </w:t>
      </w:r>
      <w:proofErr w:type="spellStart"/>
      <w:r>
        <w:t>Shuen</w:t>
      </w:r>
      <w:proofErr w:type="spellEnd"/>
      <w:r>
        <w:t xml:space="preserve"> (1997) highlight dynamic capabilities, which imply the capability to sense, seize and transform in the changing conditions. This is significant in this case since Airbus is not operating within a stable technological regime. It must at the same time increase its existing production, fix supply interfaces, </w:t>
      </w:r>
      <w:proofErr w:type="spellStart"/>
      <w:r>
        <w:t>industrialise</w:t>
      </w:r>
      <w:proofErr w:type="spellEnd"/>
      <w:r>
        <w:t xml:space="preserve"> and reposition itself towards </w:t>
      </w:r>
      <w:proofErr w:type="spellStart"/>
      <w:r>
        <w:t>decarbonisation</w:t>
      </w:r>
      <w:proofErr w:type="spellEnd"/>
      <w:r w:rsidR="0081419C" w:rsidRPr="0081419C">
        <w:t>.</w:t>
      </w:r>
    </w:p>
    <w:p w14:paraId="2BFC14EE" w14:textId="2FAACEE3" w:rsidR="0081419C" w:rsidRPr="0081419C" w:rsidRDefault="0081419C" w:rsidP="0081419C">
      <w:r w:rsidRPr="0081419C">
        <w:rPr>
          <w:b/>
          <w:bCs/>
        </w:rPr>
        <w:t>Table 2.</w:t>
      </w:r>
      <w:r w:rsidRPr="0081419C">
        <w:t xml:space="preserve"> VRIO assessment of Airbus. Source: author’s analysis drawing on Barney (1991), Grant (1991), Teece, Pisano and </w:t>
      </w:r>
      <w:proofErr w:type="spellStart"/>
      <w:r w:rsidRPr="0081419C">
        <w:t>Shuen</w:t>
      </w:r>
      <w:proofErr w:type="spellEnd"/>
      <w:r w:rsidRPr="0081419C">
        <w:t xml:space="preserve"> (1997), Airbus (2026a) and Airbus (2026b).</w:t>
      </w:r>
    </w:p>
    <w:tbl>
      <w:tblPr>
        <w:tblStyle w:val="TableGrid"/>
        <w:tblW w:w="0" w:type="auto"/>
        <w:jc w:val="center"/>
        <w:tblLook w:val="04A0" w:firstRow="1" w:lastRow="0" w:firstColumn="1" w:lastColumn="0" w:noHBand="0" w:noVBand="1"/>
      </w:tblPr>
      <w:tblGrid>
        <w:gridCol w:w="3005"/>
        <w:gridCol w:w="619"/>
        <w:gridCol w:w="783"/>
        <w:gridCol w:w="1356"/>
        <w:gridCol w:w="845"/>
        <w:gridCol w:w="2742"/>
      </w:tblGrid>
      <w:tr w:rsidR="0081419C" w:rsidRPr="0081419C" w14:paraId="2F9D7DA2"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2BB304B9" w14:textId="77777777" w:rsidR="0081419C" w:rsidRPr="0081419C" w:rsidRDefault="0081419C" w:rsidP="0081419C">
            <w:r w:rsidRPr="0081419C">
              <w:rPr>
                <w:b/>
              </w:rPr>
              <w:t>Resource or capability</w:t>
            </w:r>
          </w:p>
        </w:tc>
        <w:tc>
          <w:tcPr>
            <w:tcW w:w="619"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0DC8E901" w14:textId="77777777" w:rsidR="0081419C" w:rsidRPr="0081419C" w:rsidRDefault="0081419C" w:rsidP="0081419C">
            <w:r w:rsidRPr="0081419C">
              <w:rPr>
                <w:b/>
              </w:rPr>
              <w:t>V</w:t>
            </w:r>
          </w:p>
        </w:tc>
        <w:tc>
          <w:tcPr>
            <w:tcW w:w="783"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6F9F7CE3" w14:textId="77777777" w:rsidR="0081419C" w:rsidRPr="0081419C" w:rsidRDefault="0081419C" w:rsidP="0081419C">
            <w:r w:rsidRPr="0081419C">
              <w:rPr>
                <w:b/>
              </w:rPr>
              <w:t>R</w:t>
            </w:r>
          </w:p>
        </w:tc>
        <w:tc>
          <w:tcPr>
            <w:tcW w:w="1356"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4871324" w14:textId="77777777" w:rsidR="0081419C" w:rsidRPr="0081419C" w:rsidRDefault="0081419C" w:rsidP="0081419C">
            <w:r w:rsidRPr="0081419C">
              <w:rPr>
                <w:b/>
              </w:rPr>
              <w:t>I</w:t>
            </w:r>
          </w:p>
        </w:tc>
        <w:tc>
          <w:tcPr>
            <w:tcW w:w="845"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CF61D86" w14:textId="77777777" w:rsidR="0081419C" w:rsidRPr="0081419C" w:rsidRDefault="0081419C" w:rsidP="0081419C">
            <w:r w:rsidRPr="0081419C">
              <w:rPr>
                <w:b/>
              </w:rPr>
              <w:t>O</w:t>
            </w:r>
          </w:p>
        </w:tc>
        <w:tc>
          <w:tcPr>
            <w:tcW w:w="2742"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68D78886" w14:textId="77777777" w:rsidR="0081419C" w:rsidRPr="0081419C" w:rsidRDefault="0081419C" w:rsidP="0081419C">
            <w:r w:rsidRPr="0081419C">
              <w:rPr>
                <w:b/>
              </w:rPr>
              <w:t>Strategic implication</w:t>
            </w:r>
          </w:p>
        </w:tc>
      </w:tr>
      <w:tr w:rsidR="0081419C" w:rsidRPr="0081419C" w14:paraId="5B485511"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47E97A7B" w14:textId="77777777" w:rsidR="0081419C" w:rsidRPr="0081419C" w:rsidRDefault="0081419C" w:rsidP="0081419C">
            <w:r w:rsidRPr="0081419C">
              <w:t>A320-family installed base, product economics and customer familiarity</w:t>
            </w:r>
          </w:p>
        </w:tc>
        <w:tc>
          <w:tcPr>
            <w:tcW w:w="619" w:type="dxa"/>
            <w:tcBorders>
              <w:top w:val="single" w:sz="4" w:space="0" w:color="auto"/>
              <w:left w:val="single" w:sz="4" w:space="0" w:color="auto"/>
              <w:bottom w:val="single" w:sz="4" w:space="0" w:color="auto"/>
              <w:right w:val="single" w:sz="4" w:space="0" w:color="auto"/>
            </w:tcBorders>
            <w:vAlign w:val="center"/>
            <w:hideMark/>
          </w:tcPr>
          <w:p w14:paraId="630C9739"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75125E0A" w14:textId="77777777" w:rsidR="0081419C" w:rsidRPr="0081419C" w:rsidRDefault="0081419C" w:rsidP="0081419C">
            <w:r w:rsidRPr="0081419C">
              <w:t>Yes</w:t>
            </w:r>
          </w:p>
        </w:tc>
        <w:tc>
          <w:tcPr>
            <w:tcW w:w="1356" w:type="dxa"/>
            <w:tcBorders>
              <w:top w:val="single" w:sz="4" w:space="0" w:color="auto"/>
              <w:left w:val="single" w:sz="4" w:space="0" w:color="auto"/>
              <w:bottom w:val="single" w:sz="4" w:space="0" w:color="auto"/>
              <w:right w:val="single" w:sz="4" w:space="0" w:color="auto"/>
            </w:tcBorders>
            <w:vAlign w:val="center"/>
            <w:hideMark/>
          </w:tcPr>
          <w:p w14:paraId="5CAE9AE5" w14:textId="77777777" w:rsidR="0081419C" w:rsidRPr="0081419C" w:rsidRDefault="0081419C" w:rsidP="0081419C">
            <w:r w:rsidRPr="0081419C">
              <w:t>Moderately to yes</w:t>
            </w:r>
          </w:p>
        </w:tc>
        <w:tc>
          <w:tcPr>
            <w:tcW w:w="845" w:type="dxa"/>
            <w:tcBorders>
              <w:top w:val="single" w:sz="4" w:space="0" w:color="auto"/>
              <w:left w:val="single" w:sz="4" w:space="0" w:color="auto"/>
              <w:bottom w:val="single" w:sz="4" w:space="0" w:color="auto"/>
              <w:right w:val="single" w:sz="4" w:space="0" w:color="auto"/>
            </w:tcBorders>
            <w:vAlign w:val="center"/>
            <w:hideMark/>
          </w:tcPr>
          <w:p w14:paraId="3179275F" w14:textId="77777777" w:rsidR="0081419C" w:rsidRPr="0081419C" w:rsidRDefault="0081419C" w:rsidP="0081419C">
            <w:r w:rsidRPr="0081419C">
              <w:t>Yes</w:t>
            </w:r>
          </w:p>
        </w:tc>
        <w:tc>
          <w:tcPr>
            <w:tcW w:w="2742" w:type="dxa"/>
            <w:tcBorders>
              <w:top w:val="single" w:sz="4" w:space="0" w:color="auto"/>
              <w:left w:val="single" w:sz="4" w:space="0" w:color="auto"/>
              <w:bottom w:val="single" w:sz="4" w:space="0" w:color="auto"/>
              <w:right w:val="single" w:sz="4" w:space="0" w:color="auto"/>
            </w:tcBorders>
            <w:vAlign w:val="center"/>
            <w:hideMark/>
          </w:tcPr>
          <w:p w14:paraId="0FE83BBC" w14:textId="77777777" w:rsidR="0081419C" w:rsidRPr="0081419C" w:rsidRDefault="0081419C" w:rsidP="0081419C">
            <w:r w:rsidRPr="0081419C">
              <w:t>Major source of sustained advantage in narrowbody competition</w:t>
            </w:r>
          </w:p>
        </w:tc>
      </w:tr>
      <w:tr w:rsidR="0081419C" w:rsidRPr="0081419C" w14:paraId="59EE6A36"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00F448BE" w14:textId="77777777" w:rsidR="0081419C" w:rsidRPr="0081419C" w:rsidRDefault="0081419C" w:rsidP="0081419C">
            <w:r w:rsidRPr="0081419C">
              <w:t xml:space="preserve">Systems integration and certification capability across civil, </w:t>
            </w:r>
            <w:proofErr w:type="spellStart"/>
            <w:r w:rsidRPr="0081419C">
              <w:t>defence</w:t>
            </w:r>
            <w:proofErr w:type="spellEnd"/>
            <w:r w:rsidRPr="0081419C">
              <w:t xml:space="preserve"> and space </w:t>
            </w:r>
            <w:proofErr w:type="spellStart"/>
            <w:r w:rsidRPr="0081419C">
              <w:t>programmes</w:t>
            </w:r>
            <w:proofErr w:type="spellEnd"/>
          </w:p>
        </w:tc>
        <w:tc>
          <w:tcPr>
            <w:tcW w:w="619" w:type="dxa"/>
            <w:tcBorders>
              <w:top w:val="single" w:sz="4" w:space="0" w:color="auto"/>
              <w:left w:val="single" w:sz="4" w:space="0" w:color="auto"/>
              <w:bottom w:val="single" w:sz="4" w:space="0" w:color="auto"/>
              <w:right w:val="single" w:sz="4" w:space="0" w:color="auto"/>
            </w:tcBorders>
            <w:vAlign w:val="center"/>
            <w:hideMark/>
          </w:tcPr>
          <w:p w14:paraId="36975327"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665DC680" w14:textId="77777777" w:rsidR="0081419C" w:rsidRPr="0081419C" w:rsidRDefault="0081419C" w:rsidP="0081419C">
            <w:r w:rsidRPr="0081419C">
              <w:t>Yes</w:t>
            </w:r>
          </w:p>
        </w:tc>
        <w:tc>
          <w:tcPr>
            <w:tcW w:w="1356" w:type="dxa"/>
            <w:tcBorders>
              <w:top w:val="single" w:sz="4" w:space="0" w:color="auto"/>
              <w:left w:val="single" w:sz="4" w:space="0" w:color="auto"/>
              <w:bottom w:val="single" w:sz="4" w:space="0" w:color="auto"/>
              <w:right w:val="single" w:sz="4" w:space="0" w:color="auto"/>
            </w:tcBorders>
            <w:vAlign w:val="center"/>
            <w:hideMark/>
          </w:tcPr>
          <w:p w14:paraId="3694FECF" w14:textId="77777777" w:rsidR="0081419C" w:rsidRPr="0081419C" w:rsidRDefault="0081419C" w:rsidP="0081419C">
            <w:r w:rsidRPr="0081419C">
              <w:t>Yes</w:t>
            </w:r>
          </w:p>
        </w:tc>
        <w:tc>
          <w:tcPr>
            <w:tcW w:w="845" w:type="dxa"/>
            <w:tcBorders>
              <w:top w:val="single" w:sz="4" w:space="0" w:color="auto"/>
              <w:left w:val="single" w:sz="4" w:space="0" w:color="auto"/>
              <w:bottom w:val="single" w:sz="4" w:space="0" w:color="auto"/>
              <w:right w:val="single" w:sz="4" w:space="0" w:color="auto"/>
            </w:tcBorders>
            <w:vAlign w:val="center"/>
            <w:hideMark/>
          </w:tcPr>
          <w:p w14:paraId="0D000AAB" w14:textId="77777777" w:rsidR="0081419C" w:rsidRPr="0081419C" w:rsidRDefault="0081419C" w:rsidP="0081419C">
            <w:r w:rsidRPr="0081419C">
              <w:t>Yes</w:t>
            </w:r>
          </w:p>
        </w:tc>
        <w:tc>
          <w:tcPr>
            <w:tcW w:w="2742" w:type="dxa"/>
            <w:tcBorders>
              <w:top w:val="single" w:sz="4" w:space="0" w:color="auto"/>
              <w:left w:val="single" w:sz="4" w:space="0" w:color="auto"/>
              <w:bottom w:val="single" w:sz="4" w:space="0" w:color="auto"/>
              <w:right w:val="single" w:sz="4" w:space="0" w:color="auto"/>
            </w:tcBorders>
            <w:vAlign w:val="center"/>
            <w:hideMark/>
          </w:tcPr>
          <w:p w14:paraId="55A5EFD4" w14:textId="77777777" w:rsidR="0081419C" w:rsidRPr="0081419C" w:rsidRDefault="0081419C" w:rsidP="0081419C">
            <w:r w:rsidRPr="0081419C">
              <w:t>Deep strategic asset that rivals struggle to replicate as a system</w:t>
            </w:r>
          </w:p>
        </w:tc>
      </w:tr>
      <w:tr w:rsidR="0081419C" w:rsidRPr="0081419C" w14:paraId="67E33336"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2A6D7D6C" w14:textId="77777777" w:rsidR="0081419C" w:rsidRPr="0081419C" w:rsidRDefault="0081419C" w:rsidP="0081419C">
            <w:r w:rsidRPr="0081419C">
              <w:t>Global industrial network and European political-industrial support</w:t>
            </w:r>
          </w:p>
        </w:tc>
        <w:tc>
          <w:tcPr>
            <w:tcW w:w="619" w:type="dxa"/>
            <w:tcBorders>
              <w:top w:val="single" w:sz="4" w:space="0" w:color="auto"/>
              <w:left w:val="single" w:sz="4" w:space="0" w:color="auto"/>
              <w:bottom w:val="single" w:sz="4" w:space="0" w:color="auto"/>
              <w:right w:val="single" w:sz="4" w:space="0" w:color="auto"/>
            </w:tcBorders>
            <w:vAlign w:val="center"/>
            <w:hideMark/>
          </w:tcPr>
          <w:p w14:paraId="45716FFA"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2BE19832" w14:textId="77777777" w:rsidR="0081419C" w:rsidRPr="0081419C" w:rsidRDefault="0081419C" w:rsidP="0081419C">
            <w:r w:rsidRPr="0081419C">
              <w:t>Partly</w:t>
            </w:r>
          </w:p>
        </w:tc>
        <w:tc>
          <w:tcPr>
            <w:tcW w:w="1356" w:type="dxa"/>
            <w:tcBorders>
              <w:top w:val="single" w:sz="4" w:space="0" w:color="auto"/>
              <w:left w:val="single" w:sz="4" w:space="0" w:color="auto"/>
              <w:bottom w:val="single" w:sz="4" w:space="0" w:color="auto"/>
              <w:right w:val="single" w:sz="4" w:space="0" w:color="auto"/>
            </w:tcBorders>
            <w:vAlign w:val="center"/>
            <w:hideMark/>
          </w:tcPr>
          <w:p w14:paraId="08988FDB" w14:textId="77777777" w:rsidR="0081419C" w:rsidRPr="0081419C" w:rsidRDefault="0081419C" w:rsidP="0081419C">
            <w:r w:rsidRPr="0081419C">
              <w:t>Yes</w:t>
            </w:r>
          </w:p>
        </w:tc>
        <w:tc>
          <w:tcPr>
            <w:tcW w:w="845" w:type="dxa"/>
            <w:tcBorders>
              <w:top w:val="single" w:sz="4" w:space="0" w:color="auto"/>
              <w:left w:val="single" w:sz="4" w:space="0" w:color="auto"/>
              <w:bottom w:val="single" w:sz="4" w:space="0" w:color="auto"/>
              <w:right w:val="single" w:sz="4" w:space="0" w:color="auto"/>
            </w:tcBorders>
            <w:vAlign w:val="center"/>
            <w:hideMark/>
          </w:tcPr>
          <w:p w14:paraId="5FD3884B" w14:textId="77777777" w:rsidR="0081419C" w:rsidRPr="0081419C" w:rsidRDefault="0081419C" w:rsidP="0081419C">
            <w:r w:rsidRPr="0081419C">
              <w:t>Yes</w:t>
            </w:r>
          </w:p>
        </w:tc>
        <w:tc>
          <w:tcPr>
            <w:tcW w:w="2742" w:type="dxa"/>
            <w:tcBorders>
              <w:top w:val="single" w:sz="4" w:space="0" w:color="auto"/>
              <w:left w:val="single" w:sz="4" w:space="0" w:color="auto"/>
              <w:bottom w:val="single" w:sz="4" w:space="0" w:color="auto"/>
              <w:right w:val="single" w:sz="4" w:space="0" w:color="auto"/>
            </w:tcBorders>
            <w:vAlign w:val="center"/>
            <w:hideMark/>
          </w:tcPr>
          <w:p w14:paraId="512086E0" w14:textId="77777777" w:rsidR="0081419C" w:rsidRPr="0081419C" w:rsidRDefault="0081419C" w:rsidP="0081419C">
            <w:r w:rsidRPr="0081419C">
              <w:t>Strengthens resilience and scale, but may reduce agility in some decisions</w:t>
            </w:r>
          </w:p>
        </w:tc>
      </w:tr>
      <w:tr w:rsidR="0081419C" w:rsidRPr="0081419C" w14:paraId="2064EC70"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123097C8" w14:textId="77777777" w:rsidR="0081419C" w:rsidRPr="0081419C" w:rsidRDefault="0081419C" w:rsidP="0081419C">
            <w:r w:rsidRPr="0081419C">
              <w:lastRenderedPageBreak/>
              <w:t>Record commercial backlog and long-term airline relationships</w:t>
            </w:r>
          </w:p>
        </w:tc>
        <w:tc>
          <w:tcPr>
            <w:tcW w:w="619" w:type="dxa"/>
            <w:tcBorders>
              <w:top w:val="single" w:sz="4" w:space="0" w:color="auto"/>
              <w:left w:val="single" w:sz="4" w:space="0" w:color="auto"/>
              <w:bottom w:val="single" w:sz="4" w:space="0" w:color="auto"/>
              <w:right w:val="single" w:sz="4" w:space="0" w:color="auto"/>
            </w:tcBorders>
            <w:vAlign w:val="center"/>
            <w:hideMark/>
          </w:tcPr>
          <w:p w14:paraId="6D3B7C1D"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1E156809" w14:textId="77777777" w:rsidR="0081419C" w:rsidRPr="0081419C" w:rsidRDefault="0081419C" w:rsidP="0081419C">
            <w:r w:rsidRPr="0081419C">
              <w:t>Yes</w:t>
            </w:r>
          </w:p>
        </w:tc>
        <w:tc>
          <w:tcPr>
            <w:tcW w:w="1356" w:type="dxa"/>
            <w:tcBorders>
              <w:top w:val="single" w:sz="4" w:space="0" w:color="auto"/>
              <w:left w:val="single" w:sz="4" w:space="0" w:color="auto"/>
              <w:bottom w:val="single" w:sz="4" w:space="0" w:color="auto"/>
              <w:right w:val="single" w:sz="4" w:space="0" w:color="auto"/>
            </w:tcBorders>
            <w:vAlign w:val="center"/>
            <w:hideMark/>
          </w:tcPr>
          <w:p w14:paraId="3644F2B8" w14:textId="77777777" w:rsidR="0081419C" w:rsidRPr="0081419C" w:rsidRDefault="0081419C" w:rsidP="0081419C">
            <w:r w:rsidRPr="0081419C">
              <w:t>Moderately</w:t>
            </w:r>
          </w:p>
        </w:tc>
        <w:tc>
          <w:tcPr>
            <w:tcW w:w="845" w:type="dxa"/>
            <w:tcBorders>
              <w:top w:val="single" w:sz="4" w:space="0" w:color="auto"/>
              <w:left w:val="single" w:sz="4" w:space="0" w:color="auto"/>
              <w:bottom w:val="single" w:sz="4" w:space="0" w:color="auto"/>
              <w:right w:val="single" w:sz="4" w:space="0" w:color="auto"/>
            </w:tcBorders>
            <w:vAlign w:val="center"/>
            <w:hideMark/>
          </w:tcPr>
          <w:p w14:paraId="0E204155" w14:textId="77777777" w:rsidR="0081419C" w:rsidRPr="0081419C" w:rsidRDefault="0081419C" w:rsidP="0081419C">
            <w:r w:rsidRPr="0081419C">
              <w:t>Yes</w:t>
            </w:r>
          </w:p>
        </w:tc>
        <w:tc>
          <w:tcPr>
            <w:tcW w:w="2742" w:type="dxa"/>
            <w:tcBorders>
              <w:top w:val="single" w:sz="4" w:space="0" w:color="auto"/>
              <w:left w:val="single" w:sz="4" w:space="0" w:color="auto"/>
              <w:bottom w:val="single" w:sz="4" w:space="0" w:color="auto"/>
              <w:right w:val="single" w:sz="4" w:space="0" w:color="auto"/>
            </w:tcBorders>
            <w:vAlign w:val="center"/>
            <w:hideMark/>
          </w:tcPr>
          <w:p w14:paraId="06770E1C" w14:textId="77777777" w:rsidR="0081419C" w:rsidRPr="0081419C" w:rsidRDefault="0081419C" w:rsidP="0081419C">
            <w:r w:rsidRPr="0081419C">
              <w:t>Enhances visibility and bargaining power, though only if delivered on time</w:t>
            </w:r>
          </w:p>
        </w:tc>
      </w:tr>
      <w:tr w:rsidR="0081419C" w:rsidRPr="0081419C" w14:paraId="0F72ECA3"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5ACF5B3A" w14:textId="77777777" w:rsidR="0081419C" w:rsidRPr="0081419C" w:rsidRDefault="0081419C" w:rsidP="0081419C">
            <w:r w:rsidRPr="0081419C">
              <w:t>Hydrogen and new-energy R&amp;D portfolio</w:t>
            </w:r>
          </w:p>
        </w:tc>
        <w:tc>
          <w:tcPr>
            <w:tcW w:w="619" w:type="dxa"/>
            <w:tcBorders>
              <w:top w:val="single" w:sz="4" w:space="0" w:color="auto"/>
              <w:left w:val="single" w:sz="4" w:space="0" w:color="auto"/>
              <w:bottom w:val="single" w:sz="4" w:space="0" w:color="auto"/>
              <w:right w:val="single" w:sz="4" w:space="0" w:color="auto"/>
            </w:tcBorders>
            <w:vAlign w:val="center"/>
            <w:hideMark/>
          </w:tcPr>
          <w:p w14:paraId="5FEBB867"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710E3CAE" w14:textId="77777777" w:rsidR="0081419C" w:rsidRPr="0081419C" w:rsidRDefault="0081419C" w:rsidP="0081419C">
            <w:r w:rsidRPr="0081419C">
              <w:t>Partly</w:t>
            </w:r>
          </w:p>
        </w:tc>
        <w:tc>
          <w:tcPr>
            <w:tcW w:w="1356" w:type="dxa"/>
            <w:tcBorders>
              <w:top w:val="single" w:sz="4" w:space="0" w:color="auto"/>
              <w:left w:val="single" w:sz="4" w:space="0" w:color="auto"/>
              <w:bottom w:val="single" w:sz="4" w:space="0" w:color="auto"/>
              <w:right w:val="single" w:sz="4" w:space="0" w:color="auto"/>
            </w:tcBorders>
            <w:vAlign w:val="center"/>
            <w:hideMark/>
          </w:tcPr>
          <w:p w14:paraId="4A3AC351" w14:textId="77777777" w:rsidR="0081419C" w:rsidRPr="0081419C" w:rsidRDefault="0081419C" w:rsidP="0081419C">
            <w:r w:rsidRPr="0081419C">
              <w:t>Partly</w:t>
            </w:r>
          </w:p>
        </w:tc>
        <w:tc>
          <w:tcPr>
            <w:tcW w:w="845" w:type="dxa"/>
            <w:tcBorders>
              <w:top w:val="single" w:sz="4" w:space="0" w:color="auto"/>
              <w:left w:val="single" w:sz="4" w:space="0" w:color="auto"/>
              <w:bottom w:val="single" w:sz="4" w:space="0" w:color="auto"/>
              <w:right w:val="single" w:sz="4" w:space="0" w:color="auto"/>
            </w:tcBorders>
            <w:vAlign w:val="center"/>
            <w:hideMark/>
          </w:tcPr>
          <w:p w14:paraId="4B63C7AD" w14:textId="77777777" w:rsidR="0081419C" w:rsidRPr="0081419C" w:rsidRDefault="0081419C" w:rsidP="0081419C">
            <w:r w:rsidRPr="0081419C">
              <w:t>Yes</w:t>
            </w:r>
          </w:p>
        </w:tc>
        <w:tc>
          <w:tcPr>
            <w:tcW w:w="2742" w:type="dxa"/>
            <w:tcBorders>
              <w:top w:val="single" w:sz="4" w:space="0" w:color="auto"/>
              <w:left w:val="single" w:sz="4" w:space="0" w:color="auto"/>
              <w:bottom w:val="single" w:sz="4" w:space="0" w:color="auto"/>
              <w:right w:val="single" w:sz="4" w:space="0" w:color="auto"/>
            </w:tcBorders>
            <w:vAlign w:val="center"/>
            <w:hideMark/>
          </w:tcPr>
          <w:p w14:paraId="4DF01C1A" w14:textId="77777777" w:rsidR="0081419C" w:rsidRPr="0081419C" w:rsidRDefault="0081419C" w:rsidP="0081419C">
            <w:r w:rsidRPr="0081419C">
              <w:t>Important option value, but not yet a proven near-term advantage</w:t>
            </w:r>
          </w:p>
        </w:tc>
      </w:tr>
      <w:tr w:rsidR="0081419C" w:rsidRPr="0081419C" w14:paraId="1FD993E7" w14:textId="77777777" w:rsidTr="00101B38">
        <w:trPr>
          <w:jc w:val="center"/>
        </w:trPr>
        <w:tc>
          <w:tcPr>
            <w:tcW w:w="3005" w:type="dxa"/>
            <w:tcBorders>
              <w:top w:val="single" w:sz="4" w:space="0" w:color="auto"/>
              <w:left w:val="single" w:sz="4" w:space="0" w:color="auto"/>
              <w:bottom w:val="single" w:sz="4" w:space="0" w:color="auto"/>
              <w:right w:val="single" w:sz="4" w:space="0" w:color="auto"/>
            </w:tcBorders>
            <w:vAlign w:val="center"/>
            <w:hideMark/>
          </w:tcPr>
          <w:p w14:paraId="46ECDEDD" w14:textId="77777777" w:rsidR="0081419C" w:rsidRPr="0081419C" w:rsidRDefault="0081419C" w:rsidP="0081419C">
            <w:r w:rsidRPr="0081419C">
              <w:t>Supplier-dependent production ramp-up capability</w:t>
            </w:r>
          </w:p>
        </w:tc>
        <w:tc>
          <w:tcPr>
            <w:tcW w:w="619" w:type="dxa"/>
            <w:tcBorders>
              <w:top w:val="single" w:sz="4" w:space="0" w:color="auto"/>
              <w:left w:val="single" w:sz="4" w:space="0" w:color="auto"/>
              <w:bottom w:val="single" w:sz="4" w:space="0" w:color="auto"/>
              <w:right w:val="single" w:sz="4" w:space="0" w:color="auto"/>
            </w:tcBorders>
            <w:vAlign w:val="center"/>
            <w:hideMark/>
          </w:tcPr>
          <w:p w14:paraId="082EA03A" w14:textId="77777777" w:rsidR="0081419C" w:rsidRPr="0081419C" w:rsidRDefault="0081419C" w:rsidP="0081419C">
            <w:r w:rsidRPr="0081419C">
              <w:t>Yes</w:t>
            </w:r>
          </w:p>
        </w:tc>
        <w:tc>
          <w:tcPr>
            <w:tcW w:w="783" w:type="dxa"/>
            <w:tcBorders>
              <w:top w:val="single" w:sz="4" w:space="0" w:color="auto"/>
              <w:left w:val="single" w:sz="4" w:space="0" w:color="auto"/>
              <w:bottom w:val="single" w:sz="4" w:space="0" w:color="auto"/>
              <w:right w:val="single" w:sz="4" w:space="0" w:color="auto"/>
            </w:tcBorders>
            <w:vAlign w:val="center"/>
            <w:hideMark/>
          </w:tcPr>
          <w:p w14:paraId="7FC57FAC" w14:textId="77777777" w:rsidR="0081419C" w:rsidRPr="0081419C" w:rsidRDefault="0081419C" w:rsidP="0081419C">
            <w:r w:rsidRPr="0081419C">
              <w:t>No</w:t>
            </w:r>
          </w:p>
        </w:tc>
        <w:tc>
          <w:tcPr>
            <w:tcW w:w="1356" w:type="dxa"/>
            <w:tcBorders>
              <w:top w:val="single" w:sz="4" w:space="0" w:color="auto"/>
              <w:left w:val="single" w:sz="4" w:space="0" w:color="auto"/>
              <w:bottom w:val="single" w:sz="4" w:space="0" w:color="auto"/>
              <w:right w:val="single" w:sz="4" w:space="0" w:color="auto"/>
            </w:tcBorders>
            <w:vAlign w:val="center"/>
            <w:hideMark/>
          </w:tcPr>
          <w:p w14:paraId="56BFE8F0" w14:textId="77777777" w:rsidR="0081419C" w:rsidRPr="0081419C" w:rsidRDefault="0081419C" w:rsidP="0081419C">
            <w:r w:rsidRPr="0081419C">
              <w:t>No</w:t>
            </w:r>
          </w:p>
        </w:tc>
        <w:tc>
          <w:tcPr>
            <w:tcW w:w="845" w:type="dxa"/>
            <w:tcBorders>
              <w:top w:val="single" w:sz="4" w:space="0" w:color="auto"/>
              <w:left w:val="single" w:sz="4" w:space="0" w:color="auto"/>
              <w:bottom w:val="single" w:sz="4" w:space="0" w:color="auto"/>
              <w:right w:val="single" w:sz="4" w:space="0" w:color="auto"/>
            </w:tcBorders>
            <w:vAlign w:val="center"/>
            <w:hideMark/>
          </w:tcPr>
          <w:p w14:paraId="1B5817FB" w14:textId="77777777" w:rsidR="0081419C" w:rsidRPr="0081419C" w:rsidRDefault="0081419C" w:rsidP="0081419C">
            <w:r w:rsidRPr="0081419C">
              <w:t>Partly</w:t>
            </w:r>
          </w:p>
        </w:tc>
        <w:tc>
          <w:tcPr>
            <w:tcW w:w="2742" w:type="dxa"/>
            <w:tcBorders>
              <w:top w:val="single" w:sz="4" w:space="0" w:color="auto"/>
              <w:left w:val="single" w:sz="4" w:space="0" w:color="auto"/>
              <w:bottom w:val="single" w:sz="4" w:space="0" w:color="auto"/>
              <w:right w:val="single" w:sz="4" w:space="0" w:color="auto"/>
            </w:tcBorders>
            <w:vAlign w:val="center"/>
            <w:hideMark/>
          </w:tcPr>
          <w:p w14:paraId="1D9CB507" w14:textId="77777777" w:rsidR="0081419C" w:rsidRPr="0081419C" w:rsidRDefault="0081419C" w:rsidP="0081419C">
            <w:r w:rsidRPr="0081419C">
              <w:t>Necessary operational competence, but vulnerable to external bottlenecks</w:t>
            </w:r>
          </w:p>
        </w:tc>
      </w:tr>
    </w:tbl>
    <w:p w14:paraId="1769BEC4" w14:textId="77777777" w:rsidR="00101B38" w:rsidRDefault="00101B38" w:rsidP="00101B38">
      <w:r>
        <w:t>According to the VRIO analysis, the strongest strengths of Airbus are not individual but combinative. When they complement each other, the installed base, services linkage and certification competence are the most powerful. In comparison, the resources that are associated with a single future promise, i.e. hydrogen visibility are strategically valuable but not yet the source of a sustainable advantage. This difference is significant because the companies may overestimate options and underestimate implementation. The current competitive advantage of Airbus is mainly based on what it can be confident in delivering at the moment, with the help of the capabilities that are routine, supported by the relationships and institutional memory.</w:t>
      </w:r>
    </w:p>
    <w:p w14:paraId="34769BDF" w14:textId="2A8C1FEA" w:rsidR="0081419C" w:rsidRPr="0081419C" w:rsidRDefault="00101B38" w:rsidP="00101B38">
      <w:r>
        <w:t xml:space="preserve">Internal strengths thus have three key ways of creating competitive advantage. First, they lower the switching incentives of customers by integrating Airbus into the airline training, maintenance, fleet planning and route economics. Second, they enhance strategic resilience since Airbus will be able to strike a balance between commercial activity and helicopters, </w:t>
      </w:r>
      <w:proofErr w:type="spellStart"/>
      <w:r>
        <w:t>defence</w:t>
      </w:r>
      <w:proofErr w:type="spellEnd"/>
      <w:r>
        <w:t xml:space="preserve"> and space, but not rely on a single product cycle. Third, they allow plausible long-term investment in future propulsion and </w:t>
      </w:r>
      <w:proofErr w:type="spellStart"/>
      <w:r>
        <w:t>digitalisation</w:t>
      </w:r>
      <w:proofErr w:type="spellEnd"/>
      <w:r>
        <w:t xml:space="preserve"> due to the current business creating scale, cash flow and engineering learning. Nevertheless, internal strength is no determinant of the absence of </w:t>
      </w:r>
      <w:r>
        <w:lastRenderedPageBreak/>
        <w:t>execution risk. It raises the cost of failure. The presence of Airbus backlog, visibility and political importance is harsher when a company cannot convert strategic assets into reliable throughput.</w:t>
      </w:r>
    </w:p>
    <w:p w14:paraId="454687A3" w14:textId="3B1F6A68" w:rsidR="0081419C" w:rsidRPr="0081419C" w:rsidRDefault="0081419C" w:rsidP="0081419C">
      <w:r w:rsidRPr="0081419C">
        <w:rPr>
          <w:noProof/>
        </w:rPr>
        <w:drawing>
          <wp:inline distT="0" distB="0" distL="0" distR="0" wp14:anchorId="1A7F6E35" wp14:editId="6B06225D">
            <wp:extent cx="5667375" cy="3476625"/>
            <wp:effectExtent l="0" t="0" r="9525" b="9525"/>
            <wp:docPr id="1159685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67375" cy="3476625"/>
                    </a:xfrm>
                    <a:prstGeom prst="rect">
                      <a:avLst/>
                    </a:prstGeom>
                    <a:noFill/>
                    <a:ln>
                      <a:noFill/>
                    </a:ln>
                  </pic:spPr>
                </pic:pic>
              </a:graphicData>
            </a:graphic>
          </wp:inline>
        </w:drawing>
      </w:r>
    </w:p>
    <w:p w14:paraId="3DCE58F3" w14:textId="77777777" w:rsidR="0081419C" w:rsidRPr="0081419C" w:rsidRDefault="0081419C" w:rsidP="0081419C">
      <w:pPr>
        <w:jc w:val="center"/>
        <w:rPr>
          <w:i/>
          <w:sz w:val="22"/>
          <w:szCs w:val="20"/>
        </w:rPr>
      </w:pPr>
      <w:r w:rsidRPr="0081419C">
        <w:rPr>
          <w:i/>
          <w:sz w:val="22"/>
          <w:szCs w:val="20"/>
        </w:rPr>
        <w:t>Figure 3. Airbus FY2025 revenue split by business segment. Source: compiled from Airbus (2026a).</w:t>
      </w:r>
    </w:p>
    <w:p w14:paraId="303728DC" w14:textId="77777777" w:rsidR="0081419C" w:rsidRPr="0081419C" w:rsidRDefault="0081419C" w:rsidP="0081419C">
      <w:pPr>
        <w:pStyle w:val="Heading2"/>
        <w:numPr>
          <w:ilvl w:val="0"/>
          <w:numId w:val="0"/>
        </w:numPr>
      </w:pPr>
      <w:bookmarkStart w:id="4" w:name="_Toc224607656"/>
      <w:r w:rsidRPr="0081419C">
        <w:t>2.3 CSR and sustainability objectives</w:t>
      </w:r>
      <w:bookmarkEnd w:id="4"/>
    </w:p>
    <w:p w14:paraId="5097F63B" w14:textId="77777777" w:rsidR="00101B38" w:rsidRDefault="00101B38" w:rsidP="00101B38">
      <w:r>
        <w:t xml:space="preserve">Airbus CSR agenda is not strategic in nature as the company is in an industry where long term legitimacy is determined by the environmental and social performance. With the core concept of deterrent sustainable </w:t>
      </w:r>
      <w:proofErr w:type="spellStart"/>
      <w:r>
        <w:t>decarbonisation</w:t>
      </w:r>
      <w:proofErr w:type="spellEnd"/>
      <w:r>
        <w:t xml:space="preserve"> as a </w:t>
      </w:r>
      <w:proofErr w:type="spellStart"/>
      <w:r>
        <w:t>rougheness</w:t>
      </w:r>
      <w:proofErr w:type="spellEnd"/>
      <w:r>
        <w:t xml:space="preserve">, the company is anchored on the idea of pioneering sustainable aerospace and aligned it with responsible sourcing, employee and community commitments, safety, and transparency in governing (Airbus, 2025d; Airbus, 2026e). Strategically, this alignment is important since CSR in the aerospace industry influences </w:t>
      </w:r>
      <w:proofErr w:type="spellStart"/>
      <w:r>
        <w:t>licence</w:t>
      </w:r>
      <w:proofErr w:type="spellEnd"/>
      <w:r>
        <w:t xml:space="preserve"> to operate, access to capital, customer trust and support of the policy.</w:t>
      </w:r>
    </w:p>
    <w:p w14:paraId="70CE16FD" w14:textId="77777777" w:rsidR="00101B38" w:rsidRDefault="00101B38" w:rsidP="00101B38">
      <w:r>
        <w:t xml:space="preserve">Fleet efficiency and fuel transition are the strongest areas of business alignment. According to Airbus, the future of aviation is the net zero by 2050, which is achieved with the help of new-generation aircraft, the expanded use of SAF, and the breakthrough technologies (Airbus, 2025d; </w:t>
      </w:r>
      <w:r>
        <w:lastRenderedPageBreak/>
        <w:t xml:space="preserve">ICAO, 2025). These priorities are in line with commercial logic since airlines purchase lower fuel consumption, improved economics and compliance preparedness. The alignment is however not smooth. The data provided by Reuters on SAF projects and production deficits indicate that the provision of cleaner fuel is still miles away of what the industry would require to </w:t>
      </w:r>
      <w:proofErr w:type="spellStart"/>
      <w:r>
        <w:t>decarbonise</w:t>
      </w:r>
      <w:proofErr w:type="spellEnd"/>
      <w:r>
        <w:t xml:space="preserve"> rapidly, which implies that the sustainability strategy of Airbus relies in part on infrastructure and ecosystem alterations that are not within its direct control (Reuters, 2025b; Reuters, 2025c).</w:t>
      </w:r>
    </w:p>
    <w:p w14:paraId="13565414" w14:textId="2A73D3A6" w:rsidR="0081419C" w:rsidRPr="0081419C" w:rsidRDefault="00101B38" w:rsidP="00101B38">
      <w:r>
        <w:t xml:space="preserve">Most importantly, the strongest part of Airbus CSR strategy is where it is integrated in design, procurement and operations but not philanthropy only. The sustainability governance of the company is formally embedded, and the top-level responsibility and clear coordination of objectives, reporting and engagement of stakeholders (Airbus, 2026b). That makes Airbus more credible than companies whose sustainability propositions are not part of the operating decisions. The weakness is that the environmental development in the aviation sector is path dependent and system constrained. Airbus has the ability to </w:t>
      </w:r>
      <w:proofErr w:type="spellStart"/>
      <w:r>
        <w:t>optimise</w:t>
      </w:r>
      <w:proofErr w:type="spellEnd"/>
      <w:r>
        <w:t xml:space="preserve"> the aircraft and prepare it to operate with SAF, however, it is not the only one who can ensure energy supply, airport preparedness and the pace of hydrogen ecosystem development. Its CSR strategy is thus being strategically serious, and can only be controlled partially. The managerial issue remains to transform a plausible sustainability stance into operational improvements which can be measured, without laying off on schedules that are impossible</w:t>
      </w:r>
      <w:r w:rsidR="0081419C" w:rsidRPr="0081419C">
        <w:t>.</w:t>
      </w:r>
    </w:p>
    <w:p w14:paraId="71E43F5B" w14:textId="77777777" w:rsidR="0081419C" w:rsidRPr="0081419C" w:rsidRDefault="0081419C" w:rsidP="0081419C">
      <w:pPr>
        <w:pStyle w:val="Heading2"/>
        <w:numPr>
          <w:ilvl w:val="0"/>
          <w:numId w:val="0"/>
        </w:numPr>
      </w:pPr>
      <w:bookmarkStart w:id="5" w:name="_Toc224607657"/>
      <w:r w:rsidRPr="0081419C">
        <w:t>2.4 Comprehensive and holistic view: Balanced Scorecard</w:t>
      </w:r>
      <w:bookmarkEnd w:id="5"/>
    </w:p>
    <w:p w14:paraId="5C5F79D2" w14:textId="0F5B9523" w:rsidR="0081419C" w:rsidRDefault="00101B38" w:rsidP="0081419C">
      <w:r w:rsidRPr="00101B38">
        <w:t>Balanced Scorecard is also an effective tool since it converts strategic purpose into a system of interconnected working priorities as opposed to perceiving performance as a financial outcome (Kaplan and Norton, 1992). Subsequent literature also indicates that the tool can only be used to generate value when applied with discipline and causal clarity other than being a box-ticking dashboard (Tawse and Tabesh, 2023). In the case of Airbus, it is particularly applicable: the size of the backlog, the engineering excellence and sustainability ambition cannot be adequate unless the management are able to coordinate profitability, customer reliability, industrial discipline and capability renewal</w:t>
      </w:r>
      <w:r w:rsidR="0081419C" w:rsidRPr="0081419C">
        <w:t>.</w:t>
      </w:r>
    </w:p>
    <w:p w14:paraId="222350BE" w14:textId="3D79A04B" w:rsidR="0081419C" w:rsidRPr="0081419C" w:rsidRDefault="0081419C" w:rsidP="0081419C">
      <w:r w:rsidRPr="0081419C">
        <w:rPr>
          <w:b/>
          <w:bCs/>
        </w:rPr>
        <w:lastRenderedPageBreak/>
        <w:t>Table 3.</w:t>
      </w:r>
      <w:r w:rsidRPr="0081419C">
        <w:t xml:space="preserve"> Proposed Balanced Scorecard for Airbus. Source: developed from Kaplan and Norton (1992), Tawse and Tabesh (2023), Airbus (2026a) and Airbus (2026d).</w:t>
      </w:r>
    </w:p>
    <w:tbl>
      <w:tblPr>
        <w:tblStyle w:val="TableGrid"/>
        <w:tblW w:w="0" w:type="auto"/>
        <w:jc w:val="center"/>
        <w:tblLook w:val="04A0" w:firstRow="1" w:lastRow="0" w:firstColumn="1" w:lastColumn="0" w:noHBand="0" w:noVBand="1"/>
      </w:tblPr>
      <w:tblGrid>
        <w:gridCol w:w="1531"/>
        <w:gridCol w:w="2155"/>
        <w:gridCol w:w="1933"/>
        <w:gridCol w:w="1574"/>
        <w:gridCol w:w="2157"/>
      </w:tblGrid>
      <w:tr w:rsidR="0081419C" w:rsidRPr="0081419C" w14:paraId="6BFE3E0E" w14:textId="77777777" w:rsidTr="00101B38">
        <w:trPr>
          <w:jc w:val="center"/>
        </w:trPr>
        <w:tc>
          <w:tcPr>
            <w:tcW w:w="1531"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5D15F8E" w14:textId="77777777" w:rsidR="0081419C" w:rsidRPr="0081419C" w:rsidRDefault="0081419C" w:rsidP="0081419C">
            <w:r w:rsidRPr="0081419C">
              <w:rPr>
                <w:b/>
              </w:rPr>
              <w:t>Perspective</w:t>
            </w:r>
          </w:p>
        </w:tc>
        <w:tc>
          <w:tcPr>
            <w:tcW w:w="2155"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C4BA480" w14:textId="77777777" w:rsidR="0081419C" w:rsidRPr="0081419C" w:rsidRDefault="0081419C" w:rsidP="0081419C">
            <w:r w:rsidRPr="0081419C">
              <w:rPr>
                <w:b/>
              </w:rPr>
              <w:t>Strategic objective</w:t>
            </w:r>
          </w:p>
        </w:tc>
        <w:tc>
          <w:tcPr>
            <w:tcW w:w="1933"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CF29B24" w14:textId="77777777" w:rsidR="0081419C" w:rsidRPr="0081419C" w:rsidRDefault="0081419C" w:rsidP="0081419C">
            <w:r w:rsidRPr="0081419C">
              <w:rPr>
                <w:b/>
              </w:rPr>
              <w:t>Illustrative KPI</w:t>
            </w:r>
          </w:p>
        </w:tc>
        <w:tc>
          <w:tcPr>
            <w:tcW w:w="1574"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62368958" w14:textId="77777777" w:rsidR="0081419C" w:rsidRPr="0081419C" w:rsidRDefault="0081419C" w:rsidP="0081419C">
            <w:r w:rsidRPr="0081419C">
              <w:rPr>
                <w:b/>
              </w:rPr>
              <w:t>Indicative target</w:t>
            </w:r>
          </w:p>
        </w:tc>
        <w:tc>
          <w:tcPr>
            <w:tcW w:w="2157"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613FE9EE" w14:textId="77777777" w:rsidR="0081419C" w:rsidRPr="0081419C" w:rsidRDefault="0081419C" w:rsidP="0081419C">
            <w:r w:rsidRPr="0081419C">
              <w:rPr>
                <w:b/>
              </w:rPr>
              <w:t>Priority initiatives</w:t>
            </w:r>
          </w:p>
        </w:tc>
      </w:tr>
      <w:tr w:rsidR="0081419C" w:rsidRPr="0081419C" w14:paraId="3E4962EB" w14:textId="77777777" w:rsidTr="00101B38">
        <w:trPr>
          <w:jc w:val="center"/>
        </w:trPr>
        <w:tc>
          <w:tcPr>
            <w:tcW w:w="1531" w:type="dxa"/>
            <w:tcBorders>
              <w:top w:val="single" w:sz="4" w:space="0" w:color="auto"/>
              <w:left w:val="single" w:sz="4" w:space="0" w:color="auto"/>
              <w:bottom w:val="single" w:sz="4" w:space="0" w:color="auto"/>
              <w:right w:val="single" w:sz="4" w:space="0" w:color="auto"/>
            </w:tcBorders>
            <w:vAlign w:val="center"/>
            <w:hideMark/>
          </w:tcPr>
          <w:p w14:paraId="139F7CD3" w14:textId="77777777" w:rsidR="0081419C" w:rsidRPr="0081419C" w:rsidRDefault="0081419C" w:rsidP="0081419C">
            <w:r w:rsidRPr="0081419C">
              <w:t>Financial</w:t>
            </w:r>
          </w:p>
        </w:tc>
        <w:tc>
          <w:tcPr>
            <w:tcW w:w="2155" w:type="dxa"/>
            <w:tcBorders>
              <w:top w:val="single" w:sz="4" w:space="0" w:color="auto"/>
              <w:left w:val="single" w:sz="4" w:space="0" w:color="auto"/>
              <w:bottom w:val="single" w:sz="4" w:space="0" w:color="auto"/>
              <w:right w:val="single" w:sz="4" w:space="0" w:color="auto"/>
            </w:tcBorders>
            <w:vAlign w:val="center"/>
            <w:hideMark/>
          </w:tcPr>
          <w:p w14:paraId="6884671E" w14:textId="77777777" w:rsidR="0081419C" w:rsidRPr="0081419C" w:rsidRDefault="0081419C" w:rsidP="0081419C">
            <w:r w:rsidRPr="0081419C">
              <w:t xml:space="preserve">Protect profitable growth while funding future propulsion and </w:t>
            </w:r>
            <w:proofErr w:type="spellStart"/>
            <w:r w:rsidRPr="0081419C">
              <w:t>defence</w:t>
            </w:r>
            <w:proofErr w:type="spellEnd"/>
            <w:r w:rsidRPr="0081419C">
              <w:t>-space renewal</w:t>
            </w:r>
          </w:p>
        </w:tc>
        <w:tc>
          <w:tcPr>
            <w:tcW w:w="1933" w:type="dxa"/>
            <w:tcBorders>
              <w:top w:val="single" w:sz="4" w:space="0" w:color="auto"/>
              <w:left w:val="single" w:sz="4" w:space="0" w:color="auto"/>
              <w:bottom w:val="single" w:sz="4" w:space="0" w:color="auto"/>
              <w:right w:val="single" w:sz="4" w:space="0" w:color="auto"/>
            </w:tcBorders>
            <w:vAlign w:val="center"/>
            <w:hideMark/>
          </w:tcPr>
          <w:p w14:paraId="3A74DA24" w14:textId="77777777" w:rsidR="0081419C" w:rsidRPr="0081419C" w:rsidRDefault="0081419C" w:rsidP="0081419C">
            <w:r w:rsidRPr="0081419C">
              <w:t>Revenue growth; EBIT Adjusted margin; free cash flow before customer financing</w:t>
            </w:r>
          </w:p>
        </w:tc>
        <w:tc>
          <w:tcPr>
            <w:tcW w:w="1574" w:type="dxa"/>
            <w:tcBorders>
              <w:top w:val="single" w:sz="4" w:space="0" w:color="auto"/>
              <w:left w:val="single" w:sz="4" w:space="0" w:color="auto"/>
              <w:bottom w:val="single" w:sz="4" w:space="0" w:color="auto"/>
              <w:right w:val="single" w:sz="4" w:space="0" w:color="auto"/>
            </w:tcBorders>
            <w:vAlign w:val="center"/>
            <w:hideMark/>
          </w:tcPr>
          <w:p w14:paraId="2FE174AA" w14:textId="77777777" w:rsidR="0081419C" w:rsidRPr="0081419C" w:rsidRDefault="0081419C" w:rsidP="0081419C">
            <w:r w:rsidRPr="0081419C">
              <w:t>Maintain positive free cash flow and margin resilience while scaling output</w:t>
            </w:r>
          </w:p>
        </w:tc>
        <w:tc>
          <w:tcPr>
            <w:tcW w:w="2157" w:type="dxa"/>
            <w:tcBorders>
              <w:top w:val="single" w:sz="4" w:space="0" w:color="auto"/>
              <w:left w:val="single" w:sz="4" w:space="0" w:color="auto"/>
              <w:bottom w:val="single" w:sz="4" w:space="0" w:color="auto"/>
              <w:right w:val="single" w:sz="4" w:space="0" w:color="auto"/>
            </w:tcBorders>
            <w:vAlign w:val="center"/>
            <w:hideMark/>
          </w:tcPr>
          <w:p w14:paraId="77457293" w14:textId="77777777" w:rsidR="0081419C" w:rsidRPr="0081419C" w:rsidRDefault="0081419C" w:rsidP="0081419C">
            <w:r w:rsidRPr="0081419C">
              <w:t>Rate discipline; supplier-risk buffers; portfolio capital allocation; aftermarket growth</w:t>
            </w:r>
          </w:p>
        </w:tc>
      </w:tr>
      <w:tr w:rsidR="0081419C" w:rsidRPr="0081419C" w14:paraId="03573505" w14:textId="77777777" w:rsidTr="00101B38">
        <w:trPr>
          <w:jc w:val="center"/>
        </w:trPr>
        <w:tc>
          <w:tcPr>
            <w:tcW w:w="1531" w:type="dxa"/>
            <w:tcBorders>
              <w:top w:val="single" w:sz="4" w:space="0" w:color="auto"/>
              <w:left w:val="single" w:sz="4" w:space="0" w:color="auto"/>
              <w:bottom w:val="single" w:sz="4" w:space="0" w:color="auto"/>
              <w:right w:val="single" w:sz="4" w:space="0" w:color="auto"/>
            </w:tcBorders>
            <w:vAlign w:val="center"/>
            <w:hideMark/>
          </w:tcPr>
          <w:p w14:paraId="2064B268" w14:textId="77777777" w:rsidR="0081419C" w:rsidRPr="0081419C" w:rsidRDefault="0081419C" w:rsidP="0081419C">
            <w:r w:rsidRPr="0081419C">
              <w:t>Customer</w:t>
            </w:r>
          </w:p>
        </w:tc>
        <w:tc>
          <w:tcPr>
            <w:tcW w:w="2155" w:type="dxa"/>
            <w:tcBorders>
              <w:top w:val="single" w:sz="4" w:space="0" w:color="auto"/>
              <w:left w:val="single" w:sz="4" w:space="0" w:color="auto"/>
              <w:bottom w:val="single" w:sz="4" w:space="0" w:color="auto"/>
              <w:right w:val="single" w:sz="4" w:space="0" w:color="auto"/>
            </w:tcBorders>
            <w:vAlign w:val="center"/>
            <w:hideMark/>
          </w:tcPr>
          <w:p w14:paraId="521CFBDF" w14:textId="77777777" w:rsidR="0081419C" w:rsidRPr="0081419C" w:rsidRDefault="0081419C" w:rsidP="0081419C">
            <w:r w:rsidRPr="0081419C">
              <w:t>Increase delivery reliability and lifecycle value for airlines, governments and operators</w:t>
            </w:r>
          </w:p>
        </w:tc>
        <w:tc>
          <w:tcPr>
            <w:tcW w:w="1933" w:type="dxa"/>
            <w:tcBorders>
              <w:top w:val="single" w:sz="4" w:space="0" w:color="auto"/>
              <w:left w:val="single" w:sz="4" w:space="0" w:color="auto"/>
              <w:bottom w:val="single" w:sz="4" w:space="0" w:color="auto"/>
              <w:right w:val="single" w:sz="4" w:space="0" w:color="auto"/>
            </w:tcBorders>
            <w:vAlign w:val="center"/>
            <w:hideMark/>
          </w:tcPr>
          <w:p w14:paraId="3CF78DC7" w14:textId="77777777" w:rsidR="0081419C" w:rsidRPr="0081419C" w:rsidRDefault="0081419C" w:rsidP="0081419C">
            <w:r w:rsidRPr="0081419C">
              <w:t>On-time delivery rate; fleet dispatch reliability; services growth; repeat-order intensity</w:t>
            </w:r>
          </w:p>
        </w:tc>
        <w:tc>
          <w:tcPr>
            <w:tcW w:w="1574" w:type="dxa"/>
            <w:tcBorders>
              <w:top w:val="single" w:sz="4" w:space="0" w:color="auto"/>
              <w:left w:val="single" w:sz="4" w:space="0" w:color="auto"/>
              <w:bottom w:val="single" w:sz="4" w:space="0" w:color="auto"/>
              <w:right w:val="single" w:sz="4" w:space="0" w:color="auto"/>
            </w:tcBorders>
            <w:vAlign w:val="center"/>
            <w:hideMark/>
          </w:tcPr>
          <w:p w14:paraId="0006D720" w14:textId="77777777" w:rsidR="0081419C" w:rsidRPr="0081419C" w:rsidRDefault="0081419C" w:rsidP="0081419C">
            <w:r w:rsidRPr="0081419C">
              <w:t>Improve schedule credibility and deepen long-term customer retention</w:t>
            </w:r>
          </w:p>
        </w:tc>
        <w:tc>
          <w:tcPr>
            <w:tcW w:w="2157" w:type="dxa"/>
            <w:tcBorders>
              <w:top w:val="single" w:sz="4" w:space="0" w:color="auto"/>
              <w:left w:val="single" w:sz="4" w:space="0" w:color="auto"/>
              <w:bottom w:val="single" w:sz="4" w:space="0" w:color="auto"/>
              <w:right w:val="single" w:sz="4" w:space="0" w:color="auto"/>
            </w:tcBorders>
            <w:vAlign w:val="center"/>
            <w:hideMark/>
          </w:tcPr>
          <w:p w14:paraId="21779336" w14:textId="77777777" w:rsidR="0081419C" w:rsidRPr="0081419C" w:rsidRDefault="0081419C" w:rsidP="0081419C">
            <w:r w:rsidRPr="0081419C">
              <w:t>Integrated customer support; digital maintenance tools; fleet commonality leverage; mission-ready services</w:t>
            </w:r>
          </w:p>
        </w:tc>
      </w:tr>
      <w:tr w:rsidR="0081419C" w:rsidRPr="0081419C" w14:paraId="25A5AD7A" w14:textId="77777777" w:rsidTr="00101B38">
        <w:trPr>
          <w:jc w:val="center"/>
        </w:trPr>
        <w:tc>
          <w:tcPr>
            <w:tcW w:w="1531" w:type="dxa"/>
            <w:tcBorders>
              <w:top w:val="single" w:sz="4" w:space="0" w:color="auto"/>
              <w:left w:val="single" w:sz="4" w:space="0" w:color="auto"/>
              <w:bottom w:val="single" w:sz="4" w:space="0" w:color="auto"/>
              <w:right w:val="single" w:sz="4" w:space="0" w:color="auto"/>
            </w:tcBorders>
            <w:vAlign w:val="center"/>
            <w:hideMark/>
          </w:tcPr>
          <w:p w14:paraId="4399BCFC" w14:textId="77777777" w:rsidR="0081419C" w:rsidRPr="0081419C" w:rsidRDefault="0081419C" w:rsidP="0081419C">
            <w:r w:rsidRPr="0081419C">
              <w:t>Internal business processes</w:t>
            </w:r>
          </w:p>
        </w:tc>
        <w:tc>
          <w:tcPr>
            <w:tcW w:w="2155" w:type="dxa"/>
            <w:tcBorders>
              <w:top w:val="single" w:sz="4" w:space="0" w:color="auto"/>
              <w:left w:val="single" w:sz="4" w:space="0" w:color="auto"/>
              <w:bottom w:val="single" w:sz="4" w:space="0" w:color="auto"/>
              <w:right w:val="single" w:sz="4" w:space="0" w:color="auto"/>
            </w:tcBorders>
            <w:vAlign w:val="center"/>
            <w:hideMark/>
          </w:tcPr>
          <w:p w14:paraId="7BF3E3EA" w14:textId="77777777" w:rsidR="0081419C" w:rsidRPr="0081419C" w:rsidRDefault="0081419C" w:rsidP="0081419C">
            <w:proofErr w:type="spellStart"/>
            <w:r w:rsidRPr="0081419C">
              <w:t>Stabilise</w:t>
            </w:r>
            <w:proofErr w:type="spellEnd"/>
            <w:r w:rsidRPr="0081419C">
              <w:t xml:space="preserve"> production ramp-up without quality erosion</w:t>
            </w:r>
          </w:p>
        </w:tc>
        <w:tc>
          <w:tcPr>
            <w:tcW w:w="1933" w:type="dxa"/>
            <w:tcBorders>
              <w:top w:val="single" w:sz="4" w:space="0" w:color="auto"/>
              <w:left w:val="single" w:sz="4" w:space="0" w:color="auto"/>
              <w:bottom w:val="single" w:sz="4" w:space="0" w:color="auto"/>
              <w:right w:val="single" w:sz="4" w:space="0" w:color="auto"/>
            </w:tcBorders>
            <w:vAlign w:val="center"/>
            <w:hideMark/>
          </w:tcPr>
          <w:p w14:paraId="567B7614" w14:textId="77777777" w:rsidR="0081419C" w:rsidRPr="0081419C" w:rsidRDefault="0081419C" w:rsidP="0081419C">
            <w:r w:rsidRPr="0081419C">
              <w:t>Engine availability; work-in-progress dwell time; quality escapes; industrial cycle time</w:t>
            </w:r>
          </w:p>
        </w:tc>
        <w:tc>
          <w:tcPr>
            <w:tcW w:w="1574" w:type="dxa"/>
            <w:tcBorders>
              <w:top w:val="single" w:sz="4" w:space="0" w:color="auto"/>
              <w:left w:val="single" w:sz="4" w:space="0" w:color="auto"/>
              <w:bottom w:val="single" w:sz="4" w:space="0" w:color="auto"/>
              <w:right w:val="single" w:sz="4" w:space="0" w:color="auto"/>
            </w:tcBorders>
            <w:vAlign w:val="center"/>
            <w:hideMark/>
          </w:tcPr>
          <w:p w14:paraId="596DB0A9" w14:textId="77777777" w:rsidR="0081419C" w:rsidRPr="0081419C" w:rsidRDefault="0081419C" w:rsidP="0081419C">
            <w:r w:rsidRPr="0081419C">
              <w:t>Reduce parked aircraft and late-stage bottlenecks materially year on year</w:t>
            </w:r>
          </w:p>
        </w:tc>
        <w:tc>
          <w:tcPr>
            <w:tcW w:w="2157" w:type="dxa"/>
            <w:tcBorders>
              <w:top w:val="single" w:sz="4" w:space="0" w:color="auto"/>
              <w:left w:val="single" w:sz="4" w:space="0" w:color="auto"/>
              <w:bottom w:val="single" w:sz="4" w:space="0" w:color="auto"/>
              <w:right w:val="single" w:sz="4" w:space="0" w:color="auto"/>
            </w:tcBorders>
            <w:vAlign w:val="center"/>
            <w:hideMark/>
          </w:tcPr>
          <w:p w14:paraId="601F239A" w14:textId="77777777" w:rsidR="0081419C" w:rsidRPr="0081419C" w:rsidRDefault="0081419C" w:rsidP="0081419C">
            <w:r w:rsidRPr="0081419C">
              <w:t>Dual sourcing where feasible; digital supply visibility; program governance escalation; factory automation</w:t>
            </w:r>
          </w:p>
        </w:tc>
      </w:tr>
      <w:tr w:rsidR="0081419C" w:rsidRPr="0081419C" w14:paraId="7CB781CA" w14:textId="77777777" w:rsidTr="00101B38">
        <w:trPr>
          <w:jc w:val="center"/>
        </w:trPr>
        <w:tc>
          <w:tcPr>
            <w:tcW w:w="1531" w:type="dxa"/>
            <w:tcBorders>
              <w:top w:val="single" w:sz="4" w:space="0" w:color="auto"/>
              <w:left w:val="single" w:sz="4" w:space="0" w:color="auto"/>
              <w:bottom w:val="single" w:sz="4" w:space="0" w:color="auto"/>
              <w:right w:val="single" w:sz="4" w:space="0" w:color="auto"/>
            </w:tcBorders>
            <w:vAlign w:val="center"/>
            <w:hideMark/>
          </w:tcPr>
          <w:p w14:paraId="5FFCF5B0" w14:textId="77777777" w:rsidR="0081419C" w:rsidRPr="0081419C" w:rsidRDefault="0081419C" w:rsidP="0081419C">
            <w:r w:rsidRPr="0081419C">
              <w:lastRenderedPageBreak/>
              <w:t>Learning and growth</w:t>
            </w:r>
          </w:p>
        </w:tc>
        <w:tc>
          <w:tcPr>
            <w:tcW w:w="2155" w:type="dxa"/>
            <w:tcBorders>
              <w:top w:val="single" w:sz="4" w:space="0" w:color="auto"/>
              <w:left w:val="single" w:sz="4" w:space="0" w:color="auto"/>
              <w:bottom w:val="single" w:sz="4" w:space="0" w:color="auto"/>
              <w:right w:val="single" w:sz="4" w:space="0" w:color="auto"/>
            </w:tcBorders>
            <w:vAlign w:val="center"/>
            <w:hideMark/>
          </w:tcPr>
          <w:p w14:paraId="066A4F03" w14:textId="77777777" w:rsidR="0081419C" w:rsidRPr="0081419C" w:rsidRDefault="0081419C" w:rsidP="0081419C">
            <w:r w:rsidRPr="0081419C">
              <w:t>Build capabilities in sustainable propulsion, digital engineering and resilient leadership</w:t>
            </w:r>
          </w:p>
        </w:tc>
        <w:tc>
          <w:tcPr>
            <w:tcW w:w="1933" w:type="dxa"/>
            <w:tcBorders>
              <w:top w:val="single" w:sz="4" w:space="0" w:color="auto"/>
              <w:left w:val="single" w:sz="4" w:space="0" w:color="auto"/>
              <w:bottom w:val="single" w:sz="4" w:space="0" w:color="auto"/>
              <w:right w:val="single" w:sz="4" w:space="0" w:color="auto"/>
            </w:tcBorders>
            <w:vAlign w:val="center"/>
            <w:hideMark/>
          </w:tcPr>
          <w:p w14:paraId="3765D30C" w14:textId="77777777" w:rsidR="0081419C" w:rsidRPr="0081419C" w:rsidRDefault="0081419C" w:rsidP="0081419C">
            <w:r w:rsidRPr="0081419C">
              <w:t>R&amp;D productivity; critical-skill retention; digital adoption; safety and compliance training coverage</w:t>
            </w:r>
          </w:p>
        </w:tc>
        <w:tc>
          <w:tcPr>
            <w:tcW w:w="1574" w:type="dxa"/>
            <w:tcBorders>
              <w:top w:val="single" w:sz="4" w:space="0" w:color="auto"/>
              <w:left w:val="single" w:sz="4" w:space="0" w:color="auto"/>
              <w:bottom w:val="single" w:sz="4" w:space="0" w:color="auto"/>
              <w:right w:val="single" w:sz="4" w:space="0" w:color="auto"/>
            </w:tcBorders>
            <w:vAlign w:val="center"/>
            <w:hideMark/>
          </w:tcPr>
          <w:p w14:paraId="585E4C99" w14:textId="77777777" w:rsidR="0081419C" w:rsidRPr="0081419C" w:rsidRDefault="0081419C" w:rsidP="0081419C">
            <w:r w:rsidRPr="0081419C">
              <w:t>Strengthen capability pipeline for hydrogen, SAF, cyber and systems engineering</w:t>
            </w:r>
          </w:p>
        </w:tc>
        <w:tc>
          <w:tcPr>
            <w:tcW w:w="2157" w:type="dxa"/>
            <w:tcBorders>
              <w:top w:val="single" w:sz="4" w:space="0" w:color="auto"/>
              <w:left w:val="single" w:sz="4" w:space="0" w:color="auto"/>
              <w:bottom w:val="single" w:sz="4" w:space="0" w:color="auto"/>
              <w:right w:val="single" w:sz="4" w:space="0" w:color="auto"/>
            </w:tcBorders>
            <w:vAlign w:val="center"/>
            <w:hideMark/>
          </w:tcPr>
          <w:p w14:paraId="34AD703C" w14:textId="77777777" w:rsidR="0081419C" w:rsidRPr="0081419C" w:rsidRDefault="0081419C" w:rsidP="0081419C">
            <w:r w:rsidRPr="0081419C">
              <w:t>Targeted capability academies; supplier collaboration labs; cross-segment technology transfer; leadership development</w:t>
            </w:r>
          </w:p>
        </w:tc>
      </w:tr>
    </w:tbl>
    <w:p w14:paraId="093A1F63" w14:textId="44597A74" w:rsidR="0081419C" w:rsidRPr="0081419C" w:rsidRDefault="00101B38" w:rsidP="0081419C">
      <w:r w:rsidRPr="00101B38">
        <w:t xml:space="preserve">The financial approach cannot be narrowed down to yearly increase in revenue. The strategic finance issue facing Airbus is to maintain the cash flow and control the increases in capital rates which are capital-intensive, inventory risk and investment in future technologies. Customer vision is also very important since aircraft customers are interested in schedule reliability, quality of support and mission readiness at least as much as list-price rhetoric. The priorities in the internal processes should then be on </w:t>
      </w:r>
      <w:proofErr w:type="spellStart"/>
      <w:r w:rsidRPr="00101B38">
        <w:t>synchronisation</w:t>
      </w:r>
      <w:proofErr w:type="spellEnd"/>
      <w:r w:rsidRPr="00101B38">
        <w:t xml:space="preserve"> of suppliers, industrial flow and quality assurance. The last reason is learning and growth since competition in aerospace is cumulative. Airbus will need to refresh its competencies in digital engineering, alternative propulsion, cyber resilience and systems leadership and maintain the culture of safety needed in a highly-regulated industry.</w:t>
      </w:r>
    </w:p>
    <w:p w14:paraId="15D2C9F9" w14:textId="3822BF69" w:rsidR="0081419C" w:rsidRPr="0081419C" w:rsidRDefault="0081419C" w:rsidP="0081419C">
      <w:r w:rsidRPr="0081419C">
        <w:rPr>
          <w:noProof/>
        </w:rPr>
        <w:lastRenderedPageBreak/>
        <w:drawing>
          <wp:inline distT="0" distB="0" distL="0" distR="0" wp14:anchorId="25B399D5" wp14:editId="301D31A4">
            <wp:extent cx="5943600" cy="3419475"/>
            <wp:effectExtent l="0" t="0" r="0" b="9525"/>
            <wp:docPr id="6367627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419475"/>
                    </a:xfrm>
                    <a:prstGeom prst="rect">
                      <a:avLst/>
                    </a:prstGeom>
                    <a:noFill/>
                    <a:ln>
                      <a:noFill/>
                    </a:ln>
                  </pic:spPr>
                </pic:pic>
              </a:graphicData>
            </a:graphic>
          </wp:inline>
        </w:drawing>
      </w:r>
    </w:p>
    <w:p w14:paraId="529B00FD" w14:textId="77777777" w:rsidR="0081419C" w:rsidRPr="0081419C" w:rsidRDefault="0081419C" w:rsidP="0081419C">
      <w:pPr>
        <w:jc w:val="center"/>
        <w:rPr>
          <w:i/>
          <w:sz w:val="22"/>
          <w:szCs w:val="20"/>
        </w:rPr>
      </w:pPr>
      <w:r w:rsidRPr="0081419C">
        <w:rPr>
          <w:i/>
          <w:sz w:val="22"/>
          <w:szCs w:val="20"/>
        </w:rPr>
        <w:t xml:space="preserve">Figure 4. Airbus commercial aircraft deliveries by </w:t>
      </w:r>
      <w:proofErr w:type="spellStart"/>
      <w:r w:rsidRPr="0081419C">
        <w:rPr>
          <w:i/>
          <w:sz w:val="22"/>
          <w:szCs w:val="20"/>
        </w:rPr>
        <w:t>programme</w:t>
      </w:r>
      <w:proofErr w:type="spellEnd"/>
      <w:r w:rsidRPr="0081419C">
        <w:rPr>
          <w:i/>
          <w:sz w:val="22"/>
          <w:szCs w:val="20"/>
        </w:rPr>
        <w:t>, FY2024 and FY2025. Source: compiled from Airbus (2025b) and Airbus (2026a).</w:t>
      </w:r>
    </w:p>
    <w:p w14:paraId="1F81D835" w14:textId="77777777" w:rsidR="0081419C" w:rsidRPr="0081419C" w:rsidRDefault="0081419C" w:rsidP="0081419C">
      <w:pPr>
        <w:pStyle w:val="Heading2"/>
        <w:numPr>
          <w:ilvl w:val="0"/>
          <w:numId w:val="0"/>
        </w:numPr>
      </w:pPr>
      <w:bookmarkStart w:id="6" w:name="_Toc224607658"/>
      <w:r w:rsidRPr="0081419C">
        <w:t>2.5 Strategic choices and implementation</w:t>
      </w:r>
      <w:bookmarkEnd w:id="6"/>
    </w:p>
    <w:p w14:paraId="230E5A6C" w14:textId="77777777" w:rsidR="00101B38" w:rsidRDefault="00101B38" w:rsidP="00101B38">
      <w:r>
        <w:t xml:space="preserve">Airbus in general adheres to a differentiated value strategy, as opposed to cost leadership, at the business level. Aircraft are not purchased by airlines and governmental customers the same way as the </w:t>
      </w:r>
      <w:proofErr w:type="spellStart"/>
      <w:r>
        <w:t>commoditised</w:t>
      </w:r>
      <w:proofErr w:type="spellEnd"/>
      <w:r>
        <w:t xml:space="preserve"> products are purchased by consumers. Airbus competes on the economics of operation, technological believability, safety, commonality of fleet and depth of service platforms. The differentiated efficiency characteristic of its narrowbody franchise is exhibited in the following way: the product is desirable not because it is the cheapest asset in absolute terms, but because it is expected to operate in better whole-life economics and provide more flexibility to many operators in their networks.</w:t>
      </w:r>
    </w:p>
    <w:p w14:paraId="78AFB766" w14:textId="77777777" w:rsidR="00101B38" w:rsidRDefault="00101B38" w:rsidP="00101B38">
      <w:r>
        <w:t xml:space="preserve">At corporate level, Airbus is engaged in related diversification and not unrelated expansion. Helicopters, </w:t>
      </w:r>
      <w:proofErr w:type="spellStart"/>
      <w:r>
        <w:t>defence</w:t>
      </w:r>
      <w:proofErr w:type="spellEnd"/>
      <w:r>
        <w:t xml:space="preserve"> and space continue to offer strategic diversification to commercial aircraft, which have remained the economic </w:t>
      </w:r>
      <w:proofErr w:type="spellStart"/>
      <w:r>
        <w:t>centre</w:t>
      </w:r>
      <w:proofErr w:type="spellEnd"/>
      <w:r>
        <w:t xml:space="preserve"> of gravity in the </w:t>
      </w:r>
      <w:proofErr w:type="spellStart"/>
      <w:r>
        <w:t>neighbouring</w:t>
      </w:r>
      <w:proofErr w:type="spellEnd"/>
      <w:r>
        <w:t xml:space="preserve"> technological and institutional space. This is better than diversification that is not related since it enables the Airbus </w:t>
      </w:r>
      <w:r>
        <w:lastRenderedPageBreak/>
        <w:t xml:space="preserve">to move engineering expertise, systems integration habits, digital skills and purchasing power across segments. The recent increase in European </w:t>
      </w:r>
      <w:proofErr w:type="spellStart"/>
      <w:r>
        <w:t>defence</w:t>
      </w:r>
      <w:proofErr w:type="spellEnd"/>
      <w:r>
        <w:t xml:space="preserve"> demand underlines the worth of that structure especially in the event that the commercial section experiences industrial bottlenecks or trade friction (Reuters, 2025d; Reuters, 2026c).</w:t>
      </w:r>
    </w:p>
    <w:p w14:paraId="081BBFEA" w14:textId="77777777" w:rsidR="00101B38" w:rsidRDefault="00101B38" w:rsidP="00101B38">
      <w:r>
        <w:t xml:space="preserve">The most appealing strategic option of Airbus is not the radical shift of course but a selective reinforcement of two positions. The former is controlled growth in commercial aircraft by execution-based differentiation: enhance reliability, safeguard the A320-family franchise and expand services without exaggerating production rates. The second is to enhance corporate advantage through two civil-military capabilities, particularly where </w:t>
      </w:r>
      <w:proofErr w:type="spellStart"/>
      <w:r>
        <w:t>defence</w:t>
      </w:r>
      <w:proofErr w:type="spellEnd"/>
      <w:r>
        <w:t>, satellites, secure communications and systems integration is advantaged by increasing European strategic autonomy issues. However, making a regrettable decision that ignores the fact that hydrogen needs to establish fundamental links among its market competitors before it can proceed with its initial development would be inappropriate. It would consume management time without generating justifiable short-term returns.</w:t>
      </w:r>
    </w:p>
    <w:p w14:paraId="2B9E313A" w14:textId="77777777" w:rsidR="00101B38" w:rsidRDefault="00101B38" w:rsidP="00101B38">
      <w:r>
        <w:t xml:space="preserve">Airbus has had an ambivalent but not a weak change management. The company has been shown to be able to transform in a strategic way, such as expanding its sustainability agenda, reinforcing </w:t>
      </w:r>
      <w:proofErr w:type="spellStart"/>
      <w:r>
        <w:t>digitalisation</w:t>
      </w:r>
      <w:proofErr w:type="spellEnd"/>
      <w:r>
        <w:t xml:space="preserve"> and responding to </w:t>
      </w:r>
      <w:proofErr w:type="spellStart"/>
      <w:r>
        <w:t>defence</w:t>
      </w:r>
      <w:proofErr w:type="spellEnd"/>
      <w:r>
        <w:t xml:space="preserve">-space performance. However where supplier ecosystems are concerned it has been more difficult with operational change. It was reported by Reuters that there were persistent disagreements and confusion over Pratt and Whitney engine assignments, and Airbus itself </w:t>
      </w:r>
      <w:proofErr w:type="spellStart"/>
      <w:r>
        <w:t>realised</w:t>
      </w:r>
      <w:proofErr w:type="spellEnd"/>
      <w:r>
        <w:t xml:space="preserve"> a more wary course of the narrowbody ramp-up (Reuters, 2026a; Reuters, 2026b). This implies that the quality of implementation is more robust within the perimeter of the direct </w:t>
      </w:r>
      <w:proofErr w:type="spellStart"/>
      <w:r>
        <w:t>organisational</w:t>
      </w:r>
      <w:proofErr w:type="spellEnd"/>
      <w:r>
        <w:t xml:space="preserve"> structure of Airbus than the external supply chain. This difference is important since massive industrial change is more heavily reliant on ecosystem coordination, as well as internal leadership.</w:t>
      </w:r>
    </w:p>
    <w:p w14:paraId="55CC8736" w14:textId="6ED340E7" w:rsidR="0081419C" w:rsidRPr="0081419C" w:rsidRDefault="00101B38" w:rsidP="00101B38">
      <w:r>
        <w:t xml:space="preserve">Altogether, Airbus has been more effective in change management at strategic framing level than at industrial </w:t>
      </w:r>
      <w:proofErr w:type="spellStart"/>
      <w:r>
        <w:t>synchronisation</w:t>
      </w:r>
      <w:proofErr w:type="spellEnd"/>
      <w:r>
        <w:t xml:space="preserve"> level. It has not been unable to identify the right priorities. The problem is transforming such priorities into reliable cross-firm implementation. Strategic-management wise, there is no so much to do in making decisions related to which destination to </w:t>
      </w:r>
      <w:r>
        <w:lastRenderedPageBreak/>
        <w:t>be chosen, but rather it is a question of establishing the adaptive routines, buffers and governance that render delivery credible in the face of uncertainty.</w:t>
      </w:r>
    </w:p>
    <w:p w14:paraId="226C103D" w14:textId="77777777" w:rsidR="0081419C" w:rsidRPr="0081419C" w:rsidRDefault="0081419C" w:rsidP="0081419C">
      <w:pPr>
        <w:pStyle w:val="Heading2"/>
        <w:numPr>
          <w:ilvl w:val="0"/>
          <w:numId w:val="0"/>
        </w:numPr>
      </w:pPr>
      <w:bookmarkStart w:id="7" w:name="_Toc224607659"/>
      <w:r w:rsidRPr="0081419C">
        <w:t>2.6 Strategic evaluation and recommendations</w:t>
      </w:r>
      <w:bookmarkEnd w:id="7"/>
    </w:p>
    <w:p w14:paraId="26B7C409" w14:textId="574212E7" w:rsidR="0081419C" w:rsidRDefault="00101B38" w:rsidP="0081419C">
      <w:r w:rsidRPr="00101B38">
        <w:t xml:space="preserve">These two models of SWOT and Ansoff present an advantageous framework on which to assess the present Airbus strategy. The commercial backlog, A320-family competitive position, services relationships, broad engineering capability and adjacent </w:t>
      </w:r>
      <w:proofErr w:type="spellStart"/>
      <w:r w:rsidRPr="00101B38">
        <w:t>defence</w:t>
      </w:r>
      <w:proofErr w:type="spellEnd"/>
      <w:r w:rsidRPr="00101B38">
        <w:t xml:space="preserve">-space portfolio are the strongest ones. Supplier dependence, ramp fragility and the inability to turn the sustainability ambition into the near-term industrial reality are the primary weaknesses. Such opportunities are multi-decade fleet renewal, increased </w:t>
      </w:r>
      <w:proofErr w:type="spellStart"/>
      <w:r w:rsidRPr="00101B38">
        <w:t>defence</w:t>
      </w:r>
      <w:proofErr w:type="spellEnd"/>
      <w:r w:rsidRPr="00101B38">
        <w:t xml:space="preserve"> demand in Europe, digital service revenues and more efficient new-generation aircraft. The threats are the chronic shortage of engines, disruption in trade, regulatory pressure on aviation emissions and competitor recovery, in particular, in case the operational </w:t>
      </w:r>
      <w:proofErr w:type="spellStart"/>
      <w:r w:rsidRPr="00101B38">
        <w:t>stabilisation</w:t>
      </w:r>
      <w:proofErr w:type="spellEnd"/>
      <w:r w:rsidRPr="00101B38">
        <w:t xml:space="preserve"> of Boeing is carried out further</w:t>
      </w:r>
      <w:r w:rsidR="0081419C" w:rsidRPr="0081419C">
        <w:t>.</w:t>
      </w:r>
    </w:p>
    <w:p w14:paraId="75BCD2E0" w14:textId="749B38EB" w:rsidR="0081419C" w:rsidRPr="0081419C" w:rsidRDefault="0081419C" w:rsidP="0081419C">
      <w:r w:rsidRPr="0081419C">
        <w:rPr>
          <w:b/>
          <w:bCs/>
        </w:rPr>
        <w:t>Table 4.</w:t>
      </w:r>
      <w:r w:rsidRPr="0081419C">
        <w:t xml:space="preserve"> Airbus SWOT summary. Source: author’s evaluation based on Airbus (2026a; 2026b), Boeing (2026) and Reuters sources.</w:t>
      </w:r>
    </w:p>
    <w:tbl>
      <w:tblPr>
        <w:tblStyle w:val="TableGrid"/>
        <w:tblW w:w="0" w:type="auto"/>
        <w:jc w:val="center"/>
        <w:tblLook w:val="04A0" w:firstRow="1" w:lastRow="0" w:firstColumn="1" w:lastColumn="0" w:noHBand="0" w:noVBand="1"/>
      </w:tblPr>
      <w:tblGrid>
        <w:gridCol w:w="1701"/>
        <w:gridCol w:w="7087"/>
      </w:tblGrid>
      <w:tr w:rsidR="0081419C" w:rsidRPr="0081419C" w14:paraId="440E96A2" w14:textId="77777777">
        <w:trPr>
          <w:jc w:val="center"/>
        </w:trPr>
        <w:tc>
          <w:tcPr>
            <w:tcW w:w="1701"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72E858DF" w14:textId="77777777" w:rsidR="0081419C" w:rsidRPr="0081419C" w:rsidRDefault="0081419C" w:rsidP="0081419C">
            <w:r w:rsidRPr="0081419C">
              <w:rPr>
                <w:b/>
              </w:rPr>
              <w:t>Dimension</w:t>
            </w:r>
          </w:p>
        </w:tc>
        <w:tc>
          <w:tcPr>
            <w:tcW w:w="7087" w:type="dxa"/>
            <w:tcBorders>
              <w:top w:val="single" w:sz="4" w:space="0" w:color="auto"/>
              <w:left w:val="single" w:sz="4" w:space="0" w:color="auto"/>
              <w:bottom w:val="single" w:sz="4" w:space="0" w:color="auto"/>
              <w:right w:val="single" w:sz="4" w:space="0" w:color="auto"/>
            </w:tcBorders>
            <w:shd w:val="clear" w:color="auto" w:fill="D9E2F3"/>
            <w:vAlign w:val="center"/>
            <w:hideMark/>
          </w:tcPr>
          <w:p w14:paraId="56A6476A" w14:textId="77777777" w:rsidR="0081419C" w:rsidRPr="0081419C" w:rsidRDefault="0081419C" w:rsidP="0081419C">
            <w:r w:rsidRPr="0081419C">
              <w:rPr>
                <w:b/>
              </w:rPr>
              <w:t>Priority judgement</w:t>
            </w:r>
          </w:p>
        </w:tc>
      </w:tr>
      <w:tr w:rsidR="0081419C" w:rsidRPr="0081419C" w14:paraId="5F5E51C7"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7EB5989E" w14:textId="77777777" w:rsidR="0081419C" w:rsidRPr="0081419C" w:rsidRDefault="0081419C" w:rsidP="0081419C">
            <w:r w:rsidRPr="0081419C">
              <w:t>Strengths</w:t>
            </w:r>
          </w:p>
        </w:tc>
        <w:tc>
          <w:tcPr>
            <w:tcW w:w="7087" w:type="dxa"/>
            <w:tcBorders>
              <w:top w:val="single" w:sz="4" w:space="0" w:color="auto"/>
              <w:left w:val="single" w:sz="4" w:space="0" w:color="auto"/>
              <w:bottom w:val="single" w:sz="4" w:space="0" w:color="auto"/>
              <w:right w:val="single" w:sz="4" w:space="0" w:color="auto"/>
            </w:tcBorders>
            <w:vAlign w:val="center"/>
            <w:hideMark/>
          </w:tcPr>
          <w:p w14:paraId="17ACE873" w14:textId="77777777" w:rsidR="0081419C" w:rsidRPr="0081419C" w:rsidRDefault="0081419C" w:rsidP="0081419C">
            <w:r w:rsidRPr="0081419C">
              <w:t>Narrowbody franchise, services lock-in, engineering depth, diversified aerospace portfolio, strong order visibility</w:t>
            </w:r>
          </w:p>
        </w:tc>
      </w:tr>
      <w:tr w:rsidR="0081419C" w:rsidRPr="0081419C" w14:paraId="7448FFA5"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40741C81" w14:textId="77777777" w:rsidR="0081419C" w:rsidRPr="0081419C" w:rsidRDefault="0081419C" w:rsidP="0081419C">
            <w:r w:rsidRPr="0081419C">
              <w:t>Weaknesses</w:t>
            </w:r>
          </w:p>
        </w:tc>
        <w:tc>
          <w:tcPr>
            <w:tcW w:w="7087" w:type="dxa"/>
            <w:tcBorders>
              <w:top w:val="single" w:sz="4" w:space="0" w:color="auto"/>
              <w:left w:val="single" w:sz="4" w:space="0" w:color="auto"/>
              <w:bottom w:val="single" w:sz="4" w:space="0" w:color="auto"/>
              <w:right w:val="single" w:sz="4" w:space="0" w:color="auto"/>
            </w:tcBorders>
            <w:vAlign w:val="center"/>
            <w:hideMark/>
          </w:tcPr>
          <w:p w14:paraId="41765934" w14:textId="77777777" w:rsidR="0081419C" w:rsidRPr="0081419C" w:rsidRDefault="0081419C" w:rsidP="0081419C">
            <w:r w:rsidRPr="0081419C">
              <w:t xml:space="preserve">Supplier bottlenecks, execution sensitivity at higher production rates, delayed hydrogen </w:t>
            </w:r>
            <w:proofErr w:type="spellStart"/>
            <w:r w:rsidRPr="0081419C">
              <w:t>commercialisation</w:t>
            </w:r>
            <w:proofErr w:type="spellEnd"/>
            <w:r w:rsidRPr="0081419C">
              <w:t>, portfolio complexity</w:t>
            </w:r>
          </w:p>
        </w:tc>
      </w:tr>
      <w:tr w:rsidR="0081419C" w:rsidRPr="0081419C" w14:paraId="3C64D424"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2F846264" w14:textId="77777777" w:rsidR="0081419C" w:rsidRPr="0081419C" w:rsidRDefault="0081419C" w:rsidP="0081419C">
            <w:r w:rsidRPr="0081419C">
              <w:t>Opportunities</w:t>
            </w:r>
          </w:p>
        </w:tc>
        <w:tc>
          <w:tcPr>
            <w:tcW w:w="7087" w:type="dxa"/>
            <w:tcBorders>
              <w:top w:val="single" w:sz="4" w:space="0" w:color="auto"/>
              <w:left w:val="single" w:sz="4" w:space="0" w:color="auto"/>
              <w:bottom w:val="single" w:sz="4" w:space="0" w:color="auto"/>
              <w:right w:val="single" w:sz="4" w:space="0" w:color="auto"/>
            </w:tcBorders>
            <w:vAlign w:val="center"/>
            <w:hideMark/>
          </w:tcPr>
          <w:p w14:paraId="04BF5D24" w14:textId="77777777" w:rsidR="0081419C" w:rsidRPr="0081419C" w:rsidRDefault="0081419C" w:rsidP="0081419C">
            <w:r w:rsidRPr="0081419C">
              <w:t xml:space="preserve">Fleet replacement for efficiency, </w:t>
            </w:r>
            <w:proofErr w:type="spellStart"/>
            <w:r w:rsidRPr="0081419C">
              <w:t>defence</w:t>
            </w:r>
            <w:proofErr w:type="spellEnd"/>
            <w:r w:rsidRPr="0081419C">
              <w:t>-spending growth, digital services, sustainability-led product renewal</w:t>
            </w:r>
          </w:p>
        </w:tc>
      </w:tr>
      <w:tr w:rsidR="0081419C" w:rsidRPr="0081419C" w14:paraId="160A7F15" w14:textId="77777777">
        <w:trPr>
          <w:jc w:val="center"/>
        </w:trPr>
        <w:tc>
          <w:tcPr>
            <w:tcW w:w="1701" w:type="dxa"/>
            <w:tcBorders>
              <w:top w:val="single" w:sz="4" w:space="0" w:color="auto"/>
              <w:left w:val="single" w:sz="4" w:space="0" w:color="auto"/>
              <w:bottom w:val="single" w:sz="4" w:space="0" w:color="auto"/>
              <w:right w:val="single" w:sz="4" w:space="0" w:color="auto"/>
            </w:tcBorders>
            <w:vAlign w:val="center"/>
            <w:hideMark/>
          </w:tcPr>
          <w:p w14:paraId="032B4D69" w14:textId="77777777" w:rsidR="0081419C" w:rsidRPr="0081419C" w:rsidRDefault="0081419C" w:rsidP="0081419C">
            <w:r w:rsidRPr="0081419C">
              <w:t>Threats</w:t>
            </w:r>
          </w:p>
        </w:tc>
        <w:tc>
          <w:tcPr>
            <w:tcW w:w="7087" w:type="dxa"/>
            <w:tcBorders>
              <w:top w:val="single" w:sz="4" w:space="0" w:color="auto"/>
              <w:left w:val="single" w:sz="4" w:space="0" w:color="auto"/>
              <w:bottom w:val="single" w:sz="4" w:space="0" w:color="auto"/>
              <w:right w:val="single" w:sz="4" w:space="0" w:color="auto"/>
            </w:tcBorders>
            <w:vAlign w:val="center"/>
            <w:hideMark/>
          </w:tcPr>
          <w:p w14:paraId="2F4570F0" w14:textId="77777777" w:rsidR="0081419C" w:rsidRPr="0081419C" w:rsidRDefault="0081419C" w:rsidP="0081419C">
            <w:r w:rsidRPr="0081419C">
              <w:t xml:space="preserve">Engine shortages, trade and tariff tension, </w:t>
            </w:r>
            <w:proofErr w:type="spellStart"/>
            <w:r w:rsidRPr="0081419C">
              <w:t>decarbonisation</w:t>
            </w:r>
            <w:proofErr w:type="spellEnd"/>
            <w:r w:rsidRPr="0081419C">
              <w:t xml:space="preserve"> credibility gap, Boeing recovery, </w:t>
            </w:r>
            <w:proofErr w:type="spellStart"/>
            <w:r w:rsidRPr="0081419C">
              <w:t>programme</w:t>
            </w:r>
            <w:proofErr w:type="spellEnd"/>
            <w:r w:rsidRPr="0081419C">
              <w:t xml:space="preserve"> overruns</w:t>
            </w:r>
          </w:p>
        </w:tc>
      </w:tr>
    </w:tbl>
    <w:p w14:paraId="31A05B9C" w14:textId="77777777" w:rsidR="00101B38" w:rsidRDefault="00101B38" w:rsidP="00101B38">
      <w:r>
        <w:t xml:space="preserve">Ansoff-wise, the existing strategy of Airbus is a combination of market penetration and associated product development. The purpose of commercial ramp-up is to gain more value out </w:t>
      </w:r>
      <w:r>
        <w:lastRenderedPageBreak/>
        <w:t>of the existing markets, whereas the purpose of A321XLR, SAF readiness and future propulsion research are the product development in the same broad area. Aerospace and security and systems integration are also related areas of diversification that are reflected in the corporate portfolio. The strategy is reasonable, yet this is not a sufficient criterion. The only thing that constrains performance now is not conceptual direction but the difference between strategic opportunity and execution capacity.</w:t>
      </w:r>
    </w:p>
    <w:p w14:paraId="6FE72D56" w14:textId="77777777" w:rsidR="00101B38" w:rsidRDefault="00101B38" w:rsidP="00101B38">
      <w:r>
        <w:t xml:space="preserve">This is followed by four recommendations. To begin with, Airbus needs to restructure supply-chain governance based on resilience, but not on nominal throughput alone. Supply-chain resilience research is progressively focusing on visibility, digital sensing, redundancy and adaptive decision structures, particularly in the case of large-scale disruption (Ali and </w:t>
      </w:r>
      <w:proofErr w:type="spellStart"/>
      <w:r>
        <w:t>Golgeci</w:t>
      </w:r>
      <w:proofErr w:type="spellEnd"/>
      <w:r>
        <w:t xml:space="preserve">, 2019; </w:t>
      </w:r>
      <w:proofErr w:type="spellStart"/>
      <w:r>
        <w:t>Shekarabi</w:t>
      </w:r>
      <w:proofErr w:type="spellEnd"/>
      <w:r>
        <w:t xml:space="preserve">, Kiani Mavi and Macau, 2025). In the case of Airbus it implies stricter early-warnings, risk-level groupings of suppliers, common data standards and selective buffering of parts of strategic importance. This is not aimed at creating inefficiency by piling up inventory massively but to </w:t>
      </w:r>
      <w:proofErr w:type="spellStart"/>
      <w:r>
        <w:t>minimise</w:t>
      </w:r>
      <w:proofErr w:type="spellEnd"/>
      <w:r>
        <w:t xml:space="preserve"> the value destruction due to late-stage stoppages.</w:t>
      </w:r>
    </w:p>
    <w:p w14:paraId="12C328E4" w14:textId="77777777" w:rsidR="00101B38" w:rsidRDefault="00101B38" w:rsidP="00101B38">
      <w:r>
        <w:t xml:space="preserve">Second, Airbus needs to consider services and lifecycle support as growth engine and not as a complement to platform sales. The logic behind this recommendation is resource based: installed fleet relationships are more difficult to duplicate than short term order campaigns and generate recurring revenue and customer stickiness and information advantage. In </w:t>
      </w:r>
      <w:proofErr w:type="spellStart"/>
      <w:r>
        <w:t>practise</w:t>
      </w:r>
      <w:proofErr w:type="spellEnd"/>
      <w:r>
        <w:t>, the long-lasting benefits of aerospace are usually found in embedding in the operating processes of the customers, not in winning launch contracts. An increase in digital maintenance, predictive analytics, and mission-ready service package would thus enhance the customer value and resilience.</w:t>
      </w:r>
    </w:p>
    <w:p w14:paraId="640474FD" w14:textId="77777777" w:rsidR="00101B38" w:rsidRDefault="00101B38" w:rsidP="00101B38">
      <w:r>
        <w:t xml:space="preserve">Third, Airbus ought to become more overt in its </w:t>
      </w:r>
      <w:proofErr w:type="spellStart"/>
      <w:r>
        <w:t>decarbonisation</w:t>
      </w:r>
      <w:proofErr w:type="spellEnd"/>
      <w:r>
        <w:t xml:space="preserve"> </w:t>
      </w:r>
      <w:proofErr w:type="spellStart"/>
      <w:r>
        <w:t>storey</w:t>
      </w:r>
      <w:proofErr w:type="spellEnd"/>
      <w:r>
        <w:t xml:space="preserve">. The company should use a series of actions to convey a pathway of effects, delivering on short to immediate reduction of emissions by renewing its fleet and scale-up of its operations; a reduction of </w:t>
      </w:r>
      <w:proofErr w:type="spellStart"/>
      <w:r>
        <w:t>decarbonisation</w:t>
      </w:r>
      <w:proofErr w:type="spellEnd"/>
      <w:r>
        <w:t xml:space="preserve"> should take place in the medium term instead of strategic retiring through a series of scale-ups of SAFs and ecosystem collaboration; and value of option flexibility in the long term should include hydrogen or other breakthrough technologies. This is more convincing than considering </w:t>
      </w:r>
      <w:r>
        <w:lastRenderedPageBreak/>
        <w:t xml:space="preserve">all the levers of </w:t>
      </w:r>
      <w:proofErr w:type="spellStart"/>
      <w:r>
        <w:t>decarbonisation</w:t>
      </w:r>
      <w:proofErr w:type="spellEnd"/>
      <w:r>
        <w:t xml:space="preserve"> as the same mature levers. The academic and industry data on SAF indicate that its scale-up will not be easy, yet it has one of the most accessible levers that can be used by aviation, both short-term and medium-term (Cui et al., 2024; ICAO, 2025; Reuters, 2025c).</w:t>
      </w:r>
    </w:p>
    <w:p w14:paraId="1A08F6AA" w14:textId="77777777" w:rsidR="00101B38" w:rsidRDefault="00101B38" w:rsidP="00101B38">
      <w:r>
        <w:t xml:space="preserve">Fourth, Airbus needs to tighten the strategy of integrating both commercial and </w:t>
      </w:r>
      <w:proofErr w:type="spellStart"/>
      <w:r>
        <w:t>defence</w:t>
      </w:r>
      <w:proofErr w:type="spellEnd"/>
      <w:r>
        <w:t xml:space="preserve">-space without losing responsibility. The increased European security need is an opportunity but the breadth of the portfolio can also lead to loss of focus in case corporate leadership perceives every </w:t>
      </w:r>
      <w:proofErr w:type="spellStart"/>
      <w:r>
        <w:t>neighbouring</w:t>
      </w:r>
      <w:proofErr w:type="spellEnd"/>
      <w:r>
        <w:t xml:space="preserve"> opportunity to be equally strategic. The preferable option entails disciplined relatedness: leverage over common digital, cyber, systems and engineering capabilities among businesses, without compromising distinct divisional performance ownership. This would increase the corporate-level synergies and without the recreation of the coordination overload that usually cripples diversified industrial groups.</w:t>
      </w:r>
    </w:p>
    <w:p w14:paraId="036BAB46" w14:textId="3AE792DE" w:rsidR="0081419C" w:rsidRPr="0081419C" w:rsidRDefault="00101B38" w:rsidP="00101B38">
      <w:r>
        <w:t xml:space="preserve">Combined, these suggestions are aimed at enhancing the strategy of Airbus, not by substituting the logic that it already follows, but by making it more practicable and more realistic in the face of uncertainty. Airbus already has a lot of the components of sustained competitive advantage. The second strategic test is that it is able to translate strength into consistency and demonstrate that aerospace growth, security relevance and </w:t>
      </w:r>
      <w:proofErr w:type="spellStart"/>
      <w:r>
        <w:t>decarbonisation</w:t>
      </w:r>
      <w:proofErr w:type="spellEnd"/>
      <w:r>
        <w:t xml:space="preserve"> can be co-promoted</w:t>
      </w:r>
      <w:r w:rsidR="0081419C" w:rsidRPr="0081419C">
        <w:t>.</w:t>
      </w:r>
    </w:p>
    <w:p w14:paraId="2765301E" w14:textId="77777777" w:rsidR="0081419C" w:rsidRDefault="0081419C">
      <w:pPr>
        <w:spacing w:after="160" w:line="278" w:lineRule="auto"/>
        <w:jc w:val="left"/>
        <w:rPr>
          <w:b/>
        </w:rPr>
      </w:pPr>
      <w:r>
        <w:rPr>
          <w:b/>
        </w:rPr>
        <w:br w:type="page"/>
      </w:r>
    </w:p>
    <w:p w14:paraId="5496445E" w14:textId="0B6E7402" w:rsidR="0081419C" w:rsidRPr="0081419C" w:rsidRDefault="0081419C" w:rsidP="0081419C">
      <w:pPr>
        <w:pStyle w:val="Heading1"/>
        <w:numPr>
          <w:ilvl w:val="0"/>
          <w:numId w:val="0"/>
        </w:numPr>
        <w:jc w:val="both"/>
      </w:pPr>
      <w:bookmarkStart w:id="8" w:name="_Toc224607660"/>
      <w:r w:rsidRPr="0081419C">
        <w:lastRenderedPageBreak/>
        <w:t>3. Section 2: Reflective account using Kolb’s learning cycle</w:t>
      </w:r>
      <w:bookmarkEnd w:id="8"/>
    </w:p>
    <w:p w14:paraId="23C99CDF" w14:textId="73E7E5C1" w:rsidR="0081419C" w:rsidRPr="0081419C" w:rsidRDefault="00101B38" w:rsidP="0081419C">
      <w:r w:rsidRPr="00101B38">
        <w:t xml:space="preserve">The learning cycle proposed by Kolb provides a practical means of considering the process of conducting research and writing this report since it focuses on learning as a process of movement between experience, reflection, </w:t>
      </w:r>
      <w:proofErr w:type="spellStart"/>
      <w:r w:rsidRPr="00101B38">
        <w:t>conceptualisation</w:t>
      </w:r>
      <w:proofErr w:type="spellEnd"/>
      <w:r w:rsidRPr="00101B38">
        <w:t xml:space="preserve"> and future action and not as a descriptive act. That is important in the work of strategic management. Not only was the task to gather information about Airbus, but to transform complex evidence into an </w:t>
      </w:r>
      <w:proofErr w:type="spellStart"/>
      <w:r w:rsidRPr="00101B38">
        <w:t>organised</w:t>
      </w:r>
      <w:proofErr w:type="spellEnd"/>
      <w:r w:rsidRPr="00101B38">
        <w:t xml:space="preserve"> managerial judgement</w:t>
      </w:r>
      <w:r w:rsidR="0081419C" w:rsidRPr="0081419C">
        <w:t>.</w:t>
      </w:r>
    </w:p>
    <w:p w14:paraId="0893DEDF" w14:textId="77777777" w:rsidR="0081419C" w:rsidRPr="0081419C" w:rsidRDefault="0081419C" w:rsidP="0081419C">
      <w:pPr>
        <w:pStyle w:val="Heading2"/>
        <w:numPr>
          <w:ilvl w:val="0"/>
          <w:numId w:val="0"/>
        </w:numPr>
      </w:pPr>
      <w:bookmarkStart w:id="9" w:name="_Toc224607661"/>
      <w:r w:rsidRPr="0081419C">
        <w:t>3.1 Concrete experience</w:t>
      </w:r>
      <w:bookmarkEnd w:id="9"/>
    </w:p>
    <w:p w14:paraId="3B858E19" w14:textId="77777777" w:rsidR="00101B38" w:rsidRDefault="00101B38" w:rsidP="00101B38">
      <w:r>
        <w:t>The tangible experience commenced with a practical problem: the company had to be strategically rich to enable critical analysis throughout the entire brief, yet at the same time be distinct enough in comparison with more widely selected consumer or technology companies. Airbus instantly proved to be appealing as it can be found in the nexus of commercial competition, sustainability, long cycle industrial performance and geopolitical exposure. The case however turned out to be trickier than anticipated once the research began. Airbus has a vast amount of official content, and a significant part of it is convincing corporate communication. Meanwhile, external reporting pays a lot of attention to the delivery races or headline conflicts every month, which may lead to wrong strategic judgement in isolation.</w:t>
      </w:r>
    </w:p>
    <w:p w14:paraId="5D705447" w14:textId="0DA91EBD" w:rsidR="0081419C" w:rsidRPr="0081419C" w:rsidRDefault="00101B38" w:rsidP="00101B38">
      <w:r>
        <w:t xml:space="preserve">The second tangible characteristic of the process was the necessity to operate on various time horizons at the same time. Other evidence was short term like 2026 coverage of engine delays and production targets. Other evidence was medium term, like revenue, backlog and portfolio structure in the 2025 results. Other evidence was long term, including the Global Market Forecast and the </w:t>
      </w:r>
      <w:proofErr w:type="spellStart"/>
      <w:r>
        <w:t>decarbonisation</w:t>
      </w:r>
      <w:proofErr w:type="spellEnd"/>
      <w:r>
        <w:t xml:space="preserve"> pathway of the aviation. The lesson on the assignment one of the earliest to be learned was thus that strategic analysis is undermined when all evidence is assumed to be of the same time horizon. Airbus will appear to be very safe with only backlog and forecast growth under focus, or very vulnerable with only supply bottlenecks under focus. The two impressions are partial.</w:t>
      </w:r>
    </w:p>
    <w:p w14:paraId="395E0F32" w14:textId="77777777" w:rsidR="0081419C" w:rsidRPr="0081419C" w:rsidRDefault="0081419C" w:rsidP="0081419C">
      <w:pPr>
        <w:pStyle w:val="Heading2"/>
        <w:numPr>
          <w:ilvl w:val="0"/>
          <w:numId w:val="0"/>
        </w:numPr>
      </w:pPr>
      <w:bookmarkStart w:id="10" w:name="_Toc224607662"/>
      <w:r w:rsidRPr="0081419C">
        <w:lastRenderedPageBreak/>
        <w:t>3.2 Reflective observation</w:t>
      </w:r>
      <w:bookmarkEnd w:id="10"/>
    </w:p>
    <w:p w14:paraId="507BB99C" w14:textId="77777777" w:rsidR="00101B38" w:rsidRDefault="00101B38" w:rsidP="00101B38">
      <w:r>
        <w:t>Looking back at the research process, the factor that was of the greatest significance was the initial choice to structure the evidence around a key strategic question as opposed to the headings on their own. The working question was: why is Airbus resilient and what are the current limitations to the transformation of this resilience into performance stability? The quality of section planning was enhanced by that question since the PESTEL, VRIO, Balanced Scorecard and recommendation sections became cumulative and not independent. Judgements made on external pressures could be based on the way it influenced execution. The internal resources might be evaluated based on their real inimitability. The Balanced Scorecard could then convert such diagnosis into managerial priorities.</w:t>
      </w:r>
    </w:p>
    <w:p w14:paraId="358C65C6" w14:textId="77777777" w:rsidR="00101B38" w:rsidRDefault="00101B38" w:rsidP="00101B38">
      <w:r>
        <w:t xml:space="preserve">The second advantageous aspect was the planned triangulation of the sources. Baseline facts, segment figures and commitments of the official Airbus disclosures; competitor contrast through Boeing reporting; independent external examination through Reuters reporting; and interpretative prism through academic theory were the source of baseline facts, segment figures, and public commitments. This combination </w:t>
      </w:r>
      <w:proofErr w:type="spellStart"/>
      <w:r>
        <w:t>minimised</w:t>
      </w:r>
      <w:proofErr w:type="spellEnd"/>
      <w:r>
        <w:t xml:space="preserve"> the chances of producing a report that would restate the narrative of the company. Reflectively, it was especially significant in the sustainability section. Airbus has a strong purpose-led </w:t>
      </w:r>
      <w:proofErr w:type="spellStart"/>
      <w:r>
        <w:t>storey</w:t>
      </w:r>
      <w:proofErr w:type="spellEnd"/>
      <w:r>
        <w:t>, which is why outside content about SAF shortage and hydrogen lateness allowed talking about this distinction between strategic gravity and implementation confidence.</w:t>
      </w:r>
    </w:p>
    <w:p w14:paraId="2BC48877" w14:textId="37B3033C" w:rsidR="0081419C" w:rsidRPr="0081419C" w:rsidRDefault="00101B38" w:rsidP="00101B38">
      <w:r>
        <w:t xml:space="preserve">Selectivity was the weaker side of the process. The aerospace strategy produces enormous volumes of potentially useful data: monthly deliveries, certifications, developments, satellite </w:t>
      </w:r>
      <w:proofErr w:type="spellStart"/>
      <w:r>
        <w:t>programmes</w:t>
      </w:r>
      <w:proofErr w:type="spellEnd"/>
      <w:r>
        <w:t xml:space="preserve">, airline orders, supplier disagreements and </w:t>
      </w:r>
      <w:proofErr w:type="spellStart"/>
      <w:r>
        <w:t>decarbonisation</w:t>
      </w:r>
      <w:proofErr w:type="spellEnd"/>
      <w:r>
        <w:t xml:space="preserve"> technologies. At first, I was taking more material than the report could put into good use. This created a danger of postgraduate writing: coverage without order. The turning point was when I </w:t>
      </w:r>
      <w:proofErr w:type="spellStart"/>
      <w:r>
        <w:t>realised</w:t>
      </w:r>
      <w:proofErr w:type="spellEnd"/>
      <w:r>
        <w:t xml:space="preserve"> that high marks would not be determined by the amount that could be included as much as the clarity with which I was able to </w:t>
      </w:r>
      <w:proofErr w:type="spellStart"/>
      <w:r>
        <w:t>prioritise</w:t>
      </w:r>
      <w:proofErr w:type="spellEnd"/>
      <w:r>
        <w:t xml:space="preserve"> issues that had the most significant bearing on competitive advantage and strategic implementation.</w:t>
      </w:r>
    </w:p>
    <w:p w14:paraId="2DB417BF" w14:textId="77777777" w:rsidR="0081419C" w:rsidRPr="0081419C" w:rsidRDefault="0081419C" w:rsidP="0081419C">
      <w:pPr>
        <w:pStyle w:val="Heading2"/>
        <w:numPr>
          <w:ilvl w:val="0"/>
          <w:numId w:val="0"/>
        </w:numPr>
      </w:pPr>
      <w:bookmarkStart w:id="11" w:name="_Toc224607663"/>
      <w:r w:rsidRPr="0081419C">
        <w:lastRenderedPageBreak/>
        <w:t xml:space="preserve">3.3 Abstract </w:t>
      </w:r>
      <w:proofErr w:type="spellStart"/>
      <w:r w:rsidRPr="0081419C">
        <w:t>conceptualisation</w:t>
      </w:r>
      <w:bookmarkEnd w:id="11"/>
      <w:proofErr w:type="spellEnd"/>
    </w:p>
    <w:p w14:paraId="7994A8A8" w14:textId="77777777" w:rsidR="00101B38" w:rsidRDefault="00101B38" w:rsidP="00101B38">
      <w:r>
        <w:t xml:space="preserve">The abstract-conceptual phase of the Kolb cycle poses the question of what are the general principles that can be deduced out of the experience. The first lesson I learned is that strategic frameworks can only be useful when they enhance judgement. PESTEL was not beneficial in that it enabled me to assign six types of external forces, but rather to differentiate between those forces that were most important to Airbus at this point, which are supply-chain execution, </w:t>
      </w:r>
      <w:proofErr w:type="spellStart"/>
      <w:r>
        <w:t>decarbonisation</w:t>
      </w:r>
      <w:proofErr w:type="spellEnd"/>
      <w:r>
        <w:t xml:space="preserve"> pressure and geopolitical-commercial complexity. VRIO came in handy not because it affirmed that Airbus had a great number of resources but because it compelled the identification of scalable strengths and simply aspirational or readily challengeable assets.</w:t>
      </w:r>
    </w:p>
    <w:p w14:paraId="57173023" w14:textId="77777777" w:rsidR="00101B38" w:rsidRDefault="00101B38" w:rsidP="00101B38">
      <w:r>
        <w:t xml:space="preserve">A second principle is associated with the </w:t>
      </w:r>
      <w:proofErr w:type="spellStart"/>
      <w:r>
        <w:t>connexion</w:t>
      </w:r>
      <w:proofErr w:type="spellEnd"/>
      <w:r>
        <w:t xml:space="preserve"> between competitive advantage and resilience. My pre-report assumptions were that resilience was primarily a defensive mechanism that assists firms to withstand shocks. Airbus case took me to the next level of knowledge. Resilience does not exist apart of benefit in industries where the product cycle is long and where the production process is safety-based. It belongs to the process of the creation and safeguarding of advantage. A backlog is only useful when there is the ability of the </w:t>
      </w:r>
      <w:proofErr w:type="spellStart"/>
      <w:r>
        <w:t>organisation</w:t>
      </w:r>
      <w:proofErr w:type="spellEnd"/>
      <w:r>
        <w:t xml:space="preserve"> to feed it. Technology leadership can only be considered credible in the event that it is supported by the supplier system, quality routines and </w:t>
      </w:r>
      <w:proofErr w:type="spellStart"/>
      <w:r>
        <w:t>organisational</w:t>
      </w:r>
      <w:proofErr w:type="spellEnd"/>
      <w:r>
        <w:t xml:space="preserve"> architecture. The given insight also connected academic research on dynamic capabilities and supply-chain resilience to the realities of aerospace management to a smaller extent.</w:t>
      </w:r>
    </w:p>
    <w:p w14:paraId="663C90ED" w14:textId="2F9E9957" w:rsidR="0081419C" w:rsidRPr="0081419C" w:rsidRDefault="00101B38" w:rsidP="00101B38">
      <w:r>
        <w:t xml:space="preserve">The third principle is that of sustainability. The report revealed that ambition statements are not sufficient to assess sustainability strategy in hard-to-abate sectors. The analytical question that is right is not whether a company says it is concerned about </w:t>
      </w:r>
      <w:proofErr w:type="spellStart"/>
      <w:r>
        <w:t>decarbonisation</w:t>
      </w:r>
      <w:proofErr w:type="spellEnd"/>
      <w:r>
        <w:t>, but the way its business model, ecosystem needs and technology plans impact the reality of the transition path. This assisted me to get out of a simplistic good and bad judgement. It seems that Airbus is strategically serious about sustainability but the report also demonstrated the reason why seriousness does not eliminate structural constraints. The theoretical point here is that fit to business goals should be evaluated both in its feasibility and in its intent.</w:t>
      </w:r>
    </w:p>
    <w:p w14:paraId="3C90B475" w14:textId="77777777" w:rsidR="0081419C" w:rsidRPr="0081419C" w:rsidRDefault="0081419C" w:rsidP="0081419C">
      <w:pPr>
        <w:pStyle w:val="Heading2"/>
        <w:numPr>
          <w:ilvl w:val="0"/>
          <w:numId w:val="0"/>
        </w:numPr>
      </w:pPr>
      <w:bookmarkStart w:id="12" w:name="_Toc224607664"/>
      <w:r w:rsidRPr="0081419C">
        <w:lastRenderedPageBreak/>
        <w:t>3.4 Active experimentation</w:t>
      </w:r>
      <w:bookmarkEnd w:id="12"/>
    </w:p>
    <w:p w14:paraId="7D8C28F6" w14:textId="77777777" w:rsidR="00101B38" w:rsidRDefault="00101B38" w:rsidP="00101B38">
      <w:r>
        <w:t>In case I should take up such an assignment in the future, there are four ways in which I would modify my process. At the beginning, I would set up a source architecture, which would isolate the company disclosures, competitor disclosures, academic theory, and independent reporting. That should have been done prior to that so that there can be better source balance and it is easier to tell whether a section was being overworked by a particular type of evidence. Second, I would create a pre-draught issue-ranking matrix. That would assist in making the decision at a younger stage on the matters that are central, secondary or distracting.</w:t>
      </w:r>
    </w:p>
    <w:p w14:paraId="050C6BDE" w14:textId="77777777" w:rsidR="00101B38" w:rsidRDefault="00101B38" w:rsidP="00101B38">
      <w:r>
        <w:t>Third, I would be more conscious in turning analysis to visual communication. In writing this report, the areas in which the argument got the most accurate were frequently the areas where I needed to transform narrative into a table or figure. The vague thinking is immediately seen in a scorecard table, a VRIO matrix or a strategic pressure graphic. This implies that images are not only presentation tools, but they may also serve as a disciplining tool. I would thus apply visual synthesis earlier in the work rather than just towards the end in future.</w:t>
      </w:r>
    </w:p>
    <w:p w14:paraId="4892D8EC" w14:textId="77777777" w:rsidR="00101B38" w:rsidRDefault="00101B38" w:rsidP="00101B38">
      <w:r>
        <w:t xml:space="preserve">Fourth, I would devote more time to cross-checking the manner in which the recommendations are developed out of the diagnosis. Ideas that are not based on others are not the best strategic recommendations. They must become inevitable when the analysis of it is previously accepted. In this report, which became finally connected, on later revision, when the recommendations were narrowed down to resilience, services, staged </w:t>
      </w:r>
      <w:proofErr w:type="spellStart"/>
      <w:r>
        <w:t>decarbonisation</w:t>
      </w:r>
      <w:proofErr w:type="spellEnd"/>
      <w:r>
        <w:t xml:space="preserve"> and disciplined integration of portfolios. My next step in the future is thus to explicitly test recommendation logic: every recommendation is to respond to a clearly demonstrated weakness, to take advantage of a clearly demonstrated strength or to respond to a clearly demonstrated external threat.</w:t>
      </w:r>
    </w:p>
    <w:p w14:paraId="34031D74" w14:textId="316C0260" w:rsidR="0081419C" w:rsidRPr="00101B38" w:rsidRDefault="00101B38" w:rsidP="00101B38">
      <w:r>
        <w:t xml:space="preserve">In general, the cycle by Kolb demonstrates that the assignment was neither a writing </w:t>
      </w:r>
      <w:proofErr w:type="spellStart"/>
      <w:r>
        <w:t>practise</w:t>
      </w:r>
      <w:proofErr w:type="spellEnd"/>
      <w:r>
        <w:t xml:space="preserve"> about Airbus. It was a learning exercise in how to think in a strategic manner with incomplete evidence that was in some cases contradictory. The lesson that the high-level strategic analysis relies on </w:t>
      </w:r>
      <w:proofErr w:type="spellStart"/>
      <w:r>
        <w:t>prioritisation</w:t>
      </w:r>
      <w:proofErr w:type="spellEnd"/>
      <w:r>
        <w:t xml:space="preserve">, source triangulation and disciplined transformation of frameworks into judgement was the most valuable one. That is a lesson that can be applied to academic work and </w:t>
      </w:r>
      <w:proofErr w:type="spellStart"/>
      <w:r>
        <w:t>practise</w:t>
      </w:r>
      <w:proofErr w:type="spellEnd"/>
      <w:r>
        <w:t>.</w:t>
      </w:r>
      <w:r w:rsidR="0081419C">
        <w:rPr>
          <w:b/>
        </w:rPr>
        <w:br w:type="page"/>
      </w:r>
    </w:p>
    <w:p w14:paraId="72E9F90D" w14:textId="095DE344" w:rsidR="0081419C" w:rsidRPr="0081419C" w:rsidRDefault="0081419C" w:rsidP="0081419C">
      <w:pPr>
        <w:pStyle w:val="Heading1"/>
        <w:numPr>
          <w:ilvl w:val="0"/>
          <w:numId w:val="0"/>
        </w:numPr>
        <w:jc w:val="both"/>
      </w:pPr>
      <w:bookmarkStart w:id="13" w:name="_Toc224607665"/>
      <w:r w:rsidRPr="0081419C">
        <w:lastRenderedPageBreak/>
        <w:t>References</w:t>
      </w:r>
      <w:bookmarkEnd w:id="13"/>
    </w:p>
    <w:p w14:paraId="65B6A3C4" w14:textId="77777777" w:rsidR="0081419C" w:rsidRPr="0081419C" w:rsidRDefault="0081419C" w:rsidP="0081419C">
      <w:r w:rsidRPr="0081419C">
        <w:t xml:space="preserve">Airbus (2024) ‘Airbus reports Full-Year (FY) 2023 results’. Available at: </w:t>
      </w:r>
      <w:hyperlink r:id="rId14" w:history="1">
        <w:r w:rsidRPr="0081419C">
          <w:rPr>
            <w:rStyle w:val="Hyperlink"/>
          </w:rPr>
          <w:t>https://www.airbus.com/en/newsroom/press-releases/2024-02-airbus-reports-full-year-fy-2023-results</w:t>
        </w:r>
      </w:hyperlink>
      <w:r w:rsidRPr="0081419C">
        <w:t xml:space="preserve"> (Accessed: 16 March 2026).</w:t>
      </w:r>
    </w:p>
    <w:p w14:paraId="2AB583AD" w14:textId="77777777" w:rsidR="0081419C" w:rsidRPr="0081419C" w:rsidRDefault="0081419C" w:rsidP="0081419C">
      <w:r w:rsidRPr="0081419C">
        <w:t xml:space="preserve">Airbus (2025a) </w:t>
      </w:r>
      <w:r w:rsidRPr="0081419C">
        <w:rPr>
          <w:i/>
          <w:iCs/>
        </w:rPr>
        <w:t>Our strategy</w:t>
      </w:r>
      <w:r w:rsidRPr="0081419C">
        <w:t xml:space="preserve">. Available at: </w:t>
      </w:r>
      <w:hyperlink r:id="rId15" w:history="1">
        <w:r w:rsidRPr="0081419C">
          <w:rPr>
            <w:rStyle w:val="Hyperlink"/>
          </w:rPr>
          <w:t>https://www.airbus.com/en/about-us/our-strategy</w:t>
        </w:r>
      </w:hyperlink>
      <w:r w:rsidRPr="0081419C">
        <w:t xml:space="preserve"> (Accessed: 16 March 2026).</w:t>
      </w:r>
    </w:p>
    <w:p w14:paraId="108945CA" w14:textId="77777777" w:rsidR="0081419C" w:rsidRPr="0081419C" w:rsidRDefault="0081419C" w:rsidP="0081419C">
      <w:r w:rsidRPr="0081419C">
        <w:t xml:space="preserve">Airbus (2025b) ‘Airbus reports Full-Year (FY) 2024 results’. Available at: </w:t>
      </w:r>
      <w:hyperlink r:id="rId16" w:history="1">
        <w:r w:rsidRPr="0081419C">
          <w:rPr>
            <w:rStyle w:val="Hyperlink"/>
          </w:rPr>
          <w:t>https://www.airbus.com/en/newsroom/press-releases/2025-02-airbus-reports-full-year-fy-2024-results</w:t>
        </w:r>
      </w:hyperlink>
      <w:r w:rsidRPr="0081419C">
        <w:t xml:space="preserve"> (Accessed: 16 March 2026).</w:t>
      </w:r>
    </w:p>
    <w:p w14:paraId="7D4703DC" w14:textId="77777777" w:rsidR="0081419C" w:rsidRPr="0081419C" w:rsidRDefault="0081419C" w:rsidP="0081419C">
      <w:r w:rsidRPr="0081419C">
        <w:t xml:space="preserve">Airbus (2025c) </w:t>
      </w:r>
      <w:r w:rsidRPr="0081419C">
        <w:rPr>
          <w:i/>
          <w:iCs/>
        </w:rPr>
        <w:t>Airbus Global Market Forecast 2025-2044</w:t>
      </w:r>
      <w:r w:rsidRPr="0081419C">
        <w:t xml:space="preserve">. Available at: </w:t>
      </w:r>
      <w:hyperlink r:id="rId17" w:history="1">
        <w:r w:rsidRPr="0081419C">
          <w:rPr>
            <w:rStyle w:val="Hyperlink"/>
          </w:rPr>
          <w:t>https://www.airbus.com/en/products-services/commercial-aircraft/global-market-forecast</w:t>
        </w:r>
      </w:hyperlink>
      <w:r w:rsidRPr="0081419C">
        <w:t xml:space="preserve"> (Accessed: 16 March 2026).</w:t>
      </w:r>
    </w:p>
    <w:p w14:paraId="286C18F1" w14:textId="77777777" w:rsidR="0081419C" w:rsidRPr="0081419C" w:rsidRDefault="0081419C" w:rsidP="0081419C">
      <w:r w:rsidRPr="0081419C">
        <w:t xml:space="preserve">Airbus (2025d) </w:t>
      </w:r>
      <w:r w:rsidRPr="0081419C">
        <w:rPr>
          <w:i/>
          <w:iCs/>
        </w:rPr>
        <w:t>Pioneering sustainable aerospace</w:t>
      </w:r>
      <w:r w:rsidRPr="0081419C">
        <w:t xml:space="preserve">. Available at: </w:t>
      </w:r>
      <w:hyperlink r:id="rId18" w:history="1">
        <w:r w:rsidRPr="0081419C">
          <w:rPr>
            <w:rStyle w:val="Hyperlink"/>
          </w:rPr>
          <w:t>https://www.airbus.com/sites/g/files/jlcbta136/files/2025-04/2025_Airbus_Pioneering_sustainable_aerospace_publication.pdf</w:t>
        </w:r>
      </w:hyperlink>
      <w:r w:rsidRPr="0081419C">
        <w:t xml:space="preserve"> (Accessed: 16 March 2026).</w:t>
      </w:r>
    </w:p>
    <w:p w14:paraId="56059F81" w14:textId="77777777" w:rsidR="0081419C" w:rsidRPr="0081419C" w:rsidRDefault="0081419C" w:rsidP="0081419C">
      <w:r w:rsidRPr="0081419C">
        <w:t xml:space="preserve">Airbus (2026a) ‘Airbus reports Full-Year (FY) 2025 results’. Available at: </w:t>
      </w:r>
      <w:hyperlink r:id="rId19" w:history="1">
        <w:r w:rsidRPr="0081419C">
          <w:rPr>
            <w:rStyle w:val="Hyperlink"/>
          </w:rPr>
          <w:t>https://www.airbus.com/en/newsroom/press-releases/2026-02-airbus-reports-full-year-fy-2025-results</w:t>
        </w:r>
      </w:hyperlink>
      <w:r w:rsidRPr="0081419C">
        <w:t xml:space="preserve"> (Accessed: 16 March 2026).</w:t>
      </w:r>
    </w:p>
    <w:p w14:paraId="30C4FC6B" w14:textId="77777777" w:rsidR="0081419C" w:rsidRPr="0081419C" w:rsidRDefault="0081419C" w:rsidP="0081419C">
      <w:r w:rsidRPr="0081419C">
        <w:t xml:space="preserve">Airbus (2026b) </w:t>
      </w:r>
      <w:r w:rsidRPr="0081419C">
        <w:rPr>
          <w:i/>
          <w:iCs/>
        </w:rPr>
        <w:t>Airbus SE Report of the Board of Directors 2025</w:t>
      </w:r>
      <w:r w:rsidRPr="0081419C">
        <w:t xml:space="preserve">. Available at: </w:t>
      </w:r>
      <w:hyperlink r:id="rId20" w:history="1">
        <w:r w:rsidRPr="0081419C">
          <w:rPr>
            <w:rStyle w:val="Hyperlink"/>
          </w:rPr>
          <w:t>https://www.airbus.com/sites/g/files/jlcbta136/files/2026-02/airbus_se_report_of_the_board_of_directors_fy_2025_1.pdf</w:t>
        </w:r>
      </w:hyperlink>
      <w:r w:rsidRPr="0081419C">
        <w:t xml:space="preserve"> (Accessed: 16 March 2026).</w:t>
      </w:r>
    </w:p>
    <w:p w14:paraId="10146592" w14:textId="77777777" w:rsidR="0081419C" w:rsidRPr="0081419C" w:rsidRDefault="0081419C" w:rsidP="0081419C">
      <w:r w:rsidRPr="0081419C">
        <w:t xml:space="preserve">Airbus (2026c) </w:t>
      </w:r>
      <w:r w:rsidRPr="0081419C">
        <w:rPr>
          <w:i/>
          <w:iCs/>
        </w:rPr>
        <w:t>About us</w:t>
      </w:r>
      <w:r w:rsidRPr="0081419C">
        <w:t xml:space="preserve">. Available at: </w:t>
      </w:r>
      <w:hyperlink r:id="rId21" w:history="1">
        <w:r w:rsidRPr="0081419C">
          <w:rPr>
            <w:rStyle w:val="Hyperlink"/>
          </w:rPr>
          <w:t>https://www.airbus.com/en/about-us</w:t>
        </w:r>
      </w:hyperlink>
      <w:r w:rsidRPr="0081419C">
        <w:t xml:space="preserve"> (Accessed: 16 March 2026).</w:t>
      </w:r>
    </w:p>
    <w:p w14:paraId="79895D90" w14:textId="77777777" w:rsidR="0081419C" w:rsidRPr="0081419C" w:rsidRDefault="0081419C" w:rsidP="0081419C">
      <w:r w:rsidRPr="0081419C">
        <w:lastRenderedPageBreak/>
        <w:t xml:space="preserve">Airbus (2026d) </w:t>
      </w:r>
      <w:r w:rsidRPr="0081419C">
        <w:rPr>
          <w:i/>
          <w:iCs/>
        </w:rPr>
        <w:t>Sustainability</w:t>
      </w:r>
      <w:r w:rsidRPr="0081419C">
        <w:t xml:space="preserve">. Available at: </w:t>
      </w:r>
      <w:hyperlink r:id="rId22" w:history="1">
        <w:r w:rsidRPr="0081419C">
          <w:rPr>
            <w:rStyle w:val="Hyperlink"/>
          </w:rPr>
          <w:t>https://www.airbus.com/en/sustainability</w:t>
        </w:r>
      </w:hyperlink>
      <w:r w:rsidRPr="0081419C">
        <w:t xml:space="preserve"> (Accessed: 16 March 2026).</w:t>
      </w:r>
    </w:p>
    <w:p w14:paraId="25D7611D" w14:textId="77777777" w:rsidR="0081419C" w:rsidRPr="0081419C" w:rsidRDefault="0081419C" w:rsidP="0081419C">
      <w:r w:rsidRPr="0081419C">
        <w:t xml:space="preserve">Airbus (2026e) </w:t>
      </w:r>
      <w:r w:rsidRPr="0081419C">
        <w:rPr>
          <w:i/>
          <w:iCs/>
        </w:rPr>
        <w:t>Financial statements 2025</w:t>
      </w:r>
      <w:r w:rsidRPr="0081419C">
        <w:t xml:space="preserve">. Available at: </w:t>
      </w:r>
      <w:hyperlink r:id="rId23" w:history="1">
        <w:r w:rsidRPr="0081419C">
          <w:rPr>
            <w:rStyle w:val="Hyperlink"/>
          </w:rPr>
          <w:t>https://www.airbus.com/sites/g/files/jlcbta136/files/2026-02/airbus_fy_2025_financial_statements.pdf</w:t>
        </w:r>
      </w:hyperlink>
      <w:r w:rsidRPr="0081419C">
        <w:t xml:space="preserve"> (Accessed: 16 March 2026).</w:t>
      </w:r>
    </w:p>
    <w:p w14:paraId="52B55C7E" w14:textId="77777777" w:rsidR="0081419C" w:rsidRPr="0081419C" w:rsidRDefault="0081419C" w:rsidP="0081419C">
      <w:r w:rsidRPr="0081419C">
        <w:t xml:space="preserve">Ali, I. and </w:t>
      </w:r>
      <w:proofErr w:type="spellStart"/>
      <w:r w:rsidRPr="0081419C">
        <w:t>Golgeci</w:t>
      </w:r>
      <w:proofErr w:type="spellEnd"/>
      <w:r w:rsidRPr="0081419C">
        <w:t xml:space="preserve">, I. (2019) ‘Where is supply chain resilience research heading? A systematic and co-occurrence analysis’, </w:t>
      </w:r>
      <w:r w:rsidRPr="0081419C">
        <w:rPr>
          <w:i/>
          <w:iCs/>
        </w:rPr>
        <w:t>International Journal of Physical Distribution &amp; Logistics Management</w:t>
      </w:r>
      <w:r w:rsidRPr="0081419C">
        <w:t xml:space="preserve">, 49(8), pp. 793-815. Available at: </w:t>
      </w:r>
      <w:hyperlink r:id="rId24" w:history="1">
        <w:r w:rsidRPr="0081419C">
          <w:rPr>
            <w:rStyle w:val="Hyperlink"/>
          </w:rPr>
          <w:t>https://doi.org/10.1108/IJPDLM-02-2019-0038</w:t>
        </w:r>
      </w:hyperlink>
      <w:r w:rsidRPr="0081419C">
        <w:t>.</w:t>
      </w:r>
    </w:p>
    <w:p w14:paraId="12AA2824" w14:textId="77777777" w:rsidR="0081419C" w:rsidRPr="0081419C" w:rsidRDefault="0081419C" w:rsidP="0081419C">
      <w:r w:rsidRPr="0081419C">
        <w:t xml:space="preserve">Ansoff, H.I. (1957) ‘Strategies for diversification’, </w:t>
      </w:r>
      <w:r w:rsidRPr="0081419C">
        <w:rPr>
          <w:i/>
          <w:iCs/>
        </w:rPr>
        <w:t>Harvard Business Review</w:t>
      </w:r>
      <w:r w:rsidRPr="0081419C">
        <w:t>, 35(5), pp. 113-124.</w:t>
      </w:r>
    </w:p>
    <w:p w14:paraId="24D2A2CE" w14:textId="77777777" w:rsidR="0081419C" w:rsidRPr="0081419C" w:rsidRDefault="0081419C" w:rsidP="0081419C">
      <w:r w:rsidRPr="0081419C">
        <w:t xml:space="preserve">Barney, J. (1991) ‘Firm resources and sustained competitive advantage’, </w:t>
      </w:r>
      <w:r w:rsidRPr="0081419C">
        <w:rPr>
          <w:i/>
          <w:iCs/>
        </w:rPr>
        <w:t>Journal of Management</w:t>
      </w:r>
      <w:r w:rsidRPr="0081419C">
        <w:t xml:space="preserve">, 17(1), pp. 99-120. Available at: </w:t>
      </w:r>
      <w:hyperlink r:id="rId25" w:history="1">
        <w:r w:rsidRPr="0081419C">
          <w:rPr>
            <w:rStyle w:val="Hyperlink"/>
          </w:rPr>
          <w:t>https://doi.org/10.1177/014920639101700108</w:t>
        </w:r>
      </w:hyperlink>
      <w:r w:rsidRPr="0081419C">
        <w:t>.</w:t>
      </w:r>
    </w:p>
    <w:p w14:paraId="3FBC7561" w14:textId="77777777" w:rsidR="0081419C" w:rsidRPr="0081419C" w:rsidRDefault="0081419C" w:rsidP="0081419C">
      <w:r w:rsidRPr="0081419C">
        <w:t xml:space="preserve">Boeing (2026) ‘Boeing Reports Fourth Quarter Results’. Available at: </w:t>
      </w:r>
      <w:hyperlink r:id="rId26" w:history="1">
        <w:r w:rsidRPr="0081419C">
          <w:rPr>
            <w:rStyle w:val="Hyperlink"/>
          </w:rPr>
          <w:t>https://investors.boeing.com/investors/news/press-release-details/2026/Boeing-Reports-Fourth-Quarter-Results/default.aspx</w:t>
        </w:r>
      </w:hyperlink>
      <w:r w:rsidRPr="0081419C">
        <w:t xml:space="preserve"> (Accessed: 16 March 2026).</w:t>
      </w:r>
    </w:p>
    <w:p w14:paraId="3BEFDB16" w14:textId="77777777" w:rsidR="0081419C" w:rsidRPr="0081419C" w:rsidRDefault="0081419C" w:rsidP="0081419C">
      <w:r w:rsidRPr="0081419C">
        <w:rPr>
          <w:lang w:val="de-CH"/>
        </w:rPr>
        <w:t xml:space="preserve">Cui, Y., Xu, Y., Zhang, X. </w:t>
      </w:r>
      <w:r w:rsidRPr="0081419C">
        <w:rPr>
          <w:i/>
          <w:iCs/>
          <w:lang w:val="de-CH"/>
        </w:rPr>
        <w:t>et al.</w:t>
      </w:r>
      <w:r w:rsidRPr="0081419C">
        <w:rPr>
          <w:lang w:val="de-CH"/>
        </w:rPr>
        <w:t xml:space="preserve"> </w:t>
      </w:r>
      <w:r w:rsidRPr="0081419C">
        <w:t xml:space="preserve">(2024) ‘Sustainable aviation fuel: biomass fostered future aviation’, </w:t>
      </w:r>
      <w:r w:rsidRPr="0081419C">
        <w:rPr>
          <w:i/>
          <w:iCs/>
        </w:rPr>
        <w:t>The Innovation Energy</w:t>
      </w:r>
      <w:r w:rsidRPr="0081419C">
        <w:t xml:space="preserve">, 1(1), 100007. Available at: </w:t>
      </w:r>
      <w:hyperlink r:id="rId27" w:history="1">
        <w:r w:rsidRPr="0081419C">
          <w:rPr>
            <w:rStyle w:val="Hyperlink"/>
          </w:rPr>
          <w:t>https://doi.org/10.59717/j.xinn-energy.2024.100007</w:t>
        </w:r>
      </w:hyperlink>
      <w:r w:rsidRPr="0081419C">
        <w:t>.</w:t>
      </w:r>
    </w:p>
    <w:p w14:paraId="7BB4B474" w14:textId="77777777" w:rsidR="0081419C" w:rsidRPr="0081419C" w:rsidRDefault="0081419C" w:rsidP="0081419C">
      <w:r w:rsidRPr="0081419C">
        <w:t xml:space="preserve">Grant, R.M. (1991) ‘The resource-based theory of competitive advantage: implications for strategy formulation’, </w:t>
      </w:r>
      <w:r w:rsidRPr="0081419C">
        <w:rPr>
          <w:i/>
          <w:iCs/>
        </w:rPr>
        <w:t>California Management Review</w:t>
      </w:r>
      <w:r w:rsidRPr="0081419C">
        <w:t xml:space="preserve">, 33(3), pp. 114-135. Available at: </w:t>
      </w:r>
      <w:hyperlink r:id="rId28" w:history="1">
        <w:r w:rsidRPr="0081419C">
          <w:rPr>
            <w:rStyle w:val="Hyperlink"/>
          </w:rPr>
          <w:t>https://doi.org/10.2307/41166664</w:t>
        </w:r>
      </w:hyperlink>
      <w:r w:rsidRPr="0081419C">
        <w:t>.</w:t>
      </w:r>
    </w:p>
    <w:p w14:paraId="5E7BC1B2" w14:textId="77777777" w:rsidR="0081419C" w:rsidRPr="0081419C" w:rsidRDefault="0081419C" w:rsidP="0081419C">
      <w:r w:rsidRPr="0081419C">
        <w:t xml:space="preserve">ICAO (2025) </w:t>
      </w:r>
      <w:r w:rsidRPr="0081419C">
        <w:rPr>
          <w:i/>
          <w:iCs/>
        </w:rPr>
        <w:t>Realizing aviation’s sustainable future: environmental report 2025</w:t>
      </w:r>
      <w:r w:rsidRPr="0081419C">
        <w:t xml:space="preserve">. Available at: </w:t>
      </w:r>
      <w:hyperlink r:id="rId29" w:history="1">
        <w:r w:rsidRPr="0081419C">
          <w:rPr>
            <w:rStyle w:val="Hyperlink"/>
          </w:rPr>
          <w:t>https://www.icao.int/sites/default/files/environmental-protection/Documents/EnvironmentalReports/2025/ICAO-EnvReport-2025.pdf</w:t>
        </w:r>
      </w:hyperlink>
      <w:r w:rsidRPr="0081419C">
        <w:t xml:space="preserve"> (Accessed: 16 March 2026).</w:t>
      </w:r>
    </w:p>
    <w:p w14:paraId="4CC2B7BC" w14:textId="77777777" w:rsidR="0081419C" w:rsidRPr="0081419C" w:rsidRDefault="0081419C" w:rsidP="0081419C">
      <w:r w:rsidRPr="0081419C">
        <w:lastRenderedPageBreak/>
        <w:t xml:space="preserve">Kaplan, R.S. and Norton, D.P. (1992) ‘The balanced scorecard: measures that drive performance’, </w:t>
      </w:r>
      <w:r w:rsidRPr="0081419C">
        <w:rPr>
          <w:i/>
          <w:iCs/>
        </w:rPr>
        <w:t>Harvard Business Review</w:t>
      </w:r>
      <w:r w:rsidRPr="0081419C">
        <w:t>, 70(1), pp. 71-79.</w:t>
      </w:r>
    </w:p>
    <w:p w14:paraId="650F7A9D" w14:textId="77777777" w:rsidR="0081419C" w:rsidRPr="0081419C" w:rsidRDefault="0081419C" w:rsidP="0081419C">
      <w:r w:rsidRPr="0081419C">
        <w:t xml:space="preserve">Porter, M.E. (1985) </w:t>
      </w:r>
      <w:r w:rsidRPr="0081419C">
        <w:rPr>
          <w:i/>
          <w:iCs/>
        </w:rPr>
        <w:t>Competitive Advantage: Creating and Sustaining Superior Performance</w:t>
      </w:r>
      <w:r w:rsidRPr="0081419C">
        <w:t>. New York: Free Press.</w:t>
      </w:r>
    </w:p>
    <w:p w14:paraId="1DDFD8A4" w14:textId="77777777" w:rsidR="0081419C" w:rsidRPr="0081419C" w:rsidRDefault="0081419C" w:rsidP="0081419C">
      <w:r w:rsidRPr="0081419C">
        <w:t xml:space="preserve">Reuters (2025a) ‘Airbus postpones development of new hydrogen aircraft’, 7 February. Available at: </w:t>
      </w:r>
      <w:hyperlink r:id="rId30" w:history="1">
        <w:r w:rsidRPr="0081419C">
          <w:rPr>
            <w:rStyle w:val="Hyperlink"/>
          </w:rPr>
          <w:t>https://www.reuters.com/business/aerospace-defense/airbus-postpones-development-new-hydrogen-aircraft-2025-02-07/</w:t>
        </w:r>
      </w:hyperlink>
      <w:r w:rsidRPr="0081419C">
        <w:t xml:space="preserve"> (Accessed: 16 March 2026).</w:t>
      </w:r>
    </w:p>
    <w:p w14:paraId="2F86CBDE" w14:textId="77777777" w:rsidR="0081419C" w:rsidRPr="0081419C" w:rsidRDefault="0081419C" w:rsidP="0081419C">
      <w:r w:rsidRPr="0081419C">
        <w:t xml:space="preserve">Reuters (2025b) ‘The innovators pushing the envelope for more sustainable aviation’, 26 June. Available at: </w:t>
      </w:r>
      <w:hyperlink r:id="rId31" w:history="1">
        <w:r w:rsidRPr="0081419C">
          <w:rPr>
            <w:rStyle w:val="Hyperlink"/>
          </w:rPr>
          <w:t>https://www.reuters.com/sustainability/innovators-pushing-envelope-more-sustainable-aviation-2025-06-25/</w:t>
        </w:r>
      </w:hyperlink>
      <w:r w:rsidRPr="0081419C">
        <w:t xml:space="preserve"> (Accessed: 16 March 2026).</w:t>
      </w:r>
    </w:p>
    <w:p w14:paraId="6147D7A4" w14:textId="77777777" w:rsidR="0081419C" w:rsidRPr="0081419C" w:rsidRDefault="0081419C" w:rsidP="0081419C">
      <w:r w:rsidRPr="0081419C">
        <w:t xml:space="preserve">Reuters (2025c) ‘The airline industry’s dirty secret: clean jet fuel failures’, 11 August. Available at: </w:t>
      </w:r>
      <w:hyperlink r:id="rId32" w:history="1">
        <w:r w:rsidRPr="0081419C">
          <w:rPr>
            <w:rStyle w:val="Hyperlink"/>
          </w:rPr>
          <w:t>https://www.reuters.com/graphics/AVIATION-SUSTAINABILITY/movadylljpa/</w:t>
        </w:r>
      </w:hyperlink>
      <w:r w:rsidRPr="0081419C">
        <w:t xml:space="preserve"> (Accessed: 16 March 2026).</w:t>
      </w:r>
    </w:p>
    <w:p w14:paraId="1C28A02C" w14:textId="77777777" w:rsidR="0081419C" w:rsidRPr="0081419C" w:rsidRDefault="0081419C" w:rsidP="0081419C">
      <w:r w:rsidRPr="0081419C">
        <w:t xml:space="preserve">Reuters (2025d) ‘Airbus says it is in </w:t>
      </w:r>
      <w:proofErr w:type="spellStart"/>
      <w:r w:rsidRPr="0081419C">
        <w:t>defence</w:t>
      </w:r>
      <w:proofErr w:type="spellEnd"/>
      <w:r w:rsidRPr="0081419C">
        <w:t xml:space="preserve"> and space talks amid spending surge’, 24 March. Available at: </w:t>
      </w:r>
      <w:hyperlink r:id="rId33" w:history="1">
        <w:r w:rsidRPr="0081419C">
          <w:rPr>
            <w:rStyle w:val="Hyperlink"/>
          </w:rPr>
          <w:t>https://www.reuters.com/business/aerospace-defense/airbus-says-it-is-defence-space-talks-amid-spending-surge-2025-03-24/</w:t>
        </w:r>
      </w:hyperlink>
      <w:r w:rsidRPr="0081419C">
        <w:t xml:space="preserve"> (Accessed: 16 March 2026).</w:t>
      </w:r>
    </w:p>
    <w:p w14:paraId="5D95798C" w14:textId="77777777" w:rsidR="0081419C" w:rsidRPr="0081419C" w:rsidRDefault="0081419C" w:rsidP="0081419C">
      <w:r w:rsidRPr="0081419C">
        <w:t xml:space="preserve">Reuters (2026a) ‘Airbus softens output goal amid Pratt &amp; Whitney engine delays’, 19 February. Available at: </w:t>
      </w:r>
      <w:hyperlink r:id="rId34" w:history="1">
        <w:r w:rsidRPr="0081419C">
          <w:rPr>
            <w:rStyle w:val="Hyperlink"/>
          </w:rPr>
          <w:t>https://www.reuters.com/business/aerospace-defense/airbus-softens-output-goal-amid-pratt-whitney-engine-delays-2026-02-19/</w:t>
        </w:r>
      </w:hyperlink>
      <w:r w:rsidRPr="0081419C">
        <w:t xml:space="preserve"> (Accessed: 16 March 2026).</w:t>
      </w:r>
    </w:p>
    <w:p w14:paraId="4A64C73A" w14:textId="77777777" w:rsidR="0081419C" w:rsidRPr="0081419C" w:rsidRDefault="0081419C" w:rsidP="0081419C">
      <w:r w:rsidRPr="0081419C">
        <w:t xml:space="preserve">Reuters (2026b) ‘Pratt engine supply doubts weigh on Airbus output goal, sources say’, 5 February. Available at: </w:t>
      </w:r>
      <w:hyperlink r:id="rId35" w:history="1">
        <w:r w:rsidRPr="0081419C">
          <w:rPr>
            <w:rStyle w:val="Hyperlink"/>
          </w:rPr>
          <w:t>https://www.reuters.com/business/aerospace-defense/pratt-engine-supply-doubts-weigh-airbus-output-goal-sources-say-2026-02-05/</w:t>
        </w:r>
      </w:hyperlink>
      <w:r w:rsidRPr="0081419C">
        <w:t xml:space="preserve"> (Accessed: 16 March 2026).</w:t>
      </w:r>
    </w:p>
    <w:p w14:paraId="173BCDF8" w14:textId="77777777" w:rsidR="0081419C" w:rsidRPr="0081419C" w:rsidRDefault="0081419C" w:rsidP="0081419C">
      <w:r w:rsidRPr="0081419C">
        <w:t xml:space="preserve">Reuters (2026c) ‘Airbus CEO warns of new risks after significant trade damage’, 25 January. Available at: </w:t>
      </w:r>
      <w:hyperlink r:id="rId36" w:history="1">
        <w:r w:rsidRPr="0081419C">
          <w:rPr>
            <w:rStyle w:val="Hyperlink"/>
          </w:rPr>
          <w:t>https://www.reuters.com/business/aerospace-defense/airbus-ceo-warns-new-risks-after-significant-trade-damage-2026-01-25/</w:t>
        </w:r>
      </w:hyperlink>
      <w:r w:rsidRPr="0081419C">
        <w:t xml:space="preserve"> (Accessed: 16 March 2026).</w:t>
      </w:r>
    </w:p>
    <w:p w14:paraId="6C596B06" w14:textId="77777777" w:rsidR="0081419C" w:rsidRPr="0081419C" w:rsidRDefault="0081419C" w:rsidP="0081419C">
      <w:r w:rsidRPr="0081419C">
        <w:lastRenderedPageBreak/>
        <w:t xml:space="preserve">Tawse, A. and Tabesh, P. (2023) ‘Thirty years with the balanced scorecard: what we have learned’, </w:t>
      </w:r>
      <w:r w:rsidRPr="0081419C">
        <w:rPr>
          <w:i/>
          <w:iCs/>
        </w:rPr>
        <w:t>Business Horizons</w:t>
      </w:r>
      <w:r w:rsidRPr="0081419C">
        <w:t xml:space="preserve">, 66(1), pp. 123-132. Available at: </w:t>
      </w:r>
      <w:hyperlink r:id="rId37" w:history="1">
        <w:r w:rsidRPr="0081419C">
          <w:rPr>
            <w:rStyle w:val="Hyperlink"/>
          </w:rPr>
          <w:t>https://doi.org/10.1016/j.bushor.2022.03.005</w:t>
        </w:r>
      </w:hyperlink>
      <w:r w:rsidRPr="0081419C">
        <w:t>.</w:t>
      </w:r>
    </w:p>
    <w:p w14:paraId="3D6BAD68" w14:textId="77777777" w:rsidR="0081419C" w:rsidRPr="0081419C" w:rsidRDefault="0081419C" w:rsidP="0081419C">
      <w:r w:rsidRPr="0081419C">
        <w:t xml:space="preserve">Teece, D.J., Pisano, G. and </w:t>
      </w:r>
      <w:proofErr w:type="spellStart"/>
      <w:r w:rsidRPr="0081419C">
        <w:t>Shuen</w:t>
      </w:r>
      <w:proofErr w:type="spellEnd"/>
      <w:r w:rsidRPr="0081419C">
        <w:t xml:space="preserve">, A. (1997) ‘Dynamic capabilities and strategic management’, </w:t>
      </w:r>
      <w:r w:rsidRPr="0081419C">
        <w:rPr>
          <w:i/>
          <w:iCs/>
        </w:rPr>
        <w:t>Strategic Management Journal</w:t>
      </w:r>
      <w:r w:rsidRPr="0081419C">
        <w:t xml:space="preserve">, 18(7), pp. 509-533. Available at: </w:t>
      </w:r>
      <w:hyperlink r:id="rId38" w:history="1">
        <w:r w:rsidRPr="0081419C">
          <w:rPr>
            <w:rStyle w:val="Hyperlink"/>
          </w:rPr>
          <w:t>https://doi.org/10.1002/(SICI)1097-0266(199708)18:7</w:t>
        </w:r>
      </w:hyperlink>
      <w:r w:rsidRPr="0081419C">
        <w:t>&lt;509::AID-SMJ882&gt;3.0.CO;2-Z.</w:t>
      </w:r>
    </w:p>
    <w:p w14:paraId="32AB9DA9" w14:textId="77777777" w:rsidR="00E11B02" w:rsidRDefault="00E11B02"/>
    <w:sectPr w:rsidR="00E11B02" w:rsidSect="0081419C">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4AC85" w14:textId="77777777" w:rsidR="00267C7E" w:rsidRDefault="00267C7E" w:rsidP="00731C03">
      <w:pPr>
        <w:spacing w:after="0" w:line="240" w:lineRule="auto"/>
      </w:pPr>
      <w:r>
        <w:separator/>
      </w:r>
    </w:p>
  </w:endnote>
  <w:endnote w:type="continuationSeparator" w:id="0">
    <w:p w14:paraId="3B54E18B" w14:textId="77777777" w:rsidR="00267C7E" w:rsidRDefault="00267C7E" w:rsidP="00731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147891"/>
      <w:docPartObj>
        <w:docPartGallery w:val="Page Numbers (Bottom of Page)"/>
        <w:docPartUnique/>
      </w:docPartObj>
    </w:sdtPr>
    <w:sdtEndPr>
      <w:rPr>
        <w:noProof/>
      </w:rPr>
    </w:sdtEndPr>
    <w:sdtContent>
      <w:p w14:paraId="585B2B5B" w14:textId="29F6A546" w:rsidR="00731C03" w:rsidRDefault="00731C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8F1A4" w14:textId="77777777" w:rsidR="00731C03" w:rsidRDefault="00731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CD688" w14:textId="77777777" w:rsidR="00267C7E" w:rsidRDefault="00267C7E" w:rsidP="00731C03">
      <w:pPr>
        <w:spacing w:after="0" w:line="240" w:lineRule="auto"/>
      </w:pPr>
      <w:r>
        <w:separator/>
      </w:r>
    </w:p>
  </w:footnote>
  <w:footnote w:type="continuationSeparator" w:id="0">
    <w:p w14:paraId="0E2BCF5C" w14:textId="77777777" w:rsidR="00267C7E" w:rsidRDefault="00267C7E" w:rsidP="00731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D133DD"/>
    <w:multiLevelType w:val="multilevel"/>
    <w:tmpl w:val="E59651FC"/>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039281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19C"/>
    <w:rsid w:val="000564AE"/>
    <w:rsid w:val="00056726"/>
    <w:rsid w:val="000B093E"/>
    <w:rsid w:val="000C31A2"/>
    <w:rsid w:val="000F0338"/>
    <w:rsid w:val="00101B38"/>
    <w:rsid w:val="00140693"/>
    <w:rsid w:val="00151852"/>
    <w:rsid w:val="001957E3"/>
    <w:rsid w:val="001B7D35"/>
    <w:rsid w:val="001D25C0"/>
    <w:rsid w:val="00201B8E"/>
    <w:rsid w:val="002272D8"/>
    <w:rsid w:val="00267C7E"/>
    <w:rsid w:val="00277E1A"/>
    <w:rsid w:val="002952B6"/>
    <w:rsid w:val="002D45BB"/>
    <w:rsid w:val="002E0F1C"/>
    <w:rsid w:val="003046F1"/>
    <w:rsid w:val="003051D6"/>
    <w:rsid w:val="00323BE3"/>
    <w:rsid w:val="00342BBA"/>
    <w:rsid w:val="00352910"/>
    <w:rsid w:val="0037245F"/>
    <w:rsid w:val="0037535D"/>
    <w:rsid w:val="003E0EBA"/>
    <w:rsid w:val="00422CA9"/>
    <w:rsid w:val="004279A8"/>
    <w:rsid w:val="004309B4"/>
    <w:rsid w:val="0045184A"/>
    <w:rsid w:val="004575C9"/>
    <w:rsid w:val="004659A3"/>
    <w:rsid w:val="004D42E4"/>
    <w:rsid w:val="004E21AB"/>
    <w:rsid w:val="004E36D3"/>
    <w:rsid w:val="004F316D"/>
    <w:rsid w:val="00510925"/>
    <w:rsid w:val="00510933"/>
    <w:rsid w:val="00532BDC"/>
    <w:rsid w:val="005331B1"/>
    <w:rsid w:val="00586471"/>
    <w:rsid w:val="005902B1"/>
    <w:rsid w:val="0060229C"/>
    <w:rsid w:val="00627372"/>
    <w:rsid w:val="00647B4C"/>
    <w:rsid w:val="006D2C76"/>
    <w:rsid w:val="006F7B56"/>
    <w:rsid w:val="007057E8"/>
    <w:rsid w:val="007102A3"/>
    <w:rsid w:val="00731C03"/>
    <w:rsid w:val="007B56DC"/>
    <w:rsid w:val="007C4C87"/>
    <w:rsid w:val="007E6568"/>
    <w:rsid w:val="00810061"/>
    <w:rsid w:val="008138E3"/>
    <w:rsid w:val="0081419C"/>
    <w:rsid w:val="008229F9"/>
    <w:rsid w:val="00824A64"/>
    <w:rsid w:val="00893FBE"/>
    <w:rsid w:val="008E3CEF"/>
    <w:rsid w:val="008F1206"/>
    <w:rsid w:val="00933818"/>
    <w:rsid w:val="0093541A"/>
    <w:rsid w:val="00982D62"/>
    <w:rsid w:val="00A320CF"/>
    <w:rsid w:val="00A328AC"/>
    <w:rsid w:val="00A70F13"/>
    <w:rsid w:val="00A72376"/>
    <w:rsid w:val="00A73F6B"/>
    <w:rsid w:val="00A7535E"/>
    <w:rsid w:val="00A94740"/>
    <w:rsid w:val="00AC5F7C"/>
    <w:rsid w:val="00AF0355"/>
    <w:rsid w:val="00AF1211"/>
    <w:rsid w:val="00B030E5"/>
    <w:rsid w:val="00B43A5F"/>
    <w:rsid w:val="00B509EB"/>
    <w:rsid w:val="00B51904"/>
    <w:rsid w:val="00B86354"/>
    <w:rsid w:val="00BA6FC3"/>
    <w:rsid w:val="00BB1BA8"/>
    <w:rsid w:val="00BD4F14"/>
    <w:rsid w:val="00BF3E59"/>
    <w:rsid w:val="00C4131A"/>
    <w:rsid w:val="00C868E0"/>
    <w:rsid w:val="00CB6625"/>
    <w:rsid w:val="00CB75E0"/>
    <w:rsid w:val="00CD6A3D"/>
    <w:rsid w:val="00CE1E0F"/>
    <w:rsid w:val="00CE360C"/>
    <w:rsid w:val="00D23F4A"/>
    <w:rsid w:val="00D676CA"/>
    <w:rsid w:val="00DB3D7D"/>
    <w:rsid w:val="00DF1F34"/>
    <w:rsid w:val="00E00463"/>
    <w:rsid w:val="00E11B02"/>
    <w:rsid w:val="00E46C23"/>
    <w:rsid w:val="00E57B47"/>
    <w:rsid w:val="00EA0DD4"/>
    <w:rsid w:val="00EB0A1A"/>
    <w:rsid w:val="00EB5D0E"/>
    <w:rsid w:val="00F23010"/>
    <w:rsid w:val="00FA287D"/>
    <w:rsid w:val="00FC7CA5"/>
    <w:rsid w:val="00FF7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87E5F"/>
  <w15:chartTrackingRefBased/>
  <w15:docId w15:val="{F18B9D88-50B6-4F97-814A-B7CEE8F51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19C"/>
    <w:pPr>
      <w:spacing w:after="200" w:line="360" w:lineRule="auto"/>
      <w:jc w:val="both"/>
    </w:pPr>
    <w:rPr>
      <w:kern w:val="0"/>
      <w:szCs w:val="22"/>
      <w14:ligatures w14:val="none"/>
    </w:rPr>
  </w:style>
  <w:style w:type="paragraph" w:styleId="Heading1">
    <w:name w:val="heading 1"/>
    <w:basedOn w:val="Normal"/>
    <w:next w:val="Normal"/>
    <w:link w:val="Heading1Char"/>
    <w:uiPriority w:val="9"/>
    <w:qFormat/>
    <w:rsid w:val="00D676CA"/>
    <w:pPr>
      <w:keepNext/>
      <w:keepLines/>
      <w:numPr>
        <w:numId w:val="1"/>
      </w:numPr>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D676CA"/>
    <w:pPr>
      <w:keepNext/>
      <w:keepLines/>
      <w:numPr>
        <w:ilvl w:val="1"/>
        <w:numId w:val="1"/>
      </w:numPr>
      <w:spacing w:before="160" w:after="80"/>
      <w:jc w:val="left"/>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D676CA"/>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8141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1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6CA"/>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676CA"/>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D676CA"/>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81419C"/>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81419C"/>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81419C"/>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81419C"/>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81419C"/>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81419C"/>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814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19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141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19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141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419C"/>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81419C"/>
    <w:pPr>
      <w:ind w:left="720"/>
      <w:contextualSpacing/>
    </w:pPr>
  </w:style>
  <w:style w:type="character" w:styleId="IntenseEmphasis">
    <w:name w:val="Intense Emphasis"/>
    <w:basedOn w:val="DefaultParagraphFont"/>
    <w:uiPriority w:val="21"/>
    <w:qFormat/>
    <w:rsid w:val="0081419C"/>
    <w:rPr>
      <w:i/>
      <w:iCs/>
      <w:color w:val="2F5496" w:themeColor="accent1" w:themeShade="BF"/>
    </w:rPr>
  </w:style>
  <w:style w:type="paragraph" w:styleId="IntenseQuote">
    <w:name w:val="Intense Quote"/>
    <w:basedOn w:val="Normal"/>
    <w:next w:val="Normal"/>
    <w:link w:val="IntenseQuoteChar"/>
    <w:uiPriority w:val="30"/>
    <w:qFormat/>
    <w:rsid w:val="008141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19C"/>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81419C"/>
    <w:rPr>
      <w:b/>
      <w:bCs/>
      <w:smallCaps/>
      <w:color w:val="2F5496" w:themeColor="accent1" w:themeShade="BF"/>
      <w:spacing w:val="5"/>
    </w:rPr>
  </w:style>
  <w:style w:type="table" w:styleId="TableGrid">
    <w:name w:val="Table Grid"/>
    <w:basedOn w:val="TableNormal"/>
    <w:uiPriority w:val="39"/>
    <w:rsid w:val="00814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19C"/>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81419C"/>
    <w:pPr>
      <w:spacing w:after="100"/>
    </w:pPr>
  </w:style>
  <w:style w:type="paragraph" w:styleId="TOC2">
    <w:name w:val="toc 2"/>
    <w:basedOn w:val="Normal"/>
    <w:next w:val="Normal"/>
    <w:autoRedefine/>
    <w:uiPriority w:val="39"/>
    <w:unhideWhenUsed/>
    <w:rsid w:val="0081419C"/>
    <w:pPr>
      <w:spacing w:after="100"/>
      <w:ind w:left="240"/>
    </w:pPr>
  </w:style>
  <w:style w:type="character" w:styleId="Hyperlink">
    <w:name w:val="Hyperlink"/>
    <w:basedOn w:val="DefaultParagraphFont"/>
    <w:uiPriority w:val="99"/>
    <w:unhideWhenUsed/>
    <w:rsid w:val="0081419C"/>
    <w:rPr>
      <w:color w:val="0563C1" w:themeColor="hyperlink"/>
      <w:u w:val="single"/>
    </w:rPr>
  </w:style>
  <w:style w:type="character" w:styleId="UnresolvedMention">
    <w:name w:val="Unresolved Mention"/>
    <w:basedOn w:val="DefaultParagraphFont"/>
    <w:uiPriority w:val="99"/>
    <w:semiHidden/>
    <w:unhideWhenUsed/>
    <w:rsid w:val="0081419C"/>
    <w:rPr>
      <w:color w:val="605E5C"/>
      <w:shd w:val="clear" w:color="auto" w:fill="E1DFDD"/>
    </w:rPr>
  </w:style>
  <w:style w:type="paragraph" w:styleId="Header">
    <w:name w:val="header"/>
    <w:basedOn w:val="Normal"/>
    <w:link w:val="HeaderChar"/>
    <w:uiPriority w:val="99"/>
    <w:unhideWhenUsed/>
    <w:rsid w:val="00731C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C03"/>
    <w:rPr>
      <w:kern w:val="0"/>
      <w:szCs w:val="22"/>
      <w14:ligatures w14:val="none"/>
    </w:rPr>
  </w:style>
  <w:style w:type="paragraph" w:styleId="Footer">
    <w:name w:val="footer"/>
    <w:basedOn w:val="Normal"/>
    <w:link w:val="FooterChar"/>
    <w:uiPriority w:val="99"/>
    <w:unhideWhenUsed/>
    <w:rsid w:val="00731C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C03"/>
    <w:rPr>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irbus.com/sites/g/files/jlcbta136/files/2025-04/2025_Airbus_Pioneering_sustainable_aerospace_publication.pdf" TargetMode="External"/><Relationship Id="rId26" Type="http://schemas.openxmlformats.org/officeDocument/2006/relationships/hyperlink" Target="https://investors.boeing.com/investors/news/press-release-details/2026/Boeing-Reports-Fourth-Quarter-Results/default.aspx" TargetMode="External"/><Relationship Id="rId39" Type="http://schemas.openxmlformats.org/officeDocument/2006/relationships/fontTable" Target="fontTable.xml"/><Relationship Id="rId21" Type="http://schemas.openxmlformats.org/officeDocument/2006/relationships/hyperlink" Target="https://www.airbus.com/en/about-us" TargetMode="External"/><Relationship Id="rId34" Type="http://schemas.openxmlformats.org/officeDocument/2006/relationships/hyperlink" Target="https://www.reuters.com/business/aerospace-defense/airbus-softens-output-goal-amid-pratt-whitney-engine-delays-2026-02-19/"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airbus.com/en/products-services/commercial-aircraft/global-market-forecast" TargetMode="External"/><Relationship Id="rId25" Type="http://schemas.openxmlformats.org/officeDocument/2006/relationships/hyperlink" Target="https://doi.org/10.1177/014920639101700108" TargetMode="External"/><Relationship Id="rId33" Type="http://schemas.openxmlformats.org/officeDocument/2006/relationships/hyperlink" Target="https://www.reuters.com/business/aerospace-defense/airbus-says-it-is-defence-space-talks-amid-spending-surge-2025-03-24/" TargetMode="External"/><Relationship Id="rId38" Type="http://schemas.openxmlformats.org/officeDocument/2006/relationships/hyperlink" Target="https://doi.org/10.1002/(SICI)1097-0266(199708)18:7" TargetMode="External"/><Relationship Id="rId2" Type="http://schemas.openxmlformats.org/officeDocument/2006/relationships/styles" Target="styles.xml"/><Relationship Id="rId16" Type="http://schemas.openxmlformats.org/officeDocument/2006/relationships/hyperlink" Target="https://www.airbus.com/en/newsroom/press-releases/2025-02-airbus-reports-full-year-fy-2024-results" TargetMode="External"/><Relationship Id="rId20" Type="http://schemas.openxmlformats.org/officeDocument/2006/relationships/hyperlink" Target="https://www.airbus.com/sites/g/files/jlcbta136/files/2026-02/airbus_se_report_of_the_board_of_directors_fy_2025_1.pdf" TargetMode="External"/><Relationship Id="rId29" Type="http://schemas.openxmlformats.org/officeDocument/2006/relationships/hyperlink" Target="https://www.icao.int/sites/default/files/environmental-protection/Documents/EnvironmentalReports/2025/ICAO-EnvReport-202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doi.org/10.1108/IJPDLM-02-2019-0038" TargetMode="External"/><Relationship Id="rId32" Type="http://schemas.openxmlformats.org/officeDocument/2006/relationships/hyperlink" Target="https://www.reuters.com/graphics/AVIATION-SUSTAINABILITY/movadylljpa/" TargetMode="External"/><Relationship Id="rId37" Type="http://schemas.openxmlformats.org/officeDocument/2006/relationships/hyperlink" Target="https://doi.org/10.1016/j.bushor.2022.03.005"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irbus.com/en/about-us/our-strategy" TargetMode="External"/><Relationship Id="rId23" Type="http://schemas.openxmlformats.org/officeDocument/2006/relationships/hyperlink" Target="https://www.airbus.com/sites/g/files/jlcbta136/files/2026-02/airbus_fy_2025_financial_statements.pdf" TargetMode="External"/><Relationship Id="rId28" Type="http://schemas.openxmlformats.org/officeDocument/2006/relationships/hyperlink" Target="https://doi.org/10.2307/41166664" TargetMode="External"/><Relationship Id="rId36" Type="http://schemas.openxmlformats.org/officeDocument/2006/relationships/hyperlink" Target="https://www.reuters.com/business/aerospace-defense/airbus-ceo-warns-new-risks-after-significant-trade-damage-2026-01-25/" TargetMode="External"/><Relationship Id="rId10" Type="http://schemas.openxmlformats.org/officeDocument/2006/relationships/image" Target="media/image2.png"/><Relationship Id="rId19" Type="http://schemas.openxmlformats.org/officeDocument/2006/relationships/hyperlink" Target="https://www.airbus.com/en/newsroom/press-releases/2026-02-airbus-reports-full-year-fy-2025-results" TargetMode="External"/><Relationship Id="rId31" Type="http://schemas.openxmlformats.org/officeDocument/2006/relationships/hyperlink" Target="https://www.reuters.com/sustainability/innovators-pushing-envelope-more-sustainable-aviation-2025-06-25/"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irbus.com/en/newsroom/press-releases/2024-02-airbus-reports-full-year-fy-2023-results" TargetMode="External"/><Relationship Id="rId22" Type="http://schemas.openxmlformats.org/officeDocument/2006/relationships/hyperlink" Target="https://www.airbus.com/en/sustainability" TargetMode="External"/><Relationship Id="rId27" Type="http://schemas.openxmlformats.org/officeDocument/2006/relationships/hyperlink" Target="https://doi.org/10.59717/j.xinn-energy.2024.100007" TargetMode="External"/><Relationship Id="rId30" Type="http://schemas.openxmlformats.org/officeDocument/2006/relationships/hyperlink" Target="https://www.reuters.com/business/aerospace-defense/airbus-postpones-development-new-hydrogen-aircraft-2025-02-07/" TargetMode="External"/><Relationship Id="rId35" Type="http://schemas.openxmlformats.org/officeDocument/2006/relationships/hyperlink" Target="https://www.reuters.com/business/aerospace-defense/pratt-engine-supply-doubts-weigh-airbus-output-goal-sources-say-2026-02-05/"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28</Pages>
  <Words>7665</Words>
  <Characters>43691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18</cp:revision>
  <dcterms:created xsi:type="dcterms:W3CDTF">2026-03-16T20:35:00Z</dcterms:created>
  <dcterms:modified xsi:type="dcterms:W3CDTF">2026-03-17T22:12:00Z</dcterms:modified>
</cp:coreProperties>
</file>