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72A38" w14:textId="77777777" w:rsidR="00ED2826" w:rsidRDefault="00ED2826" w:rsidP="00ED2826">
      <w:pPr>
        <w:jc w:val="center"/>
        <w:rPr>
          <w:sz w:val="36"/>
          <w:szCs w:val="36"/>
        </w:rPr>
      </w:pPr>
    </w:p>
    <w:p w14:paraId="5DAA99D8" w14:textId="77777777" w:rsidR="00ED2826" w:rsidRDefault="00ED2826" w:rsidP="00ED2826">
      <w:pPr>
        <w:jc w:val="center"/>
        <w:rPr>
          <w:sz w:val="36"/>
          <w:szCs w:val="36"/>
        </w:rPr>
      </w:pPr>
    </w:p>
    <w:p w14:paraId="2B9BCCEE" w14:textId="1CBB6F54" w:rsidR="00C608FC" w:rsidRPr="00ED2826" w:rsidRDefault="00E65760" w:rsidP="00412778">
      <w:pPr>
        <w:jc w:val="center"/>
        <w:rPr>
          <w:sz w:val="36"/>
          <w:szCs w:val="36"/>
        </w:rPr>
      </w:pPr>
      <w:r w:rsidRPr="00ED2826">
        <w:rPr>
          <w:sz w:val="36"/>
          <w:szCs w:val="36"/>
        </w:rPr>
        <w:t>Student Name: Zobia Riaz</w:t>
      </w:r>
    </w:p>
    <w:p w14:paraId="366D269D" w14:textId="1103FF18" w:rsidR="00E65760" w:rsidRPr="00ED2826" w:rsidRDefault="00E65760" w:rsidP="00412778">
      <w:pPr>
        <w:jc w:val="center"/>
        <w:rPr>
          <w:sz w:val="36"/>
          <w:szCs w:val="36"/>
        </w:rPr>
      </w:pPr>
      <w:r w:rsidRPr="00ED2826">
        <w:rPr>
          <w:sz w:val="36"/>
          <w:szCs w:val="36"/>
        </w:rPr>
        <w:t>Student ID: 2</w:t>
      </w:r>
      <w:r w:rsidR="00412778">
        <w:rPr>
          <w:sz w:val="36"/>
          <w:szCs w:val="36"/>
        </w:rPr>
        <w:t>2</w:t>
      </w:r>
      <w:r w:rsidRPr="00ED2826">
        <w:rPr>
          <w:sz w:val="36"/>
          <w:szCs w:val="36"/>
        </w:rPr>
        <w:t>26851</w:t>
      </w:r>
    </w:p>
    <w:p w14:paraId="0A529B19" w14:textId="4B736233" w:rsidR="00B20519" w:rsidRPr="00ED2826" w:rsidRDefault="00B20519" w:rsidP="00412778">
      <w:pPr>
        <w:tabs>
          <w:tab w:val="center" w:pos="4513"/>
          <w:tab w:val="left" w:pos="6534"/>
        </w:tabs>
        <w:jc w:val="center"/>
        <w:rPr>
          <w:sz w:val="36"/>
          <w:szCs w:val="36"/>
        </w:rPr>
      </w:pPr>
      <w:r w:rsidRPr="00ED2826">
        <w:rPr>
          <w:sz w:val="36"/>
          <w:szCs w:val="36"/>
        </w:rPr>
        <w:t>Assignment Name:</w:t>
      </w:r>
      <w:r w:rsidR="00412778">
        <w:rPr>
          <w:sz w:val="36"/>
          <w:szCs w:val="36"/>
        </w:rPr>
        <w:t xml:space="preserve"> </w:t>
      </w:r>
      <w:r w:rsidR="00412778" w:rsidRPr="00412778">
        <w:rPr>
          <w:sz w:val="36"/>
          <w:szCs w:val="36"/>
        </w:rPr>
        <w:t>Health, Wellbeing and Sustainable Development</w:t>
      </w:r>
      <w:r w:rsidR="00412778">
        <w:rPr>
          <w:sz w:val="36"/>
          <w:szCs w:val="36"/>
        </w:rPr>
        <w:t xml:space="preserve"> - Report</w:t>
      </w:r>
    </w:p>
    <w:p w14:paraId="1712031F" w14:textId="427C645C" w:rsidR="00377974" w:rsidRPr="00ED2826" w:rsidRDefault="00377974" w:rsidP="00412778">
      <w:pPr>
        <w:jc w:val="center"/>
        <w:rPr>
          <w:sz w:val="36"/>
          <w:szCs w:val="36"/>
        </w:rPr>
      </w:pPr>
      <w:r w:rsidRPr="00ED2826">
        <w:rPr>
          <w:sz w:val="36"/>
          <w:szCs w:val="36"/>
        </w:rPr>
        <w:t>Assignment Code: BM</w:t>
      </w:r>
      <w:r w:rsidR="00B20519" w:rsidRPr="00ED2826">
        <w:rPr>
          <w:sz w:val="36"/>
          <w:szCs w:val="36"/>
        </w:rPr>
        <w:t>HP6030</w:t>
      </w:r>
    </w:p>
    <w:p w14:paraId="5ECBFB1F" w14:textId="157F4264" w:rsidR="00B20519" w:rsidRDefault="00B20519" w:rsidP="00412778">
      <w:pPr>
        <w:jc w:val="center"/>
        <w:rPr>
          <w:sz w:val="36"/>
          <w:szCs w:val="36"/>
        </w:rPr>
      </w:pPr>
      <w:r w:rsidRPr="00ED2826">
        <w:rPr>
          <w:sz w:val="36"/>
          <w:szCs w:val="36"/>
        </w:rPr>
        <w:t xml:space="preserve">Lecturer: </w:t>
      </w:r>
      <w:r w:rsidR="00ED2826" w:rsidRPr="00ED2826">
        <w:rPr>
          <w:sz w:val="36"/>
          <w:szCs w:val="36"/>
        </w:rPr>
        <w:t>Parese</w:t>
      </w:r>
      <w:r w:rsidR="004325E6">
        <w:rPr>
          <w:sz w:val="36"/>
          <w:szCs w:val="36"/>
        </w:rPr>
        <w:t xml:space="preserve"> ahmed</w:t>
      </w:r>
    </w:p>
    <w:p w14:paraId="56A5F6E5" w14:textId="77777777" w:rsidR="00ED2826" w:rsidRDefault="00ED2826" w:rsidP="00ED2826">
      <w:pPr>
        <w:jc w:val="center"/>
        <w:rPr>
          <w:sz w:val="36"/>
          <w:szCs w:val="36"/>
        </w:rPr>
      </w:pPr>
    </w:p>
    <w:p w14:paraId="16283671" w14:textId="77777777" w:rsidR="00ED2826" w:rsidRDefault="00ED2826" w:rsidP="00ED2826">
      <w:pPr>
        <w:jc w:val="center"/>
        <w:rPr>
          <w:sz w:val="36"/>
          <w:szCs w:val="36"/>
        </w:rPr>
      </w:pPr>
    </w:p>
    <w:p w14:paraId="3AE586C4" w14:textId="77777777" w:rsidR="00ED2826" w:rsidRDefault="00ED2826" w:rsidP="00ED2826">
      <w:pPr>
        <w:jc w:val="center"/>
        <w:rPr>
          <w:sz w:val="36"/>
          <w:szCs w:val="36"/>
        </w:rPr>
      </w:pPr>
    </w:p>
    <w:p w14:paraId="6A445F90" w14:textId="77777777" w:rsidR="00ED2826" w:rsidRDefault="00ED2826" w:rsidP="00ED2826">
      <w:pPr>
        <w:jc w:val="center"/>
        <w:rPr>
          <w:sz w:val="36"/>
          <w:szCs w:val="36"/>
        </w:rPr>
      </w:pPr>
    </w:p>
    <w:p w14:paraId="6015DBAE" w14:textId="77777777" w:rsidR="00ED2826" w:rsidRDefault="00ED2826" w:rsidP="00ED2826">
      <w:pPr>
        <w:jc w:val="center"/>
        <w:rPr>
          <w:sz w:val="36"/>
          <w:szCs w:val="36"/>
        </w:rPr>
      </w:pPr>
    </w:p>
    <w:p w14:paraId="3AB133F2" w14:textId="77777777" w:rsidR="00ED2826" w:rsidRDefault="00ED2826" w:rsidP="00ED2826">
      <w:pPr>
        <w:jc w:val="center"/>
        <w:rPr>
          <w:sz w:val="36"/>
          <w:szCs w:val="36"/>
        </w:rPr>
      </w:pPr>
    </w:p>
    <w:p w14:paraId="3762BC77" w14:textId="77777777" w:rsidR="00ED2826" w:rsidRDefault="00ED2826" w:rsidP="00ED2826">
      <w:pPr>
        <w:jc w:val="center"/>
        <w:rPr>
          <w:sz w:val="36"/>
          <w:szCs w:val="36"/>
        </w:rPr>
      </w:pPr>
    </w:p>
    <w:p w14:paraId="2544D875" w14:textId="77777777" w:rsidR="00ED2826" w:rsidRDefault="00ED2826" w:rsidP="00ED2826">
      <w:pPr>
        <w:jc w:val="center"/>
        <w:rPr>
          <w:sz w:val="36"/>
          <w:szCs w:val="36"/>
        </w:rPr>
      </w:pPr>
    </w:p>
    <w:p w14:paraId="35C7F88E" w14:textId="77777777" w:rsidR="00ED2826" w:rsidRDefault="00ED2826" w:rsidP="00ED2826">
      <w:pPr>
        <w:jc w:val="center"/>
        <w:rPr>
          <w:sz w:val="36"/>
          <w:szCs w:val="36"/>
        </w:rPr>
      </w:pPr>
    </w:p>
    <w:p w14:paraId="6BEA579D" w14:textId="77777777" w:rsidR="00ED2826" w:rsidRDefault="00ED2826" w:rsidP="00ED2826">
      <w:pPr>
        <w:jc w:val="center"/>
        <w:rPr>
          <w:sz w:val="36"/>
          <w:szCs w:val="36"/>
        </w:rPr>
      </w:pPr>
    </w:p>
    <w:p w14:paraId="0490CA1C" w14:textId="77777777" w:rsidR="00ED2826" w:rsidRDefault="00ED2826" w:rsidP="00ED2826">
      <w:pPr>
        <w:jc w:val="center"/>
        <w:rPr>
          <w:sz w:val="36"/>
          <w:szCs w:val="36"/>
        </w:rPr>
      </w:pPr>
    </w:p>
    <w:p w14:paraId="2045FD71" w14:textId="77777777" w:rsidR="00ED2826" w:rsidRDefault="00ED2826" w:rsidP="00ED2826">
      <w:pPr>
        <w:jc w:val="center"/>
        <w:rPr>
          <w:sz w:val="36"/>
          <w:szCs w:val="36"/>
        </w:rPr>
      </w:pPr>
    </w:p>
    <w:p w14:paraId="4F9BA35B" w14:textId="77777777" w:rsidR="00FD0026" w:rsidRDefault="00FD0026" w:rsidP="000200EB">
      <w:pPr>
        <w:spacing w:line="360" w:lineRule="auto"/>
        <w:rPr>
          <w:sz w:val="36"/>
          <w:szCs w:val="36"/>
        </w:rPr>
      </w:pPr>
    </w:p>
    <w:p w14:paraId="48CF18F5" w14:textId="7504AE32" w:rsidR="000200EB" w:rsidRPr="00FD0026" w:rsidRDefault="000200EB" w:rsidP="00FD0026">
      <w:pPr>
        <w:spacing w:line="360" w:lineRule="auto"/>
        <w:rPr>
          <w:rFonts w:ascii="Arial" w:hAnsi="Arial" w:cs="Arial"/>
          <w:b/>
          <w:bCs/>
        </w:rPr>
      </w:pPr>
      <w:r w:rsidRPr="00FD0026">
        <w:rPr>
          <w:rFonts w:ascii="Arial" w:hAnsi="Arial" w:cs="Arial"/>
          <w:b/>
          <w:bCs/>
        </w:rPr>
        <w:lastRenderedPageBreak/>
        <w:t>Introduction</w:t>
      </w:r>
    </w:p>
    <w:p w14:paraId="4CD52FAD" w14:textId="77777777" w:rsidR="000200EB" w:rsidRPr="00FD0026" w:rsidRDefault="000200EB" w:rsidP="00FD0026">
      <w:pPr>
        <w:spacing w:line="360" w:lineRule="auto"/>
        <w:rPr>
          <w:rFonts w:ascii="Arial" w:hAnsi="Arial" w:cs="Arial"/>
        </w:rPr>
      </w:pPr>
      <w:r w:rsidRPr="00FD0026">
        <w:rPr>
          <w:rFonts w:ascii="Arial" w:hAnsi="Arial" w:cs="Arial"/>
        </w:rPr>
        <w:t>Health, wellbeing, and sustainability continue to represent central priorities within global development policy, particularly as countries work toward meeting the United Nations’ Sustainable Development Goals (SDGs) by 2030. This report critically examines contemporary policies and initiatives across global, national, and local levels, focusing on SDG 3: Good Health and Well-Being and SDG 1: No Poverty. These goals are deeply interdependent: poor health increases economic vulnerability, while poverty significantly restricts access to healthcare, nutritious food, secure housing, and safe environments (WHO, 2025; UNDP, 2024). Understanding these interactions is essential for designing effective, sustainable, and equitable interventions.</w:t>
      </w:r>
    </w:p>
    <w:p w14:paraId="2992EE5E" w14:textId="77777777" w:rsidR="000200EB" w:rsidRPr="00FD0026" w:rsidRDefault="000200EB" w:rsidP="00FD0026">
      <w:pPr>
        <w:spacing w:line="360" w:lineRule="auto"/>
        <w:rPr>
          <w:rFonts w:ascii="Arial" w:hAnsi="Arial" w:cs="Arial"/>
        </w:rPr>
      </w:pPr>
    </w:p>
    <w:p w14:paraId="04CF62EB" w14:textId="77777777" w:rsidR="000200EB" w:rsidRPr="00FD0026" w:rsidRDefault="000200EB" w:rsidP="00FD0026">
      <w:pPr>
        <w:spacing w:line="360" w:lineRule="auto"/>
        <w:rPr>
          <w:rFonts w:ascii="Arial" w:hAnsi="Arial" w:cs="Arial"/>
        </w:rPr>
      </w:pPr>
      <w:r w:rsidRPr="00FD0026">
        <w:rPr>
          <w:rFonts w:ascii="Arial" w:hAnsi="Arial" w:cs="Arial"/>
        </w:rPr>
        <w:t>At the global level, the report reviews frameworks such as the 2030 Agenda for Sustainable Development (United Nations, 2015), the SDG 3 Global Action Plan (WHO, 2025), and international poverty reduction initiatives supported by the World Bank and UNDP (World Bank, 2022). At the national level, the report focuses on England as the UK’s largest health jurisdiction, analysing the NHS Long Term Plan, welfare strategies, and public health reforms. At the local level, the report explores the role of local authorities, Integrated Care Systems (ICSs), and community-based programmes addressing inequalities and deprivation (House of Lords Library, 2024).</w:t>
      </w:r>
    </w:p>
    <w:p w14:paraId="231291E3" w14:textId="77777777" w:rsidR="000200EB" w:rsidRPr="00FD0026" w:rsidRDefault="000200EB" w:rsidP="00FD0026">
      <w:pPr>
        <w:spacing w:line="360" w:lineRule="auto"/>
        <w:rPr>
          <w:rFonts w:ascii="Arial" w:hAnsi="Arial" w:cs="Arial"/>
        </w:rPr>
      </w:pPr>
    </w:p>
    <w:p w14:paraId="1A737401" w14:textId="77777777" w:rsidR="000200EB" w:rsidRDefault="000200EB" w:rsidP="00FD0026">
      <w:pPr>
        <w:spacing w:line="360" w:lineRule="auto"/>
        <w:rPr>
          <w:rFonts w:ascii="Arial" w:hAnsi="Arial" w:cs="Arial"/>
        </w:rPr>
      </w:pPr>
      <w:r w:rsidRPr="00FD0026">
        <w:rPr>
          <w:rFonts w:ascii="Arial" w:hAnsi="Arial" w:cs="Arial"/>
        </w:rPr>
        <w:t>The report is structured in three main sections. First, it provides an in-depth critical evaluation of SDG 3, including theoretical approaches and recommendations. Second, it presents an equally detailed analysis of SDG 1, covering global, national, and local mechanisms of poverty reduction. Finally, the conclusion synthesises key findings, highlights interdependencies between the two SDGs, and considers wider implications for sustainable wellbeing policy.</w:t>
      </w:r>
    </w:p>
    <w:p w14:paraId="1BBF6AB0" w14:textId="77777777" w:rsidR="00FD0026" w:rsidRDefault="00FD0026" w:rsidP="00FD0026">
      <w:pPr>
        <w:spacing w:line="360" w:lineRule="auto"/>
        <w:rPr>
          <w:rFonts w:ascii="Arial" w:hAnsi="Arial" w:cs="Arial"/>
        </w:rPr>
      </w:pPr>
    </w:p>
    <w:p w14:paraId="77843FF8" w14:textId="77777777" w:rsidR="00FD0026" w:rsidRPr="00FD0026" w:rsidRDefault="00FD0026" w:rsidP="00FD0026">
      <w:pPr>
        <w:spacing w:line="360" w:lineRule="auto"/>
        <w:rPr>
          <w:rFonts w:ascii="Arial" w:hAnsi="Arial" w:cs="Arial"/>
        </w:rPr>
      </w:pPr>
    </w:p>
    <w:p w14:paraId="5A36093A" w14:textId="77777777" w:rsidR="000200EB" w:rsidRPr="00FD0026" w:rsidRDefault="000200EB" w:rsidP="00FD0026">
      <w:pPr>
        <w:spacing w:line="360" w:lineRule="auto"/>
        <w:rPr>
          <w:rFonts w:ascii="Arial" w:hAnsi="Arial" w:cs="Arial"/>
        </w:rPr>
      </w:pPr>
    </w:p>
    <w:p w14:paraId="660CDF1E" w14:textId="6A17E7EF" w:rsidR="000200EB" w:rsidRPr="00FD0026" w:rsidRDefault="000200EB" w:rsidP="00FD0026">
      <w:pPr>
        <w:spacing w:line="360" w:lineRule="auto"/>
        <w:rPr>
          <w:rFonts w:ascii="Arial" w:hAnsi="Arial" w:cs="Arial"/>
          <w:b/>
          <w:bCs/>
        </w:rPr>
      </w:pPr>
      <w:r w:rsidRPr="00FD0026">
        <w:rPr>
          <w:rFonts w:ascii="Arial" w:hAnsi="Arial" w:cs="Arial"/>
          <w:b/>
          <w:bCs/>
        </w:rPr>
        <w:lastRenderedPageBreak/>
        <w:t>SDG 3 – Good Health and Well-Being</w:t>
      </w:r>
    </w:p>
    <w:p w14:paraId="3F009054" w14:textId="77777777" w:rsidR="000200EB" w:rsidRPr="00FD0026" w:rsidRDefault="000200EB" w:rsidP="00FD0026">
      <w:pPr>
        <w:spacing w:line="360" w:lineRule="auto"/>
        <w:rPr>
          <w:rFonts w:ascii="Arial" w:hAnsi="Arial" w:cs="Arial"/>
          <w:b/>
          <w:bCs/>
        </w:rPr>
      </w:pPr>
    </w:p>
    <w:p w14:paraId="16D87511" w14:textId="77777777" w:rsidR="000200EB" w:rsidRPr="00FD0026" w:rsidRDefault="000200EB" w:rsidP="00FD0026">
      <w:pPr>
        <w:spacing w:line="360" w:lineRule="auto"/>
        <w:rPr>
          <w:rFonts w:ascii="Arial" w:hAnsi="Arial" w:cs="Arial"/>
          <w:b/>
          <w:bCs/>
        </w:rPr>
      </w:pPr>
      <w:r w:rsidRPr="00FD0026">
        <w:rPr>
          <w:rFonts w:ascii="Arial" w:hAnsi="Arial" w:cs="Arial"/>
          <w:b/>
          <w:bCs/>
        </w:rPr>
        <w:t>Overview of SDG 3</w:t>
      </w:r>
    </w:p>
    <w:p w14:paraId="3D69EC50" w14:textId="77777777" w:rsidR="000200EB" w:rsidRPr="00FD0026" w:rsidRDefault="000200EB" w:rsidP="00FD0026">
      <w:pPr>
        <w:spacing w:line="360" w:lineRule="auto"/>
        <w:rPr>
          <w:rFonts w:ascii="Arial" w:hAnsi="Arial" w:cs="Arial"/>
        </w:rPr>
      </w:pPr>
      <w:r w:rsidRPr="00FD0026">
        <w:rPr>
          <w:rFonts w:ascii="Arial" w:hAnsi="Arial" w:cs="Arial"/>
        </w:rPr>
        <w:t>SDG 3 aims to “ensure healthy lives and promote well-being for all at all ages” (United Nations, 2015). Progress is measured across multiple targets, including reducing maternal and child mortality, preventing communicable and non-communicable diseases, strengthening mental health services, achieving universal health coverage (UHC), and building resilient health systems. Achieving SDG 3 is foundational to many other SDGs, as health both shapes and is shaped by socio-economic and environmental conditions (WHO, 2025).</w:t>
      </w:r>
    </w:p>
    <w:p w14:paraId="239B92D4" w14:textId="77777777" w:rsidR="000200EB" w:rsidRPr="00FD0026" w:rsidRDefault="000200EB" w:rsidP="00FD0026">
      <w:pPr>
        <w:spacing w:line="360" w:lineRule="auto"/>
        <w:rPr>
          <w:rFonts w:ascii="Arial" w:hAnsi="Arial" w:cs="Arial"/>
        </w:rPr>
      </w:pPr>
    </w:p>
    <w:p w14:paraId="225C99B9" w14:textId="77777777" w:rsidR="000200EB" w:rsidRPr="00FD0026" w:rsidRDefault="000200EB" w:rsidP="00FD0026">
      <w:pPr>
        <w:spacing w:line="360" w:lineRule="auto"/>
        <w:rPr>
          <w:rFonts w:ascii="Arial" w:hAnsi="Arial" w:cs="Arial"/>
        </w:rPr>
      </w:pPr>
      <w:r w:rsidRPr="00FD0026">
        <w:rPr>
          <w:rFonts w:ascii="Arial" w:hAnsi="Arial" w:cs="Arial"/>
        </w:rPr>
        <w:t>Global health trends show improvements in life expectancy and reductions in extreme health threats; however, inequalities between and within countries continue to widen (UNDP, 2024). Non-communicable diseases, mental health disorders, climate impacts, and health system fragility represent growing threats. These challenges require coordinated global strategies and robust national implementation.</w:t>
      </w:r>
    </w:p>
    <w:p w14:paraId="5582055A" w14:textId="77777777" w:rsidR="000200EB" w:rsidRPr="00FD0026" w:rsidRDefault="000200EB" w:rsidP="00FD0026">
      <w:pPr>
        <w:spacing w:line="360" w:lineRule="auto"/>
        <w:rPr>
          <w:rFonts w:ascii="Arial" w:hAnsi="Arial" w:cs="Arial"/>
        </w:rPr>
      </w:pPr>
    </w:p>
    <w:p w14:paraId="781441E8" w14:textId="77777777" w:rsidR="000200EB" w:rsidRPr="00FD0026" w:rsidRDefault="000200EB" w:rsidP="00FD0026">
      <w:pPr>
        <w:spacing w:line="360" w:lineRule="auto"/>
        <w:rPr>
          <w:rFonts w:ascii="Arial" w:hAnsi="Arial" w:cs="Arial"/>
          <w:b/>
          <w:bCs/>
        </w:rPr>
      </w:pPr>
      <w:r w:rsidRPr="00FD0026">
        <w:rPr>
          <w:rFonts w:ascii="Arial" w:hAnsi="Arial" w:cs="Arial"/>
          <w:b/>
          <w:bCs/>
        </w:rPr>
        <w:t>Global Policies and Initiatives</w:t>
      </w:r>
    </w:p>
    <w:p w14:paraId="4BE0561A" w14:textId="77777777" w:rsidR="000200EB" w:rsidRPr="00FD0026" w:rsidRDefault="000200EB" w:rsidP="00FD0026">
      <w:pPr>
        <w:spacing w:line="360" w:lineRule="auto"/>
        <w:rPr>
          <w:rFonts w:ascii="Arial" w:hAnsi="Arial" w:cs="Arial"/>
        </w:rPr>
      </w:pPr>
      <w:r w:rsidRPr="00FD0026">
        <w:rPr>
          <w:rFonts w:ascii="Arial" w:hAnsi="Arial" w:cs="Arial"/>
        </w:rPr>
        <w:t>The SDG 3 Global Action Plan for Healthy Lives and Well-being for All (SDG3 GAP) provides the leading global framework for coordinated action across 13 multilateral agencies (WHO, 2025). It seeks to align investment, coordination, and technical support, particularly in low- and middle-income countries. Key pillars include strengthening primary health care, improving community health systems, and advancing universal health coverage (World Bank, 2023).</w:t>
      </w:r>
    </w:p>
    <w:p w14:paraId="78541063" w14:textId="77777777" w:rsidR="000200EB" w:rsidRPr="00FD0026" w:rsidRDefault="000200EB" w:rsidP="00FD0026">
      <w:pPr>
        <w:spacing w:line="360" w:lineRule="auto"/>
        <w:rPr>
          <w:rFonts w:ascii="Arial" w:hAnsi="Arial" w:cs="Arial"/>
        </w:rPr>
      </w:pPr>
    </w:p>
    <w:p w14:paraId="4C05AA36" w14:textId="77777777" w:rsidR="000200EB" w:rsidRPr="00FD0026" w:rsidRDefault="000200EB" w:rsidP="00FD0026">
      <w:pPr>
        <w:spacing w:line="360" w:lineRule="auto"/>
        <w:rPr>
          <w:rFonts w:ascii="Arial" w:hAnsi="Arial" w:cs="Arial"/>
        </w:rPr>
      </w:pPr>
      <w:r w:rsidRPr="00FD0026">
        <w:rPr>
          <w:rFonts w:ascii="Arial" w:hAnsi="Arial" w:cs="Arial"/>
        </w:rPr>
        <w:t>Health promotion at the global level is guided by the Ottawa Charter and Bangkok Charter for Health Promotion, which emphasise empowerment, supportive environments, and intersectoral collaboration (WHO, 2005). The global UHC agenda, supported by WHO and the World Bank, encourages financial protection, equitable access, and essential services for all (WHO and World Bank, 2021).</w:t>
      </w:r>
    </w:p>
    <w:p w14:paraId="105FCA63" w14:textId="77777777" w:rsidR="000200EB" w:rsidRPr="00FD0026" w:rsidRDefault="000200EB" w:rsidP="00FD0026">
      <w:pPr>
        <w:spacing w:line="360" w:lineRule="auto"/>
        <w:rPr>
          <w:rFonts w:ascii="Arial" w:hAnsi="Arial" w:cs="Arial"/>
        </w:rPr>
      </w:pPr>
    </w:p>
    <w:p w14:paraId="45E3F99A" w14:textId="77777777" w:rsidR="000200EB" w:rsidRPr="00FD0026" w:rsidRDefault="000200EB" w:rsidP="00FD0026">
      <w:pPr>
        <w:spacing w:line="360" w:lineRule="auto"/>
        <w:rPr>
          <w:rFonts w:ascii="Arial" w:hAnsi="Arial" w:cs="Arial"/>
        </w:rPr>
      </w:pPr>
      <w:r w:rsidRPr="00FD0026">
        <w:rPr>
          <w:rFonts w:ascii="Arial" w:hAnsi="Arial" w:cs="Arial"/>
        </w:rPr>
        <w:t>However, gaps remain. International coordination can be fragmented; global health financing remains overly reactive; and many states struggle to translate global recommendations into sustainable, locally grounded policy (Kickbusch, Gleicher and WHO, 2012). Furthermore, global development funding has decreased in some regions, restricting progress toward SDG 3 (UNDP, 2024).</w:t>
      </w:r>
    </w:p>
    <w:p w14:paraId="55EB6747" w14:textId="77777777" w:rsidR="000200EB" w:rsidRPr="00FD0026" w:rsidRDefault="000200EB" w:rsidP="00FD0026">
      <w:pPr>
        <w:spacing w:line="360" w:lineRule="auto"/>
        <w:rPr>
          <w:rFonts w:ascii="Arial" w:hAnsi="Arial" w:cs="Arial"/>
        </w:rPr>
      </w:pPr>
    </w:p>
    <w:p w14:paraId="42E602EF" w14:textId="5BA6016B" w:rsidR="000200EB" w:rsidRPr="00FD0026" w:rsidRDefault="000200EB" w:rsidP="00FD0026">
      <w:pPr>
        <w:spacing w:line="360" w:lineRule="auto"/>
        <w:rPr>
          <w:rFonts w:ascii="Arial" w:hAnsi="Arial" w:cs="Arial"/>
          <w:b/>
          <w:bCs/>
        </w:rPr>
      </w:pPr>
      <w:r w:rsidRPr="00FD0026">
        <w:rPr>
          <w:rFonts w:ascii="Arial" w:hAnsi="Arial" w:cs="Arial"/>
          <w:b/>
          <w:bCs/>
        </w:rPr>
        <w:t>National and Local Examples</w:t>
      </w:r>
    </w:p>
    <w:p w14:paraId="0680FDB2" w14:textId="77777777" w:rsidR="000200EB" w:rsidRPr="00FD0026" w:rsidRDefault="000200EB" w:rsidP="00FD0026">
      <w:pPr>
        <w:spacing w:line="360" w:lineRule="auto"/>
        <w:rPr>
          <w:rFonts w:ascii="Arial" w:hAnsi="Arial" w:cs="Arial"/>
        </w:rPr>
      </w:pPr>
      <w:r w:rsidRPr="00FD0026">
        <w:rPr>
          <w:rFonts w:ascii="Arial" w:hAnsi="Arial" w:cs="Arial"/>
        </w:rPr>
        <w:t>England’s health system is built on the National Health Service (NHS), which embodies universalism and accessibility. The NHS Long Term Plan (2019–2029) identifies national priorities including prevention, mental health, digital innovation, integrated care, and tackling health inequalities (NHS England, 2023). Yet the NHS faces significant structural pressures: workforce shortages, increasing waiting times, spatial inequalities, and rising costs linked to ageing and chronic disease (Public Health England, 2020).</w:t>
      </w:r>
    </w:p>
    <w:p w14:paraId="1D914DF0" w14:textId="77777777" w:rsidR="000200EB" w:rsidRPr="00FD0026" w:rsidRDefault="000200EB" w:rsidP="00FD0026">
      <w:pPr>
        <w:spacing w:line="360" w:lineRule="auto"/>
        <w:rPr>
          <w:rFonts w:ascii="Arial" w:hAnsi="Arial" w:cs="Arial"/>
        </w:rPr>
      </w:pPr>
    </w:p>
    <w:p w14:paraId="6A67B379" w14:textId="77777777" w:rsidR="000200EB" w:rsidRPr="00FD0026" w:rsidRDefault="000200EB" w:rsidP="00FD0026">
      <w:pPr>
        <w:spacing w:line="360" w:lineRule="auto"/>
        <w:rPr>
          <w:rFonts w:ascii="Arial" w:hAnsi="Arial" w:cs="Arial"/>
        </w:rPr>
      </w:pPr>
      <w:r w:rsidRPr="00FD0026">
        <w:rPr>
          <w:rFonts w:ascii="Arial" w:hAnsi="Arial" w:cs="Arial"/>
        </w:rPr>
        <w:t>Local delivery is shaped by Integrated Care Systems (ICSs), introduced formally in 2022. ICSs aim to integrate NHS organisations, local government, and voluntary sectors to improve population health, address health inequalities, and strengthen prevention (House of Lords Library, 2024). Local authorities retain statutory responsibility for public health, implementing interventions on obesity, smoking cessation, substance misuse, active travel, and sexual health (Marmot, 2020). Many councils apply a Health in All Policies (</w:t>
      </w:r>
      <w:proofErr w:type="spellStart"/>
      <w:r w:rsidRPr="00FD0026">
        <w:rPr>
          <w:rFonts w:ascii="Arial" w:hAnsi="Arial" w:cs="Arial"/>
        </w:rPr>
        <w:t>HiAP</w:t>
      </w:r>
      <w:proofErr w:type="spellEnd"/>
      <w:r w:rsidRPr="00FD0026">
        <w:rPr>
          <w:rFonts w:ascii="Arial" w:hAnsi="Arial" w:cs="Arial"/>
        </w:rPr>
        <w:t>) approach, embedding wellbeing across transport, housing, planning and environmental policy.</w:t>
      </w:r>
    </w:p>
    <w:p w14:paraId="275D0725" w14:textId="77777777" w:rsidR="000200EB" w:rsidRPr="00FD0026" w:rsidRDefault="000200EB" w:rsidP="00FD0026">
      <w:pPr>
        <w:spacing w:line="360" w:lineRule="auto"/>
        <w:rPr>
          <w:rFonts w:ascii="Arial" w:hAnsi="Arial" w:cs="Arial"/>
        </w:rPr>
      </w:pPr>
    </w:p>
    <w:p w14:paraId="36E7D648" w14:textId="77777777" w:rsidR="000200EB" w:rsidRPr="00FD0026" w:rsidRDefault="000200EB" w:rsidP="00FD0026">
      <w:pPr>
        <w:spacing w:line="360" w:lineRule="auto"/>
        <w:rPr>
          <w:rFonts w:ascii="Arial" w:hAnsi="Arial" w:cs="Arial"/>
        </w:rPr>
      </w:pPr>
      <w:r w:rsidRPr="00FD0026">
        <w:rPr>
          <w:rFonts w:ascii="Arial" w:hAnsi="Arial" w:cs="Arial"/>
        </w:rPr>
        <w:t xml:space="preserve">The social determinants of health (SDH) framework (Dahlgren and Whitehead, 1991; Solar and Irwin, 2010) strongly influences English public health policy, reinforcing that health outcomes are shaped by economic, environmental and social conditions. Public health strategies increasingly incorporate systems thinking, which recognises </w:t>
      </w:r>
      <w:r w:rsidRPr="00FD0026">
        <w:rPr>
          <w:rFonts w:ascii="Arial" w:hAnsi="Arial" w:cs="Arial"/>
        </w:rPr>
        <w:lastRenderedPageBreak/>
        <w:t>interdependence across healthcare, welfare, economy, and environment (Kickbusch, Gleicher and WHO, 2012).</w:t>
      </w:r>
    </w:p>
    <w:p w14:paraId="771458B3" w14:textId="77777777" w:rsidR="000200EB" w:rsidRPr="00FD0026" w:rsidRDefault="000200EB" w:rsidP="00FD0026">
      <w:pPr>
        <w:spacing w:line="360" w:lineRule="auto"/>
        <w:rPr>
          <w:rFonts w:ascii="Arial" w:hAnsi="Arial" w:cs="Arial"/>
        </w:rPr>
      </w:pPr>
    </w:p>
    <w:p w14:paraId="629BD558" w14:textId="77777777" w:rsidR="000200EB" w:rsidRPr="00FD0026" w:rsidRDefault="000200EB" w:rsidP="00FD0026">
      <w:pPr>
        <w:spacing w:line="360" w:lineRule="auto"/>
        <w:rPr>
          <w:rFonts w:ascii="Arial" w:hAnsi="Arial" w:cs="Arial"/>
          <w:b/>
          <w:bCs/>
        </w:rPr>
      </w:pPr>
      <w:r w:rsidRPr="00FD0026">
        <w:rPr>
          <w:rFonts w:ascii="Arial" w:hAnsi="Arial" w:cs="Arial"/>
          <w:b/>
          <w:bCs/>
        </w:rPr>
        <w:t>Critical Evaluation</w:t>
      </w:r>
    </w:p>
    <w:p w14:paraId="2E7AA121" w14:textId="77777777" w:rsidR="000200EB" w:rsidRPr="00FD0026" w:rsidRDefault="000200EB" w:rsidP="00FD0026">
      <w:pPr>
        <w:spacing w:line="360" w:lineRule="auto"/>
        <w:rPr>
          <w:rFonts w:ascii="Arial" w:hAnsi="Arial" w:cs="Arial"/>
          <w:b/>
          <w:bCs/>
        </w:rPr>
      </w:pPr>
    </w:p>
    <w:p w14:paraId="365E442E" w14:textId="3FE2A953" w:rsidR="000200EB" w:rsidRPr="00FD0026" w:rsidRDefault="000200EB" w:rsidP="00FD0026">
      <w:pPr>
        <w:spacing w:line="360" w:lineRule="auto"/>
        <w:rPr>
          <w:rFonts w:ascii="Arial" w:hAnsi="Arial" w:cs="Arial"/>
          <w:b/>
          <w:bCs/>
        </w:rPr>
      </w:pPr>
      <w:r w:rsidRPr="00FD0026">
        <w:rPr>
          <w:rFonts w:ascii="Arial" w:hAnsi="Arial" w:cs="Arial"/>
          <w:b/>
          <w:bCs/>
        </w:rPr>
        <w:t>Strengths</w:t>
      </w:r>
    </w:p>
    <w:p w14:paraId="62942A15" w14:textId="08548F8F" w:rsidR="000200EB" w:rsidRPr="00FD0026" w:rsidRDefault="000200EB" w:rsidP="00FD0026">
      <w:pPr>
        <w:pStyle w:val="ListParagraph"/>
        <w:numPr>
          <w:ilvl w:val="0"/>
          <w:numId w:val="6"/>
        </w:numPr>
        <w:spacing w:line="360" w:lineRule="auto"/>
        <w:rPr>
          <w:rFonts w:ascii="Arial" w:hAnsi="Arial" w:cs="Arial"/>
        </w:rPr>
      </w:pPr>
      <w:r w:rsidRPr="00FD0026">
        <w:rPr>
          <w:rFonts w:ascii="Arial" w:hAnsi="Arial" w:cs="Arial"/>
        </w:rPr>
        <w:t>Universal and free-at-point-of-use healthcare aligns strongly with SDG 3 equity goals.</w:t>
      </w:r>
    </w:p>
    <w:p w14:paraId="748EABAB" w14:textId="56F40A8D" w:rsidR="000200EB" w:rsidRPr="00FD0026" w:rsidRDefault="000200EB" w:rsidP="00FD0026">
      <w:pPr>
        <w:pStyle w:val="ListParagraph"/>
        <w:numPr>
          <w:ilvl w:val="0"/>
          <w:numId w:val="6"/>
        </w:numPr>
        <w:spacing w:line="360" w:lineRule="auto"/>
        <w:rPr>
          <w:rFonts w:ascii="Arial" w:hAnsi="Arial" w:cs="Arial"/>
        </w:rPr>
      </w:pPr>
      <w:r w:rsidRPr="00FD0026">
        <w:rPr>
          <w:rFonts w:ascii="Arial" w:hAnsi="Arial" w:cs="Arial"/>
        </w:rPr>
        <w:t>ICSs offer a strengthened governance model for integration and prevention.</w:t>
      </w:r>
    </w:p>
    <w:p w14:paraId="211EE529" w14:textId="38211032" w:rsidR="000200EB" w:rsidRPr="00FD0026" w:rsidRDefault="000200EB" w:rsidP="00FD0026">
      <w:pPr>
        <w:pStyle w:val="ListParagraph"/>
        <w:numPr>
          <w:ilvl w:val="0"/>
          <w:numId w:val="6"/>
        </w:numPr>
        <w:spacing w:line="360" w:lineRule="auto"/>
        <w:rPr>
          <w:rFonts w:ascii="Arial" w:hAnsi="Arial" w:cs="Arial"/>
        </w:rPr>
      </w:pPr>
      <w:r w:rsidRPr="00FD0026">
        <w:rPr>
          <w:rFonts w:ascii="Arial" w:hAnsi="Arial" w:cs="Arial"/>
        </w:rPr>
        <w:t>Local authorities are well positioned to tailor interventions to local population needs.</w:t>
      </w:r>
    </w:p>
    <w:p w14:paraId="6A8C99B4" w14:textId="5F1ED9D5" w:rsidR="000200EB" w:rsidRPr="00FD0026" w:rsidRDefault="000200EB" w:rsidP="00FD0026">
      <w:pPr>
        <w:pStyle w:val="ListParagraph"/>
        <w:numPr>
          <w:ilvl w:val="0"/>
          <w:numId w:val="6"/>
        </w:numPr>
        <w:spacing w:line="360" w:lineRule="auto"/>
        <w:rPr>
          <w:rFonts w:ascii="Arial" w:hAnsi="Arial" w:cs="Arial"/>
        </w:rPr>
      </w:pPr>
      <w:r w:rsidRPr="00FD0026">
        <w:rPr>
          <w:rFonts w:ascii="Arial" w:hAnsi="Arial" w:cs="Arial"/>
        </w:rPr>
        <w:t>Global frameworks such as SDG3 GAP encourage policy coherence and shared learning.</w:t>
      </w:r>
    </w:p>
    <w:p w14:paraId="2EF187ED" w14:textId="77777777" w:rsidR="000200EB" w:rsidRPr="00FD0026" w:rsidRDefault="000200EB" w:rsidP="00FD0026">
      <w:pPr>
        <w:pStyle w:val="ListParagraph"/>
        <w:numPr>
          <w:ilvl w:val="0"/>
          <w:numId w:val="6"/>
        </w:numPr>
        <w:spacing w:line="360" w:lineRule="auto"/>
        <w:rPr>
          <w:rFonts w:ascii="Arial" w:hAnsi="Arial" w:cs="Arial"/>
        </w:rPr>
      </w:pPr>
      <w:r w:rsidRPr="00FD0026">
        <w:rPr>
          <w:rFonts w:ascii="Arial" w:hAnsi="Arial" w:cs="Arial"/>
        </w:rPr>
        <w:t>Public health strategies increasingly recognise mental health and prevention.</w:t>
      </w:r>
    </w:p>
    <w:p w14:paraId="02F85A68" w14:textId="77777777" w:rsidR="000200EB" w:rsidRPr="00FD0026" w:rsidRDefault="000200EB" w:rsidP="00FD0026">
      <w:pPr>
        <w:spacing w:line="360" w:lineRule="auto"/>
        <w:rPr>
          <w:rFonts w:ascii="Arial" w:hAnsi="Arial" w:cs="Arial"/>
        </w:rPr>
      </w:pPr>
    </w:p>
    <w:p w14:paraId="7A0BE286" w14:textId="4F39A09A" w:rsidR="000200EB" w:rsidRPr="00FD0026" w:rsidRDefault="000200EB" w:rsidP="00FD0026">
      <w:pPr>
        <w:spacing w:line="360" w:lineRule="auto"/>
        <w:rPr>
          <w:rFonts w:ascii="Arial" w:hAnsi="Arial" w:cs="Arial"/>
          <w:b/>
          <w:bCs/>
        </w:rPr>
      </w:pPr>
      <w:r w:rsidRPr="00FD0026">
        <w:rPr>
          <w:rFonts w:ascii="Arial" w:hAnsi="Arial" w:cs="Arial"/>
          <w:b/>
          <w:bCs/>
        </w:rPr>
        <w:t>Weaknesses</w:t>
      </w:r>
    </w:p>
    <w:p w14:paraId="12E9716A" w14:textId="708769FE" w:rsidR="000200EB" w:rsidRPr="00FD0026" w:rsidRDefault="000200EB" w:rsidP="00FD0026">
      <w:pPr>
        <w:pStyle w:val="ListParagraph"/>
        <w:numPr>
          <w:ilvl w:val="0"/>
          <w:numId w:val="7"/>
        </w:numPr>
        <w:spacing w:line="360" w:lineRule="auto"/>
        <w:rPr>
          <w:rFonts w:ascii="Arial" w:hAnsi="Arial" w:cs="Arial"/>
        </w:rPr>
      </w:pPr>
      <w:r w:rsidRPr="00FD0026">
        <w:rPr>
          <w:rFonts w:ascii="Arial" w:hAnsi="Arial" w:cs="Arial"/>
        </w:rPr>
        <w:t>Persistent health inequalities across socio-economic groups and regions undermine progress (Marmot, 2020; ONS, 2024).</w:t>
      </w:r>
    </w:p>
    <w:p w14:paraId="33555020" w14:textId="3D65F7C8" w:rsidR="000200EB" w:rsidRPr="00FD0026" w:rsidRDefault="000200EB" w:rsidP="00FD0026">
      <w:pPr>
        <w:pStyle w:val="ListParagraph"/>
        <w:numPr>
          <w:ilvl w:val="0"/>
          <w:numId w:val="7"/>
        </w:numPr>
        <w:spacing w:line="360" w:lineRule="auto"/>
        <w:rPr>
          <w:rFonts w:ascii="Arial" w:hAnsi="Arial" w:cs="Arial"/>
        </w:rPr>
      </w:pPr>
      <w:r w:rsidRPr="00FD0026">
        <w:rPr>
          <w:rFonts w:ascii="Arial" w:hAnsi="Arial" w:cs="Arial"/>
        </w:rPr>
        <w:t>NHS remains overly hospital-centric, restricting resources for prevention.</w:t>
      </w:r>
    </w:p>
    <w:p w14:paraId="0793191B" w14:textId="2D17AD6A" w:rsidR="000200EB" w:rsidRPr="00FD0026" w:rsidRDefault="000200EB" w:rsidP="00FD0026">
      <w:pPr>
        <w:pStyle w:val="ListParagraph"/>
        <w:numPr>
          <w:ilvl w:val="0"/>
          <w:numId w:val="7"/>
        </w:numPr>
        <w:spacing w:line="360" w:lineRule="auto"/>
        <w:rPr>
          <w:rFonts w:ascii="Arial" w:hAnsi="Arial" w:cs="Arial"/>
        </w:rPr>
      </w:pPr>
      <w:r w:rsidRPr="00FD0026">
        <w:rPr>
          <w:rFonts w:ascii="Arial" w:hAnsi="Arial" w:cs="Arial"/>
        </w:rPr>
        <w:t>Fragmented governance across NHS structures and local authorities weakens coherence (Public Health England, 2020).</w:t>
      </w:r>
    </w:p>
    <w:p w14:paraId="2112F3D4" w14:textId="16D81DD5" w:rsidR="000200EB" w:rsidRPr="00FD0026" w:rsidRDefault="000200EB" w:rsidP="00FD0026">
      <w:pPr>
        <w:pStyle w:val="ListParagraph"/>
        <w:numPr>
          <w:ilvl w:val="0"/>
          <w:numId w:val="7"/>
        </w:numPr>
        <w:spacing w:line="360" w:lineRule="auto"/>
        <w:rPr>
          <w:rFonts w:ascii="Arial" w:hAnsi="Arial" w:cs="Arial"/>
        </w:rPr>
      </w:pPr>
      <w:r w:rsidRPr="00FD0026">
        <w:rPr>
          <w:rFonts w:ascii="Arial" w:hAnsi="Arial" w:cs="Arial"/>
        </w:rPr>
        <w:t>Workforce shortages and burnout threaten service sustainability (WHO, 2007).</w:t>
      </w:r>
    </w:p>
    <w:p w14:paraId="5A97E5D1" w14:textId="6E419F76" w:rsidR="000200EB" w:rsidRPr="00FD0026" w:rsidRDefault="000200EB" w:rsidP="00FD0026">
      <w:pPr>
        <w:pStyle w:val="ListParagraph"/>
        <w:numPr>
          <w:ilvl w:val="0"/>
          <w:numId w:val="7"/>
        </w:numPr>
        <w:spacing w:line="360" w:lineRule="auto"/>
        <w:rPr>
          <w:rFonts w:ascii="Arial" w:hAnsi="Arial" w:cs="Arial"/>
        </w:rPr>
      </w:pPr>
      <w:r w:rsidRPr="00FD0026">
        <w:rPr>
          <w:rFonts w:ascii="Arial" w:hAnsi="Arial" w:cs="Arial"/>
        </w:rPr>
        <w:t>Monitoring indicators often fail to capture holistic wellbeing beyond morbidity.</w:t>
      </w:r>
    </w:p>
    <w:p w14:paraId="105873D9" w14:textId="77777777" w:rsidR="000200EB" w:rsidRPr="00FD0026" w:rsidRDefault="000200EB" w:rsidP="00FD0026">
      <w:pPr>
        <w:pStyle w:val="ListParagraph"/>
        <w:numPr>
          <w:ilvl w:val="0"/>
          <w:numId w:val="7"/>
        </w:numPr>
        <w:spacing w:line="360" w:lineRule="auto"/>
        <w:rPr>
          <w:rFonts w:ascii="Arial" w:hAnsi="Arial" w:cs="Arial"/>
        </w:rPr>
      </w:pPr>
      <w:r w:rsidRPr="00FD0026">
        <w:rPr>
          <w:rFonts w:ascii="Arial" w:hAnsi="Arial" w:cs="Arial"/>
        </w:rPr>
        <w:t>Funding pressures limit scale-up of prevention and health promotion.</w:t>
      </w:r>
    </w:p>
    <w:p w14:paraId="6EDEFD0E" w14:textId="77777777" w:rsidR="00030F39" w:rsidRPr="00FD0026" w:rsidRDefault="00030F39" w:rsidP="00FD0026">
      <w:pPr>
        <w:spacing w:line="360" w:lineRule="auto"/>
        <w:rPr>
          <w:rFonts w:ascii="Arial" w:hAnsi="Arial" w:cs="Arial"/>
          <w:b/>
          <w:bCs/>
        </w:rPr>
      </w:pPr>
    </w:p>
    <w:p w14:paraId="2F85E3C5" w14:textId="6490F12C" w:rsidR="00FD0026" w:rsidRPr="00FD0026" w:rsidRDefault="000200EB" w:rsidP="00FD0026">
      <w:pPr>
        <w:spacing w:line="360" w:lineRule="auto"/>
        <w:rPr>
          <w:rFonts w:ascii="Arial" w:hAnsi="Arial" w:cs="Arial"/>
          <w:b/>
          <w:bCs/>
        </w:rPr>
      </w:pPr>
      <w:r w:rsidRPr="00FD0026">
        <w:rPr>
          <w:rFonts w:ascii="Arial" w:hAnsi="Arial" w:cs="Arial"/>
          <w:b/>
          <w:bCs/>
        </w:rPr>
        <w:t>Recommendations</w:t>
      </w:r>
    </w:p>
    <w:p w14:paraId="59CE045D" w14:textId="053A34F8" w:rsidR="000200EB" w:rsidRPr="00FD0026" w:rsidRDefault="000200EB" w:rsidP="00FD0026">
      <w:pPr>
        <w:spacing w:line="360" w:lineRule="auto"/>
        <w:rPr>
          <w:rFonts w:ascii="Arial" w:hAnsi="Arial" w:cs="Arial"/>
          <w:b/>
          <w:bCs/>
        </w:rPr>
      </w:pPr>
      <w:r w:rsidRPr="00FD0026">
        <w:rPr>
          <w:rFonts w:ascii="Arial" w:hAnsi="Arial" w:cs="Arial"/>
          <w:b/>
          <w:bCs/>
        </w:rPr>
        <w:t>1. Strengthen Primary Health Care (PHC) and community-based models</w:t>
      </w:r>
    </w:p>
    <w:p w14:paraId="4F8A45A4" w14:textId="77777777" w:rsidR="000200EB" w:rsidRPr="00FD0026" w:rsidRDefault="000200EB" w:rsidP="00FD0026">
      <w:pPr>
        <w:spacing w:line="360" w:lineRule="auto"/>
        <w:rPr>
          <w:rFonts w:ascii="Arial" w:hAnsi="Arial" w:cs="Arial"/>
        </w:rPr>
      </w:pPr>
      <w:r w:rsidRPr="00FD0026">
        <w:rPr>
          <w:rFonts w:ascii="Arial" w:hAnsi="Arial" w:cs="Arial"/>
        </w:rPr>
        <w:lastRenderedPageBreak/>
        <w:t>Investment in PHC improves equity, cost-effectiveness, and long-term sustainability (WHO and World Bank, 2021). Expanding multidisciplinary community teams can reduce acute pressures and address social needs.</w:t>
      </w:r>
    </w:p>
    <w:p w14:paraId="069E86F6" w14:textId="77777777" w:rsidR="000200EB" w:rsidRPr="00FD0026" w:rsidRDefault="000200EB" w:rsidP="00FD0026">
      <w:pPr>
        <w:spacing w:line="360" w:lineRule="auto"/>
        <w:rPr>
          <w:rFonts w:ascii="Arial" w:hAnsi="Arial" w:cs="Arial"/>
        </w:rPr>
      </w:pPr>
    </w:p>
    <w:p w14:paraId="0FCAF56D" w14:textId="6414902D" w:rsidR="000200EB" w:rsidRPr="00FD0026" w:rsidRDefault="000200EB" w:rsidP="00FD0026">
      <w:pPr>
        <w:spacing w:line="360" w:lineRule="auto"/>
        <w:rPr>
          <w:rFonts w:ascii="Arial" w:hAnsi="Arial" w:cs="Arial"/>
          <w:b/>
          <w:bCs/>
        </w:rPr>
      </w:pPr>
      <w:r w:rsidRPr="00FD0026">
        <w:rPr>
          <w:rFonts w:ascii="Arial" w:hAnsi="Arial" w:cs="Arial"/>
          <w:b/>
          <w:bCs/>
        </w:rPr>
        <w:t>2. Institutionalise Health in All Policies (</w:t>
      </w:r>
      <w:proofErr w:type="spellStart"/>
      <w:r w:rsidRPr="00FD0026">
        <w:rPr>
          <w:rFonts w:ascii="Arial" w:hAnsi="Arial" w:cs="Arial"/>
          <w:b/>
          <w:bCs/>
        </w:rPr>
        <w:t>HiAP</w:t>
      </w:r>
      <w:proofErr w:type="spellEnd"/>
      <w:r w:rsidRPr="00FD0026">
        <w:rPr>
          <w:rFonts w:ascii="Arial" w:hAnsi="Arial" w:cs="Arial"/>
          <w:b/>
          <w:bCs/>
        </w:rPr>
        <w:t>)</w:t>
      </w:r>
    </w:p>
    <w:p w14:paraId="783602CD" w14:textId="77777777" w:rsidR="000200EB" w:rsidRPr="00FD0026" w:rsidRDefault="000200EB" w:rsidP="00FD0026">
      <w:pPr>
        <w:spacing w:line="360" w:lineRule="auto"/>
        <w:rPr>
          <w:rFonts w:ascii="Arial" w:hAnsi="Arial" w:cs="Arial"/>
        </w:rPr>
      </w:pPr>
      <w:r w:rsidRPr="00FD0026">
        <w:rPr>
          <w:rFonts w:ascii="Arial" w:hAnsi="Arial" w:cs="Arial"/>
        </w:rPr>
        <w:t>Formal mechanisms such as Health Impact Assessments and interdepartmental committees can embed health across planning, housing, and environment (Kickbusch et al., 2012).</w:t>
      </w:r>
    </w:p>
    <w:p w14:paraId="4B16791E" w14:textId="77777777" w:rsidR="000200EB" w:rsidRPr="00FD0026" w:rsidRDefault="000200EB" w:rsidP="00FD0026">
      <w:pPr>
        <w:spacing w:line="360" w:lineRule="auto"/>
        <w:rPr>
          <w:rFonts w:ascii="Arial" w:hAnsi="Arial" w:cs="Arial"/>
        </w:rPr>
      </w:pPr>
    </w:p>
    <w:p w14:paraId="58DBC22C" w14:textId="7E9B29E2" w:rsidR="000200EB" w:rsidRPr="00FD0026" w:rsidRDefault="000200EB" w:rsidP="00FD0026">
      <w:pPr>
        <w:spacing w:line="360" w:lineRule="auto"/>
        <w:rPr>
          <w:rFonts w:ascii="Arial" w:hAnsi="Arial" w:cs="Arial"/>
          <w:b/>
          <w:bCs/>
        </w:rPr>
      </w:pPr>
      <w:r w:rsidRPr="00FD0026">
        <w:rPr>
          <w:rFonts w:ascii="Arial" w:hAnsi="Arial" w:cs="Arial"/>
          <w:b/>
          <w:bCs/>
        </w:rPr>
        <w:t>3. Enhance health data systems and evaluation capacity</w:t>
      </w:r>
    </w:p>
    <w:p w14:paraId="01B4FC50" w14:textId="77777777" w:rsidR="000200EB" w:rsidRPr="00FD0026" w:rsidRDefault="000200EB" w:rsidP="00FD0026">
      <w:pPr>
        <w:spacing w:line="360" w:lineRule="auto"/>
        <w:rPr>
          <w:rFonts w:ascii="Arial" w:hAnsi="Arial" w:cs="Arial"/>
        </w:rPr>
      </w:pPr>
      <w:r w:rsidRPr="00FD0026">
        <w:rPr>
          <w:rFonts w:ascii="Arial" w:hAnsi="Arial" w:cs="Arial"/>
        </w:rPr>
        <w:t>Integrated digital records and disaggregated local data can improve monitoring of inequalities and accountability (WHO, 2025).</w:t>
      </w:r>
    </w:p>
    <w:p w14:paraId="174032E0" w14:textId="77777777" w:rsidR="000200EB" w:rsidRPr="00FD0026" w:rsidRDefault="000200EB" w:rsidP="00FD0026">
      <w:pPr>
        <w:spacing w:line="360" w:lineRule="auto"/>
        <w:rPr>
          <w:rFonts w:ascii="Arial" w:hAnsi="Arial" w:cs="Arial"/>
        </w:rPr>
      </w:pPr>
    </w:p>
    <w:p w14:paraId="4F70B255" w14:textId="727E62A3" w:rsidR="000200EB" w:rsidRPr="00FD0026" w:rsidRDefault="000200EB" w:rsidP="00FD0026">
      <w:pPr>
        <w:spacing w:line="360" w:lineRule="auto"/>
        <w:rPr>
          <w:rFonts w:ascii="Arial" w:hAnsi="Arial" w:cs="Arial"/>
          <w:b/>
          <w:bCs/>
        </w:rPr>
      </w:pPr>
      <w:r w:rsidRPr="00FD0026">
        <w:rPr>
          <w:rFonts w:ascii="Arial" w:hAnsi="Arial" w:cs="Arial"/>
          <w:b/>
          <w:bCs/>
        </w:rPr>
        <w:t>4. Introduce sustainable public health financing</w:t>
      </w:r>
    </w:p>
    <w:p w14:paraId="31764870" w14:textId="77777777" w:rsidR="000200EB" w:rsidRPr="00FD0026" w:rsidRDefault="000200EB" w:rsidP="00FD0026">
      <w:pPr>
        <w:spacing w:line="360" w:lineRule="auto"/>
        <w:rPr>
          <w:rFonts w:ascii="Arial" w:hAnsi="Arial" w:cs="Arial"/>
        </w:rPr>
      </w:pPr>
      <w:r w:rsidRPr="00FD0026">
        <w:rPr>
          <w:rFonts w:ascii="Arial" w:hAnsi="Arial" w:cs="Arial"/>
        </w:rPr>
        <w:t>Progressive taxation such as levies on alcohol, tobacco and sugary drinks can support prevention efforts and reduce harmful consumption (WHO, 2025).</w:t>
      </w:r>
    </w:p>
    <w:p w14:paraId="21C5B732" w14:textId="77777777" w:rsidR="000200EB" w:rsidRPr="00FD0026" w:rsidRDefault="000200EB" w:rsidP="00FD0026">
      <w:pPr>
        <w:spacing w:line="360" w:lineRule="auto"/>
        <w:rPr>
          <w:rFonts w:ascii="Arial" w:hAnsi="Arial" w:cs="Arial"/>
        </w:rPr>
      </w:pPr>
    </w:p>
    <w:p w14:paraId="7B688413" w14:textId="3D8DEB22" w:rsidR="000200EB" w:rsidRPr="00FD0026" w:rsidRDefault="000200EB" w:rsidP="00FD0026">
      <w:pPr>
        <w:spacing w:line="360" w:lineRule="auto"/>
        <w:rPr>
          <w:rFonts w:ascii="Arial" w:hAnsi="Arial" w:cs="Arial"/>
          <w:b/>
          <w:bCs/>
        </w:rPr>
      </w:pPr>
      <w:r w:rsidRPr="00FD0026">
        <w:rPr>
          <w:rFonts w:ascii="Arial" w:hAnsi="Arial" w:cs="Arial"/>
          <w:b/>
          <w:bCs/>
        </w:rPr>
        <w:t>5. Support workforce wellbeing and retention</w:t>
      </w:r>
    </w:p>
    <w:p w14:paraId="739FD3EC" w14:textId="77777777" w:rsidR="000200EB" w:rsidRPr="00FD0026" w:rsidRDefault="000200EB" w:rsidP="00FD0026">
      <w:pPr>
        <w:spacing w:line="360" w:lineRule="auto"/>
        <w:rPr>
          <w:rFonts w:ascii="Arial" w:hAnsi="Arial" w:cs="Arial"/>
        </w:rPr>
      </w:pPr>
      <w:r w:rsidRPr="00FD0026">
        <w:rPr>
          <w:rFonts w:ascii="Arial" w:hAnsi="Arial" w:cs="Arial"/>
        </w:rPr>
        <w:t>Applying the WHO Global Plan on Workers’ Health principles can reduce burnout and improve service quality (WHO, 2007).</w:t>
      </w:r>
    </w:p>
    <w:p w14:paraId="5591EADC" w14:textId="77777777" w:rsidR="000200EB" w:rsidRPr="00FD0026" w:rsidRDefault="000200EB" w:rsidP="00FD0026">
      <w:pPr>
        <w:spacing w:line="360" w:lineRule="auto"/>
        <w:rPr>
          <w:rFonts w:ascii="Arial" w:hAnsi="Arial" w:cs="Arial"/>
        </w:rPr>
      </w:pPr>
    </w:p>
    <w:p w14:paraId="4A7A8B3B" w14:textId="725CC9B2" w:rsidR="000200EB" w:rsidRPr="00FD0026" w:rsidRDefault="000200EB" w:rsidP="00FD0026">
      <w:pPr>
        <w:spacing w:line="360" w:lineRule="auto"/>
        <w:rPr>
          <w:rFonts w:ascii="Arial" w:hAnsi="Arial" w:cs="Arial"/>
          <w:b/>
          <w:bCs/>
        </w:rPr>
      </w:pPr>
      <w:r w:rsidRPr="00FD0026">
        <w:rPr>
          <w:rFonts w:ascii="Arial" w:hAnsi="Arial" w:cs="Arial"/>
          <w:b/>
          <w:bCs/>
        </w:rPr>
        <w:t>6. Strengthen community participation and health literacy</w:t>
      </w:r>
    </w:p>
    <w:p w14:paraId="5A3C379D" w14:textId="77777777" w:rsidR="000200EB" w:rsidRDefault="000200EB" w:rsidP="00FD0026">
      <w:pPr>
        <w:spacing w:line="360" w:lineRule="auto"/>
        <w:rPr>
          <w:rFonts w:ascii="Arial" w:hAnsi="Arial" w:cs="Arial"/>
        </w:rPr>
      </w:pPr>
      <w:r w:rsidRPr="00FD0026">
        <w:rPr>
          <w:rFonts w:ascii="Arial" w:hAnsi="Arial" w:cs="Arial"/>
        </w:rPr>
        <w:t>Citizen engagement improves cultural competence, trust, and service responsiveness (Marmot, 2020).</w:t>
      </w:r>
    </w:p>
    <w:p w14:paraId="67942FCF" w14:textId="77777777" w:rsidR="00FD0026" w:rsidRDefault="00FD0026" w:rsidP="00FD0026">
      <w:pPr>
        <w:spacing w:line="360" w:lineRule="auto"/>
        <w:rPr>
          <w:rFonts w:ascii="Arial" w:hAnsi="Arial" w:cs="Arial"/>
        </w:rPr>
      </w:pPr>
    </w:p>
    <w:p w14:paraId="4A66014F" w14:textId="77777777" w:rsidR="00FD0026" w:rsidRPr="00FD0026" w:rsidRDefault="00FD0026" w:rsidP="00FD0026">
      <w:pPr>
        <w:spacing w:line="360" w:lineRule="auto"/>
        <w:rPr>
          <w:rFonts w:ascii="Arial" w:hAnsi="Arial" w:cs="Arial"/>
        </w:rPr>
      </w:pPr>
    </w:p>
    <w:p w14:paraId="532E726D" w14:textId="77777777" w:rsidR="000200EB" w:rsidRPr="00FD0026" w:rsidRDefault="000200EB" w:rsidP="00FD0026">
      <w:pPr>
        <w:spacing w:line="360" w:lineRule="auto"/>
        <w:rPr>
          <w:rFonts w:ascii="Arial" w:hAnsi="Arial" w:cs="Arial"/>
        </w:rPr>
      </w:pPr>
    </w:p>
    <w:p w14:paraId="37E8AB1F" w14:textId="6CB298B0" w:rsidR="000200EB" w:rsidRPr="00FD0026" w:rsidRDefault="000200EB" w:rsidP="00FD0026">
      <w:pPr>
        <w:spacing w:line="360" w:lineRule="auto"/>
        <w:rPr>
          <w:rFonts w:ascii="Arial" w:hAnsi="Arial" w:cs="Arial"/>
          <w:b/>
          <w:bCs/>
        </w:rPr>
      </w:pPr>
      <w:r w:rsidRPr="00FD0026">
        <w:rPr>
          <w:rFonts w:ascii="Arial" w:hAnsi="Arial" w:cs="Arial"/>
          <w:b/>
          <w:bCs/>
        </w:rPr>
        <w:lastRenderedPageBreak/>
        <w:t xml:space="preserve">SDG 1 – No Poverty </w:t>
      </w:r>
    </w:p>
    <w:p w14:paraId="0002FE8A" w14:textId="77777777" w:rsidR="00030F39" w:rsidRPr="00FD0026" w:rsidRDefault="00030F39" w:rsidP="00FD0026">
      <w:pPr>
        <w:spacing w:line="360" w:lineRule="auto"/>
        <w:rPr>
          <w:rFonts w:ascii="Arial" w:hAnsi="Arial" w:cs="Arial"/>
          <w:b/>
          <w:bCs/>
        </w:rPr>
      </w:pPr>
    </w:p>
    <w:p w14:paraId="48365402" w14:textId="2CBA2A92" w:rsidR="000200EB" w:rsidRPr="00FD0026" w:rsidRDefault="000200EB" w:rsidP="00FD0026">
      <w:pPr>
        <w:spacing w:line="360" w:lineRule="auto"/>
        <w:rPr>
          <w:rFonts w:ascii="Arial" w:hAnsi="Arial" w:cs="Arial"/>
          <w:b/>
          <w:bCs/>
        </w:rPr>
      </w:pPr>
      <w:r w:rsidRPr="00FD0026">
        <w:rPr>
          <w:rFonts w:ascii="Arial" w:hAnsi="Arial" w:cs="Arial"/>
          <w:b/>
          <w:bCs/>
        </w:rPr>
        <w:t>Overview of SDG 1</w:t>
      </w:r>
    </w:p>
    <w:p w14:paraId="6741AAB7" w14:textId="77777777" w:rsidR="000200EB" w:rsidRPr="00FD0026" w:rsidRDefault="000200EB" w:rsidP="00FD0026">
      <w:pPr>
        <w:spacing w:line="360" w:lineRule="auto"/>
        <w:rPr>
          <w:rFonts w:ascii="Arial" w:hAnsi="Arial" w:cs="Arial"/>
        </w:rPr>
      </w:pPr>
      <w:r w:rsidRPr="00FD0026">
        <w:rPr>
          <w:rFonts w:ascii="Arial" w:hAnsi="Arial" w:cs="Arial"/>
        </w:rPr>
        <w:t>SDG 1 aims to “end poverty in all its forms everywhere” (United Nations, 2015). Poverty encompasses not only income deprivation but also multidimensional factors such as education, housing, health, insecurity, and access to services. This is reflected in Amartya Sen’s capability approach, which views poverty as deprivation of basic capabilities required to live a dignified life (Sen, 1999).</w:t>
      </w:r>
    </w:p>
    <w:p w14:paraId="5D3F0E16" w14:textId="77777777" w:rsidR="000200EB" w:rsidRPr="00FD0026" w:rsidRDefault="000200EB" w:rsidP="00FD0026">
      <w:pPr>
        <w:spacing w:line="360" w:lineRule="auto"/>
        <w:rPr>
          <w:rFonts w:ascii="Arial" w:hAnsi="Arial" w:cs="Arial"/>
        </w:rPr>
      </w:pPr>
    </w:p>
    <w:p w14:paraId="570C5980" w14:textId="77777777" w:rsidR="000200EB" w:rsidRPr="00FD0026" w:rsidRDefault="000200EB" w:rsidP="00FD0026">
      <w:pPr>
        <w:spacing w:line="360" w:lineRule="auto"/>
        <w:rPr>
          <w:rFonts w:ascii="Arial" w:hAnsi="Arial" w:cs="Arial"/>
        </w:rPr>
      </w:pPr>
      <w:r w:rsidRPr="00FD0026">
        <w:rPr>
          <w:rFonts w:ascii="Arial" w:hAnsi="Arial" w:cs="Arial"/>
        </w:rPr>
        <w:t>Global progress toward SDG 1 has slowed significantly due to economic shocks, conflict, climate change, and the long-term effects of the COVID-19 pandemic. Recent UN data warns that global poverty reduction is “off track” (United Nations, 2024).</w:t>
      </w:r>
    </w:p>
    <w:p w14:paraId="0FD278D7" w14:textId="77777777" w:rsidR="000200EB" w:rsidRPr="00FD0026" w:rsidRDefault="000200EB" w:rsidP="00FD0026">
      <w:pPr>
        <w:spacing w:line="360" w:lineRule="auto"/>
        <w:rPr>
          <w:rFonts w:ascii="Arial" w:hAnsi="Arial" w:cs="Arial"/>
        </w:rPr>
      </w:pPr>
    </w:p>
    <w:p w14:paraId="7EC3DF0D" w14:textId="14E4CFE0" w:rsidR="000200EB" w:rsidRPr="00FD0026" w:rsidRDefault="000200EB" w:rsidP="00FD0026">
      <w:pPr>
        <w:spacing w:line="360" w:lineRule="auto"/>
        <w:rPr>
          <w:rFonts w:ascii="Arial" w:hAnsi="Arial" w:cs="Arial"/>
          <w:b/>
          <w:bCs/>
        </w:rPr>
      </w:pPr>
      <w:r w:rsidRPr="00FD0026">
        <w:rPr>
          <w:rFonts w:ascii="Arial" w:hAnsi="Arial" w:cs="Arial"/>
          <w:b/>
          <w:bCs/>
        </w:rPr>
        <w:t>Global Policies and Initiatives</w:t>
      </w:r>
    </w:p>
    <w:p w14:paraId="3B5100B7" w14:textId="77777777" w:rsidR="000200EB" w:rsidRPr="00FD0026" w:rsidRDefault="000200EB" w:rsidP="00FD0026">
      <w:pPr>
        <w:spacing w:line="360" w:lineRule="auto"/>
        <w:rPr>
          <w:rFonts w:ascii="Arial" w:hAnsi="Arial" w:cs="Arial"/>
        </w:rPr>
      </w:pPr>
      <w:r w:rsidRPr="00FD0026">
        <w:rPr>
          <w:rFonts w:ascii="Arial" w:hAnsi="Arial" w:cs="Arial"/>
        </w:rPr>
        <w:t>Globally, SDG 1 is driven by frameworks such as the UNDP Human Development Agenda (UNDP, 2024), the World Bank’s poverty reduction programmes (World Bank, 2022), and social protection strategies promoted by the International Labour Organization (ILO) (ILO, 2021). Approaches increasingly embrace multidimensional poverty measurement, with OPHI’s national-level Multidimensional Poverty Index (MPI) offering a broader, evidence-based tool for policymaking (Alkire and Foster, 2011; OPHI, 2024).</w:t>
      </w:r>
    </w:p>
    <w:p w14:paraId="2D954439" w14:textId="77777777" w:rsidR="000200EB" w:rsidRPr="00FD0026" w:rsidRDefault="000200EB" w:rsidP="00FD0026">
      <w:pPr>
        <w:spacing w:line="360" w:lineRule="auto"/>
        <w:rPr>
          <w:rFonts w:ascii="Arial" w:hAnsi="Arial" w:cs="Arial"/>
        </w:rPr>
      </w:pPr>
    </w:p>
    <w:p w14:paraId="52670D15" w14:textId="77777777" w:rsidR="000200EB" w:rsidRPr="00FD0026" w:rsidRDefault="000200EB" w:rsidP="00FD0026">
      <w:pPr>
        <w:spacing w:line="360" w:lineRule="auto"/>
        <w:rPr>
          <w:rFonts w:ascii="Arial" w:hAnsi="Arial" w:cs="Arial"/>
        </w:rPr>
      </w:pPr>
      <w:r w:rsidRPr="00FD0026">
        <w:rPr>
          <w:rFonts w:ascii="Arial" w:hAnsi="Arial" w:cs="Arial"/>
        </w:rPr>
        <w:t>Despite these advances, global poverty governance faces challenges including inadequate financing, insufficient social protection coverage, and structural inequalities that prevent long-term poverty reduction (OECD, 2023).</w:t>
      </w:r>
    </w:p>
    <w:p w14:paraId="566DB851" w14:textId="77777777" w:rsidR="000200EB" w:rsidRDefault="000200EB" w:rsidP="00FD0026">
      <w:pPr>
        <w:spacing w:line="360" w:lineRule="auto"/>
        <w:rPr>
          <w:rFonts w:ascii="Arial" w:hAnsi="Arial" w:cs="Arial"/>
        </w:rPr>
      </w:pPr>
    </w:p>
    <w:p w14:paraId="654857FF" w14:textId="77777777" w:rsidR="00FD0026" w:rsidRDefault="00FD0026" w:rsidP="00FD0026">
      <w:pPr>
        <w:spacing w:line="360" w:lineRule="auto"/>
        <w:rPr>
          <w:rFonts w:ascii="Arial" w:hAnsi="Arial" w:cs="Arial"/>
        </w:rPr>
      </w:pPr>
    </w:p>
    <w:p w14:paraId="6C7166AF" w14:textId="77777777" w:rsidR="00FD0026" w:rsidRPr="00FD0026" w:rsidRDefault="00FD0026" w:rsidP="00FD0026">
      <w:pPr>
        <w:spacing w:line="360" w:lineRule="auto"/>
        <w:rPr>
          <w:rFonts w:ascii="Arial" w:hAnsi="Arial" w:cs="Arial"/>
        </w:rPr>
      </w:pPr>
    </w:p>
    <w:p w14:paraId="50262750" w14:textId="11DA740A" w:rsidR="000200EB" w:rsidRPr="00FD0026" w:rsidRDefault="000200EB" w:rsidP="00FD0026">
      <w:pPr>
        <w:spacing w:line="360" w:lineRule="auto"/>
        <w:rPr>
          <w:rFonts w:ascii="Arial" w:hAnsi="Arial" w:cs="Arial"/>
          <w:b/>
          <w:bCs/>
        </w:rPr>
      </w:pPr>
      <w:r w:rsidRPr="00FD0026">
        <w:rPr>
          <w:rFonts w:ascii="Arial" w:hAnsi="Arial" w:cs="Arial"/>
          <w:b/>
          <w:bCs/>
        </w:rPr>
        <w:lastRenderedPageBreak/>
        <w:t>National and Local Examples</w:t>
      </w:r>
    </w:p>
    <w:p w14:paraId="62BEF589" w14:textId="77777777" w:rsidR="000200EB" w:rsidRPr="00FD0026" w:rsidRDefault="000200EB" w:rsidP="00FD0026">
      <w:pPr>
        <w:spacing w:line="360" w:lineRule="auto"/>
        <w:rPr>
          <w:rFonts w:ascii="Arial" w:hAnsi="Arial" w:cs="Arial"/>
        </w:rPr>
      </w:pPr>
      <w:r w:rsidRPr="00FD0026">
        <w:rPr>
          <w:rFonts w:ascii="Arial" w:hAnsi="Arial" w:cs="Arial"/>
        </w:rPr>
        <w:t>In the UK, poverty is shaped by income inequality, regional disparities, housing costs, and welfare system design. Although the UK has strong social protection frameworks, recent policy changes have increased hardship for vulnerable groups. Government assessments show that certain welfare reforms have pushed an estimated 250,000 people into poverty (Reuters, 2025). ONS data (2024) also shows rising child poverty and increasing proportions of households below average income.</w:t>
      </w:r>
    </w:p>
    <w:p w14:paraId="52DE81EE" w14:textId="77777777" w:rsidR="000200EB" w:rsidRPr="00FD0026" w:rsidRDefault="000200EB" w:rsidP="00FD0026">
      <w:pPr>
        <w:spacing w:line="360" w:lineRule="auto"/>
        <w:rPr>
          <w:rFonts w:ascii="Arial" w:hAnsi="Arial" w:cs="Arial"/>
        </w:rPr>
      </w:pPr>
    </w:p>
    <w:p w14:paraId="3D2B5649" w14:textId="77777777" w:rsidR="000200EB" w:rsidRPr="00FD0026" w:rsidRDefault="000200EB" w:rsidP="00FD0026">
      <w:pPr>
        <w:spacing w:line="360" w:lineRule="auto"/>
        <w:rPr>
          <w:rFonts w:ascii="Arial" w:hAnsi="Arial" w:cs="Arial"/>
        </w:rPr>
      </w:pPr>
      <w:r w:rsidRPr="00FD0026">
        <w:rPr>
          <w:rFonts w:ascii="Arial" w:hAnsi="Arial" w:cs="Arial"/>
        </w:rPr>
        <w:t>National anti-poverty efforts include the Levelling Up Agenda aimed at addressing geographic inequality through investment in transport, skills, housing, and economic development (HM Government, 2022). However, evidence suggests slow implementation and limited impact in reducing poverty directly.</w:t>
      </w:r>
    </w:p>
    <w:p w14:paraId="429A0BA8" w14:textId="77777777" w:rsidR="000200EB" w:rsidRPr="00FD0026" w:rsidRDefault="000200EB" w:rsidP="00FD0026">
      <w:pPr>
        <w:spacing w:line="360" w:lineRule="auto"/>
        <w:rPr>
          <w:rFonts w:ascii="Arial" w:hAnsi="Arial" w:cs="Arial"/>
        </w:rPr>
      </w:pPr>
    </w:p>
    <w:p w14:paraId="2ABDFD68" w14:textId="77777777" w:rsidR="000200EB" w:rsidRPr="00FD0026" w:rsidRDefault="000200EB" w:rsidP="00FD0026">
      <w:pPr>
        <w:spacing w:line="360" w:lineRule="auto"/>
        <w:rPr>
          <w:rFonts w:ascii="Arial" w:hAnsi="Arial" w:cs="Arial"/>
        </w:rPr>
      </w:pPr>
      <w:r w:rsidRPr="00FD0026">
        <w:rPr>
          <w:rFonts w:ascii="Arial" w:hAnsi="Arial" w:cs="Arial"/>
        </w:rPr>
        <w:t>Local authorities and community organisations play critical roles in addressing deprivation. Councils deliver housing support, employment programmes, financial inclusion schemes, and public health interventions that address the social determinants of poverty. However, a decade of budget cuts has significantly reduced local capacity (House of Lords Library, 2024).</w:t>
      </w:r>
    </w:p>
    <w:p w14:paraId="55AF3C4C" w14:textId="77777777" w:rsidR="000200EB" w:rsidRPr="00FD0026" w:rsidRDefault="000200EB" w:rsidP="00FD0026">
      <w:pPr>
        <w:spacing w:line="360" w:lineRule="auto"/>
        <w:rPr>
          <w:rFonts w:ascii="Arial" w:hAnsi="Arial" w:cs="Arial"/>
        </w:rPr>
      </w:pPr>
    </w:p>
    <w:p w14:paraId="3EA90E52" w14:textId="77777777" w:rsidR="000200EB" w:rsidRPr="00FD0026" w:rsidRDefault="000200EB" w:rsidP="00FD0026">
      <w:pPr>
        <w:spacing w:line="360" w:lineRule="auto"/>
        <w:rPr>
          <w:rFonts w:ascii="Arial" w:hAnsi="Arial" w:cs="Arial"/>
          <w:b/>
          <w:bCs/>
        </w:rPr>
      </w:pPr>
      <w:r w:rsidRPr="00FD0026">
        <w:rPr>
          <w:rFonts w:ascii="Arial" w:hAnsi="Arial" w:cs="Arial"/>
          <w:b/>
          <w:bCs/>
        </w:rPr>
        <w:t>Theoretical Approaches</w:t>
      </w:r>
    </w:p>
    <w:p w14:paraId="26A2BD53" w14:textId="77777777" w:rsidR="00030F39" w:rsidRPr="00FD0026" w:rsidRDefault="00030F39" w:rsidP="00FD0026">
      <w:pPr>
        <w:spacing w:line="360" w:lineRule="auto"/>
        <w:rPr>
          <w:rFonts w:ascii="Arial" w:hAnsi="Arial" w:cs="Arial"/>
          <w:b/>
          <w:bCs/>
        </w:rPr>
      </w:pPr>
    </w:p>
    <w:p w14:paraId="2034C210" w14:textId="2788A215" w:rsidR="000200EB" w:rsidRPr="00FD0026" w:rsidRDefault="000200EB" w:rsidP="00FD0026">
      <w:pPr>
        <w:spacing w:line="360" w:lineRule="auto"/>
        <w:rPr>
          <w:rFonts w:ascii="Arial" w:hAnsi="Arial" w:cs="Arial"/>
          <w:b/>
          <w:bCs/>
        </w:rPr>
      </w:pPr>
      <w:r w:rsidRPr="00FD0026">
        <w:rPr>
          <w:rFonts w:ascii="Arial" w:hAnsi="Arial" w:cs="Arial"/>
          <w:b/>
          <w:bCs/>
        </w:rPr>
        <w:t>Capability Approach (Sen, 1999)</w:t>
      </w:r>
    </w:p>
    <w:p w14:paraId="2305A02E" w14:textId="77777777" w:rsidR="000200EB" w:rsidRPr="00FD0026" w:rsidRDefault="000200EB" w:rsidP="00FD0026">
      <w:pPr>
        <w:spacing w:line="360" w:lineRule="auto"/>
        <w:rPr>
          <w:rFonts w:ascii="Arial" w:hAnsi="Arial" w:cs="Arial"/>
        </w:rPr>
      </w:pPr>
      <w:r w:rsidRPr="00FD0026">
        <w:rPr>
          <w:rFonts w:ascii="Arial" w:hAnsi="Arial" w:cs="Arial"/>
        </w:rPr>
        <w:t>This model emphasises individuals’ real freedoms to achieve wellbeing, highlighting the importance of education, health, security, and social inclusion.</w:t>
      </w:r>
    </w:p>
    <w:p w14:paraId="29DEB950" w14:textId="77777777" w:rsidR="000200EB" w:rsidRPr="00FD0026" w:rsidRDefault="000200EB" w:rsidP="00FD0026">
      <w:pPr>
        <w:spacing w:line="360" w:lineRule="auto"/>
        <w:rPr>
          <w:rFonts w:ascii="Arial" w:hAnsi="Arial" w:cs="Arial"/>
        </w:rPr>
      </w:pPr>
    </w:p>
    <w:p w14:paraId="6077F92B" w14:textId="77777777" w:rsidR="000200EB" w:rsidRPr="00FD0026" w:rsidRDefault="000200EB" w:rsidP="00FD0026">
      <w:pPr>
        <w:spacing w:line="360" w:lineRule="auto"/>
        <w:rPr>
          <w:rFonts w:ascii="Arial" w:hAnsi="Arial" w:cs="Arial"/>
          <w:b/>
          <w:bCs/>
        </w:rPr>
      </w:pPr>
      <w:r w:rsidRPr="00FD0026">
        <w:rPr>
          <w:rFonts w:ascii="Arial" w:hAnsi="Arial" w:cs="Arial"/>
          <w:b/>
          <w:bCs/>
        </w:rPr>
        <w:t>Multidimensional Poverty Framework (Alkire &amp; Foster, 2011)</w:t>
      </w:r>
    </w:p>
    <w:p w14:paraId="68750794" w14:textId="77777777" w:rsidR="000200EB" w:rsidRPr="00FD0026" w:rsidRDefault="000200EB" w:rsidP="00FD0026">
      <w:pPr>
        <w:spacing w:line="360" w:lineRule="auto"/>
        <w:rPr>
          <w:rFonts w:ascii="Arial" w:hAnsi="Arial" w:cs="Arial"/>
        </w:rPr>
      </w:pPr>
      <w:r w:rsidRPr="00FD0026">
        <w:rPr>
          <w:rFonts w:ascii="Arial" w:hAnsi="Arial" w:cs="Arial"/>
        </w:rPr>
        <w:t>This approach measures poverty across multiple indicators, offering a more holistic assessment of deprivation.</w:t>
      </w:r>
    </w:p>
    <w:p w14:paraId="6CB09C7E" w14:textId="77777777" w:rsidR="000200EB" w:rsidRPr="00FD0026" w:rsidRDefault="000200EB" w:rsidP="00FD0026">
      <w:pPr>
        <w:spacing w:line="360" w:lineRule="auto"/>
        <w:rPr>
          <w:rFonts w:ascii="Arial" w:hAnsi="Arial" w:cs="Arial"/>
        </w:rPr>
      </w:pPr>
    </w:p>
    <w:p w14:paraId="4E7084E9" w14:textId="77777777" w:rsidR="000200EB" w:rsidRPr="00FD0026" w:rsidRDefault="000200EB" w:rsidP="00FD0026">
      <w:pPr>
        <w:spacing w:line="360" w:lineRule="auto"/>
        <w:rPr>
          <w:rFonts w:ascii="Arial" w:hAnsi="Arial" w:cs="Arial"/>
          <w:b/>
          <w:bCs/>
        </w:rPr>
      </w:pPr>
      <w:r w:rsidRPr="00FD0026">
        <w:rPr>
          <w:rFonts w:ascii="Arial" w:hAnsi="Arial" w:cs="Arial"/>
          <w:b/>
          <w:bCs/>
        </w:rPr>
        <w:t>Social Determinants of Health (Dahlgren and Whitehead, 1991)</w:t>
      </w:r>
    </w:p>
    <w:p w14:paraId="35494B23" w14:textId="77777777" w:rsidR="000200EB" w:rsidRPr="00FD0026" w:rsidRDefault="000200EB" w:rsidP="00FD0026">
      <w:pPr>
        <w:spacing w:line="360" w:lineRule="auto"/>
        <w:rPr>
          <w:rFonts w:ascii="Arial" w:hAnsi="Arial" w:cs="Arial"/>
        </w:rPr>
      </w:pPr>
      <w:r w:rsidRPr="00FD0026">
        <w:rPr>
          <w:rFonts w:ascii="Arial" w:hAnsi="Arial" w:cs="Arial"/>
        </w:rPr>
        <w:t>While originally a health model, it is equally relevant to poverty, highlighting the influence of structural determinants such as employment, education, and environment.</w:t>
      </w:r>
    </w:p>
    <w:p w14:paraId="57D43CBA" w14:textId="77777777" w:rsidR="000200EB" w:rsidRPr="00FD0026" w:rsidRDefault="000200EB" w:rsidP="00FD0026">
      <w:pPr>
        <w:spacing w:line="360" w:lineRule="auto"/>
        <w:rPr>
          <w:rFonts w:ascii="Arial" w:hAnsi="Arial" w:cs="Arial"/>
        </w:rPr>
      </w:pPr>
    </w:p>
    <w:p w14:paraId="042AA28F" w14:textId="77777777" w:rsidR="000200EB" w:rsidRPr="00FD0026" w:rsidRDefault="000200EB" w:rsidP="00FD0026">
      <w:pPr>
        <w:spacing w:line="360" w:lineRule="auto"/>
        <w:rPr>
          <w:rFonts w:ascii="Arial" w:hAnsi="Arial" w:cs="Arial"/>
          <w:b/>
          <w:bCs/>
        </w:rPr>
      </w:pPr>
      <w:r w:rsidRPr="00FD0026">
        <w:rPr>
          <w:rFonts w:ascii="Arial" w:hAnsi="Arial" w:cs="Arial"/>
          <w:b/>
          <w:bCs/>
        </w:rPr>
        <w:t>Critical Evaluation</w:t>
      </w:r>
    </w:p>
    <w:p w14:paraId="783960C0" w14:textId="77777777" w:rsidR="00030F39" w:rsidRPr="00FD0026" w:rsidRDefault="00030F39" w:rsidP="00FD0026">
      <w:pPr>
        <w:spacing w:line="360" w:lineRule="auto"/>
        <w:rPr>
          <w:rFonts w:ascii="Arial" w:hAnsi="Arial" w:cs="Arial"/>
          <w:b/>
          <w:bCs/>
        </w:rPr>
      </w:pPr>
    </w:p>
    <w:p w14:paraId="270BB8C9" w14:textId="251BCFF6" w:rsidR="000200EB" w:rsidRPr="00FD0026" w:rsidRDefault="000200EB" w:rsidP="00FD0026">
      <w:pPr>
        <w:spacing w:line="360" w:lineRule="auto"/>
        <w:rPr>
          <w:rFonts w:ascii="Arial" w:hAnsi="Arial" w:cs="Arial"/>
          <w:b/>
          <w:bCs/>
        </w:rPr>
      </w:pPr>
      <w:r w:rsidRPr="00FD0026">
        <w:rPr>
          <w:rFonts w:ascii="Arial" w:hAnsi="Arial" w:cs="Arial"/>
          <w:b/>
          <w:bCs/>
        </w:rPr>
        <w:t>Strengths</w:t>
      </w:r>
    </w:p>
    <w:p w14:paraId="6EC57AB3" w14:textId="6E984E61" w:rsidR="000200EB" w:rsidRPr="00FD0026" w:rsidRDefault="000200EB" w:rsidP="00FD0026">
      <w:pPr>
        <w:pStyle w:val="ListParagraph"/>
        <w:numPr>
          <w:ilvl w:val="0"/>
          <w:numId w:val="8"/>
        </w:numPr>
        <w:spacing w:line="360" w:lineRule="auto"/>
        <w:rPr>
          <w:rFonts w:ascii="Arial" w:hAnsi="Arial" w:cs="Arial"/>
        </w:rPr>
      </w:pPr>
      <w:r w:rsidRPr="00FD0026">
        <w:rPr>
          <w:rFonts w:ascii="Arial" w:hAnsi="Arial" w:cs="Arial"/>
        </w:rPr>
        <w:t>The UK has well-established welfare and social protection systems.</w:t>
      </w:r>
    </w:p>
    <w:p w14:paraId="290CFC11" w14:textId="7FF48814" w:rsidR="000200EB" w:rsidRPr="00FD0026" w:rsidRDefault="000200EB" w:rsidP="00FD0026">
      <w:pPr>
        <w:pStyle w:val="ListParagraph"/>
        <w:numPr>
          <w:ilvl w:val="0"/>
          <w:numId w:val="8"/>
        </w:numPr>
        <w:spacing w:line="360" w:lineRule="auto"/>
        <w:rPr>
          <w:rFonts w:ascii="Arial" w:hAnsi="Arial" w:cs="Arial"/>
        </w:rPr>
      </w:pPr>
      <w:r w:rsidRPr="00FD0026">
        <w:rPr>
          <w:rFonts w:ascii="Arial" w:hAnsi="Arial" w:cs="Arial"/>
        </w:rPr>
        <w:t>Multidimensional poverty frameworks provide richer evidence for policymaking (OPHI, 2024).</w:t>
      </w:r>
    </w:p>
    <w:p w14:paraId="0A166286" w14:textId="32F39B84" w:rsidR="000200EB" w:rsidRPr="00FD0026" w:rsidRDefault="000200EB" w:rsidP="00FD0026">
      <w:pPr>
        <w:pStyle w:val="ListParagraph"/>
        <w:numPr>
          <w:ilvl w:val="0"/>
          <w:numId w:val="8"/>
        </w:numPr>
        <w:spacing w:line="360" w:lineRule="auto"/>
        <w:rPr>
          <w:rFonts w:ascii="Arial" w:hAnsi="Arial" w:cs="Arial"/>
        </w:rPr>
      </w:pPr>
      <w:r w:rsidRPr="00FD0026">
        <w:rPr>
          <w:rFonts w:ascii="Arial" w:hAnsi="Arial" w:cs="Arial"/>
        </w:rPr>
        <w:t>Local authority initiatives are responsive to community-level needs.</w:t>
      </w:r>
    </w:p>
    <w:p w14:paraId="17CE5678" w14:textId="77777777" w:rsidR="000200EB" w:rsidRPr="00FD0026" w:rsidRDefault="000200EB" w:rsidP="00FD0026">
      <w:pPr>
        <w:pStyle w:val="ListParagraph"/>
        <w:numPr>
          <w:ilvl w:val="0"/>
          <w:numId w:val="8"/>
        </w:numPr>
        <w:spacing w:line="360" w:lineRule="auto"/>
        <w:rPr>
          <w:rFonts w:ascii="Arial" w:hAnsi="Arial" w:cs="Arial"/>
        </w:rPr>
      </w:pPr>
      <w:r w:rsidRPr="00FD0026">
        <w:rPr>
          <w:rFonts w:ascii="Arial" w:hAnsi="Arial" w:cs="Arial"/>
        </w:rPr>
        <w:t>Global strategies offer strong technical support for national action.</w:t>
      </w:r>
    </w:p>
    <w:p w14:paraId="61D7FE60" w14:textId="77777777" w:rsidR="000200EB" w:rsidRPr="00FD0026" w:rsidRDefault="000200EB" w:rsidP="00FD0026">
      <w:pPr>
        <w:spacing w:line="360" w:lineRule="auto"/>
        <w:rPr>
          <w:rFonts w:ascii="Arial" w:hAnsi="Arial" w:cs="Arial"/>
        </w:rPr>
      </w:pPr>
    </w:p>
    <w:p w14:paraId="4E5B86C0" w14:textId="28D060A7" w:rsidR="000200EB" w:rsidRPr="00FD0026" w:rsidRDefault="000200EB" w:rsidP="00FD0026">
      <w:pPr>
        <w:spacing w:line="360" w:lineRule="auto"/>
        <w:rPr>
          <w:rFonts w:ascii="Arial" w:hAnsi="Arial" w:cs="Arial"/>
          <w:b/>
          <w:bCs/>
        </w:rPr>
      </w:pPr>
      <w:r w:rsidRPr="00FD0026">
        <w:rPr>
          <w:rFonts w:ascii="Arial" w:hAnsi="Arial" w:cs="Arial"/>
          <w:b/>
          <w:bCs/>
        </w:rPr>
        <w:t>Weaknesses</w:t>
      </w:r>
    </w:p>
    <w:p w14:paraId="38616EA2" w14:textId="7560271D" w:rsidR="000200EB" w:rsidRPr="00FD0026" w:rsidRDefault="000200EB" w:rsidP="00FD0026">
      <w:pPr>
        <w:pStyle w:val="ListParagraph"/>
        <w:numPr>
          <w:ilvl w:val="0"/>
          <w:numId w:val="9"/>
        </w:numPr>
        <w:spacing w:line="360" w:lineRule="auto"/>
        <w:rPr>
          <w:rFonts w:ascii="Arial" w:hAnsi="Arial" w:cs="Arial"/>
        </w:rPr>
      </w:pPr>
      <w:r w:rsidRPr="00FD0026">
        <w:rPr>
          <w:rFonts w:ascii="Arial" w:hAnsi="Arial" w:cs="Arial"/>
        </w:rPr>
        <w:t>Recent welfare cuts have increased poverty rates (Reuters, 2025).</w:t>
      </w:r>
    </w:p>
    <w:p w14:paraId="3C9B32AF" w14:textId="2E20934D" w:rsidR="000200EB" w:rsidRPr="00FD0026" w:rsidRDefault="000200EB" w:rsidP="00FD0026">
      <w:pPr>
        <w:pStyle w:val="ListParagraph"/>
        <w:numPr>
          <w:ilvl w:val="0"/>
          <w:numId w:val="9"/>
        </w:numPr>
        <w:spacing w:line="360" w:lineRule="auto"/>
        <w:rPr>
          <w:rFonts w:ascii="Arial" w:hAnsi="Arial" w:cs="Arial"/>
        </w:rPr>
      </w:pPr>
      <w:r w:rsidRPr="00FD0026">
        <w:rPr>
          <w:rFonts w:ascii="Arial" w:hAnsi="Arial" w:cs="Arial"/>
        </w:rPr>
        <w:t>Significant regional inequalities persist, limiting “levelling up” effectiveness (House of Lords Library, 2024).</w:t>
      </w:r>
    </w:p>
    <w:p w14:paraId="3BF3680B" w14:textId="6D3CFB79" w:rsidR="000200EB" w:rsidRPr="00FD0026" w:rsidRDefault="000200EB" w:rsidP="00FD0026">
      <w:pPr>
        <w:pStyle w:val="ListParagraph"/>
        <w:numPr>
          <w:ilvl w:val="0"/>
          <w:numId w:val="9"/>
        </w:numPr>
        <w:spacing w:line="360" w:lineRule="auto"/>
        <w:rPr>
          <w:rFonts w:ascii="Arial" w:hAnsi="Arial" w:cs="Arial"/>
        </w:rPr>
      </w:pPr>
      <w:r w:rsidRPr="00FD0026">
        <w:rPr>
          <w:rFonts w:ascii="Arial" w:hAnsi="Arial" w:cs="Arial"/>
        </w:rPr>
        <w:t>Local authority funding reductions have weakened anti-poverty capacity.</w:t>
      </w:r>
    </w:p>
    <w:p w14:paraId="7440EDA3" w14:textId="04AA655F" w:rsidR="000200EB" w:rsidRPr="00FD0026" w:rsidRDefault="000200EB" w:rsidP="00FD0026">
      <w:pPr>
        <w:pStyle w:val="ListParagraph"/>
        <w:numPr>
          <w:ilvl w:val="0"/>
          <w:numId w:val="9"/>
        </w:numPr>
        <w:spacing w:line="360" w:lineRule="auto"/>
        <w:rPr>
          <w:rFonts w:ascii="Arial" w:hAnsi="Arial" w:cs="Arial"/>
        </w:rPr>
      </w:pPr>
      <w:r w:rsidRPr="00FD0026">
        <w:rPr>
          <w:rFonts w:ascii="Arial" w:hAnsi="Arial" w:cs="Arial"/>
        </w:rPr>
        <w:t>Policy fragmentation across employment, housing, and social services undermines coherence.</w:t>
      </w:r>
    </w:p>
    <w:p w14:paraId="79E96D3D" w14:textId="77777777" w:rsidR="000200EB" w:rsidRPr="00FD0026" w:rsidRDefault="000200EB" w:rsidP="00FD0026">
      <w:pPr>
        <w:pStyle w:val="ListParagraph"/>
        <w:numPr>
          <w:ilvl w:val="0"/>
          <w:numId w:val="9"/>
        </w:numPr>
        <w:spacing w:line="360" w:lineRule="auto"/>
        <w:rPr>
          <w:rFonts w:ascii="Arial" w:hAnsi="Arial" w:cs="Arial"/>
        </w:rPr>
      </w:pPr>
      <w:r w:rsidRPr="00FD0026">
        <w:rPr>
          <w:rFonts w:ascii="Arial" w:hAnsi="Arial" w:cs="Arial"/>
        </w:rPr>
        <w:t>Child poverty rates remain high and rising (ONS, 2024).</w:t>
      </w:r>
    </w:p>
    <w:p w14:paraId="0B10B413" w14:textId="77777777" w:rsidR="000200EB" w:rsidRDefault="000200EB" w:rsidP="00FD0026">
      <w:pPr>
        <w:spacing w:line="360" w:lineRule="auto"/>
        <w:rPr>
          <w:rFonts w:ascii="Arial" w:hAnsi="Arial" w:cs="Arial"/>
        </w:rPr>
      </w:pPr>
    </w:p>
    <w:p w14:paraId="3D9FC402" w14:textId="77777777" w:rsidR="00FD0026" w:rsidRDefault="00FD0026" w:rsidP="00FD0026">
      <w:pPr>
        <w:spacing w:line="360" w:lineRule="auto"/>
        <w:rPr>
          <w:rFonts w:ascii="Arial" w:hAnsi="Arial" w:cs="Arial"/>
        </w:rPr>
      </w:pPr>
    </w:p>
    <w:p w14:paraId="7658CB55" w14:textId="77777777" w:rsidR="00FD0026" w:rsidRDefault="00FD0026" w:rsidP="00FD0026">
      <w:pPr>
        <w:spacing w:line="360" w:lineRule="auto"/>
        <w:rPr>
          <w:rFonts w:ascii="Arial" w:hAnsi="Arial" w:cs="Arial"/>
        </w:rPr>
      </w:pPr>
    </w:p>
    <w:p w14:paraId="3530563D" w14:textId="77777777" w:rsidR="00FD0026" w:rsidRPr="00FD0026" w:rsidRDefault="00FD0026" w:rsidP="00FD0026">
      <w:pPr>
        <w:spacing w:line="360" w:lineRule="auto"/>
        <w:rPr>
          <w:rFonts w:ascii="Arial" w:hAnsi="Arial" w:cs="Arial"/>
        </w:rPr>
      </w:pPr>
    </w:p>
    <w:p w14:paraId="1AD8FA92" w14:textId="77777777" w:rsidR="000200EB" w:rsidRPr="00FD0026" w:rsidRDefault="000200EB" w:rsidP="00FD0026">
      <w:pPr>
        <w:spacing w:line="360" w:lineRule="auto"/>
        <w:rPr>
          <w:rFonts w:ascii="Arial" w:hAnsi="Arial" w:cs="Arial"/>
          <w:b/>
          <w:bCs/>
        </w:rPr>
      </w:pPr>
      <w:r w:rsidRPr="00FD0026">
        <w:rPr>
          <w:rFonts w:ascii="Arial" w:hAnsi="Arial" w:cs="Arial"/>
          <w:b/>
          <w:bCs/>
        </w:rPr>
        <w:lastRenderedPageBreak/>
        <w:t>Recommendations</w:t>
      </w:r>
    </w:p>
    <w:p w14:paraId="4AEA6986" w14:textId="77777777" w:rsidR="00030F39" w:rsidRPr="00FD0026" w:rsidRDefault="00030F39" w:rsidP="00FD0026">
      <w:pPr>
        <w:spacing w:line="360" w:lineRule="auto"/>
        <w:rPr>
          <w:rFonts w:ascii="Arial" w:hAnsi="Arial" w:cs="Arial"/>
          <w:b/>
          <w:bCs/>
        </w:rPr>
      </w:pPr>
    </w:p>
    <w:p w14:paraId="6668272A" w14:textId="6F2AED15" w:rsidR="000200EB" w:rsidRPr="00FD0026" w:rsidRDefault="000200EB" w:rsidP="00FD0026">
      <w:pPr>
        <w:spacing w:line="360" w:lineRule="auto"/>
        <w:rPr>
          <w:rFonts w:ascii="Arial" w:hAnsi="Arial" w:cs="Arial"/>
          <w:b/>
          <w:bCs/>
        </w:rPr>
      </w:pPr>
      <w:r w:rsidRPr="00FD0026">
        <w:rPr>
          <w:rFonts w:ascii="Arial" w:hAnsi="Arial" w:cs="Arial"/>
          <w:b/>
          <w:bCs/>
        </w:rPr>
        <w:t>1. Expand social protection coverage and adequacy</w:t>
      </w:r>
    </w:p>
    <w:p w14:paraId="44B35112" w14:textId="77777777" w:rsidR="000200EB" w:rsidRPr="00FD0026" w:rsidRDefault="000200EB" w:rsidP="00FD0026">
      <w:pPr>
        <w:spacing w:line="360" w:lineRule="auto"/>
        <w:rPr>
          <w:rFonts w:ascii="Arial" w:hAnsi="Arial" w:cs="Arial"/>
        </w:rPr>
      </w:pPr>
      <w:r w:rsidRPr="00FD0026">
        <w:rPr>
          <w:rFonts w:ascii="Arial" w:hAnsi="Arial" w:cs="Arial"/>
        </w:rPr>
        <w:t>Strengthening welfare benefits and reducing conditionality would better support vulnerable households (ILO, 2021).</w:t>
      </w:r>
    </w:p>
    <w:p w14:paraId="2E39FF13" w14:textId="77777777" w:rsidR="000200EB" w:rsidRPr="00FD0026" w:rsidRDefault="000200EB" w:rsidP="00FD0026">
      <w:pPr>
        <w:spacing w:line="360" w:lineRule="auto"/>
        <w:rPr>
          <w:rFonts w:ascii="Arial" w:hAnsi="Arial" w:cs="Arial"/>
        </w:rPr>
      </w:pPr>
    </w:p>
    <w:p w14:paraId="1FBC66BA" w14:textId="7AD86027" w:rsidR="000200EB" w:rsidRPr="00FD0026" w:rsidRDefault="000200EB" w:rsidP="00FD0026">
      <w:pPr>
        <w:spacing w:line="360" w:lineRule="auto"/>
        <w:rPr>
          <w:rFonts w:ascii="Arial" w:hAnsi="Arial" w:cs="Arial"/>
          <w:b/>
          <w:bCs/>
        </w:rPr>
      </w:pPr>
      <w:r w:rsidRPr="00FD0026">
        <w:rPr>
          <w:rFonts w:ascii="Arial" w:hAnsi="Arial" w:cs="Arial"/>
          <w:b/>
          <w:bCs/>
        </w:rPr>
        <w:t>2. Targeted investment in deprived regions</w:t>
      </w:r>
    </w:p>
    <w:p w14:paraId="19BDB1E9" w14:textId="77777777" w:rsidR="000200EB" w:rsidRPr="00FD0026" w:rsidRDefault="000200EB" w:rsidP="00FD0026">
      <w:pPr>
        <w:spacing w:line="360" w:lineRule="auto"/>
        <w:rPr>
          <w:rFonts w:ascii="Arial" w:hAnsi="Arial" w:cs="Arial"/>
        </w:rPr>
      </w:pPr>
      <w:r w:rsidRPr="00FD0026">
        <w:rPr>
          <w:rFonts w:ascii="Arial" w:hAnsi="Arial" w:cs="Arial"/>
        </w:rPr>
        <w:t>Investment in skills, employment, and affordable housing must be prioritised to address structural inequalities (HM Government, 2022).</w:t>
      </w:r>
    </w:p>
    <w:p w14:paraId="1D5EF4F0" w14:textId="77777777" w:rsidR="000200EB" w:rsidRPr="00FD0026" w:rsidRDefault="000200EB" w:rsidP="00FD0026">
      <w:pPr>
        <w:spacing w:line="360" w:lineRule="auto"/>
        <w:rPr>
          <w:rFonts w:ascii="Arial" w:hAnsi="Arial" w:cs="Arial"/>
        </w:rPr>
      </w:pPr>
    </w:p>
    <w:p w14:paraId="6E1A3AE3" w14:textId="4E71673F" w:rsidR="000200EB" w:rsidRPr="00FD0026" w:rsidRDefault="000200EB" w:rsidP="00FD0026">
      <w:pPr>
        <w:spacing w:line="360" w:lineRule="auto"/>
        <w:rPr>
          <w:rFonts w:ascii="Arial" w:hAnsi="Arial" w:cs="Arial"/>
          <w:b/>
          <w:bCs/>
        </w:rPr>
      </w:pPr>
      <w:r w:rsidRPr="00FD0026">
        <w:rPr>
          <w:rFonts w:ascii="Arial" w:hAnsi="Arial" w:cs="Arial"/>
          <w:b/>
          <w:bCs/>
        </w:rPr>
        <w:t>3. Apply multidimensional poverty measurement nationally</w:t>
      </w:r>
    </w:p>
    <w:p w14:paraId="7F5215C4" w14:textId="77777777" w:rsidR="000200EB" w:rsidRPr="00FD0026" w:rsidRDefault="000200EB" w:rsidP="00FD0026">
      <w:pPr>
        <w:spacing w:line="360" w:lineRule="auto"/>
        <w:rPr>
          <w:rFonts w:ascii="Arial" w:hAnsi="Arial" w:cs="Arial"/>
        </w:rPr>
      </w:pPr>
      <w:r w:rsidRPr="00FD0026">
        <w:rPr>
          <w:rFonts w:ascii="Arial" w:hAnsi="Arial" w:cs="Arial"/>
        </w:rPr>
        <w:t>Using MPI approaches would improve monitoring and resource allocation (OPHI, 2024).</w:t>
      </w:r>
    </w:p>
    <w:p w14:paraId="0B19F16C" w14:textId="77777777" w:rsidR="000200EB" w:rsidRPr="00FD0026" w:rsidRDefault="000200EB" w:rsidP="00FD0026">
      <w:pPr>
        <w:spacing w:line="360" w:lineRule="auto"/>
        <w:rPr>
          <w:rFonts w:ascii="Arial" w:hAnsi="Arial" w:cs="Arial"/>
        </w:rPr>
      </w:pPr>
    </w:p>
    <w:p w14:paraId="6E23CC44" w14:textId="2F285190" w:rsidR="000200EB" w:rsidRPr="00FD0026" w:rsidRDefault="000200EB" w:rsidP="00FD0026">
      <w:pPr>
        <w:spacing w:line="360" w:lineRule="auto"/>
        <w:rPr>
          <w:rFonts w:ascii="Arial" w:hAnsi="Arial" w:cs="Arial"/>
          <w:b/>
          <w:bCs/>
        </w:rPr>
      </w:pPr>
      <w:r w:rsidRPr="00FD0026">
        <w:rPr>
          <w:rFonts w:ascii="Arial" w:hAnsi="Arial" w:cs="Arial"/>
          <w:b/>
          <w:bCs/>
        </w:rPr>
        <w:t>4. Increase local authority funding</w:t>
      </w:r>
    </w:p>
    <w:p w14:paraId="6E603F1E" w14:textId="77777777" w:rsidR="000200EB" w:rsidRPr="00FD0026" w:rsidRDefault="000200EB" w:rsidP="00FD0026">
      <w:pPr>
        <w:spacing w:line="360" w:lineRule="auto"/>
        <w:rPr>
          <w:rFonts w:ascii="Arial" w:hAnsi="Arial" w:cs="Arial"/>
        </w:rPr>
      </w:pPr>
      <w:r w:rsidRPr="00FD0026">
        <w:rPr>
          <w:rFonts w:ascii="Arial" w:hAnsi="Arial" w:cs="Arial"/>
        </w:rPr>
        <w:t>Restoring local budgets is essential for effective delivery of poverty alleviation programmes (House of Lords Library, 2024).</w:t>
      </w:r>
    </w:p>
    <w:p w14:paraId="7D6249D2" w14:textId="77777777" w:rsidR="000200EB" w:rsidRPr="00FD0026" w:rsidRDefault="000200EB" w:rsidP="00FD0026">
      <w:pPr>
        <w:spacing w:line="360" w:lineRule="auto"/>
        <w:rPr>
          <w:rFonts w:ascii="Arial" w:hAnsi="Arial" w:cs="Arial"/>
        </w:rPr>
      </w:pPr>
    </w:p>
    <w:p w14:paraId="0CCBA0A9" w14:textId="1CE463F1" w:rsidR="000200EB" w:rsidRPr="00FD0026" w:rsidRDefault="000200EB" w:rsidP="00FD0026">
      <w:pPr>
        <w:spacing w:line="360" w:lineRule="auto"/>
        <w:rPr>
          <w:rFonts w:ascii="Arial" w:hAnsi="Arial" w:cs="Arial"/>
          <w:b/>
          <w:bCs/>
        </w:rPr>
      </w:pPr>
      <w:r w:rsidRPr="00FD0026">
        <w:rPr>
          <w:rFonts w:ascii="Arial" w:hAnsi="Arial" w:cs="Arial"/>
          <w:b/>
          <w:bCs/>
        </w:rPr>
        <w:t>5. Strengthen integration across housing, health, employment, and welfare</w:t>
      </w:r>
    </w:p>
    <w:p w14:paraId="7ADF3E2B" w14:textId="77777777" w:rsidR="000200EB" w:rsidRPr="00FD0026" w:rsidRDefault="000200EB" w:rsidP="00FD0026">
      <w:pPr>
        <w:spacing w:line="360" w:lineRule="auto"/>
        <w:rPr>
          <w:rFonts w:ascii="Arial" w:hAnsi="Arial" w:cs="Arial"/>
        </w:rPr>
      </w:pPr>
      <w:r w:rsidRPr="00FD0026">
        <w:rPr>
          <w:rFonts w:ascii="Arial" w:hAnsi="Arial" w:cs="Arial"/>
        </w:rPr>
        <w:t>Joined-up strategies are essential for addressing complex poverty pathways (Marmot, 2020).</w:t>
      </w:r>
    </w:p>
    <w:p w14:paraId="61610276" w14:textId="77777777" w:rsidR="000200EB" w:rsidRPr="00FD0026" w:rsidRDefault="000200EB" w:rsidP="00FD0026">
      <w:pPr>
        <w:spacing w:line="360" w:lineRule="auto"/>
        <w:rPr>
          <w:rFonts w:ascii="Arial" w:hAnsi="Arial" w:cs="Arial"/>
        </w:rPr>
      </w:pPr>
    </w:p>
    <w:p w14:paraId="126C84E4" w14:textId="1518FEFB" w:rsidR="000200EB" w:rsidRPr="00FD0026" w:rsidRDefault="000200EB" w:rsidP="00FD0026">
      <w:pPr>
        <w:spacing w:line="360" w:lineRule="auto"/>
        <w:rPr>
          <w:rFonts w:ascii="Arial" w:hAnsi="Arial" w:cs="Arial"/>
          <w:b/>
          <w:bCs/>
        </w:rPr>
      </w:pPr>
      <w:r w:rsidRPr="00FD0026">
        <w:rPr>
          <w:rFonts w:ascii="Arial" w:hAnsi="Arial" w:cs="Arial"/>
          <w:b/>
          <w:bCs/>
        </w:rPr>
        <w:t>Conclusion</w:t>
      </w:r>
    </w:p>
    <w:p w14:paraId="6832D167" w14:textId="77777777" w:rsidR="000200EB" w:rsidRPr="00FD0026" w:rsidRDefault="000200EB" w:rsidP="00FD0026">
      <w:pPr>
        <w:spacing w:line="360" w:lineRule="auto"/>
        <w:rPr>
          <w:rFonts w:ascii="Arial" w:hAnsi="Arial" w:cs="Arial"/>
        </w:rPr>
      </w:pPr>
      <w:r w:rsidRPr="00FD0026">
        <w:rPr>
          <w:rFonts w:ascii="Arial" w:hAnsi="Arial" w:cs="Arial"/>
        </w:rPr>
        <w:t xml:space="preserve">This report has examined global, national, and local approaches to SDG 3 (Good Health and Well-Being) and SDG 1 (No Poverty), highlighting both progress and persistent challenges. Globally, strong policy frameworks exist, such as the SDG 3 </w:t>
      </w:r>
      <w:r w:rsidRPr="00FD0026">
        <w:rPr>
          <w:rFonts w:ascii="Arial" w:hAnsi="Arial" w:cs="Arial"/>
        </w:rPr>
        <w:lastRenderedPageBreak/>
        <w:t>Global Action Plan and international poverty reduction initiatives; however, gaps remain in financing, system resilience, and implementation.</w:t>
      </w:r>
    </w:p>
    <w:p w14:paraId="00984D90" w14:textId="77777777" w:rsidR="000200EB" w:rsidRPr="00FD0026" w:rsidRDefault="000200EB" w:rsidP="00FD0026">
      <w:pPr>
        <w:spacing w:line="360" w:lineRule="auto"/>
        <w:rPr>
          <w:rFonts w:ascii="Arial" w:hAnsi="Arial" w:cs="Arial"/>
        </w:rPr>
      </w:pPr>
    </w:p>
    <w:p w14:paraId="6DE44B6D" w14:textId="7065B1C4" w:rsidR="000200EB" w:rsidRPr="00FD0026" w:rsidRDefault="000200EB" w:rsidP="00FD0026">
      <w:pPr>
        <w:spacing w:line="360" w:lineRule="auto"/>
        <w:rPr>
          <w:rFonts w:ascii="Arial" w:hAnsi="Arial" w:cs="Arial"/>
        </w:rPr>
      </w:pPr>
      <w:r w:rsidRPr="00FD0026">
        <w:rPr>
          <w:rFonts w:ascii="Arial" w:hAnsi="Arial" w:cs="Arial"/>
        </w:rPr>
        <w:t>In England, the NHS Long Term Plan and Integrated Care Systems provide mechanisms to strengthen prevention and address inequalities, yet significant pressures</w:t>
      </w:r>
      <w:r w:rsidR="00030F39" w:rsidRPr="00FD0026">
        <w:rPr>
          <w:rFonts w:ascii="Arial" w:hAnsi="Arial" w:cs="Arial"/>
        </w:rPr>
        <w:t xml:space="preserve"> </w:t>
      </w:r>
      <w:r w:rsidRPr="00FD0026">
        <w:rPr>
          <w:rFonts w:ascii="Arial" w:hAnsi="Arial" w:cs="Arial"/>
        </w:rPr>
        <w:t>including workforce shortages, funding constraints, and entrenched disparities</w:t>
      </w:r>
      <w:r w:rsidR="00030F39" w:rsidRPr="00FD0026">
        <w:rPr>
          <w:rFonts w:ascii="Arial" w:hAnsi="Arial" w:cs="Arial"/>
        </w:rPr>
        <w:t xml:space="preserve"> </w:t>
      </w:r>
      <w:r w:rsidRPr="00FD0026">
        <w:rPr>
          <w:rFonts w:ascii="Arial" w:hAnsi="Arial" w:cs="Arial"/>
        </w:rPr>
        <w:t>limit progress. Similarly, while the UK possesses robust welfare infrastructure, recent policy changes, regional inequalities, and inadequate local authority funding have contributed to rising poverty levels. Evidence shows that poverty and health are intertwined: poor health restricts economic opportunities, while deprivation limits access to wellbeing resources (Marmot, 2020; WHO, 2025).</w:t>
      </w:r>
    </w:p>
    <w:p w14:paraId="6A2E84B0" w14:textId="77777777" w:rsidR="000200EB" w:rsidRPr="00FD0026" w:rsidRDefault="000200EB" w:rsidP="00FD0026">
      <w:pPr>
        <w:spacing w:line="360" w:lineRule="auto"/>
        <w:rPr>
          <w:rFonts w:ascii="Arial" w:hAnsi="Arial" w:cs="Arial"/>
        </w:rPr>
      </w:pPr>
    </w:p>
    <w:p w14:paraId="02CD786D" w14:textId="1DD84D01" w:rsidR="000200EB" w:rsidRPr="00FD0026" w:rsidRDefault="000200EB" w:rsidP="00FD0026">
      <w:pPr>
        <w:spacing w:line="360" w:lineRule="auto"/>
        <w:rPr>
          <w:rFonts w:ascii="Arial" w:hAnsi="Arial" w:cs="Arial"/>
        </w:rPr>
      </w:pPr>
      <w:r w:rsidRPr="00FD0026">
        <w:rPr>
          <w:rFonts w:ascii="Arial" w:hAnsi="Arial" w:cs="Arial"/>
        </w:rPr>
        <w:t>A key finding is that neither SDG 3 nor SDG 1 can be achieved in isolation. The social determinants of health and multidimensional poverty frameworks emphasise the need for integrated, cross-sectoral approaches linking healthcare, welfare, housing, employment, and community development. Strengthening primary care, social protection, local governance, and community participation will be essential for meaningful progress.</w:t>
      </w:r>
    </w:p>
    <w:p w14:paraId="1F91A32C" w14:textId="77777777" w:rsidR="000200EB" w:rsidRPr="00FD0026" w:rsidRDefault="000200EB" w:rsidP="00FD0026">
      <w:pPr>
        <w:spacing w:line="360" w:lineRule="auto"/>
        <w:rPr>
          <w:rFonts w:ascii="Arial" w:hAnsi="Arial" w:cs="Arial"/>
        </w:rPr>
      </w:pPr>
      <w:r w:rsidRPr="00FD0026">
        <w:rPr>
          <w:rFonts w:ascii="Arial" w:hAnsi="Arial" w:cs="Arial"/>
        </w:rPr>
        <w:t>Achieving SDG 3 and SDG 1 by 2030 will require bold policy commitment, sustainable financing, and coordinated action across global, national, and local systems. Addressing inequality must remain at the centre of these efforts.</w:t>
      </w:r>
    </w:p>
    <w:p w14:paraId="1A75D78A" w14:textId="77777777" w:rsidR="00321D71" w:rsidRPr="00FD0026" w:rsidRDefault="00321D71" w:rsidP="00FD0026">
      <w:pPr>
        <w:spacing w:line="360" w:lineRule="auto"/>
        <w:rPr>
          <w:rFonts w:ascii="Arial" w:hAnsi="Arial" w:cs="Arial"/>
        </w:rPr>
      </w:pPr>
    </w:p>
    <w:p w14:paraId="24DB1238" w14:textId="08AB69D5" w:rsidR="00030F39" w:rsidRPr="00FD0026" w:rsidRDefault="00321D71" w:rsidP="00FD0026">
      <w:pPr>
        <w:spacing w:line="360" w:lineRule="auto"/>
        <w:rPr>
          <w:rFonts w:ascii="Arial" w:hAnsi="Arial" w:cs="Arial"/>
        </w:rPr>
      </w:pPr>
      <w:r w:rsidRPr="00FD0026">
        <w:rPr>
          <w:rFonts w:ascii="Arial" w:hAnsi="Arial" w:cs="Arial"/>
        </w:rPr>
        <w:t>Ultimately, the report concludes that sustainable progress on SDG 3 and SDG 1 requires moving beyond reactive welfare and healthcare policies toward preventive, inclusive, and equity-driven governance. Embedding health and poverty reduction in all policies</w:t>
      </w:r>
      <w:r w:rsidR="00FD0026">
        <w:rPr>
          <w:rFonts w:ascii="Arial" w:hAnsi="Arial" w:cs="Arial"/>
        </w:rPr>
        <w:t xml:space="preserve"> </w:t>
      </w:r>
      <w:r w:rsidRPr="00FD0026">
        <w:rPr>
          <w:rFonts w:ascii="Arial" w:hAnsi="Arial" w:cs="Arial"/>
        </w:rPr>
        <w:t>underpinned by long-term political commitment and local participation</w:t>
      </w:r>
      <w:r w:rsidRPr="00FD0026">
        <w:rPr>
          <w:rFonts w:ascii="Arial" w:hAnsi="Arial" w:cs="Arial"/>
        </w:rPr>
        <w:t xml:space="preserve"> </w:t>
      </w:r>
      <w:r w:rsidRPr="00FD0026">
        <w:rPr>
          <w:rFonts w:ascii="Arial" w:hAnsi="Arial" w:cs="Arial"/>
        </w:rPr>
        <w:t>will be essential to realising the shared 2030 Agenda vision of “leaving no one behind.”</w:t>
      </w:r>
    </w:p>
    <w:p w14:paraId="305C4680" w14:textId="77777777" w:rsidR="00030F39" w:rsidRDefault="00030F39" w:rsidP="000200EB">
      <w:pPr>
        <w:spacing w:line="360" w:lineRule="auto"/>
        <w:rPr>
          <w:rFonts w:ascii="Arial" w:hAnsi="Arial" w:cs="Arial"/>
        </w:rPr>
      </w:pPr>
    </w:p>
    <w:p w14:paraId="4D222C85" w14:textId="77777777" w:rsidR="00FD0026" w:rsidRDefault="00FD0026" w:rsidP="000200EB">
      <w:pPr>
        <w:spacing w:line="360" w:lineRule="auto"/>
        <w:rPr>
          <w:rFonts w:ascii="Arial" w:hAnsi="Arial" w:cs="Arial"/>
        </w:rPr>
      </w:pPr>
    </w:p>
    <w:p w14:paraId="75715C5E" w14:textId="77777777" w:rsidR="00FD0026" w:rsidRPr="000200EB" w:rsidRDefault="00FD0026" w:rsidP="000200EB">
      <w:pPr>
        <w:spacing w:line="360" w:lineRule="auto"/>
        <w:rPr>
          <w:rFonts w:ascii="Arial" w:hAnsi="Arial" w:cs="Arial"/>
        </w:rPr>
      </w:pPr>
    </w:p>
    <w:p w14:paraId="3057C6E3" w14:textId="77777777" w:rsidR="00C308DB" w:rsidRDefault="00C308DB" w:rsidP="00C92762">
      <w:pPr>
        <w:spacing w:line="360" w:lineRule="auto"/>
        <w:rPr>
          <w:rFonts w:ascii="Arial" w:hAnsi="Arial" w:cs="Arial"/>
        </w:rPr>
      </w:pPr>
    </w:p>
    <w:p w14:paraId="05674714" w14:textId="5A70B189" w:rsidR="00C92762" w:rsidRPr="00901F42" w:rsidRDefault="00C92762" w:rsidP="00C92762">
      <w:pPr>
        <w:spacing w:line="360" w:lineRule="auto"/>
        <w:rPr>
          <w:rFonts w:ascii="Arial" w:hAnsi="Arial" w:cs="Arial"/>
          <w:b/>
          <w:bCs/>
        </w:rPr>
      </w:pPr>
      <w:r w:rsidRPr="00901F42">
        <w:rPr>
          <w:rFonts w:ascii="Arial" w:hAnsi="Arial" w:cs="Arial"/>
          <w:b/>
          <w:bCs/>
        </w:rPr>
        <w:t>Reference List</w:t>
      </w:r>
    </w:p>
    <w:p w14:paraId="661E82AF" w14:textId="77777777" w:rsidR="00C92762" w:rsidRPr="00C92762" w:rsidRDefault="00C92762" w:rsidP="00C92762">
      <w:pPr>
        <w:spacing w:line="360" w:lineRule="auto"/>
        <w:rPr>
          <w:rFonts w:ascii="Arial" w:hAnsi="Arial" w:cs="Arial"/>
        </w:rPr>
      </w:pPr>
    </w:p>
    <w:p w14:paraId="3B886B29" w14:textId="77777777" w:rsidR="00C92762" w:rsidRPr="00C92762" w:rsidRDefault="00C92762" w:rsidP="00C92762">
      <w:pPr>
        <w:spacing w:line="360" w:lineRule="auto"/>
        <w:rPr>
          <w:rFonts w:ascii="Arial" w:hAnsi="Arial" w:cs="Arial"/>
        </w:rPr>
      </w:pPr>
      <w:r w:rsidRPr="00C92762">
        <w:rPr>
          <w:rFonts w:ascii="Arial" w:hAnsi="Arial" w:cs="Arial"/>
        </w:rPr>
        <w:t xml:space="preserve">World Health Organization (WHO) (2025) SDG 3 </w:t>
      </w:r>
      <w:r w:rsidRPr="00374769">
        <w:rPr>
          <w:rFonts w:ascii="Arial" w:hAnsi="Arial" w:cs="Arial"/>
          <w:i/>
          <w:iCs/>
        </w:rPr>
        <w:t>Global Action Plan for Healthy Lives and Well-being for All.</w:t>
      </w:r>
      <w:r w:rsidRPr="00C92762">
        <w:rPr>
          <w:rFonts w:ascii="Arial" w:hAnsi="Arial" w:cs="Arial"/>
        </w:rPr>
        <w:t xml:space="preserve"> Geneva: WHO.</w:t>
      </w:r>
    </w:p>
    <w:p w14:paraId="7B83D9D5" w14:textId="77777777" w:rsidR="00C92762" w:rsidRPr="00C92762" w:rsidRDefault="00C92762" w:rsidP="00C92762">
      <w:pPr>
        <w:spacing w:line="360" w:lineRule="auto"/>
        <w:rPr>
          <w:rFonts w:ascii="Arial" w:hAnsi="Arial" w:cs="Arial"/>
        </w:rPr>
      </w:pPr>
    </w:p>
    <w:p w14:paraId="0C48CDB2" w14:textId="77777777" w:rsidR="00C92762" w:rsidRPr="00C92762" w:rsidRDefault="00C92762" w:rsidP="00C92762">
      <w:pPr>
        <w:spacing w:line="360" w:lineRule="auto"/>
        <w:rPr>
          <w:rFonts w:ascii="Arial" w:hAnsi="Arial" w:cs="Arial"/>
        </w:rPr>
      </w:pPr>
      <w:r w:rsidRPr="00C92762">
        <w:rPr>
          <w:rFonts w:ascii="Arial" w:hAnsi="Arial" w:cs="Arial"/>
        </w:rPr>
        <w:t xml:space="preserve">World Health Organization (2025) </w:t>
      </w:r>
      <w:r w:rsidRPr="00374769">
        <w:rPr>
          <w:rFonts w:ascii="Arial" w:hAnsi="Arial" w:cs="Arial"/>
          <w:i/>
          <w:iCs/>
        </w:rPr>
        <w:t>Building well-being societies: A new vision for health and sustainable development</w:t>
      </w:r>
      <w:r w:rsidRPr="00C92762">
        <w:rPr>
          <w:rFonts w:ascii="Arial" w:hAnsi="Arial" w:cs="Arial"/>
        </w:rPr>
        <w:t>. Geneva: WHO.</w:t>
      </w:r>
    </w:p>
    <w:p w14:paraId="6007EF51" w14:textId="77777777" w:rsidR="00C92762" w:rsidRPr="00C92762" w:rsidRDefault="00C92762" w:rsidP="00C92762">
      <w:pPr>
        <w:spacing w:line="360" w:lineRule="auto"/>
        <w:rPr>
          <w:rFonts w:ascii="Arial" w:hAnsi="Arial" w:cs="Arial"/>
        </w:rPr>
      </w:pPr>
    </w:p>
    <w:p w14:paraId="2B74E579" w14:textId="77777777" w:rsidR="00C92762" w:rsidRPr="00C92762" w:rsidRDefault="00C92762" w:rsidP="00C92762">
      <w:pPr>
        <w:spacing w:line="360" w:lineRule="auto"/>
        <w:rPr>
          <w:rFonts w:ascii="Arial" w:hAnsi="Arial" w:cs="Arial"/>
        </w:rPr>
      </w:pPr>
      <w:r w:rsidRPr="00C92762">
        <w:rPr>
          <w:rFonts w:ascii="Arial" w:hAnsi="Arial" w:cs="Arial"/>
        </w:rPr>
        <w:t xml:space="preserve">United Nations (2015) </w:t>
      </w:r>
      <w:r w:rsidRPr="0017204B">
        <w:rPr>
          <w:rFonts w:ascii="Arial" w:hAnsi="Arial" w:cs="Arial"/>
          <w:i/>
          <w:iCs/>
        </w:rPr>
        <w:t>Transforming Our World: The 2030 Agenda for Sustainable Development.</w:t>
      </w:r>
      <w:r w:rsidRPr="00C92762">
        <w:rPr>
          <w:rFonts w:ascii="Arial" w:hAnsi="Arial" w:cs="Arial"/>
        </w:rPr>
        <w:t xml:space="preserve"> New York: UN.</w:t>
      </w:r>
    </w:p>
    <w:p w14:paraId="3E940DC7" w14:textId="77777777" w:rsidR="00C92762" w:rsidRPr="00C92762" w:rsidRDefault="00C92762" w:rsidP="00C92762">
      <w:pPr>
        <w:spacing w:line="360" w:lineRule="auto"/>
        <w:rPr>
          <w:rFonts w:ascii="Arial" w:hAnsi="Arial" w:cs="Arial"/>
        </w:rPr>
      </w:pPr>
    </w:p>
    <w:p w14:paraId="50E15552" w14:textId="77777777" w:rsidR="00C92762" w:rsidRPr="00C92762" w:rsidRDefault="00C92762" w:rsidP="00C92762">
      <w:pPr>
        <w:spacing w:line="360" w:lineRule="auto"/>
        <w:rPr>
          <w:rFonts w:ascii="Arial" w:hAnsi="Arial" w:cs="Arial"/>
        </w:rPr>
      </w:pPr>
      <w:r w:rsidRPr="00C92762">
        <w:rPr>
          <w:rFonts w:ascii="Arial" w:hAnsi="Arial" w:cs="Arial"/>
        </w:rPr>
        <w:t>United Nations Development Programme (UNDP) (2024</w:t>
      </w:r>
      <w:r w:rsidRPr="0017204B">
        <w:rPr>
          <w:rFonts w:ascii="Arial" w:hAnsi="Arial" w:cs="Arial"/>
          <w:i/>
          <w:iCs/>
        </w:rPr>
        <w:t>) Human Development Report 2024</w:t>
      </w:r>
      <w:r w:rsidRPr="00C92762">
        <w:rPr>
          <w:rFonts w:ascii="Arial" w:hAnsi="Arial" w:cs="Arial"/>
        </w:rPr>
        <w:t>. New York: UNDP.</w:t>
      </w:r>
    </w:p>
    <w:p w14:paraId="6F93164F" w14:textId="77777777" w:rsidR="00C92762" w:rsidRPr="00C92762" w:rsidRDefault="00C92762" w:rsidP="00C92762">
      <w:pPr>
        <w:spacing w:line="360" w:lineRule="auto"/>
        <w:rPr>
          <w:rFonts w:ascii="Arial" w:hAnsi="Arial" w:cs="Arial"/>
        </w:rPr>
      </w:pPr>
    </w:p>
    <w:p w14:paraId="78CBC7A3" w14:textId="77777777" w:rsidR="00C92762" w:rsidRPr="00C92762" w:rsidRDefault="00C92762" w:rsidP="00C92762">
      <w:pPr>
        <w:spacing w:line="360" w:lineRule="auto"/>
        <w:rPr>
          <w:rFonts w:ascii="Arial" w:hAnsi="Arial" w:cs="Arial"/>
        </w:rPr>
      </w:pPr>
      <w:r w:rsidRPr="00C92762">
        <w:rPr>
          <w:rFonts w:ascii="Arial" w:hAnsi="Arial" w:cs="Arial"/>
        </w:rPr>
        <w:t xml:space="preserve">Global Goals (n.d.) </w:t>
      </w:r>
      <w:r w:rsidRPr="0017204B">
        <w:rPr>
          <w:rFonts w:ascii="Arial" w:hAnsi="Arial" w:cs="Arial"/>
          <w:i/>
          <w:iCs/>
        </w:rPr>
        <w:t>Goal 3: Good Health and Well-being.</w:t>
      </w:r>
    </w:p>
    <w:p w14:paraId="3CB6AAA2" w14:textId="77777777" w:rsidR="00C92762" w:rsidRPr="00C92762" w:rsidRDefault="00C92762" w:rsidP="00C92762">
      <w:pPr>
        <w:spacing w:line="360" w:lineRule="auto"/>
        <w:rPr>
          <w:rFonts w:ascii="Arial" w:hAnsi="Arial" w:cs="Arial"/>
        </w:rPr>
      </w:pPr>
    </w:p>
    <w:p w14:paraId="46BCCA6A" w14:textId="77777777" w:rsidR="00C92762" w:rsidRPr="00C92762" w:rsidRDefault="00C92762" w:rsidP="00C92762">
      <w:pPr>
        <w:spacing w:line="360" w:lineRule="auto"/>
        <w:rPr>
          <w:rFonts w:ascii="Arial" w:hAnsi="Arial" w:cs="Arial"/>
        </w:rPr>
      </w:pPr>
      <w:r w:rsidRPr="00C92762">
        <w:rPr>
          <w:rFonts w:ascii="Arial" w:hAnsi="Arial" w:cs="Arial"/>
        </w:rPr>
        <w:t xml:space="preserve">World Health Organization (2005) </w:t>
      </w:r>
      <w:r w:rsidRPr="0017204B">
        <w:rPr>
          <w:rFonts w:ascii="Arial" w:hAnsi="Arial" w:cs="Arial"/>
          <w:i/>
          <w:iCs/>
        </w:rPr>
        <w:t>The Bangkok Charter for Health Promotion in a Globalized World</w:t>
      </w:r>
      <w:r w:rsidRPr="00C92762">
        <w:rPr>
          <w:rFonts w:ascii="Arial" w:hAnsi="Arial" w:cs="Arial"/>
        </w:rPr>
        <w:t>. Geneva: WHO.</w:t>
      </w:r>
    </w:p>
    <w:p w14:paraId="53AE1BE0" w14:textId="77777777" w:rsidR="00C92762" w:rsidRPr="00C92762" w:rsidRDefault="00C92762" w:rsidP="00C92762">
      <w:pPr>
        <w:spacing w:line="360" w:lineRule="auto"/>
        <w:rPr>
          <w:rFonts w:ascii="Arial" w:hAnsi="Arial" w:cs="Arial"/>
        </w:rPr>
      </w:pPr>
    </w:p>
    <w:p w14:paraId="59703245" w14:textId="77777777" w:rsidR="00C92762" w:rsidRPr="00C92762" w:rsidRDefault="00C92762" w:rsidP="00C92762">
      <w:pPr>
        <w:spacing w:line="360" w:lineRule="auto"/>
        <w:rPr>
          <w:rFonts w:ascii="Arial" w:hAnsi="Arial" w:cs="Arial"/>
        </w:rPr>
      </w:pPr>
      <w:r w:rsidRPr="00C92762">
        <w:rPr>
          <w:rFonts w:ascii="Arial" w:hAnsi="Arial" w:cs="Arial"/>
        </w:rPr>
        <w:t xml:space="preserve">World Health Organization (2007) </w:t>
      </w:r>
      <w:r w:rsidRPr="0017204B">
        <w:rPr>
          <w:rFonts w:ascii="Arial" w:hAnsi="Arial" w:cs="Arial"/>
          <w:i/>
          <w:iCs/>
        </w:rPr>
        <w:t>Global Plan of Action on Workers’ Health (</w:t>
      </w:r>
      <w:r w:rsidRPr="00C92762">
        <w:rPr>
          <w:rFonts w:ascii="Arial" w:hAnsi="Arial" w:cs="Arial"/>
        </w:rPr>
        <w:t>2008–2017). Geneva: WHO.</w:t>
      </w:r>
    </w:p>
    <w:p w14:paraId="40456F5C" w14:textId="77777777" w:rsidR="00C92762" w:rsidRPr="00C92762" w:rsidRDefault="00C92762" w:rsidP="00C92762">
      <w:pPr>
        <w:spacing w:line="360" w:lineRule="auto"/>
        <w:rPr>
          <w:rFonts w:ascii="Arial" w:hAnsi="Arial" w:cs="Arial"/>
        </w:rPr>
      </w:pPr>
    </w:p>
    <w:p w14:paraId="42CE04A6" w14:textId="77777777" w:rsidR="00C92762" w:rsidRPr="00C92762" w:rsidRDefault="00C92762" w:rsidP="00C92762">
      <w:pPr>
        <w:spacing w:line="360" w:lineRule="auto"/>
        <w:rPr>
          <w:rFonts w:ascii="Arial" w:hAnsi="Arial" w:cs="Arial"/>
        </w:rPr>
      </w:pPr>
      <w:r w:rsidRPr="00C92762">
        <w:rPr>
          <w:rFonts w:ascii="Arial" w:hAnsi="Arial" w:cs="Arial"/>
        </w:rPr>
        <w:t xml:space="preserve">Marmot, M. (2020) </w:t>
      </w:r>
      <w:r w:rsidRPr="00757E16">
        <w:rPr>
          <w:rFonts w:ascii="Arial" w:hAnsi="Arial" w:cs="Arial"/>
          <w:i/>
          <w:iCs/>
        </w:rPr>
        <w:t>Health Equity in England: The Marmot Review 10 Years On.</w:t>
      </w:r>
      <w:r w:rsidRPr="00C92762">
        <w:rPr>
          <w:rFonts w:ascii="Arial" w:hAnsi="Arial" w:cs="Arial"/>
        </w:rPr>
        <w:t xml:space="preserve"> London: Institute of Health Equity.</w:t>
      </w:r>
    </w:p>
    <w:p w14:paraId="7495212E" w14:textId="77777777" w:rsidR="00C92762" w:rsidRPr="00C92762" w:rsidRDefault="00C92762" w:rsidP="00C92762">
      <w:pPr>
        <w:spacing w:line="360" w:lineRule="auto"/>
        <w:rPr>
          <w:rFonts w:ascii="Arial" w:hAnsi="Arial" w:cs="Arial"/>
        </w:rPr>
      </w:pPr>
    </w:p>
    <w:p w14:paraId="1826C97D" w14:textId="77777777" w:rsidR="00C92762" w:rsidRPr="00C92762" w:rsidRDefault="00C92762" w:rsidP="00C92762">
      <w:pPr>
        <w:spacing w:line="360" w:lineRule="auto"/>
        <w:rPr>
          <w:rFonts w:ascii="Arial" w:hAnsi="Arial" w:cs="Arial"/>
        </w:rPr>
      </w:pPr>
      <w:r w:rsidRPr="00C92762">
        <w:rPr>
          <w:rFonts w:ascii="Arial" w:hAnsi="Arial" w:cs="Arial"/>
        </w:rPr>
        <w:lastRenderedPageBreak/>
        <w:t xml:space="preserve">Dahlgren, G. and Whitehead, M. (1991) </w:t>
      </w:r>
      <w:r w:rsidRPr="00757E16">
        <w:rPr>
          <w:rFonts w:ascii="Arial" w:hAnsi="Arial" w:cs="Arial"/>
          <w:i/>
          <w:iCs/>
        </w:rPr>
        <w:t>Policies and Strategies to Promote Social Equity in Health</w:t>
      </w:r>
      <w:r w:rsidRPr="00C92762">
        <w:rPr>
          <w:rFonts w:ascii="Arial" w:hAnsi="Arial" w:cs="Arial"/>
        </w:rPr>
        <w:t>. Stockholm: Institute for Futures Studies.</w:t>
      </w:r>
    </w:p>
    <w:p w14:paraId="230C89EB" w14:textId="77777777" w:rsidR="00C92762" w:rsidRPr="00C92762" w:rsidRDefault="00C92762" w:rsidP="00C92762">
      <w:pPr>
        <w:spacing w:line="360" w:lineRule="auto"/>
        <w:rPr>
          <w:rFonts w:ascii="Arial" w:hAnsi="Arial" w:cs="Arial"/>
        </w:rPr>
      </w:pPr>
    </w:p>
    <w:p w14:paraId="3313B71E" w14:textId="77777777" w:rsidR="00C92762" w:rsidRPr="00C92762" w:rsidRDefault="00C92762" w:rsidP="00C92762">
      <w:pPr>
        <w:spacing w:line="360" w:lineRule="auto"/>
        <w:rPr>
          <w:rFonts w:ascii="Arial" w:hAnsi="Arial" w:cs="Arial"/>
        </w:rPr>
      </w:pPr>
      <w:r w:rsidRPr="00C92762">
        <w:rPr>
          <w:rFonts w:ascii="Arial" w:hAnsi="Arial" w:cs="Arial"/>
        </w:rPr>
        <w:t xml:space="preserve">Solar, O. and Irwin, A. (2010) </w:t>
      </w:r>
      <w:r w:rsidRPr="00665C0B">
        <w:rPr>
          <w:rFonts w:ascii="Arial" w:hAnsi="Arial" w:cs="Arial"/>
          <w:i/>
          <w:iCs/>
        </w:rPr>
        <w:t>A Conceptual Framework for Action on the Social Determinants of Health</w:t>
      </w:r>
      <w:r w:rsidRPr="00C92762">
        <w:rPr>
          <w:rFonts w:ascii="Arial" w:hAnsi="Arial" w:cs="Arial"/>
        </w:rPr>
        <w:t>. Geneva: WHO.</w:t>
      </w:r>
    </w:p>
    <w:p w14:paraId="1664BCF6" w14:textId="77777777" w:rsidR="00C92762" w:rsidRPr="00C92762" w:rsidRDefault="00C92762" w:rsidP="00C92762">
      <w:pPr>
        <w:spacing w:line="360" w:lineRule="auto"/>
        <w:rPr>
          <w:rFonts w:ascii="Arial" w:hAnsi="Arial" w:cs="Arial"/>
        </w:rPr>
      </w:pPr>
    </w:p>
    <w:p w14:paraId="31B1F2A6" w14:textId="77777777" w:rsidR="00C92762" w:rsidRPr="00C92762" w:rsidRDefault="00C92762" w:rsidP="00C92762">
      <w:pPr>
        <w:spacing w:line="360" w:lineRule="auto"/>
        <w:rPr>
          <w:rFonts w:ascii="Arial" w:hAnsi="Arial" w:cs="Arial"/>
        </w:rPr>
      </w:pPr>
      <w:r w:rsidRPr="00C92762">
        <w:rPr>
          <w:rFonts w:ascii="Arial" w:hAnsi="Arial" w:cs="Arial"/>
        </w:rPr>
        <w:t xml:space="preserve">Kickbusch, I., </w:t>
      </w:r>
      <w:r w:rsidRPr="00665C0B">
        <w:rPr>
          <w:rFonts w:ascii="Arial" w:hAnsi="Arial" w:cs="Arial"/>
          <w:i/>
          <w:iCs/>
        </w:rPr>
        <w:t>Gleicher, D. and WHO (2012) Governance for Health in the 21st Century. Copenhagen</w:t>
      </w:r>
      <w:r w:rsidRPr="00C92762">
        <w:rPr>
          <w:rFonts w:ascii="Arial" w:hAnsi="Arial" w:cs="Arial"/>
        </w:rPr>
        <w:t>: WHO Europe.</w:t>
      </w:r>
    </w:p>
    <w:p w14:paraId="12B69683" w14:textId="77777777" w:rsidR="00C92762" w:rsidRPr="00C92762" w:rsidRDefault="00C92762" w:rsidP="00C92762">
      <w:pPr>
        <w:spacing w:line="360" w:lineRule="auto"/>
        <w:rPr>
          <w:rFonts w:ascii="Arial" w:hAnsi="Arial" w:cs="Arial"/>
        </w:rPr>
      </w:pPr>
    </w:p>
    <w:p w14:paraId="01B8C8A8" w14:textId="77777777" w:rsidR="00C92762" w:rsidRPr="00C92762" w:rsidRDefault="00C92762" w:rsidP="00C92762">
      <w:pPr>
        <w:spacing w:line="360" w:lineRule="auto"/>
        <w:rPr>
          <w:rFonts w:ascii="Arial" w:hAnsi="Arial" w:cs="Arial"/>
        </w:rPr>
      </w:pPr>
      <w:r w:rsidRPr="00C92762">
        <w:rPr>
          <w:rFonts w:ascii="Arial" w:hAnsi="Arial" w:cs="Arial"/>
        </w:rPr>
        <w:t xml:space="preserve">World Bank (2023) </w:t>
      </w:r>
      <w:r w:rsidRPr="007120A3">
        <w:rPr>
          <w:rFonts w:ascii="Arial" w:hAnsi="Arial" w:cs="Arial"/>
          <w:i/>
          <w:iCs/>
        </w:rPr>
        <w:t>Universal Health Coverage Global Monitoring Report 2023</w:t>
      </w:r>
      <w:r w:rsidRPr="00C92762">
        <w:rPr>
          <w:rFonts w:ascii="Arial" w:hAnsi="Arial" w:cs="Arial"/>
        </w:rPr>
        <w:t>. Washington, DC: World Bank.</w:t>
      </w:r>
    </w:p>
    <w:p w14:paraId="28F676D3" w14:textId="77777777" w:rsidR="00C92762" w:rsidRPr="00C92762" w:rsidRDefault="00C92762" w:rsidP="00C92762">
      <w:pPr>
        <w:spacing w:line="360" w:lineRule="auto"/>
        <w:rPr>
          <w:rFonts w:ascii="Arial" w:hAnsi="Arial" w:cs="Arial"/>
        </w:rPr>
      </w:pPr>
    </w:p>
    <w:p w14:paraId="1239536D" w14:textId="77777777" w:rsidR="00C92762" w:rsidRPr="00C92762" w:rsidRDefault="00C92762" w:rsidP="00C92762">
      <w:pPr>
        <w:spacing w:line="360" w:lineRule="auto"/>
        <w:rPr>
          <w:rFonts w:ascii="Arial" w:hAnsi="Arial" w:cs="Arial"/>
        </w:rPr>
      </w:pPr>
      <w:r w:rsidRPr="00C92762">
        <w:rPr>
          <w:rFonts w:ascii="Arial" w:hAnsi="Arial" w:cs="Arial"/>
        </w:rPr>
        <w:t xml:space="preserve">NHS England (2023) </w:t>
      </w:r>
      <w:r w:rsidRPr="007120A3">
        <w:rPr>
          <w:rFonts w:ascii="Arial" w:hAnsi="Arial" w:cs="Arial"/>
          <w:i/>
          <w:iCs/>
        </w:rPr>
        <w:t>The NHS Long Term Plan Progress Report</w:t>
      </w:r>
      <w:r w:rsidRPr="00C92762">
        <w:rPr>
          <w:rFonts w:ascii="Arial" w:hAnsi="Arial" w:cs="Arial"/>
        </w:rPr>
        <w:t>. London: NHS.</w:t>
      </w:r>
    </w:p>
    <w:p w14:paraId="3C422DC0" w14:textId="77777777" w:rsidR="00C92762" w:rsidRPr="00C92762" w:rsidRDefault="00C92762" w:rsidP="00C92762">
      <w:pPr>
        <w:spacing w:line="360" w:lineRule="auto"/>
        <w:rPr>
          <w:rFonts w:ascii="Arial" w:hAnsi="Arial" w:cs="Arial"/>
        </w:rPr>
      </w:pPr>
    </w:p>
    <w:p w14:paraId="51E1FE95" w14:textId="77777777" w:rsidR="00C92762" w:rsidRPr="00C92762" w:rsidRDefault="00C92762" w:rsidP="00C92762">
      <w:pPr>
        <w:spacing w:line="360" w:lineRule="auto"/>
        <w:rPr>
          <w:rFonts w:ascii="Arial" w:hAnsi="Arial" w:cs="Arial"/>
        </w:rPr>
      </w:pPr>
      <w:r w:rsidRPr="00C92762">
        <w:rPr>
          <w:rFonts w:ascii="Arial" w:hAnsi="Arial" w:cs="Arial"/>
        </w:rPr>
        <w:t xml:space="preserve">Public Health England (2020) </w:t>
      </w:r>
      <w:r w:rsidRPr="007120A3">
        <w:rPr>
          <w:rFonts w:ascii="Arial" w:hAnsi="Arial" w:cs="Arial"/>
          <w:i/>
          <w:iCs/>
        </w:rPr>
        <w:t>Health Profile for England 2020</w:t>
      </w:r>
      <w:r w:rsidRPr="00C92762">
        <w:rPr>
          <w:rFonts w:ascii="Arial" w:hAnsi="Arial" w:cs="Arial"/>
        </w:rPr>
        <w:t>. London: PHE.</w:t>
      </w:r>
    </w:p>
    <w:p w14:paraId="65F0802E" w14:textId="77777777" w:rsidR="00C92762" w:rsidRPr="00C92762" w:rsidRDefault="00C92762" w:rsidP="00C92762">
      <w:pPr>
        <w:spacing w:line="360" w:lineRule="auto"/>
        <w:rPr>
          <w:rFonts w:ascii="Arial" w:hAnsi="Arial" w:cs="Arial"/>
        </w:rPr>
      </w:pPr>
    </w:p>
    <w:p w14:paraId="56724DAF" w14:textId="77777777" w:rsidR="00C92762" w:rsidRPr="00C92762" w:rsidRDefault="00C92762" w:rsidP="00C92762">
      <w:pPr>
        <w:spacing w:line="360" w:lineRule="auto"/>
        <w:rPr>
          <w:rFonts w:ascii="Arial" w:hAnsi="Arial" w:cs="Arial"/>
        </w:rPr>
      </w:pPr>
      <w:r w:rsidRPr="00C92762">
        <w:rPr>
          <w:rFonts w:ascii="Arial" w:hAnsi="Arial" w:cs="Arial"/>
        </w:rPr>
        <w:t xml:space="preserve">House of Lords Library (2024) Poverty in the UK: </w:t>
      </w:r>
      <w:r w:rsidRPr="007120A3">
        <w:rPr>
          <w:rFonts w:ascii="Arial" w:hAnsi="Arial" w:cs="Arial"/>
          <w:i/>
          <w:iCs/>
        </w:rPr>
        <w:t>Government Policy.</w:t>
      </w:r>
      <w:r w:rsidRPr="00C92762">
        <w:rPr>
          <w:rFonts w:ascii="Arial" w:hAnsi="Arial" w:cs="Arial"/>
        </w:rPr>
        <w:t xml:space="preserve"> London: UK Parliament.</w:t>
      </w:r>
    </w:p>
    <w:p w14:paraId="7A1B1EC4" w14:textId="77777777" w:rsidR="00C92762" w:rsidRPr="00C92762" w:rsidRDefault="00C92762" w:rsidP="00C92762">
      <w:pPr>
        <w:spacing w:line="360" w:lineRule="auto"/>
        <w:rPr>
          <w:rFonts w:ascii="Arial" w:hAnsi="Arial" w:cs="Arial"/>
        </w:rPr>
      </w:pPr>
    </w:p>
    <w:p w14:paraId="7D78507E" w14:textId="77777777" w:rsidR="00C92762" w:rsidRPr="00C92762" w:rsidRDefault="00C92762" w:rsidP="00C92762">
      <w:pPr>
        <w:spacing w:line="360" w:lineRule="auto"/>
        <w:rPr>
          <w:rFonts w:ascii="Arial" w:hAnsi="Arial" w:cs="Arial"/>
        </w:rPr>
      </w:pPr>
      <w:r w:rsidRPr="00C92762">
        <w:rPr>
          <w:rFonts w:ascii="Arial" w:hAnsi="Arial" w:cs="Arial"/>
        </w:rPr>
        <w:t xml:space="preserve">Sen, A. (1999) </w:t>
      </w:r>
      <w:r w:rsidRPr="00232D7F">
        <w:rPr>
          <w:rFonts w:ascii="Arial" w:hAnsi="Arial" w:cs="Arial"/>
          <w:i/>
          <w:iCs/>
        </w:rPr>
        <w:t>Development as Freedom</w:t>
      </w:r>
      <w:r w:rsidRPr="00C92762">
        <w:rPr>
          <w:rFonts w:ascii="Arial" w:hAnsi="Arial" w:cs="Arial"/>
        </w:rPr>
        <w:t>. Oxford: OUP.</w:t>
      </w:r>
    </w:p>
    <w:p w14:paraId="0BB4E564" w14:textId="77777777" w:rsidR="00C92762" w:rsidRPr="00C92762" w:rsidRDefault="00C92762" w:rsidP="00C92762">
      <w:pPr>
        <w:spacing w:line="360" w:lineRule="auto"/>
        <w:rPr>
          <w:rFonts w:ascii="Arial" w:hAnsi="Arial" w:cs="Arial"/>
        </w:rPr>
      </w:pPr>
    </w:p>
    <w:p w14:paraId="35D0EB4B" w14:textId="77777777" w:rsidR="00C92762" w:rsidRPr="00C92762" w:rsidRDefault="00C92762" w:rsidP="00C92762">
      <w:pPr>
        <w:spacing w:line="360" w:lineRule="auto"/>
        <w:rPr>
          <w:rFonts w:ascii="Arial" w:hAnsi="Arial" w:cs="Arial"/>
        </w:rPr>
      </w:pPr>
      <w:r w:rsidRPr="00C92762">
        <w:rPr>
          <w:rFonts w:ascii="Arial" w:hAnsi="Arial" w:cs="Arial"/>
        </w:rPr>
        <w:t xml:space="preserve">Alkire, S. and Foster, J. (2011) ‘Counting and multidimensional poverty measurement’, </w:t>
      </w:r>
      <w:r w:rsidRPr="00D46637">
        <w:rPr>
          <w:rFonts w:ascii="Arial" w:hAnsi="Arial" w:cs="Arial"/>
          <w:i/>
          <w:iCs/>
        </w:rPr>
        <w:t>Journal of Public Economics,</w:t>
      </w:r>
      <w:r w:rsidRPr="00C92762">
        <w:rPr>
          <w:rFonts w:ascii="Arial" w:hAnsi="Arial" w:cs="Arial"/>
        </w:rPr>
        <w:t xml:space="preserve"> 95(7–8), pp. 476–487.</w:t>
      </w:r>
    </w:p>
    <w:p w14:paraId="2ADF7E67" w14:textId="77777777" w:rsidR="00C92762" w:rsidRPr="00C92762" w:rsidRDefault="00C92762" w:rsidP="00C92762">
      <w:pPr>
        <w:spacing w:line="360" w:lineRule="auto"/>
        <w:rPr>
          <w:rFonts w:ascii="Arial" w:hAnsi="Arial" w:cs="Arial"/>
        </w:rPr>
      </w:pPr>
    </w:p>
    <w:p w14:paraId="5B010D4F" w14:textId="77777777" w:rsidR="00C92762" w:rsidRPr="00C92762" w:rsidRDefault="00C92762" w:rsidP="00C92762">
      <w:pPr>
        <w:spacing w:line="360" w:lineRule="auto"/>
        <w:rPr>
          <w:rFonts w:ascii="Arial" w:hAnsi="Arial" w:cs="Arial"/>
        </w:rPr>
      </w:pPr>
      <w:r w:rsidRPr="00C92762">
        <w:rPr>
          <w:rFonts w:ascii="Arial" w:hAnsi="Arial" w:cs="Arial"/>
        </w:rPr>
        <w:t>Oxford Poverty and Human Development Initiative (OPHI) (2024).</w:t>
      </w:r>
    </w:p>
    <w:p w14:paraId="52686C03" w14:textId="77777777" w:rsidR="00C92762" w:rsidRPr="00C92762" w:rsidRDefault="00C92762" w:rsidP="00C92762">
      <w:pPr>
        <w:spacing w:line="360" w:lineRule="auto"/>
        <w:rPr>
          <w:rFonts w:ascii="Arial" w:hAnsi="Arial" w:cs="Arial"/>
        </w:rPr>
      </w:pPr>
    </w:p>
    <w:p w14:paraId="0B04808A" w14:textId="77777777" w:rsidR="00C92762" w:rsidRPr="00C92762" w:rsidRDefault="00C92762" w:rsidP="00C92762">
      <w:pPr>
        <w:spacing w:line="360" w:lineRule="auto"/>
        <w:rPr>
          <w:rFonts w:ascii="Arial" w:hAnsi="Arial" w:cs="Arial"/>
        </w:rPr>
      </w:pPr>
      <w:r w:rsidRPr="00C92762">
        <w:rPr>
          <w:rFonts w:ascii="Arial" w:hAnsi="Arial" w:cs="Arial"/>
        </w:rPr>
        <w:lastRenderedPageBreak/>
        <w:t xml:space="preserve">International Labour Organization (ILO) (2021) </w:t>
      </w:r>
      <w:r w:rsidRPr="00D46637">
        <w:rPr>
          <w:rFonts w:ascii="Arial" w:hAnsi="Arial" w:cs="Arial"/>
          <w:i/>
          <w:iCs/>
        </w:rPr>
        <w:t>World Social Protection Report.</w:t>
      </w:r>
      <w:r w:rsidRPr="00C92762">
        <w:rPr>
          <w:rFonts w:ascii="Arial" w:hAnsi="Arial" w:cs="Arial"/>
        </w:rPr>
        <w:t xml:space="preserve"> Geneva: ILO.</w:t>
      </w:r>
    </w:p>
    <w:p w14:paraId="46C3F29E" w14:textId="77777777" w:rsidR="00C92762" w:rsidRPr="00C92762" w:rsidRDefault="00C92762" w:rsidP="00C92762">
      <w:pPr>
        <w:spacing w:line="360" w:lineRule="auto"/>
        <w:rPr>
          <w:rFonts w:ascii="Arial" w:hAnsi="Arial" w:cs="Arial"/>
        </w:rPr>
      </w:pPr>
    </w:p>
    <w:p w14:paraId="663F71FC" w14:textId="77777777" w:rsidR="00C92762" w:rsidRPr="00C92762" w:rsidRDefault="00C92762" w:rsidP="00C92762">
      <w:pPr>
        <w:spacing w:line="360" w:lineRule="auto"/>
        <w:rPr>
          <w:rFonts w:ascii="Arial" w:hAnsi="Arial" w:cs="Arial"/>
        </w:rPr>
      </w:pPr>
      <w:r w:rsidRPr="00C92762">
        <w:rPr>
          <w:rFonts w:ascii="Arial" w:hAnsi="Arial" w:cs="Arial"/>
        </w:rPr>
        <w:t xml:space="preserve">World Bank (2022) </w:t>
      </w:r>
      <w:r w:rsidRPr="007F5EE0">
        <w:rPr>
          <w:rFonts w:ascii="Arial" w:hAnsi="Arial" w:cs="Arial"/>
          <w:i/>
          <w:iCs/>
        </w:rPr>
        <w:t>Poverty and Shared Prosperity 2022</w:t>
      </w:r>
      <w:r w:rsidRPr="00C92762">
        <w:rPr>
          <w:rFonts w:ascii="Arial" w:hAnsi="Arial" w:cs="Arial"/>
        </w:rPr>
        <w:t>: Correcting Course. Washington DC: World Bank.</w:t>
      </w:r>
    </w:p>
    <w:p w14:paraId="2B04C18A" w14:textId="77777777" w:rsidR="00C92762" w:rsidRPr="00C92762" w:rsidRDefault="00C92762" w:rsidP="00C92762">
      <w:pPr>
        <w:spacing w:line="360" w:lineRule="auto"/>
        <w:rPr>
          <w:rFonts w:ascii="Arial" w:hAnsi="Arial" w:cs="Arial"/>
        </w:rPr>
      </w:pPr>
    </w:p>
    <w:p w14:paraId="7081A1AC" w14:textId="77777777" w:rsidR="00C92762" w:rsidRPr="00C92762" w:rsidRDefault="00C92762" w:rsidP="00C92762">
      <w:pPr>
        <w:spacing w:line="360" w:lineRule="auto"/>
        <w:rPr>
          <w:rFonts w:ascii="Arial" w:hAnsi="Arial" w:cs="Arial"/>
        </w:rPr>
      </w:pPr>
      <w:r w:rsidRPr="00C92762">
        <w:rPr>
          <w:rFonts w:ascii="Arial" w:hAnsi="Arial" w:cs="Arial"/>
        </w:rPr>
        <w:t xml:space="preserve">UNICEF (2023) </w:t>
      </w:r>
      <w:r w:rsidRPr="007F5EE0">
        <w:rPr>
          <w:rFonts w:ascii="Arial" w:hAnsi="Arial" w:cs="Arial"/>
          <w:i/>
          <w:iCs/>
        </w:rPr>
        <w:t>Social Protection and Child Well-being.</w:t>
      </w:r>
    </w:p>
    <w:p w14:paraId="38243BD2" w14:textId="77777777" w:rsidR="00C92762" w:rsidRPr="00C92762" w:rsidRDefault="00C92762" w:rsidP="00C92762">
      <w:pPr>
        <w:spacing w:line="360" w:lineRule="auto"/>
        <w:rPr>
          <w:rFonts w:ascii="Arial" w:hAnsi="Arial" w:cs="Arial"/>
        </w:rPr>
      </w:pPr>
    </w:p>
    <w:p w14:paraId="6117B656" w14:textId="77777777" w:rsidR="00C92762" w:rsidRPr="00C92762" w:rsidRDefault="00C92762" w:rsidP="00C92762">
      <w:pPr>
        <w:spacing w:line="360" w:lineRule="auto"/>
        <w:rPr>
          <w:rFonts w:ascii="Arial" w:hAnsi="Arial" w:cs="Arial"/>
        </w:rPr>
      </w:pPr>
      <w:r w:rsidRPr="00C92762">
        <w:rPr>
          <w:rFonts w:ascii="Arial" w:hAnsi="Arial" w:cs="Arial"/>
        </w:rPr>
        <w:t xml:space="preserve">OECD (2023) </w:t>
      </w:r>
      <w:r w:rsidRPr="007F5EE0">
        <w:rPr>
          <w:rFonts w:ascii="Arial" w:hAnsi="Arial" w:cs="Arial"/>
          <w:i/>
          <w:iCs/>
        </w:rPr>
        <w:t>Reducing Poverty and Increasing Inclusion</w:t>
      </w:r>
      <w:r w:rsidRPr="00C92762">
        <w:rPr>
          <w:rFonts w:ascii="Arial" w:hAnsi="Arial" w:cs="Arial"/>
        </w:rPr>
        <w:t>. Paris: OECD.</w:t>
      </w:r>
    </w:p>
    <w:p w14:paraId="65BAF348" w14:textId="77777777" w:rsidR="00C92762" w:rsidRPr="00C92762" w:rsidRDefault="00C92762" w:rsidP="00C92762">
      <w:pPr>
        <w:spacing w:line="360" w:lineRule="auto"/>
        <w:rPr>
          <w:rFonts w:ascii="Arial" w:hAnsi="Arial" w:cs="Arial"/>
        </w:rPr>
      </w:pPr>
    </w:p>
    <w:p w14:paraId="5013FC87" w14:textId="77777777" w:rsidR="00C92762" w:rsidRPr="00C92762" w:rsidRDefault="00C92762" w:rsidP="00C92762">
      <w:pPr>
        <w:spacing w:line="360" w:lineRule="auto"/>
        <w:rPr>
          <w:rFonts w:ascii="Arial" w:hAnsi="Arial" w:cs="Arial"/>
        </w:rPr>
      </w:pPr>
      <w:r w:rsidRPr="00C92762">
        <w:rPr>
          <w:rFonts w:ascii="Arial" w:hAnsi="Arial" w:cs="Arial"/>
        </w:rPr>
        <w:t>Reuters (2025) ‘UK government estimate shows welfare cuts push 250,000 into poverty’.</w:t>
      </w:r>
    </w:p>
    <w:p w14:paraId="29CBAC0C" w14:textId="77777777" w:rsidR="00C92762" w:rsidRPr="00C92762" w:rsidRDefault="00C92762" w:rsidP="00C92762">
      <w:pPr>
        <w:spacing w:line="360" w:lineRule="auto"/>
        <w:rPr>
          <w:rFonts w:ascii="Arial" w:hAnsi="Arial" w:cs="Arial"/>
        </w:rPr>
      </w:pPr>
    </w:p>
    <w:p w14:paraId="05941C82" w14:textId="77777777" w:rsidR="00C92762" w:rsidRPr="00C92762" w:rsidRDefault="00C92762" w:rsidP="00C92762">
      <w:pPr>
        <w:spacing w:line="360" w:lineRule="auto"/>
        <w:rPr>
          <w:rFonts w:ascii="Arial" w:hAnsi="Arial" w:cs="Arial"/>
        </w:rPr>
      </w:pPr>
      <w:r w:rsidRPr="00C92762">
        <w:rPr>
          <w:rFonts w:ascii="Arial" w:hAnsi="Arial" w:cs="Arial"/>
        </w:rPr>
        <w:t xml:space="preserve">HM Government (2022) </w:t>
      </w:r>
      <w:r w:rsidRPr="007F5EE0">
        <w:rPr>
          <w:rFonts w:ascii="Arial" w:hAnsi="Arial" w:cs="Arial"/>
          <w:i/>
          <w:iCs/>
        </w:rPr>
        <w:t>Levelling Up the United Kingdom White Paper</w:t>
      </w:r>
      <w:r w:rsidRPr="00C92762">
        <w:rPr>
          <w:rFonts w:ascii="Arial" w:hAnsi="Arial" w:cs="Arial"/>
        </w:rPr>
        <w:t>. London: HMSO.</w:t>
      </w:r>
    </w:p>
    <w:p w14:paraId="1E165A08" w14:textId="77777777" w:rsidR="00C92762" w:rsidRPr="00C92762" w:rsidRDefault="00C92762" w:rsidP="00C92762">
      <w:pPr>
        <w:spacing w:line="360" w:lineRule="auto"/>
        <w:rPr>
          <w:rFonts w:ascii="Arial" w:hAnsi="Arial" w:cs="Arial"/>
        </w:rPr>
      </w:pPr>
    </w:p>
    <w:p w14:paraId="5A889E3A" w14:textId="77777777" w:rsidR="00C92762" w:rsidRPr="00C92762" w:rsidRDefault="00C92762" w:rsidP="00C92762">
      <w:pPr>
        <w:spacing w:line="360" w:lineRule="auto"/>
        <w:rPr>
          <w:rFonts w:ascii="Arial" w:hAnsi="Arial" w:cs="Arial"/>
        </w:rPr>
      </w:pPr>
      <w:r w:rsidRPr="00C92762">
        <w:rPr>
          <w:rFonts w:ascii="Arial" w:hAnsi="Arial" w:cs="Arial"/>
        </w:rPr>
        <w:t xml:space="preserve">OPML (2023) </w:t>
      </w:r>
      <w:r w:rsidRPr="007F5EE0">
        <w:rPr>
          <w:rFonts w:ascii="Arial" w:hAnsi="Arial" w:cs="Arial"/>
          <w:i/>
          <w:iCs/>
        </w:rPr>
        <w:t>Can We Accelerate Global Poverty Reduction?.</w:t>
      </w:r>
    </w:p>
    <w:p w14:paraId="462AEF30" w14:textId="77777777" w:rsidR="00C92762" w:rsidRPr="00C92762" w:rsidRDefault="00C92762" w:rsidP="00C92762">
      <w:pPr>
        <w:spacing w:line="360" w:lineRule="auto"/>
        <w:rPr>
          <w:rFonts w:ascii="Arial" w:hAnsi="Arial" w:cs="Arial"/>
        </w:rPr>
      </w:pPr>
    </w:p>
    <w:p w14:paraId="7826CF4A" w14:textId="77777777" w:rsidR="00C92762" w:rsidRPr="00C92762" w:rsidRDefault="00C92762" w:rsidP="00C92762">
      <w:pPr>
        <w:spacing w:line="360" w:lineRule="auto"/>
        <w:rPr>
          <w:rFonts w:ascii="Arial" w:hAnsi="Arial" w:cs="Arial"/>
        </w:rPr>
      </w:pPr>
      <w:r w:rsidRPr="00C92762">
        <w:rPr>
          <w:rFonts w:ascii="Arial" w:hAnsi="Arial" w:cs="Arial"/>
        </w:rPr>
        <w:t xml:space="preserve">Office for National Statistics (ONS) (2024) </w:t>
      </w:r>
      <w:r w:rsidRPr="007F5EE0">
        <w:rPr>
          <w:rFonts w:ascii="Arial" w:hAnsi="Arial" w:cs="Arial"/>
          <w:i/>
          <w:iCs/>
        </w:rPr>
        <w:t>Households Below Average Income.</w:t>
      </w:r>
    </w:p>
    <w:p w14:paraId="03EB3556" w14:textId="77777777" w:rsidR="00C92762" w:rsidRPr="00C92762" w:rsidRDefault="00C92762" w:rsidP="00C92762">
      <w:pPr>
        <w:spacing w:line="360" w:lineRule="auto"/>
        <w:rPr>
          <w:rFonts w:ascii="Arial" w:hAnsi="Arial" w:cs="Arial"/>
        </w:rPr>
      </w:pPr>
    </w:p>
    <w:p w14:paraId="7169C3A2" w14:textId="77777777" w:rsidR="00C92762" w:rsidRPr="00C92762" w:rsidRDefault="00C92762" w:rsidP="00C92762">
      <w:pPr>
        <w:spacing w:line="360" w:lineRule="auto"/>
        <w:rPr>
          <w:rFonts w:ascii="Arial" w:hAnsi="Arial" w:cs="Arial"/>
        </w:rPr>
      </w:pPr>
      <w:r w:rsidRPr="00C92762">
        <w:rPr>
          <w:rFonts w:ascii="Arial" w:hAnsi="Arial" w:cs="Arial"/>
        </w:rPr>
        <w:t xml:space="preserve">Welsh Government (2018) </w:t>
      </w:r>
      <w:r w:rsidRPr="00940477">
        <w:rPr>
          <w:rFonts w:ascii="Arial" w:hAnsi="Arial" w:cs="Arial"/>
          <w:i/>
          <w:iCs/>
        </w:rPr>
        <w:t>Communities First: Programme Closure Report.</w:t>
      </w:r>
    </w:p>
    <w:p w14:paraId="0183222E" w14:textId="77777777" w:rsidR="00C92762" w:rsidRPr="00C92762" w:rsidRDefault="00C92762" w:rsidP="00C92762">
      <w:pPr>
        <w:spacing w:line="360" w:lineRule="auto"/>
        <w:rPr>
          <w:rFonts w:ascii="Arial" w:hAnsi="Arial" w:cs="Arial"/>
        </w:rPr>
      </w:pPr>
    </w:p>
    <w:p w14:paraId="1EC2E9CC" w14:textId="77777777" w:rsidR="00C92762" w:rsidRPr="00C92762" w:rsidRDefault="00C92762" w:rsidP="00C92762">
      <w:pPr>
        <w:spacing w:line="360" w:lineRule="auto"/>
        <w:rPr>
          <w:rFonts w:ascii="Arial" w:hAnsi="Arial" w:cs="Arial"/>
        </w:rPr>
      </w:pPr>
      <w:r w:rsidRPr="00C92762">
        <w:rPr>
          <w:rFonts w:ascii="Arial" w:hAnsi="Arial" w:cs="Arial"/>
        </w:rPr>
        <w:t xml:space="preserve">United Nations (2024) </w:t>
      </w:r>
      <w:r w:rsidRPr="00940477">
        <w:rPr>
          <w:rFonts w:ascii="Arial" w:hAnsi="Arial" w:cs="Arial"/>
          <w:i/>
          <w:iCs/>
        </w:rPr>
        <w:t>Progress towards the SDGs:</w:t>
      </w:r>
      <w:r w:rsidRPr="00C92762">
        <w:rPr>
          <w:rFonts w:ascii="Arial" w:hAnsi="Arial" w:cs="Arial"/>
        </w:rPr>
        <w:t xml:space="preserve"> Report of the Secretary-General 2024.</w:t>
      </w:r>
    </w:p>
    <w:p w14:paraId="368FFB99" w14:textId="77777777" w:rsidR="00C92762" w:rsidRPr="00C92762" w:rsidRDefault="00C92762" w:rsidP="00C92762">
      <w:pPr>
        <w:spacing w:line="360" w:lineRule="auto"/>
        <w:rPr>
          <w:rFonts w:ascii="Arial" w:hAnsi="Arial" w:cs="Arial"/>
        </w:rPr>
      </w:pPr>
    </w:p>
    <w:p w14:paraId="4CB3DC4F" w14:textId="77777777" w:rsidR="00C92762" w:rsidRPr="00940477" w:rsidRDefault="00C92762" w:rsidP="00C92762">
      <w:pPr>
        <w:spacing w:line="360" w:lineRule="auto"/>
        <w:rPr>
          <w:rFonts w:ascii="Arial" w:hAnsi="Arial" w:cs="Arial"/>
          <w:i/>
          <w:iCs/>
        </w:rPr>
      </w:pPr>
      <w:r w:rsidRPr="00C92762">
        <w:rPr>
          <w:rFonts w:ascii="Arial" w:hAnsi="Arial" w:cs="Arial"/>
        </w:rPr>
        <w:t xml:space="preserve">WHO and World Bank (2021) </w:t>
      </w:r>
      <w:r w:rsidRPr="00940477">
        <w:rPr>
          <w:rFonts w:ascii="Arial" w:hAnsi="Arial" w:cs="Arial"/>
          <w:i/>
          <w:iCs/>
        </w:rPr>
        <w:t>Tracking Universal Health Coverage.</w:t>
      </w:r>
    </w:p>
    <w:p w14:paraId="2B179C04" w14:textId="77777777" w:rsidR="00C92762" w:rsidRPr="00C92762" w:rsidRDefault="00C92762" w:rsidP="00C92762">
      <w:pPr>
        <w:spacing w:line="360" w:lineRule="auto"/>
        <w:rPr>
          <w:rFonts w:ascii="Arial" w:hAnsi="Arial" w:cs="Arial"/>
        </w:rPr>
      </w:pPr>
    </w:p>
    <w:p w14:paraId="389D5BC2" w14:textId="43C90CB6" w:rsidR="00DE5D4E" w:rsidRPr="00940477" w:rsidRDefault="00C92762" w:rsidP="00C92762">
      <w:pPr>
        <w:spacing w:line="360" w:lineRule="auto"/>
        <w:rPr>
          <w:rFonts w:ascii="Arial" w:hAnsi="Arial" w:cs="Arial"/>
          <w:i/>
          <w:iCs/>
        </w:rPr>
      </w:pPr>
      <w:r w:rsidRPr="00C92762">
        <w:rPr>
          <w:rFonts w:ascii="Arial" w:hAnsi="Arial" w:cs="Arial"/>
        </w:rPr>
        <w:t>Organisation for Economic Co-operation and Development (OECD) (2023</w:t>
      </w:r>
      <w:r w:rsidRPr="00940477">
        <w:rPr>
          <w:rFonts w:ascii="Arial" w:hAnsi="Arial" w:cs="Arial"/>
          <w:i/>
          <w:iCs/>
        </w:rPr>
        <w:t>) Inclusive Growth Strategies.</w:t>
      </w:r>
    </w:p>
    <w:sectPr w:rsidR="00DE5D4E" w:rsidRPr="009404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329E"/>
    <w:multiLevelType w:val="hybridMultilevel"/>
    <w:tmpl w:val="3EA46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FC2E82"/>
    <w:multiLevelType w:val="hybridMultilevel"/>
    <w:tmpl w:val="FC620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35DA4"/>
    <w:multiLevelType w:val="hybridMultilevel"/>
    <w:tmpl w:val="6DC8E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667BE"/>
    <w:multiLevelType w:val="hybridMultilevel"/>
    <w:tmpl w:val="41E6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F97DF7"/>
    <w:multiLevelType w:val="hybridMultilevel"/>
    <w:tmpl w:val="63CE5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C054E0"/>
    <w:multiLevelType w:val="hybridMultilevel"/>
    <w:tmpl w:val="B4E8B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9C0E77"/>
    <w:multiLevelType w:val="hybridMultilevel"/>
    <w:tmpl w:val="1A40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50F9C"/>
    <w:multiLevelType w:val="hybridMultilevel"/>
    <w:tmpl w:val="F730A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B67628"/>
    <w:multiLevelType w:val="hybridMultilevel"/>
    <w:tmpl w:val="3B1A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6778796">
    <w:abstractNumId w:val="0"/>
  </w:num>
  <w:num w:numId="2" w16cid:durableId="724640445">
    <w:abstractNumId w:val="7"/>
  </w:num>
  <w:num w:numId="3" w16cid:durableId="1455296253">
    <w:abstractNumId w:val="2"/>
  </w:num>
  <w:num w:numId="4" w16cid:durableId="548687435">
    <w:abstractNumId w:val="6"/>
  </w:num>
  <w:num w:numId="5" w16cid:durableId="873466665">
    <w:abstractNumId w:val="3"/>
  </w:num>
  <w:num w:numId="6" w16cid:durableId="2005476089">
    <w:abstractNumId w:val="5"/>
  </w:num>
  <w:num w:numId="7" w16cid:durableId="1442216485">
    <w:abstractNumId w:val="1"/>
  </w:num>
  <w:num w:numId="8" w16cid:durableId="194583245">
    <w:abstractNumId w:val="8"/>
  </w:num>
  <w:num w:numId="9" w16cid:durableId="4004919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8FC"/>
    <w:rsid w:val="00003C1C"/>
    <w:rsid w:val="000200EB"/>
    <w:rsid w:val="00030F39"/>
    <w:rsid w:val="00035FD2"/>
    <w:rsid w:val="00062191"/>
    <w:rsid w:val="00072987"/>
    <w:rsid w:val="00090546"/>
    <w:rsid w:val="000D2509"/>
    <w:rsid w:val="000E49B3"/>
    <w:rsid w:val="000E5288"/>
    <w:rsid w:val="000E5304"/>
    <w:rsid w:val="00123523"/>
    <w:rsid w:val="0017204B"/>
    <w:rsid w:val="001A5CC2"/>
    <w:rsid w:val="00214AE9"/>
    <w:rsid w:val="00232D7F"/>
    <w:rsid w:val="00314A67"/>
    <w:rsid w:val="00321D71"/>
    <w:rsid w:val="00374769"/>
    <w:rsid w:val="00377974"/>
    <w:rsid w:val="003C30C6"/>
    <w:rsid w:val="003E66F0"/>
    <w:rsid w:val="00412778"/>
    <w:rsid w:val="0043176F"/>
    <w:rsid w:val="004325E6"/>
    <w:rsid w:val="00443056"/>
    <w:rsid w:val="00493D06"/>
    <w:rsid w:val="00505CB4"/>
    <w:rsid w:val="00556B76"/>
    <w:rsid w:val="0056417E"/>
    <w:rsid w:val="005D3BAA"/>
    <w:rsid w:val="005F4346"/>
    <w:rsid w:val="00646B47"/>
    <w:rsid w:val="00665C0B"/>
    <w:rsid w:val="00685738"/>
    <w:rsid w:val="006B646C"/>
    <w:rsid w:val="006C281B"/>
    <w:rsid w:val="006E14A6"/>
    <w:rsid w:val="007120A3"/>
    <w:rsid w:val="00757E16"/>
    <w:rsid w:val="00772641"/>
    <w:rsid w:val="00775398"/>
    <w:rsid w:val="00776EE5"/>
    <w:rsid w:val="007F5EE0"/>
    <w:rsid w:val="00813680"/>
    <w:rsid w:val="00827AE6"/>
    <w:rsid w:val="00863E31"/>
    <w:rsid w:val="008779C1"/>
    <w:rsid w:val="00901F42"/>
    <w:rsid w:val="009044A2"/>
    <w:rsid w:val="00940477"/>
    <w:rsid w:val="00946094"/>
    <w:rsid w:val="009A0A31"/>
    <w:rsid w:val="009C09D0"/>
    <w:rsid w:val="00A26F1F"/>
    <w:rsid w:val="00A443F0"/>
    <w:rsid w:val="00A7695A"/>
    <w:rsid w:val="00B07780"/>
    <w:rsid w:val="00B20519"/>
    <w:rsid w:val="00B45629"/>
    <w:rsid w:val="00B604F9"/>
    <w:rsid w:val="00C308DB"/>
    <w:rsid w:val="00C448AD"/>
    <w:rsid w:val="00C608FC"/>
    <w:rsid w:val="00C63E17"/>
    <w:rsid w:val="00C75C20"/>
    <w:rsid w:val="00C92762"/>
    <w:rsid w:val="00CE4A09"/>
    <w:rsid w:val="00D46637"/>
    <w:rsid w:val="00DE5D4E"/>
    <w:rsid w:val="00DE6958"/>
    <w:rsid w:val="00E0719A"/>
    <w:rsid w:val="00E473A9"/>
    <w:rsid w:val="00E65760"/>
    <w:rsid w:val="00E82B62"/>
    <w:rsid w:val="00E97084"/>
    <w:rsid w:val="00ED2826"/>
    <w:rsid w:val="00F33237"/>
    <w:rsid w:val="00F47B2F"/>
    <w:rsid w:val="00F744B9"/>
    <w:rsid w:val="00FD0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FE8B2"/>
  <w15:chartTrackingRefBased/>
  <w15:docId w15:val="{4BC1E8DC-3D7B-4255-9C5E-4BACC5DA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8FC"/>
    <w:rPr>
      <w:rFonts w:eastAsiaTheme="majorEastAsia" w:cstheme="majorBidi"/>
      <w:color w:val="272727" w:themeColor="text1" w:themeTint="D8"/>
    </w:rPr>
  </w:style>
  <w:style w:type="paragraph" w:styleId="Title">
    <w:name w:val="Title"/>
    <w:basedOn w:val="Normal"/>
    <w:next w:val="Normal"/>
    <w:link w:val="TitleChar"/>
    <w:uiPriority w:val="10"/>
    <w:qFormat/>
    <w:rsid w:val="00C60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8FC"/>
    <w:pPr>
      <w:spacing w:before="160"/>
      <w:jc w:val="center"/>
    </w:pPr>
    <w:rPr>
      <w:i/>
      <w:iCs/>
      <w:color w:val="404040" w:themeColor="text1" w:themeTint="BF"/>
    </w:rPr>
  </w:style>
  <w:style w:type="character" w:customStyle="1" w:styleId="QuoteChar">
    <w:name w:val="Quote Char"/>
    <w:basedOn w:val="DefaultParagraphFont"/>
    <w:link w:val="Quote"/>
    <w:uiPriority w:val="29"/>
    <w:rsid w:val="00C608FC"/>
    <w:rPr>
      <w:i/>
      <w:iCs/>
      <w:color w:val="404040" w:themeColor="text1" w:themeTint="BF"/>
    </w:rPr>
  </w:style>
  <w:style w:type="paragraph" w:styleId="ListParagraph">
    <w:name w:val="List Paragraph"/>
    <w:basedOn w:val="Normal"/>
    <w:uiPriority w:val="34"/>
    <w:qFormat/>
    <w:rsid w:val="00C608FC"/>
    <w:pPr>
      <w:ind w:left="720"/>
      <w:contextualSpacing/>
    </w:pPr>
  </w:style>
  <w:style w:type="character" w:styleId="IntenseEmphasis">
    <w:name w:val="Intense Emphasis"/>
    <w:basedOn w:val="DefaultParagraphFont"/>
    <w:uiPriority w:val="21"/>
    <w:qFormat/>
    <w:rsid w:val="00C608FC"/>
    <w:rPr>
      <w:i/>
      <w:iCs/>
      <w:color w:val="0F4761" w:themeColor="accent1" w:themeShade="BF"/>
    </w:rPr>
  </w:style>
  <w:style w:type="paragraph" w:styleId="IntenseQuote">
    <w:name w:val="Intense Quote"/>
    <w:basedOn w:val="Normal"/>
    <w:next w:val="Normal"/>
    <w:link w:val="IntenseQuoteChar"/>
    <w:uiPriority w:val="30"/>
    <w:qFormat/>
    <w:rsid w:val="00C60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8FC"/>
    <w:rPr>
      <w:i/>
      <w:iCs/>
      <w:color w:val="0F4761" w:themeColor="accent1" w:themeShade="BF"/>
    </w:rPr>
  </w:style>
  <w:style w:type="character" w:styleId="IntenseReference">
    <w:name w:val="Intense Reference"/>
    <w:basedOn w:val="DefaultParagraphFont"/>
    <w:uiPriority w:val="32"/>
    <w:qFormat/>
    <w:rsid w:val="00C608FC"/>
    <w:rPr>
      <w:b/>
      <w:bCs/>
      <w:smallCaps/>
      <w:color w:val="0F4761" w:themeColor="accent1" w:themeShade="BF"/>
      <w:spacing w:val="5"/>
    </w:rPr>
  </w:style>
  <w:style w:type="character" w:styleId="Hyperlink">
    <w:name w:val="Hyperlink"/>
    <w:basedOn w:val="DefaultParagraphFont"/>
    <w:uiPriority w:val="99"/>
    <w:unhideWhenUsed/>
    <w:rsid w:val="00090546"/>
    <w:rPr>
      <w:color w:val="467886" w:themeColor="hyperlink"/>
      <w:u w:val="single"/>
    </w:rPr>
  </w:style>
  <w:style w:type="character" w:styleId="UnresolvedMention">
    <w:name w:val="Unresolved Mention"/>
    <w:basedOn w:val="DefaultParagraphFont"/>
    <w:uiPriority w:val="99"/>
    <w:semiHidden/>
    <w:unhideWhenUsed/>
    <w:rsid w:val="000905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57986-2493-46AD-A75F-F0E4A667C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15</Pages>
  <Words>2651</Words>
  <Characters>15113</Characters>
  <Application>Microsoft Office Word</Application>
  <DocSecurity>0</DocSecurity>
  <Lines>125</Lines>
  <Paragraphs>35</Paragraphs>
  <ScaleCrop>false</ScaleCrop>
  <Company/>
  <LinksUpToDate>false</LinksUpToDate>
  <CharactersWithSpaces>17729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Zobia Riaz (2226851)</dc:creator>
  <cp:keywords/>
  <dc:description/>
  <cp:lastModifiedBy>Zobia Riaz (2226851)</cp:lastModifiedBy>
  <cp:revision>80</cp:revision>
  <dcterms:created xsi:type="dcterms:W3CDTF">2025-10-20T08:15:00Z</dcterms:created>
  <dcterms:modified xsi:type="dcterms:W3CDTF">2025-11-16T11:35:00Z</dcterms:modified>
</cp:coreProperties>
</file>