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66371" w14:textId="77777777" w:rsidR="000F76AA" w:rsidRPr="001A6219" w:rsidRDefault="000F76AA" w:rsidP="000F76AA">
      <w:pPr>
        <w:jc w:val="center"/>
        <w:rPr>
          <w:rFonts w:ascii="Arial" w:hAnsi="Arial" w:cs="Arial"/>
          <w:sz w:val="40"/>
          <w:szCs w:val="40"/>
        </w:rPr>
      </w:pPr>
      <w:r w:rsidRPr="001A6219">
        <w:rPr>
          <w:rFonts w:ascii="Arial" w:hAnsi="Arial" w:cs="Arial"/>
          <w:sz w:val="40"/>
          <w:szCs w:val="40"/>
        </w:rPr>
        <w:t xml:space="preserve">What changes did the Coroners Justice Act (2009) make to the defence of diminished responsibility? Did these amendments change the law in this area for the better </w:t>
      </w:r>
    </w:p>
    <w:p w14:paraId="0AD1C5E3" w14:textId="77777777" w:rsidR="000F76AA" w:rsidRPr="001A6219" w:rsidRDefault="000F76AA" w:rsidP="000F76AA">
      <w:pPr>
        <w:jc w:val="center"/>
        <w:rPr>
          <w:rFonts w:ascii="Arial" w:hAnsi="Arial" w:cs="Arial"/>
          <w:sz w:val="40"/>
          <w:szCs w:val="40"/>
        </w:rPr>
      </w:pPr>
    </w:p>
    <w:p w14:paraId="2CA15528" w14:textId="77777777" w:rsidR="000F76AA" w:rsidRPr="001A6219" w:rsidRDefault="000F76AA" w:rsidP="000F76AA">
      <w:pPr>
        <w:jc w:val="center"/>
        <w:rPr>
          <w:rFonts w:ascii="Arial" w:hAnsi="Arial" w:cs="Arial"/>
          <w:sz w:val="40"/>
          <w:szCs w:val="40"/>
        </w:rPr>
      </w:pPr>
    </w:p>
    <w:p w14:paraId="444CA224" w14:textId="77777777" w:rsidR="000F76AA" w:rsidRPr="001A6219" w:rsidRDefault="000F76AA" w:rsidP="000F76AA">
      <w:pPr>
        <w:jc w:val="center"/>
        <w:rPr>
          <w:rFonts w:ascii="Arial" w:hAnsi="Arial" w:cs="Arial"/>
          <w:sz w:val="40"/>
          <w:szCs w:val="40"/>
        </w:rPr>
      </w:pPr>
    </w:p>
    <w:p w14:paraId="4AF52B46" w14:textId="77777777" w:rsidR="000F76AA" w:rsidRPr="001A6219" w:rsidRDefault="000F76AA" w:rsidP="000F76AA">
      <w:pPr>
        <w:jc w:val="center"/>
        <w:rPr>
          <w:rFonts w:ascii="Arial" w:hAnsi="Arial" w:cs="Arial"/>
          <w:sz w:val="40"/>
          <w:szCs w:val="40"/>
        </w:rPr>
      </w:pPr>
    </w:p>
    <w:p w14:paraId="3A8A015C" w14:textId="77777777" w:rsidR="000F76AA" w:rsidRPr="001A6219" w:rsidRDefault="000F76AA" w:rsidP="000F76AA">
      <w:pPr>
        <w:jc w:val="center"/>
        <w:rPr>
          <w:rFonts w:ascii="Arial" w:hAnsi="Arial" w:cs="Arial"/>
          <w:sz w:val="40"/>
          <w:szCs w:val="40"/>
        </w:rPr>
      </w:pPr>
      <w:r w:rsidRPr="001A6219">
        <w:rPr>
          <w:rFonts w:ascii="Arial" w:hAnsi="Arial" w:cs="Arial"/>
          <w:sz w:val="40"/>
          <w:szCs w:val="40"/>
        </w:rPr>
        <w:t xml:space="preserve">University of Wales Trinity Saint David </w:t>
      </w:r>
    </w:p>
    <w:p w14:paraId="5B62F399" w14:textId="77777777" w:rsidR="000F76AA" w:rsidRPr="001A6219" w:rsidRDefault="000F76AA" w:rsidP="000F76AA">
      <w:pPr>
        <w:jc w:val="center"/>
        <w:rPr>
          <w:rFonts w:ascii="Arial" w:hAnsi="Arial" w:cs="Arial"/>
          <w:sz w:val="40"/>
          <w:szCs w:val="40"/>
        </w:rPr>
      </w:pPr>
      <w:r w:rsidRPr="001A6219">
        <w:rPr>
          <w:rFonts w:ascii="Arial" w:hAnsi="Arial" w:cs="Arial"/>
          <w:sz w:val="40"/>
          <w:szCs w:val="40"/>
        </w:rPr>
        <w:t xml:space="preserve">Blue Light Academy </w:t>
      </w:r>
    </w:p>
    <w:p w14:paraId="7E2811DD" w14:textId="77777777" w:rsidR="000F76AA" w:rsidRDefault="000F76AA" w:rsidP="000F76AA">
      <w:pPr>
        <w:jc w:val="center"/>
        <w:rPr>
          <w:sz w:val="40"/>
          <w:szCs w:val="40"/>
        </w:rPr>
      </w:pPr>
    </w:p>
    <w:p w14:paraId="624250F5" w14:textId="77777777" w:rsidR="000F76AA" w:rsidRDefault="000F76AA" w:rsidP="000F76AA">
      <w:pPr>
        <w:jc w:val="center"/>
        <w:rPr>
          <w:sz w:val="40"/>
          <w:szCs w:val="40"/>
        </w:rPr>
      </w:pPr>
    </w:p>
    <w:p w14:paraId="2528A2A5" w14:textId="77777777" w:rsidR="000F76AA" w:rsidRDefault="000F76AA" w:rsidP="000F76AA">
      <w:pPr>
        <w:jc w:val="center"/>
        <w:rPr>
          <w:sz w:val="40"/>
          <w:szCs w:val="40"/>
        </w:rPr>
      </w:pPr>
    </w:p>
    <w:p w14:paraId="22F44D0A" w14:textId="77777777" w:rsidR="000F76AA" w:rsidRDefault="000F76AA" w:rsidP="000F76AA">
      <w:pPr>
        <w:jc w:val="center"/>
        <w:rPr>
          <w:sz w:val="40"/>
          <w:szCs w:val="40"/>
        </w:rPr>
      </w:pPr>
    </w:p>
    <w:p w14:paraId="113C3BD9" w14:textId="77777777" w:rsidR="000F76AA" w:rsidRDefault="000F76AA" w:rsidP="000F76AA">
      <w:pPr>
        <w:jc w:val="center"/>
        <w:rPr>
          <w:sz w:val="40"/>
          <w:szCs w:val="40"/>
        </w:rPr>
      </w:pPr>
    </w:p>
    <w:p w14:paraId="4ED0A4AF" w14:textId="77777777" w:rsidR="000F76AA" w:rsidRDefault="000F76AA" w:rsidP="000F76AA">
      <w:pPr>
        <w:jc w:val="center"/>
        <w:rPr>
          <w:sz w:val="40"/>
          <w:szCs w:val="40"/>
        </w:rPr>
      </w:pPr>
    </w:p>
    <w:p w14:paraId="354AB7E6" w14:textId="77777777" w:rsidR="000F76AA" w:rsidRDefault="000F76AA" w:rsidP="000F76AA">
      <w:pPr>
        <w:jc w:val="center"/>
        <w:rPr>
          <w:sz w:val="40"/>
          <w:szCs w:val="40"/>
        </w:rPr>
      </w:pPr>
    </w:p>
    <w:p w14:paraId="0E7DC2BB" w14:textId="77777777" w:rsidR="000F76AA" w:rsidRDefault="000F76AA" w:rsidP="000F76AA">
      <w:pPr>
        <w:jc w:val="center"/>
        <w:rPr>
          <w:sz w:val="40"/>
          <w:szCs w:val="40"/>
        </w:rPr>
      </w:pPr>
    </w:p>
    <w:p w14:paraId="09A4410D" w14:textId="77777777" w:rsidR="000F76AA" w:rsidRDefault="000F76AA" w:rsidP="000F76AA">
      <w:pPr>
        <w:jc w:val="center"/>
        <w:rPr>
          <w:sz w:val="40"/>
          <w:szCs w:val="40"/>
        </w:rPr>
      </w:pPr>
    </w:p>
    <w:p w14:paraId="7D603D47" w14:textId="77777777" w:rsidR="000F76AA" w:rsidRDefault="000F76AA" w:rsidP="000F76AA">
      <w:pPr>
        <w:jc w:val="center"/>
        <w:rPr>
          <w:sz w:val="40"/>
          <w:szCs w:val="40"/>
        </w:rPr>
      </w:pPr>
    </w:p>
    <w:p w14:paraId="701BB76A" w14:textId="77777777" w:rsidR="000F76AA" w:rsidRDefault="000F76AA" w:rsidP="000F76AA">
      <w:pPr>
        <w:jc w:val="center"/>
        <w:rPr>
          <w:sz w:val="40"/>
          <w:szCs w:val="40"/>
        </w:rPr>
      </w:pPr>
    </w:p>
    <w:p w14:paraId="725849A0" w14:textId="77777777" w:rsidR="000F76AA" w:rsidRDefault="000F76AA" w:rsidP="000F76AA">
      <w:pPr>
        <w:jc w:val="center"/>
        <w:rPr>
          <w:sz w:val="40"/>
          <w:szCs w:val="40"/>
        </w:rPr>
      </w:pPr>
    </w:p>
    <w:p w14:paraId="400D8386" w14:textId="77777777" w:rsidR="000F76AA" w:rsidRDefault="000F76AA" w:rsidP="000F76AA">
      <w:pPr>
        <w:jc w:val="center"/>
        <w:rPr>
          <w:sz w:val="40"/>
          <w:szCs w:val="40"/>
        </w:rPr>
      </w:pPr>
    </w:p>
    <w:p w14:paraId="617B8405" w14:textId="77777777" w:rsidR="000F76AA" w:rsidRDefault="000F76AA" w:rsidP="000F76AA">
      <w:pPr>
        <w:jc w:val="center"/>
        <w:rPr>
          <w:sz w:val="40"/>
          <w:szCs w:val="40"/>
        </w:rPr>
      </w:pPr>
    </w:p>
    <w:p w14:paraId="5A849393" w14:textId="77777777" w:rsidR="000F76AA" w:rsidRDefault="000F76AA" w:rsidP="000F76AA">
      <w:pPr>
        <w:jc w:val="center"/>
        <w:rPr>
          <w:sz w:val="40"/>
          <w:szCs w:val="40"/>
        </w:rPr>
      </w:pPr>
    </w:p>
    <w:p w14:paraId="2B1E4D7D" w14:textId="77777777" w:rsidR="000F76AA" w:rsidRDefault="000F76AA" w:rsidP="000F76AA">
      <w:pPr>
        <w:jc w:val="center"/>
        <w:rPr>
          <w:sz w:val="40"/>
          <w:szCs w:val="40"/>
        </w:rPr>
      </w:pPr>
    </w:p>
    <w:p w14:paraId="448F7B24" w14:textId="77777777" w:rsidR="000F76AA" w:rsidRDefault="000F76AA" w:rsidP="000F76AA">
      <w:pPr>
        <w:jc w:val="center"/>
        <w:rPr>
          <w:sz w:val="40"/>
          <w:szCs w:val="40"/>
        </w:rPr>
      </w:pPr>
    </w:p>
    <w:p w14:paraId="4F73FFE6" w14:textId="77777777" w:rsidR="000F76AA" w:rsidRDefault="000F76AA" w:rsidP="000F76AA">
      <w:pPr>
        <w:jc w:val="center"/>
        <w:rPr>
          <w:sz w:val="40"/>
          <w:szCs w:val="40"/>
        </w:rPr>
      </w:pPr>
    </w:p>
    <w:p w14:paraId="302D0302" w14:textId="77777777" w:rsidR="000F76AA" w:rsidRDefault="000F76AA" w:rsidP="000F76AA">
      <w:pPr>
        <w:jc w:val="center"/>
        <w:rPr>
          <w:sz w:val="40"/>
          <w:szCs w:val="40"/>
        </w:rPr>
      </w:pPr>
    </w:p>
    <w:p w14:paraId="49D91F25" w14:textId="77777777" w:rsidR="000F76AA" w:rsidRPr="001A6219" w:rsidRDefault="000F76AA" w:rsidP="000F76AA">
      <w:pPr>
        <w:rPr>
          <w:rFonts w:ascii="Arial" w:hAnsi="Arial" w:cs="Arial"/>
          <w:b/>
          <w:bCs/>
          <w:sz w:val="28"/>
          <w:szCs w:val="28"/>
          <w:u w:val="single"/>
        </w:rPr>
      </w:pPr>
      <w:r w:rsidRPr="001A6219">
        <w:rPr>
          <w:rFonts w:ascii="Arial" w:hAnsi="Arial" w:cs="Arial"/>
          <w:b/>
          <w:bCs/>
          <w:sz w:val="28"/>
          <w:szCs w:val="28"/>
          <w:u w:val="single"/>
        </w:rPr>
        <w:lastRenderedPageBreak/>
        <w:t>Introduction</w:t>
      </w:r>
    </w:p>
    <w:p w14:paraId="298CA9DB" w14:textId="77777777" w:rsidR="000F76AA" w:rsidRPr="001A6219" w:rsidRDefault="000F76AA" w:rsidP="000F76AA">
      <w:pPr>
        <w:rPr>
          <w:rFonts w:ascii="Arial" w:hAnsi="Arial" w:cs="Arial"/>
          <w:b/>
          <w:bCs/>
          <w:sz w:val="32"/>
          <w:szCs w:val="32"/>
          <w:u w:val="single"/>
        </w:rPr>
      </w:pPr>
    </w:p>
    <w:p w14:paraId="145D011E" w14:textId="77777777" w:rsidR="000F76AA" w:rsidRDefault="000F76AA" w:rsidP="000F76AA">
      <w:pPr>
        <w:rPr>
          <w:rFonts w:ascii="Arial" w:hAnsi="Arial" w:cs="Arial"/>
        </w:rPr>
      </w:pPr>
      <w:r w:rsidRPr="001A6219">
        <w:rPr>
          <w:rFonts w:ascii="Arial" w:hAnsi="Arial" w:cs="Arial"/>
        </w:rPr>
        <w:t xml:space="preserve">The Coroners and Justice Act (2009) changed and revamped the law on provocation </w:t>
      </w:r>
      <w:r>
        <w:rPr>
          <w:rFonts w:ascii="Arial" w:hAnsi="Arial" w:cs="Arial"/>
        </w:rPr>
        <w:t xml:space="preserve">and diminished responsibility </w:t>
      </w:r>
      <w:r w:rsidRPr="001A6219">
        <w:rPr>
          <w:rFonts w:ascii="Arial" w:hAnsi="Arial" w:cs="Arial"/>
        </w:rPr>
        <w:t xml:space="preserve">in England and Wales (Dogan, 2013).  </w:t>
      </w:r>
    </w:p>
    <w:p w14:paraId="4F00851C" w14:textId="77777777" w:rsidR="000F76AA" w:rsidRDefault="000F76AA" w:rsidP="000F76AA">
      <w:pPr>
        <w:rPr>
          <w:rFonts w:ascii="Arial" w:hAnsi="Arial" w:cs="Arial"/>
        </w:rPr>
      </w:pPr>
      <w:r w:rsidRPr="001A6219">
        <w:rPr>
          <w:rFonts w:ascii="Arial" w:hAnsi="Arial" w:cs="Arial"/>
        </w:rPr>
        <w:t>There w</w:t>
      </w:r>
      <w:r>
        <w:rPr>
          <w:rFonts w:ascii="Arial" w:hAnsi="Arial" w:cs="Arial"/>
        </w:rPr>
        <w:t>ere</w:t>
      </w:r>
      <w:r w:rsidRPr="001A6219">
        <w:rPr>
          <w:rFonts w:ascii="Arial" w:hAnsi="Arial" w:cs="Arial"/>
        </w:rPr>
        <w:t xml:space="preserve"> many criticisms prior to the Coroners Justice Act referring to the diminished responsibility defence (</w:t>
      </w:r>
      <w:proofErr w:type="spellStart"/>
      <w:r w:rsidRPr="001A6219">
        <w:rPr>
          <w:rFonts w:ascii="Arial" w:hAnsi="Arial" w:cs="Arial"/>
        </w:rPr>
        <w:t>Kennefick</w:t>
      </w:r>
      <w:proofErr w:type="spellEnd"/>
      <w:r w:rsidRPr="001A6219">
        <w:rPr>
          <w:rFonts w:ascii="Arial" w:hAnsi="Arial" w:cs="Arial"/>
        </w:rPr>
        <w:t xml:space="preserve">, 2011) which was part of the homicide act (1957) until the Coroners Justice Act (2009) recreated the definition of diminished responsibility (Rogers, 2015) .Therefore, after engaging with the legislation and relevant literature this reflective essay will identify all changes that the Coroners and Justice Act made, identifying the changes to the defence of diminished responsibility and have a key focus on whether the changes made a positive outcome for the law. </w:t>
      </w:r>
    </w:p>
    <w:p w14:paraId="61FF5943" w14:textId="77777777" w:rsidR="000F76AA" w:rsidRDefault="000F76AA" w:rsidP="000F76AA">
      <w:pPr>
        <w:rPr>
          <w:rFonts w:ascii="Arial" w:hAnsi="Arial" w:cs="Arial"/>
        </w:rPr>
      </w:pPr>
    </w:p>
    <w:p w14:paraId="1C10543B" w14:textId="77777777" w:rsidR="000F76AA" w:rsidRDefault="000F76AA" w:rsidP="000F76AA">
      <w:pPr>
        <w:rPr>
          <w:rFonts w:ascii="Arial" w:hAnsi="Arial" w:cs="Arial"/>
        </w:rPr>
      </w:pPr>
    </w:p>
    <w:p w14:paraId="397C1CB2" w14:textId="77777777" w:rsidR="000F76AA" w:rsidRPr="001A6219" w:rsidRDefault="000F76AA" w:rsidP="000F76AA">
      <w:pPr>
        <w:rPr>
          <w:rFonts w:ascii="Arial" w:hAnsi="Arial" w:cs="Arial"/>
          <w:b/>
          <w:bCs/>
          <w:sz w:val="28"/>
          <w:szCs w:val="28"/>
          <w:u w:val="single"/>
        </w:rPr>
      </w:pPr>
      <w:r w:rsidRPr="001A6219">
        <w:rPr>
          <w:rFonts w:ascii="Arial" w:hAnsi="Arial" w:cs="Arial"/>
          <w:b/>
          <w:bCs/>
          <w:sz w:val="28"/>
          <w:szCs w:val="28"/>
          <w:u w:val="single"/>
        </w:rPr>
        <w:t>Main Section</w:t>
      </w:r>
    </w:p>
    <w:p w14:paraId="6965BA85" w14:textId="77777777" w:rsidR="000F76AA" w:rsidRDefault="000F76AA" w:rsidP="000F76AA">
      <w:pPr>
        <w:rPr>
          <w:rFonts w:ascii="Arial" w:hAnsi="Arial" w:cs="Arial"/>
        </w:rPr>
      </w:pPr>
    </w:p>
    <w:p w14:paraId="7EB162B2" w14:textId="721D9B4A" w:rsidR="000F76AA" w:rsidRDefault="000F76AA" w:rsidP="000F76AA">
      <w:pPr>
        <w:rPr>
          <w:rFonts w:ascii="Arial" w:hAnsi="Arial" w:cs="Arial"/>
        </w:rPr>
      </w:pPr>
      <w:r>
        <w:rPr>
          <w:rFonts w:ascii="Arial" w:hAnsi="Arial" w:cs="Arial"/>
        </w:rPr>
        <w:t>As a result of many critiques on the definition of diminished responsibility, the Coroners Justice Act (2009) reformed the definition in England and Wales that differs hugely from the old law (</w:t>
      </w:r>
      <w:proofErr w:type="spellStart"/>
      <w:r>
        <w:rPr>
          <w:rFonts w:ascii="Arial" w:hAnsi="Arial" w:cs="Arial"/>
        </w:rPr>
        <w:t>Kennefick</w:t>
      </w:r>
      <w:proofErr w:type="spellEnd"/>
      <w:r>
        <w:rPr>
          <w:rFonts w:ascii="Arial" w:hAnsi="Arial" w:cs="Arial"/>
        </w:rPr>
        <w:t xml:space="preserve">, 2011). The </w:t>
      </w:r>
      <w:r w:rsidR="00E37B8F">
        <w:rPr>
          <w:rFonts w:ascii="Arial" w:hAnsi="Arial" w:cs="Arial"/>
        </w:rPr>
        <w:t>modern</w:t>
      </w:r>
      <w:r>
        <w:rPr>
          <w:rFonts w:ascii="Arial" w:hAnsi="Arial" w:cs="Arial"/>
        </w:rPr>
        <w:t xml:space="preserve"> definition s</w:t>
      </w:r>
      <w:r w:rsidR="00E37B8F">
        <w:rPr>
          <w:rFonts w:ascii="Arial" w:hAnsi="Arial" w:cs="Arial"/>
        </w:rPr>
        <w:t xml:space="preserve">ays the </w:t>
      </w:r>
      <w:r>
        <w:rPr>
          <w:rFonts w:ascii="Arial" w:hAnsi="Arial" w:cs="Arial"/>
        </w:rPr>
        <w:t>defendant</w:t>
      </w:r>
      <w:r w:rsidR="00E37B8F">
        <w:rPr>
          <w:rFonts w:ascii="Arial" w:hAnsi="Arial" w:cs="Arial"/>
        </w:rPr>
        <w:t>, should have potentially suffered from an abnormality of a mental functioning issue which has either been recognised by a medical condition, impairment of ability to do one or more of three things, these three things are to form a rational judgement, able to demonstrate self-control and able to understand the nature of the conduct committed and lastly they should be able to explain the act and omissions in doing or being involved in the killing (Rogers, 2015). Therefore,</w:t>
      </w:r>
      <w:r>
        <w:rPr>
          <w:rFonts w:ascii="Arial" w:hAnsi="Arial" w:cs="Arial"/>
        </w:rPr>
        <w:t xml:space="preserve"> any awareness of the act or the nature of the act would rule out the defence of diminished responsibility. Whilst this new definition was just a reform from the Homicide Act (1957) under section 2, the new reform updates and modernises the wording and concept of the section (Mackay and Mitchell, 2017). Therefore, this suggests that the Coroners and Justice Act made the changes to diminished responsibility and the definition to make it clearer and more modernised to today’s society. Prior to the Coroners and Justice Act reforming the definition, homicide Act (1957) used the idea of ‘abnormality of the mind’ which was changed to ‘abnormality of mental functioning’, this change was important as it emphasises a process rather a static idea which in turn provides more of in-depth concern into the defendant’s mental faculties (Gibson ,2011). </w:t>
      </w:r>
    </w:p>
    <w:p w14:paraId="76243375" w14:textId="77777777" w:rsidR="000F76AA" w:rsidRDefault="000F76AA" w:rsidP="000F76AA">
      <w:pPr>
        <w:rPr>
          <w:rFonts w:ascii="Arial" w:hAnsi="Arial" w:cs="Arial"/>
        </w:rPr>
      </w:pPr>
    </w:p>
    <w:p w14:paraId="65D705D0" w14:textId="5197BBD7" w:rsidR="000F76AA" w:rsidRDefault="000F76AA" w:rsidP="000F76AA">
      <w:pPr>
        <w:rPr>
          <w:rFonts w:ascii="Arial" w:hAnsi="Arial" w:cs="Arial"/>
        </w:rPr>
      </w:pPr>
      <w:r>
        <w:rPr>
          <w:rFonts w:ascii="Arial" w:hAnsi="Arial" w:cs="Arial"/>
        </w:rPr>
        <w:t xml:space="preserve">There was a need of changes as the act was created in 1957 and has had a long running of dissatisfaction with the law on homicide (Hodgkinson and </w:t>
      </w:r>
      <w:proofErr w:type="spellStart"/>
      <w:r>
        <w:rPr>
          <w:rFonts w:ascii="Arial" w:hAnsi="Arial" w:cs="Arial"/>
        </w:rPr>
        <w:t>Prins</w:t>
      </w:r>
      <w:proofErr w:type="spellEnd"/>
      <w:r>
        <w:rPr>
          <w:rFonts w:ascii="Arial" w:hAnsi="Arial" w:cs="Arial"/>
        </w:rPr>
        <w:t xml:space="preserve">, 2011). This suggests that the change was needed as it was outdated. This is reinforced by </w:t>
      </w:r>
      <w:proofErr w:type="spellStart"/>
      <w:r>
        <w:rPr>
          <w:rFonts w:ascii="Arial" w:hAnsi="Arial" w:cs="Arial"/>
        </w:rPr>
        <w:t>Kennefick</w:t>
      </w:r>
      <w:proofErr w:type="spellEnd"/>
      <w:r>
        <w:rPr>
          <w:rFonts w:ascii="Arial" w:hAnsi="Arial" w:cs="Arial"/>
        </w:rPr>
        <w:t xml:space="preserve"> (2011) who states that the homicide law from the homicide act was out-of-date, </w:t>
      </w:r>
      <w:r>
        <w:rPr>
          <w:rFonts w:ascii="Arial" w:hAnsi="Arial" w:cs="Arial"/>
        </w:rPr>
        <w:t>misleading,</w:t>
      </w:r>
      <w:r>
        <w:rPr>
          <w:rFonts w:ascii="Arial" w:hAnsi="Arial" w:cs="Arial"/>
        </w:rPr>
        <w:t xml:space="preserve"> and unfit for purpose. The coroners and justice act 2009 was introduced to reform the law and provide an improved version of the framework to give more clarity and fairness to cases where there was unlawful murder (Hodgkinson and </w:t>
      </w:r>
      <w:proofErr w:type="spellStart"/>
      <w:r>
        <w:rPr>
          <w:rFonts w:ascii="Arial" w:hAnsi="Arial" w:cs="Arial"/>
        </w:rPr>
        <w:t>prins</w:t>
      </w:r>
      <w:proofErr w:type="spellEnd"/>
      <w:r>
        <w:rPr>
          <w:rFonts w:ascii="Arial" w:hAnsi="Arial" w:cs="Arial"/>
        </w:rPr>
        <w:t>, 2011).  Therefore, the changes made, and the reform of the Homicide Act (1957) has led to many meaningful changes in practice (</w:t>
      </w:r>
      <w:proofErr w:type="spellStart"/>
      <w:r>
        <w:rPr>
          <w:rFonts w:ascii="Arial" w:hAnsi="Arial" w:cs="Arial"/>
        </w:rPr>
        <w:t>Horder</w:t>
      </w:r>
      <w:proofErr w:type="spellEnd"/>
      <w:r>
        <w:rPr>
          <w:rFonts w:ascii="Arial" w:hAnsi="Arial" w:cs="Arial"/>
        </w:rPr>
        <w:t xml:space="preserve"> and </w:t>
      </w:r>
      <w:proofErr w:type="gramStart"/>
      <w:r>
        <w:rPr>
          <w:rFonts w:ascii="Arial" w:hAnsi="Arial" w:cs="Arial"/>
        </w:rPr>
        <w:t>Fitz-gibbon</w:t>
      </w:r>
      <w:proofErr w:type="gramEnd"/>
      <w:r>
        <w:rPr>
          <w:rFonts w:ascii="Arial" w:hAnsi="Arial" w:cs="Arial"/>
        </w:rPr>
        <w:t>, 2015)</w:t>
      </w:r>
      <w:r>
        <w:rPr>
          <w:rFonts w:ascii="Arial" w:hAnsi="Arial" w:cs="Arial"/>
        </w:rPr>
        <w:t>.</w:t>
      </w:r>
    </w:p>
    <w:p w14:paraId="0506F593" w14:textId="77777777" w:rsidR="000F76AA" w:rsidRDefault="000F76AA" w:rsidP="000F76AA">
      <w:pPr>
        <w:rPr>
          <w:rFonts w:ascii="Arial" w:hAnsi="Arial" w:cs="Arial"/>
        </w:rPr>
      </w:pPr>
    </w:p>
    <w:p w14:paraId="7707C94A" w14:textId="77777777" w:rsidR="000F76AA" w:rsidRDefault="000F76AA" w:rsidP="000F76AA">
      <w:pPr>
        <w:rPr>
          <w:rFonts w:ascii="Arial" w:hAnsi="Arial" w:cs="Arial"/>
        </w:rPr>
      </w:pPr>
    </w:p>
    <w:p w14:paraId="00C20144" w14:textId="77777777" w:rsidR="000F76AA" w:rsidRDefault="000F76AA" w:rsidP="000F76AA">
      <w:pPr>
        <w:rPr>
          <w:rFonts w:ascii="Arial" w:hAnsi="Arial" w:cs="Arial"/>
        </w:rPr>
      </w:pPr>
    </w:p>
    <w:p w14:paraId="2DB7380A" w14:textId="2A905A72" w:rsidR="000F76AA" w:rsidRDefault="000F76AA" w:rsidP="000F76AA">
      <w:pPr>
        <w:rPr>
          <w:rFonts w:ascii="Arial" w:hAnsi="Arial" w:cs="Arial"/>
        </w:rPr>
      </w:pPr>
      <w:r>
        <w:rPr>
          <w:rFonts w:ascii="Arial" w:hAnsi="Arial" w:cs="Arial"/>
        </w:rPr>
        <w:lastRenderedPageBreak/>
        <w:t>One of the changes that the Coroners and Justice Act (2009) made was the</w:t>
      </w:r>
      <w:r w:rsidR="00E37B8F">
        <w:rPr>
          <w:rFonts w:ascii="Arial" w:hAnsi="Arial" w:cs="Arial"/>
        </w:rPr>
        <w:t xml:space="preserve"> </w:t>
      </w:r>
      <w:r>
        <w:rPr>
          <w:rFonts w:ascii="Arial" w:hAnsi="Arial" w:cs="Arial"/>
        </w:rPr>
        <w:t xml:space="preserve">abolishment of the </w:t>
      </w:r>
      <w:r w:rsidR="00E37B8F">
        <w:rPr>
          <w:rFonts w:ascii="Arial" w:hAnsi="Arial" w:cs="Arial"/>
        </w:rPr>
        <w:t>use of provocation for defence and then it introduces a brand-new partial defence of loss of control</w:t>
      </w:r>
      <w:r>
        <w:rPr>
          <w:rFonts w:ascii="Arial" w:hAnsi="Arial" w:cs="Arial"/>
        </w:rPr>
        <w:t xml:space="preserve"> and (</w:t>
      </w:r>
      <w:proofErr w:type="gramStart"/>
      <w:r>
        <w:rPr>
          <w:rFonts w:ascii="Arial" w:hAnsi="Arial" w:cs="Arial"/>
        </w:rPr>
        <w:t>Fitz-Gibbon</w:t>
      </w:r>
      <w:proofErr w:type="gramEnd"/>
      <w:r>
        <w:rPr>
          <w:rFonts w:ascii="Arial" w:hAnsi="Arial" w:cs="Arial"/>
        </w:rPr>
        <w:t>, 2013)</w:t>
      </w:r>
      <w:r w:rsidR="00E37B8F">
        <w:rPr>
          <w:rFonts w:ascii="Arial" w:hAnsi="Arial" w:cs="Arial"/>
        </w:rPr>
        <w:t xml:space="preserve">. </w:t>
      </w:r>
      <w:r>
        <w:rPr>
          <w:rFonts w:ascii="Arial" w:hAnsi="Arial" w:cs="Arial"/>
        </w:rPr>
        <w:t>Whilst this has been changed it can still attribute to fear as well as anger for a reason why the defendant conducted the act (Clough, 2010). This reformed from the Homicide Act (1957) which stated that a successful plea of provocation will reduce a charge of murder to manslaughter, however this was changed to loss of control as it demonstrates a more effective defence to murder (</w:t>
      </w:r>
      <w:proofErr w:type="spellStart"/>
      <w:r>
        <w:rPr>
          <w:rFonts w:ascii="Arial" w:hAnsi="Arial" w:cs="Arial"/>
        </w:rPr>
        <w:t>Blockley</w:t>
      </w:r>
      <w:proofErr w:type="spellEnd"/>
      <w:r>
        <w:rPr>
          <w:rFonts w:ascii="Arial" w:hAnsi="Arial" w:cs="Arial"/>
        </w:rPr>
        <w:t>, 2014) An example of this could be a female who is a victim of domestic violence and losing control and ends up killing the person who was violent towards them. One of the main reasons why this defence of provocation was reformed to defence of loss of control was because the defence needed to be more confined and restricted for defendants who killed in anger, this includes men who kill their partners due to possessiveness (Powell, 2015). If the defendant is successful in proving loss of control, this will reduce a potential murder conviction to one of manslaughter (</w:t>
      </w:r>
      <w:proofErr w:type="spellStart"/>
      <w:r>
        <w:rPr>
          <w:rFonts w:ascii="Arial" w:hAnsi="Arial" w:cs="Arial"/>
        </w:rPr>
        <w:t>Sorial</w:t>
      </w:r>
      <w:proofErr w:type="spellEnd"/>
      <w:r>
        <w:rPr>
          <w:rFonts w:ascii="Arial" w:hAnsi="Arial" w:cs="Arial"/>
        </w:rPr>
        <w:t>, 2019) This is something that could potentially be abused where the defendant might play on the loss of self-control to get a reduced sentence but may not be the actual case when the act was conducted. A disadvantage of this change was the gender bias that arose with the change, it lacked the understanding of how men and women react differently (</w:t>
      </w:r>
      <w:proofErr w:type="spellStart"/>
      <w:r>
        <w:rPr>
          <w:rFonts w:ascii="Arial" w:hAnsi="Arial" w:cs="Arial"/>
        </w:rPr>
        <w:t>Blockely</w:t>
      </w:r>
      <w:proofErr w:type="spellEnd"/>
      <w:r>
        <w:rPr>
          <w:rFonts w:ascii="Arial" w:hAnsi="Arial" w:cs="Arial"/>
        </w:rPr>
        <w:t>, 2014). However, by removing the immediacy principle of loss of self-control it became more accessible to abused women (</w:t>
      </w:r>
      <w:proofErr w:type="spellStart"/>
      <w:r>
        <w:rPr>
          <w:rFonts w:ascii="Arial" w:hAnsi="Arial" w:cs="Arial"/>
        </w:rPr>
        <w:t>Blockey</w:t>
      </w:r>
      <w:proofErr w:type="spellEnd"/>
      <w:r>
        <w:rPr>
          <w:rFonts w:ascii="Arial" w:hAnsi="Arial" w:cs="Arial"/>
        </w:rPr>
        <w:t xml:space="preserve">, 2014). </w:t>
      </w:r>
    </w:p>
    <w:p w14:paraId="68EDA329" w14:textId="77777777" w:rsidR="000F76AA" w:rsidRDefault="000F76AA" w:rsidP="000F76AA">
      <w:pPr>
        <w:rPr>
          <w:rFonts w:ascii="Arial" w:hAnsi="Arial" w:cs="Arial"/>
        </w:rPr>
      </w:pPr>
    </w:p>
    <w:p w14:paraId="7F9944D4" w14:textId="77777777" w:rsidR="000F76AA" w:rsidRDefault="000F76AA" w:rsidP="000F76AA">
      <w:pPr>
        <w:rPr>
          <w:rFonts w:ascii="Arial" w:hAnsi="Arial" w:cs="Arial"/>
        </w:rPr>
      </w:pPr>
    </w:p>
    <w:p w14:paraId="35F274F3" w14:textId="77777777" w:rsidR="000F76AA" w:rsidRDefault="000F76AA" w:rsidP="000F76AA">
      <w:pPr>
        <w:rPr>
          <w:rFonts w:ascii="Arial" w:hAnsi="Arial" w:cs="Arial"/>
        </w:rPr>
      </w:pPr>
      <w:r>
        <w:rPr>
          <w:rFonts w:ascii="Arial" w:hAnsi="Arial" w:cs="Arial"/>
        </w:rPr>
        <w:t xml:space="preserve">Another change that the Coroners and Justice Act Implemented is the restriction on the use of voluntary intoxication, as it was found that the mental abnormality can be a mental or behaviour disorder including substance use (Wake, 2012) however if the defendant was intoxicated by self-infliction there would be no defence of loss of control or diminished responsibility (Gibson, 2011). A case that highlights intoxication and the defence of diminished responsibility is the F v Foy case where F ingested a good amount of alcohol and cocaine before stabbing a French tourist. F was gouging at the foot with a knife and attempting to remove what he believed was a bomb and then ran towards V before stabbing him in the stomach, F was arrested and charged with murder due to his acute intoxication (Simpson, 2021). This shows that even though the defendant lost self-control and probably did not know what they were doing, the issue lay with the fact they intoxicated themselves which then resulted in getting charged for murder. However, an issue that arises with this new reform is that if the defendant is intoxicated but can prove it is a medical issue that they have to rely on alcohol, the situation is then able to satisfy the defence of diminished responsibility (Wake, 2012). This can be seen as a disadvantage as many individuals could interpret the fact, they were intoxicated on a medical condition which makes them rely on alcohol. </w:t>
      </w:r>
    </w:p>
    <w:p w14:paraId="317D528A" w14:textId="77777777" w:rsidR="000F76AA" w:rsidRDefault="000F76AA" w:rsidP="000F76AA">
      <w:pPr>
        <w:rPr>
          <w:rFonts w:ascii="Arial" w:hAnsi="Arial" w:cs="Arial"/>
        </w:rPr>
      </w:pPr>
    </w:p>
    <w:p w14:paraId="2FD43DD1" w14:textId="77777777" w:rsidR="000F76AA" w:rsidRDefault="000F76AA" w:rsidP="000F76AA">
      <w:pPr>
        <w:rPr>
          <w:rFonts w:ascii="Arial" w:hAnsi="Arial" w:cs="Arial"/>
        </w:rPr>
      </w:pPr>
    </w:p>
    <w:p w14:paraId="7C5451EA" w14:textId="77777777" w:rsidR="000F76AA" w:rsidRDefault="000F76AA" w:rsidP="000F76AA">
      <w:pPr>
        <w:rPr>
          <w:rFonts w:ascii="Arial" w:hAnsi="Arial" w:cs="Arial"/>
        </w:rPr>
      </w:pPr>
      <w:r>
        <w:rPr>
          <w:rFonts w:ascii="Arial" w:hAnsi="Arial" w:cs="Arial"/>
        </w:rPr>
        <w:t xml:space="preserve">The changes made by the Coroners and Justice Act changed the law for the better as they changed the phrasing of mental abnormality to mental functioning which then allowed the courts to focus on the mental state of the victims at the time of the act and not in the time of trail which allows a broader range of mental disorders to consider. (Gibson ,2011). Many people agree that the Coroners Justice Act (2009) changed the law for the better due to making it more fair and giving more clarity (Hodgkinson’s and </w:t>
      </w:r>
      <w:proofErr w:type="spellStart"/>
      <w:r>
        <w:rPr>
          <w:rFonts w:ascii="Arial" w:hAnsi="Arial" w:cs="Arial"/>
        </w:rPr>
        <w:t>prins</w:t>
      </w:r>
      <w:proofErr w:type="spellEnd"/>
      <w:r>
        <w:rPr>
          <w:rFonts w:ascii="Arial" w:hAnsi="Arial" w:cs="Arial"/>
        </w:rPr>
        <w:t xml:space="preserve">, 2011) However others will agree that a limitation is that the </w:t>
      </w:r>
      <w:r>
        <w:rPr>
          <w:rFonts w:ascii="Arial" w:hAnsi="Arial" w:cs="Arial"/>
        </w:rPr>
        <w:lastRenderedPageBreak/>
        <w:t xml:space="preserve">implementation of the coroner’s justice act has resulted in a real risk of inconsistent outcomes in practice (Crofts and Wake, 2021). Similarly, others may say that the changes allowed defendants to avoid a murder charge (Kesselring, 2016) which is something that was suggested when the medical conditions were considered. </w:t>
      </w:r>
    </w:p>
    <w:p w14:paraId="49D779CA" w14:textId="77777777" w:rsidR="000F76AA" w:rsidRDefault="000F76AA" w:rsidP="000F76AA">
      <w:pPr>
        <w:rPr>
          <w:rFonts w:ascii="Arial" w:hAnsi="Arial" w:cs="Arial"/>
          <w:color w:val="FF0000"/>
        </w:rPr>
      </w:pPr>
    </w:p>
    <w:p w14:paraId="6A6816EB" w14:textId="77777777" w:rsidR="000F76AA" w:rsidRDefault="000F76AA" w:rsidP="000F76AA">
      <w:pPr>
        <w:rPr>
          <w:rFonts w:ascii="Arial" w:hAnsi="Arial" w:cs="Arial"/>
          <w:color w:val="FF0000"/>
        </w:rPr>
      </w:pPr>
    </w:p>
    <w:p w14:paraId="36441BB9" w14:textId="77777777" w:rsidR="000F76AA" w:rsidRDefault="000F76AA" w:rsidP="000F76AA">
      <w:pPr>
        <w:rPr>
          <w:rFonts w:ascii="Arial" w:hAnsi="Arial" w:cs="Arial"/>
          <w:color w:val="FF0000"/>
        </w:rPr>
      </w:pPr>
    </w:p>
    <w:p w14:paraId="6DE866B0" w14:textId="77777777" w:rsidR="000F76AA" w:rsidRDefault="000F76AA" w:rsidP="000F76AA">
      <w:pPr>
        <w:rPr>
          <w:rFonts w:ascii="Arial" w:hAnsi="Arial" w:cs="Arial"/>
          <w:color w:val="FF0000"/>
        </w:rPr>
      </w:pPr>
    </w:p>
    <w:p w14:paraId="07B87004" w14:textId="77777777" w:rsidR="000F76AA" w:rsidRDefault="000F76AA" w:rsidP="000F76AA">
      <w:pPr>
        <w:rPr>
          <w:rFonts w:ascii="Arial" w:hAnsi="Arial" w:cs="Arial"/>
          <w:b/>
          <w:bCs/>
          <w:sz w:val="28"/>
          <w:szCs w:val="28"/>
          <w:u w:val="single"/>
        </w:rPr>
      </w:pPr>
      <w:r w:rsidRPr="001A6219">
        <w:rPr>
          <w:rFonts w:ascii="Arial" w:hAnsi="Arial" w:cs="Arial"/>
          <w:b/>
          <w:bCs/>
          <w:sz w:val="28"/>
          <w:szCs w:val="28"/>
          <w:u w:val="single"/>
        </w:rPr>
        <w:t>Conclusion</w:t>
      </w:r>
    </w:p>
    <w:p w14:paraId="49AE0984" w14:textId="77777777" w:rsidR="000F76AA" w:rsidRDefault="000F76AA" w:rsidP="000F76AA">
      <w:pPr>
        <w:rPr>
          <w:rFonts w:ascii="Arial" w:hAnsi="Arial" w:cs="Arial"/>
          <w:b/>
          <w:bCs/>
          <w:sz w:val="28"/>
          <w:szCs w:val="28"/>
          <w:u w:val="single"/>
        </w:rPr>
      </w:pPr>
    </w:p>
    <w:p w14:paraId="34AFF268" w14:textId="59889311" w:rsidR="000F76AA" w:rsidRPr="00B9229B" w:rsidRDefault="000F76AA" w:rsidP="000F76AA">
      <w:pPr>
        <w:rPr>
          <w:rFonts w:ascii="Arial" w:hAnsi="Arial" w:cs="Arial"/>
        </w:rPr>
      </w:pPr>
      <w:r w:rsidRPr="00B9229B">
        <w:rPr>
          <w:rFonts w:ascii="Arial" w:hAnsi="Arial" w:cs="Arial"/>
        </w:rPr>
        <w:t xml:space="preserve">In conclusion, the Coroners Justice Act (2009) made several changes to the defence of diminished responsibility including reforming the definition of diminished responsibility by changing the phrasing of mental abnormality to mental functioning (Gibson, 2011). Also, changed the defence of provocation to the defence of loss of control (Fitz- Gibbon, 2013) which reduced any gender bias or unlawful murders and it restricted voluntary intoxication (Wake, 2012) which in turn changed the law for the better giving it more clarity and fairness (Hodgkinson’s and </w:t>
      </w:r>
      <w:proofErr w:type="spellStart"/>
      <w:r w:rsidRPr="00B9229B">
        <w:rPr>
          <w:rFonts w:ascii="Arial" w:hAnsi="Arial" w:cs="Arial"/>
        </w:rPr>
        <w:t>Prins</w:t>
      </w:r>
      <w:proofErr w:type="spellEnd"/>
      <w:r w:rsidRPr="00B9229B">
        <w:rPr>
          <w:rFonts w:ascii="Arial" w:hAnsi="Arial" w:cs="Arial"/>
        </w:rPr>
        <w:t>, 2011). Therefore, the Coroners Justice Act is used to today to ensure fairness for all</w:t>
      </w:r>
      <w:r>
        <w:rPr>
          <w:rFonts w:ascii="Arial" w:hAnsi="Arial" w:cs="Arial"/>
        </w:rPr>
        <w:t xml:space="preserve"> and allows more room for justification when an act has been conducted due to the process the courts will look for including loss of control, mental </w:t>
      </w:r>
      <w:r>
        <w:rPr>
          <w:rFonts w:ascii="Arial" w:hAnsi="Arial" w:cs="Arial"/>
        </w:rPr>
        <w:t xml:space="preserve">functioning, </w:t>
      </w:r>
      <w:r>
        <w:rPr>
          <w:rFonts w:ascii="Arial" w:hAnsi="Arial" w:cs="Arial"/>
        </w:rPr>
        <w:t xml:space="preserve">and intoxication. </w:t>
      </w:r>
      <w:r>
        <w:rPr>
          <w:rFonts w:ascii="Arial" w:hAnsi="Arial" w:cs="Arial"/>
        </w:rPr>
        <w:t>The changes that were also made due to the age of the previous version because a lot of the events and crimes committed back in 1957 are also viewed differently at the modern time. These changes were also needed to ensure a better understanding of the victim’s family and to ensure they were also taken into the picture. The changes that were made are now modernised and easier to follow the framework.</w:t>
      </w:r>
    </w:p>
    <w:p w14:paraId="0D7E9E65" w14:textId="23CDC09B" w:rsidR="000F76AA" w:rsidRPr="00B9229B" w:rsidRDefault="000F76AA" w:rsidP="000F76AA">
      <w:pPr>
        <w:rPr>
          <w:color w:val="FF0000"/>
        </w:rPr>
      </w:pPr>
      <w:r>
        <w:rPr>
          <w:color w:val="FF0000"/>
        </w:rPr>
        <w:t xml:space="preserve"> </w:t>
      </w:r>
    </w:p>
    <w:p w14:paraId="4D8F4934" w14:textId="77777777" w:rsidR="000F76AA" w:rsidRDefault="000F76AA" w:rsidP="000F76AA"/>
    <w:p w14:paraId="0CF838CB" w14:textId="77777777" w:rsidR="000F76AA" w:rsidRDefault="000F76AA" w:rsidP="000F76AA"/>
    <w:p w14:paraId="29A7829D" w14:textId="77777777" w:rsidR="000F76AA" w:rsidRDefault="000F76AA" w:rsidP="000F76AA"/>
    <w:p w14:paraId="1A4A83B9" w14:textId="77777777" w:rsidR="000F76AA" w:rsidRDefault="000F76AA" w:rsidP="000F76AA"/>
    <w:p w14:paraId="37AC1D02" w14:textId="77777777" w:rsidR="000F76AA" w:rsidRDefault="000F76AA" w:rsidP="000F76AA"/>
    <w:p w14:paraId="60E1B688" w14:textId="77777777" w:rsidR="000F76AA" w:rsidRDefault="000F76AA" w:rsidP="000F76AA"/>
    <w:p w14:paraId="4E247352" w14:textId="77777777" w:rsidR="000F76AA" w:rsidRDefault="000F76AA" w:rsidP="000F76AA"/>
    <w:p w14:paraId="6768EA8D" w14:textId="77777777" w:rsidR="000F76AA" w:rsidRDefault="000F76AA" w:rsidP="000F76AA"/>
    <w:p w14:paraId="3EFB144A" w14:textId="77777777" w:rsidR="000F76AA" w:rsidRDefault="000F76AA" w:rsidP="000F76AA"/>
    <w:p w14:paraId="41463865" w14:textId="77777777" w:rsidR="000F76AA" w:rsidRDefault="000F76AA" w:rsidP="000F76AA"/>
    <w:p w14:paraId="3DEE488B" w14:textId="77777777" w:rsidR="000F76AA" w:rsidRDefault="000F76AA" w:rsidP="000F76AA"/>
    <w:p w14:paraId="7961CBC4" w14:textId="77777777" w:rsidR="000F76AA" w:rsidRDefault="000F76AA" w:rsidP="000F76AA"/>
    <w:p w14:paraId="37D32526" w14:textId="77777777" w:rsidR="000F76AA" w:rsidRDefault="000F76AA" w:rsidP="000F76AA"/>
    <w:p w14:paraId="3A4501E4" w14:textId="77777777" w:rsidR="000F76AA" w:rsidRDefault="000F76AA" w:rsidP="000F76AA"/>
    <w:p w14:paraId="04664E90" w14:textId="77777777" w:rsidR="000F76AA" w:rsidRDefault="000F76AA" w:rsidP="000F76AA"/>
    <w:p w14:paraId="63E0AFC5" w14:textId="77777777" w:rsidR="000F76AA" w:rsidRDefault="000F76AA" w:rsidP="000F76AA"/>
    <w:p w14:paraId="3DC40104" w14:textId="77777777" w:rsidR="000F76AA" w:rsidRDefault="000F76AA" w:rsidP="000F76AA"/>
    <w:p w14:paraId="2367D83D" w14:textId="77777777" w:rsidR="000F76AA" w:rsidRDefault="000F76AA" w:rsidP="000F76AA"/>
    <w:p w14:paraId="61DF5135" w14:textId="77777777" w:rsidR="000F76AA" w:rsidRPr="001A6219" w:rsidRDefault="000F76AA" w:rsidP="000F76AA">
      <w:pPr>
        <w:rPr>
          <w:u w:val="single"/>
        </w:rPr>
      </w:pPr>
    </w:p>
    <w:p w14:paraId="4F3B4F2C" w14:textId="77777777" w:rsidR="000F76AA" w:rsidRPr="001A6219" w:rsidRDefault="000F76AA" w:rsidP="000F76AA">
      <w:pPr>
        <w:rPr>
          <w:rFonts w:ascii="Arial" w:hAnsi="Arial" w:cs="Arial"/>
          <w:b/>
          <w:bCs/>
          <w:u w:val="single"/>
        </w:rPr>
      </w:pPr>
      <w:r w:rsidRPr="001A6219">
        <w:rPr>
          <w:rFonts w:ascii="Arial" w:hAnsi="Arial" w:cs="Arial"/>
          <w:b/>
          <w:bCs/>
          <w:u w:val="single"/>
        </w:rPr>
        <w:t>Reference List</w:t>
      </w:r>
    </w:p>
    <w:p w14:paraId="31591A8F" w14:textId="77777777" w:rsidR="000F76AA" w:rsidRDefault="000F76AA" w:rsidP="000F76AA">
      <w:pPr>
        <w:rPr>
          <w:u w:val="single"/>
        </w:rPr>
      </w:pPr>
    </w:p>
    <w:p w14:paraId="425CB60B" w14:textId="77777777" w:rsidR="000F76AA" w:rsidRPr="001A6219" w:rsidRDefault="000F76AA" w:rsidP="000F76AA">
      <w:pPr>
        <w:rPr>
          <w:rFonts w:ascii="Arial" w:hAnsi="Arial" w:cs="Arial"/>
          <w:color w:val="222222"/>
          <w:shd w:val="clear" w:color="auto" w:fill="FFFFFF"/>
        </w:rPr>
      </w:pPr>
    </w:p>
    <w:p w14:paraId="79C09285" w14:textId="77777777" w:rsidR="000F76AA" w:rsidRPr="000F76AA" w:rsidRDefault="000F76AA" w:rsidP="000F76AA">
      <w:pPr>
        <w:rPr>
          <w:rFonts w:cstheme="minorHAnsi"/>
          <w:color w:val="222222"/>
          <w:shd w:val="clear" w:color="auto" w:fill="FFFFFF"/>
        </w:rPr>
      </w:pPr>
      <w:proofErr w:type="spellStart"/>
      <w:r w:rsidRPr="000F76AA">
        <w:rPr>
          <w:rFonts w:cstheme="minorHAnsi"/>
          <w:color w:val="222222"/>
          <w:shd w:val="clear" w:color="auto" w:fill="FFFFFF"/>
        </w:rPr>
        <w:lastRenderedPageBreak/>
        <w:t>Blockley</w:t>
      </w:r>
      <w:proofErr w:type="spellEnd"/>
      <w:r w:rsidRPr="000F76AA">
        <w:rPr>
          <w:rFonts w:cstheme="minorHAnsi"/>
          <w:color w:val="222222"/>
          <w:shd w:val="clear" w:color="auto" w:fill="FFFFFF"/>
        </w:rPr>
        <w:t xml:space="preserve">, C.A., 2014. The Coroners and Justice Act </w:t>
      </w:r>
      <w:proofErr w:type="gramStart"/>
      <w:r w:rsidRPr="000F76AA">
        <w:rPr>
          <w:rFonts w:cstheme="minorHAnsi"/>
          <w:color w:val="222222"/>
          <w:shd w:val="clear" w:color="auto" w:fill="FFFFFF"/>
        </w:rPr>
        <w:t>2009:‘</w:t>
      </w:r>
      <w:proofErr w:type="gramEnd"/>
      <w:r w:rsidRPr="000F76AA">
        <w:rPr>
          <w:rFonts w:cstheme="minorHAnsi"/>
          <w:color w:val="222222"/>
          <w:shd w:val="clear" w:color="auto" w:fill="FFFFFF"/>
        </w:rPr>
        <w:t xml:space="preserve">(A) </w:t>
      </w:r>
      <w:proofErr w:type="spellStart"/>
      <w:r w:rsidRPr="000F76AA">
        <w:rPr>
          <w:rFonts w:cstheme="minorHAnsi"/>
          <w:color w:val="222222"/>
          <w:shd w:val="clear" w:color="auto" w:fill="FFFFFF"/>
        </w:rPr>
        <w:t>Mending’the</w:t>
      </w:r>
      <w:proofErr w:type="spellEnd"/>
      <w:r w:rsidRPr="000F76AA">
        <w:rPr>
          <w:rFonts w:cstheme="minorHAnsi"/>
          <w:color w:val="222222"/>
          <w:shd w:val="clear" w:color="auto" w:fill="FFFFFF"/>
        </w:rPr>
        <w:t xml:space="preserve"> Law on Provocation?.</w:t>
      </w:r>
    </w:p>
    <w:p w14:paraId="300831AE" w14:textId="77777777" w:rsidR="000F76AA" w:rsidRPr="000F76AA" w:rsidRDefault="000F76AA" w:rsidP="000F76AA">
      <w:pPr>
        <w:rPr>
          <w:rFonts w:cstheme="minorHAnsi"/>
          <w:color w:val="222222"/>
          <w:shd w:val="clear" w:color="auto" w:fill="FFFFFF"/>
        </w:rPr>
      </w:pPr>
    </w:p>
    <w:p w14:paraId="6BC1DFF1" w14:textId="2C395F42" w:rsidR="000F76AA" w:rsidRPr="000F76AA" w:rsidRDefault="000F76AA" w:rsidP="000F76AA">
      <w:pPr>
        <w:rPr>
          <w:rFonts w:cstheme="minorHAnsi"/>
          <w:color w:val="222222"/>
          <w:shd w:val="clear" w:color="auto" w:fill="FFFFFF"/>
        </w:rPr>
      </w:pPr>
      <w:r w:rsidRPr="000F76AA">
        <w:rPr>
          <w:rFonts w:cstheme="minorHAnsi"/>
          <w:color w:val="222222"/>
          <w:shd w:val="clear" w:color="auto" w:fill="FFFFFF"/>
        </w:rPr>
        <w:t>Clough, A., 2010. Loss of self-control as a defence: The key to replacing provocation.</w:t>
      </w:r>
      <w:r w:rsidRPr="000F76AA">
        <w:rPr>
          <w:rStyle w:val="apple-converted-space"/>
          <w:rFonts w:cstheme="minorHAnsi"/>
          <w:color w:val="222222"/>
          <w:shd w:val="clear" w:color="auto" w:fill="FFFFFF"/>
        </w:rPr>
        <w:t> </w:t>
      </w:r>
      <w:r w:rsidRPr="000F76AA">
        <w:rPr>
          <w:rFonts w:cstheme="minorHAnsi"/>
          <w:i/>
          <w:iCs/>
          <w:color w:val="222222"/>
        </w:rPr>
        <w:t>The Journal of Criminal Law</w:t>
      </w:r>
      <w:r w:rsidRPr="000F76AA">
        <w:rPr>
          <w:rFonts w:cstheme="minorHAnsi"/>
          <w:color w:val="222222"/>
          <w:shd w:val="clear" w:color="auto" w:fill="FFFFFF"/>
        </w:rPr>
        <w:t>,</w:t>
      </w:r>
      <w:r w:rsidRPr="000F76AA">
        <w:rPr>
          <w:rStyle w:val="apple-converted-space"/>
          <w:rFonts w:cstheme="minorHAnsi"/>
          <w:color w:val="222222"/>
          <w:shd w:val="clear" w:color="auto" w:fill="FFFFFF"/>
        </w:rPr>
        <w:t> </w:t>
      </w:r>
      <w:r w:rsidRPr="000F76AA">
        <w:rPr>
          <w:rFonts w:cstheme="minorHAnsi"/>
          <w:i/>
          <w:iCs/>
          <w:color w:val="222222"/>
        </w:rPr>
        <w:t>74</w:t>
      </w:r>
      <w:r w:rsidRPr="000F76AA">
        <w:rPr>
          <w:rFonts w:cstheme="minorHAnsi"/>
          <w:color w:val="222222"/>
          <w:shd w:val="clear" w:color="auto" w:fill="FFFFFF"/>
        </w:rPr>
        <w:t>(2), pp.118-126.</w:t>
      </w:r>
    </w:p>
    <w:p w14:paraId="07B9027C" w14:textId="77777777" w:rsidR="000F76AA" w:rsidRPr="000F76AA" w:rsidRDefault="000F76AA" w:rsidP="000F76AA">
      <w:pPr>
        <w:rPr>
          <w:rFonts w:cstheme="minorHAnsi"/>
          <w:color w:val="000000" w:themeColor="text1"/>
        </w:rPr>
      </w:pPr>
      <w:r w:rsidRPr="000F76AA">
        <w:rPr>
          <w:rFonts w:cstheme="minorHAnsi"/>
          <w:color w:val="000000" w:themeColor="text1"/>
          <w:sz w:val="20"/>
          <w:szCs w:val="20"/>
          <w:shd w:val="clear" w:color="auto" w:fill="FFFFFF"/>
        </w:rPr>
        <w:t xml:space="preserve">Crofts, T. and Wake, N., 2021. Diminished responsibility determinations in England and Wales and New South Wales: whose role is it </w:t>
      </w:r>
      <w:proofErr w:type="gramStart"/>
      <w:r w:rsidRPr="000F76AA">
        <w:rPr>
          <w:rFonts w:cstheme="minorHAnsi"/>
          <w:color w:val="000000" w:themeColor="text1"/>
          <w:sz w:val="20"/>
          <w:szCs w:val="20"/>
          <w:shd w:val="clear" w:color="auto" w:fill="FFFFFF"/>
        </w:rPr>
        <w:t>anyway?.</w:t>
      </w:r>
      <w:proofErr w:type="gramEnd"/>
      <w:r w:rsidRPr="000F76AA">
        <w:rPr>
          <w:rStyle w:val="apple-converted-space"/>
          <w:rFonts w:cstheme="minorHAnsi"/>
          <w:color w:val="000000" w:themeColor="text1"/>
          <w:sz w:val="20"/>
          <w:szCs w:val="20"/>
          <w:shd w:val="clear" w:color="auto" w:fill="FFFFFF"/>
        </w:rPr>
        <w:t> </w:t>
      </w:r>
      <w:r w:rsidRPr="000F76AA">
        <w:rPr>
          <w:rFonts w:cstheme="minorHAnsi"/>
          <w:i/>
          <w:iCs/>
          <w:color w:val="000000" w:themeColor="text1"/>
          <w:sz w:val="20"/>
          <w:szCs w:val="20"/>
        </w:rPr>
        <w:t>Northern Ireland Legal Quarterly</w:t>
      </w:r>
      <w:r w:rsidRPr="000F76AA">
        <w:rPr>
          <w:rFonts w:cstheme="minorHAnsi"/>
          <w:color w:val="000000" w:themeColor="text1"/>
          <w:sz w:val="20"/>
          <w:szCs w:val="20"/>
          <w:shd w:val="clear" w:color="auto" w:fill="FFFFFF"/>
        </w:rPr>
        <w:t>,</w:t>
      </w:r>
      <w:r w:rsidRPr="000F76AA">
        <w:rPr>
          <w:rStyle w:val="apple-converted-space"/>
          <w:rFonts w:cstheme="minorHAnsi"/>
          <w:color w:val="000000" w:themeColor="text1"/>
          <w:sz w:val="20"/>
          <w:szCs w:val="20"/>
          <w:shd w:val="clear" w:color="auto" w:fill="FFFFFF"/>
        </w:rPr>
        <w:t> </w:t>
      </w:r>
      <w:r w:rsidRPr="000F76AA">
        <w:rPr>
          <w:rFonts w:cstheme="minorHAnsi"/>
          <w:i/>
          <w:iCs/>
          <w:color w:val="000000" w:themeColor="text1"/>
          <w:sz w:val="20"/>
          <w:szCs w:val="20"/>
        </w:rPr>
        <w:t>72</w:t>
      </w:r>
      <w:r w:rsidRPr="000F76AA">
        <w:rPr>
          <w:rFonts w:cstheme="minorHAnsi"/>
          <w:color w:val="000000" w:themeColor="text1"/>
          <w:sz w:val="20"/>
          <w:szCs w:val="20"/>
          <w:shd w:val="clear" w:color="auto" w:fill="FFFFFF"/>
        </w:rPr>
        <w:t>(2), pp.324-362.</w:t>
      </w:r>
    </w:p>
    <w:p w14:paraId="11893010" w14:textId="77777777" w:rsidR="000F76AA" w:rsidRPr="000F76AA" w:rsidRDefault="000F76AA" w:rsidP="000F76AA">
      <w:pPr>
        <w:rPr>
          <w:rFonts w:cstheme="minorHAnsi"/>
          <w:color w:val="222222"/>
          <w:shd w:val="clear" w:color="auto" w:fill="FFFFFF"/>
        </w:rPr>
      </w:pPr>
    </w:p>
    <w:p w14:paraId="5FA1121B" w14:textId="4566BDB9" w:rsidR="000F76AA" w:rsidRPr="000F76AA" w:rsidRDefault="000F76AA" w:rsidP="000F76AA">
      <w:pPr>
        <w:rPr>
          <w:rFonts w:cstheme="minorHAnsi"/>
          <w:sz w:val="36"/>
          <w:szCs w:val="36"/>
          <w:u w:val="single"/>
        </w:rPr>
      </w:pPr>
      <w:proofErr w:type="spellStart"/>
      <w:r w:rsidRPr="000F76AA">
        <w:rPr>
          <w:rFonts w:cstheme="minorHAnsi"/>
          <w:color w:val="222222"/>
          <w:shd w:val="clear" w:color="auto" w:fill="FFFFFF"/>
        </w:rPr>
        <w:t>Doğan</w:t>
      </w:r>
      <w:proofErr w:type="spellEnd"/>
      <w:r w:rsidRPr="000F76AA">
        <w:rPr>
          <w:rFonts w:cstheme="minorHAnsi"/>
          <w:color w:val="222222"/>
          <w:shd w:val="clear" w:color="auto" w:fill="FFFFFF"/>
        </w:rPr>
        <w:t xml:space="preserve">, R., 2013. Did the Coroners and Justice Act 2009 get it right? Are all honour killings revenge </w:t>
      </w:r>
      <w:proofErr w:type="gramStart"/>
      <w:r w:rsidRPr="000F76AA">
        <w:rPr>
          <w:rFonts w:cstheme="minorHAnsi"/>
          <w:color w:val="222222"/>
          <w:shd w:val="clear" w:color="auto" w:fill="FFFFFF"/>
        </w:rPr>
        <w:t>killings?.</w:t>
      </w:r>
      <w:proofErr w:type="gramEnd"/>
      <w:r w:rsidRPr="000F76AA">
        <w:rPr>
          <w:rStyle w:val="apple-converted-space"/>
          <w:rFonts w:cstheme="minorHAnsi"/>
          <w:color w:val="222222"/>
          <w:shd w:val="clear" w:color="auto" w:fill="FFFFFF"/>
        </w:rPr>
        <w:t> </w:t>
      </w:r>
      <w:r w:rsidRPr="000F76AA">
        <w:rPr>
          <w:rFonts w:cstheme="minorHAnsi"/>
          <w:i/>
          <w:iCs/>
          <w:color w:val="222222"/>
        </w:rPr>
        <w:t>Punishment &amp; society</w:t>
      </w:r>
      <w:r w:rsidRPr="000F76AA">
        <w:rPr>
          <w:rFonts w:cstheme="minorHAnsi"/>
          <w:color w:val="222222"/>
          <w:shd w:val="clear" w:color="auto" w:fill="FFFFFF"/>
        </w:rPr>
        <w:t>,</w:t>
      </w:r>
      <w:r w:rsidRPr="000F76AA">
        <w:rPr>
          <w:rStyle w:val="apple-converted-space"/>
          <w:rFonts w:cstheme="minorHAnsi"/>
          <w:color w:val="222222"/>
          <w:shd w:val="clear" w:color="auto" w:fill="FFFFFF"/>
        </w:rPr>
        <w:t> </w:t>
      </w:r>
      <w:r w:rsidRPr="000F76AA">
        <w:rPr>
          <w:rFonts w:cstheme="minorHAnsi"/>
          <w:i/>
          <w:iCs/>
          <w:color w:val="222222"/>
        </w:rPr>
        <w:t>15</w:t>
      </w:r>
      <w:r w:rsidRPr="000F76AA">
        <w:rPr>
          <w:rFonts w:cstheme="minorHAnsi"/>
          <w:color w:val="222222"/>
          <w:shd w:val="clear" w:color="auto" w:fill="FFFFFF"/>
        </w:rPr>
        <w:t>(5), pp.488-514.</w:t>
      </w:r>
    </w:p>
    <w:p w14:paraId="08DB5FCB" w14:textId="77777777" w:rsidR="000F76AA" w:rsidRPr="000F76AA" w:rsidRDefault="000F76AA" w:rsidP="000F76AA">
      <w:pPr>
        <w:rPr>
          <w:rFonts w:cstheme="minorHAnsi"/>
          <w:color w:val="222222"/>
          <w:shd w:val="clear" w:color="auto" w:fill="FFFFFF"/>
        </w:rPr>
      </w:pPr>
    </w:p>
    <w:p w14:paraId="41408574" w14:textId="57057EB9" w:rsidR="000F76AA" w:rsidRPr="000F76AA" w:rsidRDefault="000F76AA" w:rsidP="000F76AA">
      <w:pPr>
        <w:rPr>
          <w:rFonts w:cstheme="minorHAnsi"/>
          <w:color w:val="222222"/>
          <w:shd w:val="clear" w:color="auto" w:fill="FFFFFF"/>
        </w:rPr>
      </w:pPr>
      <w:proofErr w:type="gramStart"/>
      <w:r w:rsidRPr="000F76AA">
        <w:rPr>
          <w:rFonts w:cstheme="minorHAnsi"/>
          <w:color w:val="222222"/>
          <w:shd w:val="clear" w:color="auto" w:fill="FFFFFF"/>
        </w:rPr>
        <w:t>Fitz‐Gibbon</w:t>
      </w:r>
      <w:proofErr w:type="gramEnd"/>
      <w:r w:rsidRPr="000F76AA">
        <w:rPr>
          <w:rFonts w:cstheme="minorHAnsi"/>
          <w:color w:val="222222"/>
          <w:shd w:val="clear" w:color="auto" w:fill="FFFFFF"/>
        </w:rPr>
        <w:t>, K., 2013. Replacing provocation in England and Wales: Examining the partial defence of loss of control.</w:t>
      </w:r>
      <w:r w:rsidRPr="000F76AA">
        <w:rPr>
          <w:rStyle w:val="apple-converted-space"/>
          <w:rFonts w:cstheme="minorHAnsi"/>
          <w:color w:val="222222"/>
          <w:shd w:val="clear" w:color="auto" w:fill="FFFFFF"/>
        </w:rPr>
        <w:t> </w:t>
      </w:r>
      <w:r w:rsidRPr="000F76AA">
        <w:rPr>
          <w:rFonts w:cstheme="minorHAnsi"/>
          <w:i/>
          <w:iCs/>
          <w:color w:val="222222"/>
        </w:rPr>
        <w:t>Journal of Law and Society</w:t>
      </w:r>
      <w:r w:rsidRPr="000F76AA">
        <w:rPr>
          <w:rFonts w:cstheme="minorHAnsi"/>
          <w:color w:val="222222"/>
          <w:shd w:val="clear" w:color="auto" w:fill="FFFFFF"/>
        </w:rPr>
        <w:t>,</w:t>
      </w:r>
      <w:r w:rsidRPr="000F76AA">
        <w:rPr>
          <w:rStyle w:val="apple-converted-space"/>
          <w:rFonts w:cstheme="minorHAnsi"/>
          <w:color w:val="222222"/>
          <w:shd w:val="clear" w:color="auto" w:fill="FFFFFF"/>
        </w:rPr>
        <w:t> </w:t>
      </w:r>
      <w:r w:rsidRPr="000F76AA">
        <w:rPr>
          <w:rFonts w:cstheme="minorHAnsi"/>
          <w:i/>
          <w:iCs/>
          <w:color w:val="222222"/>
        </w:rPr>
        <w:t>40</w:t>
      </w:r>
      <w:r w:rsidRPr="000F76AA">
        <w:rPr>
          <w:rFonts w:cstheme="minorHAnsi"/>
          <w:color w:val="222222"/>
          <w:shd w:val="clear" w:color="auto" w:fill="FFFFFF"/>
        </w:rPr>
        <w:t>(2), pp.280-305.</w:t>
      </w:r>
    </w:p>
    <w:p w14:paraId="2B808D75" w14:textId="77777777" w:rsidR="000F76AA" w:rsidRPr="000F76AA" w:rsidRDefault="000F76AA" w:rsidP="000F76AA">
      <w:pPr>
        <w:rPr>
          <w:rFonts w:cstheme="minorHAnsi"/>
          <w:color w:val="222222"/>
          <w:shd w:val="clear" w:color="auto" w:fill="FFFFFF"/>
        </w:rPr>
      </w:pPr>
    </w:p>
    <w:p w14:paraId="634C7F57" w14:textId="62F6A764" w:rsidR="000F76AA" w:rsidRPr="000F76AA" w:rsidRDefault="000F76AA" w:rsidP="000F76AA">
      <w:pPr>
        <w:rPr>
          <w:rFonts w:cstheme="minorHAnsi"/>
          <w:sz w:val="48"/>
          <w:szCs w:val="48"/>
          <w:u w:val="single"/>
        </w:rPr>
      </w:pPr>
      <w:r w:rsidRPr="000F76AA">
        <w:rPr>
          <w:rFonts w:cstheme="minorHAnsi"/>
          <w:color w:val="222222"/>
          <w:shd w:val="clear" w:color="auto" w:fill="FFFFFF"/>
        </w:rPr>
        <w:t>Gibson, M., 2011. Intoxicants and diminished responsibility: the impact of the Coroners and Justice Act 2009.</w:t>
      </w:r>
      <w:r w:rsidRPr="000F76AA">
        <w:rPr>
          <w:rStyle w:val="apple-converted-space"/>
          <w:rFonts w:cstheme="minorHAnsi"/>
          <w:color w:val="222222"/>
          <w:shd w:val="clear" w:color="auto" w:fill="FFFFFF"/>
        </w:rPr>
        <w:t> </w:t>
      </w:r>
      <w:r w:rsidRPr="000F76AA">
        <w:rPr>
          <w:rFonts w:cstheme="minorHAnsi"/>
          <w:i/>
          <w:iCs/>
          <w:color w:val="222222"/>
        </w:rPr>
        <w:t>Crim LR</w:t>
      </w:r>
      <w:r w:rsidRPr="000F76AA">
        <w:rPr>
          <w:rFonts w:cstheme="minorHAnsi"/>
          <w:color w:val="222222"/>
          <w:shd w:val="clear" w:color="auto" w:fill="FFFFFF"/>
        </w:rPr>
        <w:t>, p.909.</w:t>
      </w:r>
    </w:p>
    <w:p w14:paraId="38478CB5" w14:textId="77777777" w:rsidR="000F76AA" w:rsidRPr="000F76AA" w:rsidRDefault="000F76AA" w:rsidP="000F76AA">
      <w:pPr>
        <w:rPr>
          <w:rFonts w:cstheme="minorHAnsi"/>
          <w:color w:val="3A3A3A"/>
          <w:shd w:val="clear" w:color="auto" w:fill="FFFFFF"/>
        </w:rPr>
      </w:pPr>
    </w:p>
    <w:p w14:paraId="08BE2265" w14:textId="7DBF8B14" w:rsidR="000F76AA" w:rsidRPr="000F76AA" w:rsidRDefault="000F76AA" w:rsidP="000F76AA">
      <w:pPr>
        <w:rPr>
          <w:rFonts w:cstheme="minorHAnsi"/>
          <w:color w:val="3A3A3A"/>
          <w:sz w:val="23"/>
          <w:szCs w:val="23"/>
          <w:shd w:val="clear" w:color="auto" w:fill="FFFFFF"/>
        </w:rPr>
      </w:pPr>
      <w:r w:rsidRPr="000F76AA">
        <w:rPr>
          <w:rFonts w:cstheme="minorHAnsi"/>
          <w:color w:val="3A3A3A"/>
          <w:shd w:val="clear" w:color="auto" w:fill="FFFFFF"/>
        </w:rPr>
        <w:t xml:space="preserve">Hodgkinson, S. and </w:t>
      </w:r>
      <w:proofErr w:type="spellStart"/>
      <w:r w:rsidRPr="000F76AA">
        <w:rPr>
          <w:rFonts w:cstheme="minorHAnsi"/>
          <w:color w:val="3A3A3A"/>
          <w:shd w:val="clear" w:color="auto" w:fill="FFFFFF"/>
        </w:rPr>
        <w:t>Prins</w:t>
      </w:r>
      <w:proofErr w:type="spellEnd"/>
      <w:r w:rsidRPr="000F76AA">
        <w:rPr>
          <w:rFonts w:cstheme="minorHAnsi"/>
          <w:color w:val="3A3A3A"/>
          <w:shd w:val="clear" w:color="auto" w:fill="FFFFFF"/>
        </w:rPr>
        <w:t>, H. (2011) ‘Homicide law reform: Coke v Bumble – revisited and reassessed’,</w:t>
      </w:r>
      <w:r w:rsidRPr="000F76AA">
        <w:rPr>
          <w:rStyle w:val="apple-converted-space"/>
          <w:rFonts w:cstheme="minorHAnsi"/>
          <w:color w:val="3A3A3A"/>
          <w:shd w:val="clear" w:color="auto" w:fill="FFFFFF"/>
        </w:rPr>
        <w:t> </w:t>
      </w:r>
      <w:r w:rsidRPr="000F76AA">
        <w:rPr>
          <w:rFonts w:cstheme="minorHAnsi"/>
          <w:i/>
          <w:iCs/>
          <w:color w:val="3A3A3A"/>
        </w:rPr>
        <w:t xml:space="preserve">Medicine, </w:t>
      </w:r>
      <w:proofErr w:type="gramStart"/>
      <w:r w:rsidRPr="000F76AA">
        <w:rPr>
          <w:rFonts w:cstheme="minorHAnsi"/>
          <w:i/>
          <w:iCs/>
          <w:color w:val="3A3A3A"/>
        </w:rPr>
        <w:t>Science</w:t>
      </w:r>
      <w:proofErr w:type="gramEnd"/>
      <w:r w:rsidRPr="000F76AA">
        <w:rPr>
          <w:rFonts w:cstheme="minorHAnsi"/>
          <w:i/>
          <w:iCs/>
          <w:color w:val="3A3A3A"/>
        </w:rPr>
        <w:t xml:space="preserve"> and the Law</w:t>
      </w:r>
      <w:r w:rsidRPr="000F76AA">
        <w:rPr>
          <w:rFonts w:cstheme="minorHAnsi"/>
          <w:color w:val="3A3A3A"/>
          <w:shd w:val="clear" w:color="auto" w:fill="FFFFFF"/>
        </w:rPr>
        <w:t xml:space="preserve">, 51(4), pp. 195–202. Available at: </w:t>
      </w:r>
      <w:hyperlink r:id="rId4" w:history="1">
        <w:r w:rsidRPr="000F76AA">
          <w:rPr>
            <w:rStyle w:val="Hyperlink"/>
            <w:rFonts w:cstheme="minorHAnsi"/>
            <w:shd w:val="clear" w:color="auto" w:fill="FFFFFF"/>
          </w:rPr>
          <w:t>https://doi.org/10.1258/msl.2011.010102</w:t>
        </w:r>
      </w:hyperlink>
      <w:r w:rsidRPr="000F76AA">
        <w:rPr>
          <w:rFonts w:cstheme="minorHAnsi"/>
          <w:color w:val="3A3A3A"/>
          <w:sz w:val="23"/>
          <w:szCs w:val="23"/>
          <w:shd w:val="clear" w:color="auto" w:fill="FFFFFF"/>
        </w:rPr>
        <w:t>.</w:t>
      </w:r>
    </w:p>
    <w:p w14:paraId="5A22E830" w14:textId="77777777" w:rsidR="000F76AA" w:rsidRPr="000F76AA" w:rsidRDefault="000F76AA" w:rsidP="000F76AA">
      <w:pPr>
        <w:rPr>
          <w:rFonts w:cstheme="minorHAnsi"/>
          <w:color w:val="3A3A3A"/>
          <w:sz w:val="23"/>
          <w:szCs w:val="23"/>
          <w:shd w:val="clear" w:color="auto" w:fill="FFFFFF"/>
        </w:rPr>
      </w:pPr>
    </w:p>
    <w:p w14:paraId="013A44DA" w14:textId="2BEDBAC5" w:rsidR="000F76AA" w:rsidRPr="000F76AA" w:rsidRDefault="000F76AA" w:rsidP="000F76AA">
      <w:pPr>
        <w:rPr>
          <w:rFonts w:cstheme="minorHAnsi"/>
          <w:color w:val="3A3A3A"/>
          <w:sz w:val="23"/>
          <w:szCs w:val="23"/>
          <w:shd w:val="clear" w:color="auto" w:fill="FFFFFF"/>
        </w:rPr>
      </w:pPr>
      <w:proofErr w:type="spellStart"/>
      <w:r w:rsidRPr="000F76AA">
        <w:rPr>
          <w:rFonts w:cstheme="minorHAnsi"/>
          <w:color w:val="3A3A3A"/>
          <w:sz w:val="23"/>
          <w:szCs w:val="23"/>
          <w:shd w:val="clear" w:color="auto" w:fill="FFFFFF"/>
        </w:rPr>
        <w:t>Horder</w:t>
      </w:r>
      <w:proofErr w:type="spellEnd"/>
      <w:r w:rsidRPr="000F76AA">
        <w:rPr>
          <w:rFonts w:cstheme="minorHAnsi"/>
          <w:color w:val="3A3A3A"/>
          <w:sz w:val="23"/>
          <w:szCs w:val="23"/>
          <w:shd w:val="clear" w:color="auto" w:fill="FFFFFF"/>
        </w:rPr>
        <w:t xml:space="preserve">, J. and </w:t>
      </w:r>
      <w:proofErr w:type="gramStart"/>
      <w:r w:rsidRPr="000F76AA">
        <w:rPr>
          <w:rFonts w:cstheme="minorHAnsi"/>
          <w:color w:val="3A3A3A"/>
          <w:sz w:val="23"/>
          <w:szCs w:val="23"/>
          <w:shd w:val="clear" w:color="auto" w:fill="FFFFFF"/>
        </w:rPr>
        <w:t>Fitz-Gibbon</w:t>
      </w:r>
      <w:proofErr w:type="gramEnd"/>
      <w:r w:rsidRPr="000F76AA">
        <w:rPr>
          <w:rFonts w:cstheme="minorHAnsi"/>
          <w:color w:val="3A3A3A"/>
          <w:sz w:val="23"/>
          <w:szCs w:val="23"/>
          <w:shd w:val="clear" w:color="auto" w:fill="FFFFFF"/>
        </w:rPr>
        <w:t>, K. (2015) ‘WHEN SEXUAL INFIDELITY TRIGGERS MURDER: EXAMINING THE IMPACT OF HOMICIDE LAW REFORM ON JUDICIAL ATTITUDES IN SENTENCING’,</w:t>
      </w:r>
      <w:r w:rsidRPr="000F76AA">
        <w:rPr>
          <w:rStyle w:val="apple-converted-space"/>
          <w:rFonts w:cstheme="minorHAnsi"/>
          <w:color w:val="3A3A3A"/>
          <w:sz w:val="23"/>
          <w:szCs w:val="23"/>
          <w:shd w:val="clear" w:color="auto" w:fill="FFFFFF"/>
        </w:rPr>
        <w:t> </w:t>
      </w:r>
      <w:r w:rsidRPr="000F76AA">
        <w:rPr>
          <w:rFonts w:cstheme="minorHAnsi"/>
          <w:i/>
          <w:iCs/>
          <w:color w:val="3A3A3A"/>
          <w:sz w:val="23"/>
          <w:szCs w:val="23"/>
        </w:rPr>
        <w:t>Cambridge law journal</w:t>
      </w:r>
      <w:r w:rsidRPr="000F76AA">
        <w:rPr>
          <w:rFonts w:cstheme="minorHAnsi"/>
          <w:color w:val="3A3A3A"/>
          <w:sz w:val="23"/>
          <w:szCs w:val="23"/>
          <w:shd w:val="clear" w:color="auto" w:fill="FFFFFF"/>
        </w:rPr>
        <w:t xml:space="preserve">, 74(2), pp. 307–328. Available at: </w:t>
      </w:r>
      <w:hyperlink r:id="rId5" w:history="1">
        <w:r w:rsidRPr="000F76AA">
          <w:rPr>
            <w:rStyle w:val="Hyperlink"/>
            <w:rFonts w:cstheme="minorHAnsi"/>
            <w:sz w:val="23"/>
            <w:szCs w:val="23"/>
            <w:shd w:val="clear" w:color="auto" w:fill="FFFFFF"/>
          </w:rPr>
          <w:t>https://doi.org/10.1017/S0008197315000318</w:t>
        </w:r>
      </w:hyperlink>
      <w:r w:rsidRPr="000F76AA">
        <w:rPr>
          <w:rFonts w:cstheme="minorHAnsi"/>
          <w:color w:val="3A3A3A"/>
          <w:sz w:val="23"/>
          <w:szCs w:val="23"/>
          <w:shd w:val="clear" w:color="auto" w:fill="FFFFFF"/>
        </w:rPr>
        <w:t>.</w:t>
      </w:r>
    </w:p>
    <w:p w14:paraId="1040FEFB" w14:textId="77777777" w:rsidR="000F76AA" w:rsidRPr="000F76AA" w:rsidRDefault="000F76AA" w:rsidP="000F76AA">
      <w:pPr>
        <w:rPr>
          <w:rFonts w:cstheme="minorHAnsi"/>
          <w:color w:val="222222"/>
          <w:shd w:val="clear" w:color="auto" w:fill="FFFFFF"/>
        </w:rPr>
      </w:pPr>
    </w:p>
    <w:p w14:paraId="33700F9A" w14:textId="0832645D" w:rsidR="000F76AA" w:rsidRPr="000F76AA" w:rsidRDefault="000F76AA" w:rsidP="000F76AA">
      <w:pPr>
        <w:rPr>
          <w:rFonts w:cstheme="minorHAnsi"/>
          <w:color w:val="222222"/>
          <w:shd w:val="clear" w:color="auto" w:fill="FFFFFF"/>
        </w:rPr>
      </w:pPr>
      <w:proofErr w:type="spellStart"/>
      <w:r w:rsidRPr="000F76AA">
        <w:rPr>
          <w:rFonts w:cstheme="minorHAnsi"/>
          <w:color w:val="222222"/>
          <w:shd w:val="clear" w:color="auto" w:fill="FFFFFF"/>
        </w:rPr>
        <w:t>Kennefick</w:t>
      </w:r>
      <w:proofErr w:type="spellEnd"/>
      <w:r w:rsidRPr="000F76AA">
        <w:rPr>
          <w:rFonts w:cstheme="minorHAnsi"/>
          <w:color w:val="222222"/>
          <w:shd w:val="clear" w:color="auto" w:fill="FFFFFF"/>
        </w:rPr>
        <w:t>, L., 2011. Introducing a new diminished responsibility defence for England and Wales.</w:t>
      </w:r>
      <w:r w:rsidRPr="000F76AA">
        <w:rPr>
          <w:rStyle w:val="apple-converted-space"/>
          <w:rFonts w:cstheme="minorHAnsi"/>
          <w:color w:val="222222"/>
          <w:shd w:val="clear" w:color="auto" w:fill="FFFFFF"/>
        </w:rPr>
        <w:t> </w:t>
      </w:r>
      <w:r w:rsidRPr="000F76AA">
        <w:rPr>
          <w:rFonts w:cstheme="minorHAnsi"/>
          <w:i/>
          <w:iCs/>
          <w:color w:val="222222"/>
        </w:rPr>
        <w:t>The Modern Law Review</w:t>
      </w:r>
      <w:r w:rsidRPr="000F76AA">
        <w:rPr>
          <w:rFonts w:cstheme="minorHAnsi"/>
          <w:color w:val="222222"/>
          <w:shd w:val="clear" w:color="auto" w:fill="FFFFFF"/>
        </w:rPr>
        <w:t>,</w:t>
      </w:r>
      <w:r w:rsidRPr="000F76AA">
        <w:rPr>
          <w:rStyle w:val="apple-converted-space"/>
          <w:rFonts w:cstheme="minorHAnsi"/>
          <w:color w:val="222222"/>
          <w:shd w:val="clear" w:color="auto" w:fill="FFFFFF"/>
        </w:rPr>
        <w:t> </w:t>
      </w:r>
      <w:r w:rsidRPr="000F76AA">
        <w:rPr>
          <w:rFonts w:cstheme="minorHAnsi"/>
          <w:i/>
          <w:iCs/>
          <w:color w:val="222222"/>
        </w:rPr>
        <w:t>74</w:t>
      </w:r>
      <w:r w:rsidRPr="000F76AA">
        <w:rPr>
          <w:rFonts w:cstheme="minorHAnsi"/>
          <w:color w:val="222222"/>
          <w:shd w:val="clear" w:color="auto" w:fill="FFFFFF"/>
        </w:rPr>
        <w:t>(5), pp.750-766</w:t>
      </w:r>
    </w:p>
    <w:p w14:paraId="37B4C238" w14:textId="77777777" w:rsidR="000F76AA" w:rsidRPr="000F76AA" w:rsidRDefault="000F76AA" w:rsidP="000F76AA">
      <w:pPr>
        <w:rPr>
          <w:rFonts w:cstheme="minorHAnsi"/>
          <w:color w:val="222222"/>
          <w:shd w:val="clear" w:color="auto" w:fill="FFFFFF"/>
        </w:rPr>
      </w:pPr>
    </w:p>
    <w:p w14:paraId="6D134775" w14:textId="2882A9B1" w:rsidR="000F76AA" w:rsidRPr="000F76AA" w:rsidRDefault="000F76AA" w:rsidP="000F76AA">
      <w:pPr>
        <w:rPr>
          <w:rFonts w:cstheme="minorHAnsi"/>
          <w:color w:val="222222"/>
          <w:sz w:val="160"/>
          <w:szCs w:val="160"/>
          <w:shd w:val="clear" w:color="auto" w:fill="FFFFFF"/>
        </w:rPr>
      </w:pPr>
      <w:r w:rsidRPr="000F76AA">
        <w:rPr>
          <w:rFonts w:cstheme="minorHAnsi"/>
          <w:color w:val="222222"/>
          <w:shd w:val="clear" w:color="auto" w:fill="FFFFFF"/>
        </w:rPr>
        <w:t>Kesselring, K.J., 2016. No greater provocation? Adultery and the mitigation of murder in English law.</w:t>
      </w:r>
      <w:r w:rsidRPr="000F76AA">
        <w:rPr>
          <w:rStyle w:val="apple-converted-space"/>
          <w:rFonts w:cstheme="minorHAnsi"/>
          <w:color w:val="222222"/>
          <w:shd w:val="clear" w:color="auto" w:fill="FFFFFF"/>
        </w:rPr>
        <w:t> </w:t>
      </w:r>
      <w:r w:rsidRPr="000F76AA">
        <w:rPr>
          <w:rFonts w:cstheme="minorHAnsi"/>
          <w:i/>
          <w:iCs/>
          <w:color w:val="222222"/>
        </w:rPr>
        <w:t>Law and History Review</w:t>
      </w:r>
      <w:r w:rsidRPr="000F76AA">
        <w:rPr>
          <w:rFonts w:cstheme="minorHAnsi"/>
          <w:color w:val="222222"/>
          <w:shd w:val="clear" w:color="auto" w:fill="FFFFFF"/>
        </w:rPr>
        <w:t>,</w:t>
      </w:r>
      <w:r w:rsidRPr="000F76AA">
        <w:rPr>
          <w:rStyle w:val="apple-converted-space"/>
          <w:rFonts w:cstheme="minorHAnsi"/>
          <w:color w:val="222222"/>
          <w:shd w:val="clear" w:color="auto" w:fill="FFFFFF"/>
        </w:rPr>
        <w:t> </w:t>
      </w:r>
      <w:r w:rsidRPr="000F76AA">
        <w:rPr>
          <w:rFonts w:cstheme="minorHAnsi"/>
          <w:i/>
          <w:iCs/>
          <w:color w:val="222222"/>
        </w:rPr>
        <w:t>34</w:t>
      </w:r>
      <w:r w:rsidRPr="000F76AA">
        <w:rPr>
          <w:rFonts w:cstheme="minorHAnsi"/>
          <w:color w:val="222222"/>
          <w:shd w:val="clear" w:color="auto" w:fill="FFFFFF"/>
        </w:rPr>
        <w:t>(1), pp.199-225.</w:t>
      </w:r>
    </w:p>
    <w:p w14:paraId="0570C868" w14:textId="77777777" w:rsidR="000F76AA" w:rsidRPr="000F76AA" w:rsidRDefault="000F76AA" w:rsidP="000F76AA">
      <w:pPr>
        <w:rPr>
          <w:rFonts w:cstheme="minorHAnsi"/>
          <w:color w:val="222222"/>
          <w:shd w:val="clear" w:color="auto" w:fill="FFFFFF"/>
        </w:rPr>
      </w:pPr>
    </w:p>
    <w:p w14:paraId="17A947E8" w14:textId="2C8BACCC" w:rsidR="000F76AA" w:rsidRPr="000F76AA" w:rsidRDefault="000F76AA" w:rsidP="000F76AA">
      <w:pPr>
        <w:rPr>
          <w:rFonts w:cstheme="minorHAnsi"/>
          <w:color w:val="3A3A3A"/>
          <w:sz w:val="32"/>
          <w:szCs w:val="32"/>
          <w:shd w:val="clear" w:color="auto" w:fill="FFFFFF"/>
        </w:rPr>
      </w:pPr>
      <w:r w:rsidRPr="000F76AA">
        <w:rPr>
          <w:rFonts w:cstheme="minorHAnsi"/>
          <w:color w:val="222222"/>
          <w:shd w:val="clear" w:color="auto" w:fill="FFFFFF"/>
        </w:rPr>
        <w:t xml:space="preserve">Mackay, </w:t>
      </w:r>
      <w:proofErr w:type="gramStart"/>
      <w:r w:rsidRPr="000F76AA">
        <w:rPr>
          <w:rFonts w:cstheme="minorHAnsi"/>
          <w:color w:val="222222"/>
          <w:shd w:val="clear" w:color="auto" w:fill="FFFFFF"/>
        </w:rPr>
        <w:t>R.</w:t>
      </w:r>
      <w:proofErr w:type="gramEnd"/>
      <w:r w:rsidRPr="000F76AA">
        <w:rPr>
          <w:rFonts w:cstheme="minorHAnsi"/>
          <w:color w:val="222222"/>
          <w:shd w:val="clear" w:color="auto" w:fill="FFFFFF"/>
        </w:rPr>
        <w:t xml:space="preserve"> and Mitchell, B.J., 2017. The new diminished responsibility plea in operation-some initial findings.</w:t>
      </w:r>
    </w:p>
    <w:p w14:paraId="6A39EDB2" w14:textId="77777777" w:rsidR="000F76AA" w:rsidRPr="000F76AA" w:rsidRDefault="000F76AA" w:rsidP="000F76AA">
      <w:pPr>
        <w:rPr>
          <w:rFonts w:cstheme="minorHAnsi"/>
          <w:color w:val="222222"/>
          <w:shd w:val="clear" w:color="auto" w:fill="FFFFFF"/>
        </w:rPr>
      </w:pPr>
    </w:p>
    <w:p w14:paraId="54385CD5" w14:textId="52C4FD65" w:rsidR="000F76AA" w:rsidRPr="000F76AA" w:rsidRDefault="000F76AA" w:rsidP="000F76AA">
      <w:pPr>
        <w:rPr>
          <w:rFonts w:cstheme="minorHAnsi"/>
          <w:color w:val="222222"/>
          <w:shd w:val="clear" w:color="auto" w:fill="FFFFFF"/>
        </w:rPr>
      </w:pPr>
      <w:r w:rsidRPr="000F76AA">
        <w:rPr>
          <w:rFonts w:cstheme="minorHAnsi"/>
          <w:color w:val="222222"/>
          <w:shd w:val="clear" w:color="auto" w:fill="FFFFFF"/>
        </w:rPr>
        <w:t>Powell, J., 2015.</w:t>
      </w:r>
      <w:r w:rsidRPr="000F76AA">
        <w:rPr>
          <w:rStyle w:val="apple-converted-space"/>
          <w:rFonts w:cstheme="minorHAnsi"/>
          <w:color w:val="222222"/>
          <w:shd w:val="clear" w:color="auto" w:fill="FFFFFF"/>
        </w:rPr>
        <w:t> </w:t>
      </w:r>
      <w:r w:rsidRPr="000F76AA">
        <w:rPr>
          <w:rFonts w:cstheme="minorHAnsi"/>
          <w:i/>
          <w:iCs/>
          <w:color w:val="222222"/>
        </w:rPr>
        <w:t>Excessive warranted emotional killing: proposing a new partial defence following an evaluation of the Coroners and Justice Act 2009 reform</w:t>
      </w:r>
      <w:r w:rsidRPr="000F76AA">
        <w:rPr>
          <w:rStyle w:val="apple-converted-space"/>
          <w:rFonts w:cstheme="minorHAnsi"/>
          <w:color w:val="222222"/>
          <w:shd w:val="clear" w:color="auto" w:fill="FFFFFF"/>
        </w:rPr>
        <w:t> </w:t>
      </w:r>
      <w:r w:rsidRPr="000F76AA">
        <w:rPr>
          <w:rFonts w:cstheme="minorHAnsi"/>
          <w:color w:val="222222"/>
          <w:shd w:val="clear" w:color="auto" w:fill="FFFFFF"/>
        </w:rPr>
        <w:t>(Doctoral dissertation, University of Birmingham).</w:t>
      </w:r>
    </w:p>
    <w:p w14:paraId="583242BC" w14:textId="77777777" w:rsidR="000F76AA" w:rsidRPr="000F76AA" w:rsidRDefault="000F76AA" w:rsidP="000F76AA">
      <w:pPr>
        <w:rPr>
          <w:rFonts w:cstheme="minorHAnsi"/>
          <w:color w:val="3A3A3A"/>
          <w:shd w:val="clear" w:color="auto" w:fill="FFFFFF"/>
        </w:rPr>
      </w:pPr>
    </w:p>
    <w:p w14:paraId="114E3125" w14:textId="4B60B5FB" w:rsidR="000F76AA" w:rsidRPr="000F76AA" w:rsidRDefault="000F76AA" w:rsidP="000F76AA">
      <w:pPr>
        <w:rPr>
          <w:rFonts w:cstheme="minorHAnsi"/>
          <w:color w:val="3A3A3A"/>
          <w:shd w:val="clear" w:color="auto" w:fill="FFFFFF"/>
        </w:rPr>
      </w:pPr>
      <w:r w:rsidRPr="000F76AA">
        <w:rPr>
          <w:rFonts w:cstheme="minorHAnsi"/>
          <w:color w:val="3A3A3A"/>
          <w:shd w:val="clear" w:color="auto" w:fill="FFFFFF"/>
        </w:rPr>
        <w:t>Rogers, J. (2015) ‘THE AMENDED DIMINISHED RESPONSIBILITY PLEA’,</w:t>
      </w:r>
      <w:r w:rsidRPr="000F76AA">
        <w:rPr>
          <w:rStyle w:val="apple-converted-space"/>
          <w:rFonts w:cstheme="minorHAnsi"/>
          <w:color w:val="3A3A3A"/>
          <w:shd w:val="clear" w:color="auto" w:fill="FFFFFF"/>
        </w:rPr>
        <w:t> </w:t>
      </w:r>
      <w:r w:rsidRPr="000F76AA">
        <w:rPr>
          <w:rFonts w:cstheme="minorHAnsi"/>
          <w:i/>
          <w:iCs/>
          <w:color w:val="3A3A3A"/>
        </w:rPr>
        <w:t>Cambridge law journal</w:t>
      </w:r>
      <w:r w:rsidRPr="000F76AA">
        <w:rPr>
          <w:rFonts w:cstheme="minorHAnsi"/>
          <w:color w:val="3A3A3A"/>
          <w:shd w:val="clear" w:color="auto" w:fill="FFFFFF"/>
        </w:rPr>
        <w:t xml:space="preserve">, 74(2), pp. 201–205. Available at: </w:t>
      </w:r>
      <w:hyperlink r:id="rId6" w:history="1">
        <w:r w:rsidRPr="000F76AA">
          <w:rPr>
            <w:rStyle w:val="Hyperlink"/>
            <w:rFonts w:cstheme="minorHAnsi"/>
            <w:shd w:val="clear" w:color="auto" w:fill="FFFFFF"/>
          </w:rPr>
          <w:t>https://doi.org/10.1017/S0008197315000501</w:t>
        </w:r>
      </w:hyperlink>
      <w:r w:rsidRPr="000F76AA">
        <w:rPr>
          <w:rFonts w:cstheme="minorHAnsi"/>
          <w:color w:val="3A3A3A"/>
          <w:shd w:val="clear" w:color="auto" w:fill="FFFFFF"/>
        </w:rPr>
        <w:t>.</w:t>
      </w:r>
    </w:p>
    <w:p w14:paraId="2C6E1DF3" w14:textId="77777777" w:rsidR="000F76AA" w:rsidRPr="000F76AA" w:rsidRDefault="000F76AA" w:rsidP="000F76AA">
      <w:pPr>
        <w:rPr>
          <w:rFonts w:cstheme="minorHAnsi"/>
          <w:color w:val="222222"/>
          <w:shd w:val="clear" w:color="auto" w:fill="FFFFFF"/>
        </w:rPr>
      </w:pPr>
    </w:p>
    <w:p w14:paraId="7FC02324" w14:textId="1B371D5C" w:rsidR="000F76AA" w:rsidRPr="000F76AA" w:rsidRDefault="000F76AA" w:rsidP="000F76AA">
      <w:pPr>
        <w:rPr>
          <w:rFonts w:cstheme="minorHAnsi"/>
          <w:color w:val="222222"/>
          <w:shd w:val="clear" w:color="auto" w:fill="FFFFFF"/>
        </w:rPr>
      </w:pPr>
      <w:r w:rsidRPr="000F76AA">
        <w:rPr>
          <w:rFonts w:cstheme="minorHAnsi"/>
          <w:color w:val="222222"/>
          <w:shd w:val="clear" w:color="auto" w:fill="FFFFFF"/>
        </w:rPr>
        <w:t xml:space="preserve">Simpson, B., 2021. R v Foy (Nicholas): voluntary intoxication, mental </w:t>
      </w:r>
      <w:proofErr w:type="gramStart"/>
      <w:r w:rsidRPr="000F76AA">
        <w:rPr>
          <w:rFonts w:cstheme="minorHAnsi"/>
          <w:color w:val="222222"/>
          <w:shd w:val="clear" w:color="auto" w:fill="FFFFFF"/>
        </w:rPr>
        <w:t>health</w:t>
      </w:r>
      <w:proofErr w:type="gramEnd"/>
      <w:r w:rsidRPr="000F76AA">
        <w:rPr>
          <w:rFonts w:cstheme="minorHAnsi"/>
          <w:color w:val="222222"/>
          <w:shd w:val="clear" w:color="auto" w:fill="FFFFFF"/>
        </w:rPr>
        <w:t xml:space="preserve"> and the case for diminished responsibility.</w:t>
      </w:r>
      <w:r w:rsidRPr="000F76AA">
        <w:rPr>
          <w:rStyle w:val="apple-converted-space"/>
          <w:rFonts w:cstheme="minorHAnsi"/>
          <w:color w:val="222222"/>
          <w:shd w:val="clear" w:color="auto" w:fill="FFFFFF"/>
        </w:rPr>
        <w:t> </w:t>
      </w:r>
      <w:r w:rsidRPr="000F76AA">
        <w:rPr>
          <w:rFonts w:cstheme="minorHAnsi"/>
          <w:i/>
          <w:iCs/>
          <w:color w:val="222222"/>
        </w:rPr>
        <w:t>Northern Ireland Legal Quarterly</w:t>
      </w:r>
      <w:r w:rsidRPr="000F76AA">
        <w:rPr>
          <w:rFonts w:cstheme="minorHAnsi"/>
          <w:color w:val="222222"/>
          <w:shd w:val="clear" w:color="auto" w:fill="FFFFFF"/>
        </w:rPr>
        <w:t>,</w:t>
      </w:r>
      <w:r w:rsidRPr="000F76AA">
        <w:rPr>
          <w:rStyle w:val="apple-converted-space"/>
          <w:rFonts w:cstheme="minorHAnsi"/>
          <w:color w:val="222222"/>
          <w:shd w:val="clear" w:color="auto" w:fill="FFFFFF"/>
        </w:rPr>
        <w:t> </w:t>
      </w:r>
      <w:r w:rsidRPr="000F76AA">
        <w:rPr>
          <w:rFonts w:cstheme="minorHAnsi"/>
          <w:i/>
          <w:iCs/>
          <w:color w:val="222222"/>
        </w:rPr>
        <w:t>72</w:t>
      </w:r>
      <w:r w:rsidRPr="000F76AA">
        <w:rPr>
          <w:rFonts w:cstheme="minorHAnsi"/>
          <w:color w:val="222222"/>
          <w:shd w:val="clear" w:color="auto" w:fill="FFFFFF"/>
        </w:rPr>
        <w:t>(2), pp.397-405.</w:t>
      </w:r>
    </w:p>
    <w:p w14:paraId="1D76C35D" w14:textId="77777777" w:rsidR="000F76AA" w:rsidRPr="000F76AA" w:rsidRDefault="000F76AA" w:rsidP="000F76AA">
      <w:pPr>
        <w:rPr>
          <w:rFonts w:cstheme="minorHAnsi"/>
          <w:color w:val="222222"/>
          <w:shd w:val="clear" w:color="auto" w:fill="FFFFFF"/>
        </w:rPr>
      </w:pPr>
    </w:p>
    <w:p w14:paraId="09111FF5" w14:textId="177FD0B7" w:rsidR="000F76AA" w:rsidRPr="000F76AA" w:rsidRDefault="000F76AA" w:rsidP="000F76AA">
      <w:pPr>
        <w:rPr>
          <w:rFonts w:cstheme="minorHAnsi"/>
          <w:color w:val="222222"/>
          <w:shd w:val="clear" w:color="auto" w:fill="FFFFFF"/>
        </w:rPr>
      </w:pPr>
      <w:proofErr w:type="spellStart"/>
      <w:r w:rsidRPr="000F76AA">
        <w:rPr>
          <w:rFonts w:cstheme="minorHAnsi"/>
          <w:color w:val="222222"/>
          <w:shd w:val="clear" w:color="auto" w:fill="FFFFFF"/>
        </w:rPr>
        <w:t>Sorial</w:t>
      </w:r>
      <w:proofErr w:type="spellEnd"/>
      <w:r w:rsidRPr="000F76AA">
        <w:rPr>
          <w:rFonts w:cstheme="minorHAnsi"/>
          <w:color w:val="222222"/>
          <w:shd w:val="clear" w:color="auto" w:fill="FFFFFF"/>
        </w:rPr>
        <w:t xml:space="preserve">, S., </w:t>
      </w:r>
      <w:proofErr w:type="gramStart"/>
      <w:r w:rsidRPr="000F76AA">
        <w:rPr>
          <w:rFonts w:cstheme="minorHAnsi"/>
          <w:color w:val="222222"/>
          <w:shd w:val="clear" w:color="auto" w:fill="FFFFFF"/>
        </w:rPr>
        <w:t>Emotions</w:t>
      </w:r>
      <w:proofErr w:type="gramEnd"/>
      <w:r w:rsidRPr="000F76AA">
        <w:rPr>
          <w:rFonts w:cstheme="minorHAnsi"/>
          <w:color w:val="222222"/>
          <w:shd w:val="clear" w:color="auto" w:fill="FFFFFF"/>
        </w:rPr>
        <w:t xml:space="preserve"> and the criminal law.</w:t>
      </w:r>
      <w:r w:rsidRPr="000F76AA">
        <w:rPr>
          <w:rStyle w:val="apple-converted-space"/>
          <w:rFonts w:cstheme="minorHAnsi"/>
          <w:color w:val="222222"/>
          <w:shd w:val="clear" w:color="auto" w:fill="FFFFFF"/>
        </w:rPr>
        <w:t> </w:t>
      </w:r>
      <w:r w:rsidRPr="000F76AA">
        <w:rPr>
          <w:rFonts w:cstheme="minorHAnsi"/>
          <w:i/>
          <w:iCs/>
          <w:color w:val="222222"/>
        </w:rPr>
        <w:t>Emotions in Late Modernity</w:t>
      </w:r>
      <w:r w:rsidRPr="000F76AA">
        <w:rPr>
          <w:rFonts w:cstheme="minorHAnsi"/>
          <w:color w:val="222222"/>
          <w:shd w:val="clear" w:color="auto" w:fill="FFFFFF"/>
        </w:rPr>
        <w:t>, p.129.</w:t>
      </w:r>
    </w:p>
    <w:p w14:paraId="7103A17D" w14:textId="77777777" w:rsidR="000F76AA" w:rsidRPr="000F76AA" w:rsidRDefault="000F76AA" w:rsidP="000F76AA">
      <w:pPr>
        <w:rPr>
          <w:rFonts w:cstheme="minorHAnsi"/>
          <w:color w:val="222222"/>
          <w:shd w:val="clear" w:color="auto" w:fill="FFFFFF"/>
        </w:rPr>
      </w:pPr>
      <w:r w:rsidRPr="000F76AA">
        <w:rPr>
          <w:rFonts w:cstheme="minorHAnsi"/>
          <w:color w:val="222222"/>
          <w:shd w:val="clear" w:color="auto" w:fill="FFFFFF"/>
        </w:rPr>
        <w:t>Wake, N., 2012. Recognising acute intoxication as diminished responsibility? A comparative analysis.</w:t>
      </w:r>
      <w:r w:rsidRPr="000F76AA">
        <w:rPr>
          <w:rStyle w:val="apple-converted-space"/>
          <w:rFonts w:cstheme="minorHAnsi"/>
          <w:color w:val="222222"/>
          <w:shd w:val="clear" w:color="auto" w:fill="FFFFFF"/>
        </w:rPr>
        <w:t> </w:t>
      </w:r>
      <w:r w:rsidRPr="000F76AA">
        <w:rPr>
          <w:rFonts w:cstheme="minorHAnsi"/>
          <w:i/>
          <w:iCs/>
          <w:color w:val="222222"/>
        </w:rPr>
        <w:t>The Journal of Criminal Law</w:t>
      </w:r>
      <w:r w:rsidRPr="000F76AA">
        <w:rPr>
          <w:rFonts w:cstheme="minorHAnsi"/>
          <w:color w:val="222222"/>
          <w:shd w:val="clear" w:color="auto" w:fill="FFFFFF"/>
        </w:rPr>
        <w:t>,</w:t>
      </w:r>
      <w:r w:rsidRPr="000F76AA">
        <w:rPr>
          <w:rStyle w:val="apple-converted-space"/>
          <w:rFonts w:cstheme="minorHAnsi"/>
          <w:color w:val="222222"/>
          <w:shd w:val="clear" w:color="auto" w:fill="FFFFFF"/>
        </w:rPr>
        <w:t> </w:t>
      </w:r>
      <w:r w:rsidRPr="000F76AA">
        <w:rPr>
          <w:rFonts w:cstheme="minorHAnsi"/>
          <w:i/>
          <w:iCs/>
          <w:color w:val="222222"/>
        </w:rPr>
        <w:t>76</w:t>
      </w:r>
      <w:r w:rsidRPr="000F76AA">
        <w:rPr>
          <w:rFonts w:cstheme="minorHAnsi"/>
          <w:color w:val="222222"/>
          <w:shd w:val="clear" w:color="auto" w:fill="FFFFFF"/>
        </w:rPr>
        <w:t>(1), pp.71-98.</w:t>
      </w:r>
    </w:p>
    <w:p w14:paraId="74247005" w14:textId="77777777" w:rsidR="003471C7" w:rsidRPr="000F76AA" w:rsidRDefault="003471C7">
      <w:pPr>
        <w:rPr>
          <w:rFonts w:cstheme="minorHAnsi"/>
        </w:rPr>
      </w:pPr>
    </w:p>
    <w:sectPr w:rsidR="003471C7" w:rsidRPr="000F76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6AA"/>
    <w:rsid w:val="000F76AA"/>
    <w:rsid w:val="003471C7"/>
    <w:rsid w:val="006943CD"/>
    <w:rsid w:val="00B25F58"/>
    <w:rsid w:val="00C271E2"/>
    <w:rsid w:val="00E37B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0CAD47"/>
  <w15:chartTrackingRefBased/>
  <w15:docId w15:val="{A2DB570B-AE76-3841-AFFD-632AFA265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6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F76AA"/>
  </w:style>
  <w:style w:type="character" w:styleId="Hyperlink">
    <w:name w:val="Hyperlink"/>
    <w:basedOn w:val="DefaultParagraphFont"/>
    <w:uiPriority w:val="99"/>
    <w:unhideWhenUsed/>
    <w:rsid w:val="000F76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7/S0008197315000501" TargetMode="External"/><Relationship Id="rId5" Type="http://schemas.openxmlformats.org/officeDocument/2006/relationships/hyperlink" Target="https://doi.org/10.1017/S0008197315000318" TargetMode="External"/><Relationship Id="rId4" Type="http://schemas.openxmlformats.org/officeDocument/2006/relationships/hyperlink" Target="https://doi.org/10.1258/msl.2011.0101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1692</Words>
  <Characters>9650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Sturgess (2200579)</dc:creator>
  <cp:keywords/>
  <dc:description/>
  <cp:lastModifiedBy>Connor Sturgess (2200579)</cp:lastModifiedBy>
  <cp:revision>2</cp:revision>
  <dcterms:created xsi:type="dcterms:W3CDTF">2023-03-10T17:09:00Z</dcterms:created>
  <dcterms:modified xsi:type="dcterms:W3CDTF">2023-03-10T17:29:00Z</dcterms:modified>
</cp:coreProperties>
</file>