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15575929"/>
        <w:docPartObj>
          <w:docPartGallery w:val="Cover Pages"/>
          <w:docPartUnique/>
        </w:docPartObj>
      </w:sdtPr>
      <w:sdtContent>
        <w:p w14:paraId="4131A6DC" w14:textId="3734E640" w:rsidR="00D34555" w:rsidRPr="000A56B5" w:rsidRDefault="00D34555">
          <w:pPr>
            <w:rPr>
              <w:rFonts w:cstheme="minorHAnsi"/>
              <w:sz w:val="24"/>
              <w:szCs w:val="24"/>
            </w:rPr>
          </w:pPr>
          <w:r w:rsidRPr="000A56B5">
            <w:rPr>
              <w:rFonts w:cstheme="minorHAnsi"/>
              <w:noProof/>
              <w:sz w:val="24"/>
              <w:szCs w:val="24"/>
            </w:rPr>
            <mc:AlternateContent>
              <mc:Choice Requires="wpg">
                <w:drawing>
                  <wp:anchor distT="0" distB="0" distL="114300" distR="114300" simplePos="0" relativeHeight="251659264" behindDoc="1" locked="0" layoutInCell="1" allowOverlap="1" wp14:anchorId="28DB0AEF" wp14:editId="763F317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67192A" w14:textId="009A9EB5" w:rsidR="00D34555" w:rsidRDefault="007A45ED">
                                      <w:pPr>
                                        <w:pStyle w:val="NoSpacing"/>
                                        <w:rPr>
                                          <w:color w:val="FFFFFF" w:themeColor="background1"/>
                                          <w:sz w:val="32"/>
                                          <w:szCs w:val="32"/>
                                        </w:rPr>
                                      </w:pPr>
                                      <w:r>
                                        <w:rPr>
                                          <w:color w:val="FFFFFF" w:themeColor="background1"/>
                                          <w:sz w:val="32"/>
                                          <w:szCs w:val="32"/>
                                        </w:rPr>
                                        <w:t>Bartosz Malinowski (2005342)</w:t>
                                      </w:r>
                                    </w:p>
                                  </w:sdtContent>
                                </w:sdt>
                                <w:p w14:paraId="533D147B" w14:textId="3DBDB402" w:rsidR="00D34555" w:rsidRDefault="00D3455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b/>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C5EFA63" w14:textId="3C8C61E1" w:rsidR="00D34555" w:rsidRPr="00D34555" w:rsidRDefault="007A45ED">
                                      <w:pPr>
                                        <w:pStyle w:val="NoSpacing"/>
                                        <w:pBdr>
                                          <w:bottom w:val="single" w:sz="6" w:space="4" w:color="7F7F7F" w:themeColor="text1" w:themeTint="80"/>
                                        </w:pBdr>
                                        <w:rPr>
                                          <w:rFonts w:eastAsiaTheme="majorEastAsia" w:cstheme="minorHAnsi"/>
                                          <w:color w:val="595959" w:themeColor="text1" w:themeTint="A6"/>
                                          <w:sz w:val="52"/>
                                          <w:szCs w:val="52"/>
                                        </w:rPr>
                                      </w:pPr>
                                      <w:r w:rsidRPr="007A45ED">
                                        <w:rPr>
                                          <w:rFonts w:eastAsia="Times New Roman" w:cstheme="minorHAnsi"/>
                                          <w:b/>
                                          <w:sz w:val="52"/>
                                          <w:szCs w:val="52"/>
                                        </w:rPr>
                                        <w:t>Intention to create legal relations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2B8A04C" w14:textId="5700E062" w:rsidR="00D34555" w:rsidRDefault="00D34555">
                                      <w:pPr>
                                        <w:pStyle w:val="NoSpacing"/>
                                        <w:spacing w:before="240"/>
                                        <w:rPr>
                                          <w:caps/>
                                          <w:color w:val="44546A" w:themeColor="text2"/>
                                          <w:sz w:val="36"/>
                                          <w:szCs w:val="36"/>
                                        </w:rPr>
                                      </w:pPr>
                                      <w:r>
                                        <w:rPr>
                                          <w:caps/>
                                          <w:color w:val="44546A"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DB0AEF"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967192A" w14:textId="009A9EB5" w:rsidR="00D34555" w:rsidRDefault="007A45ED">
                                <w:pPr>
                                  <w:pStyle w:val="NoSpacing"/>
                                  <w:rPr>
                                    <w:color w:val="FFFFFF" w:themeColor="background1"/>
                                    <w:sz w:val="32"/>
                                    <w:szCs w:val="32"/>
                                  </w:rPr>
                                </w:pPr>
                                <w:r>
                                  <w:rPr>
                                    <w:color w:val="FFFFFF" w:themeColor="background1"/>
                                    <w:sz w:val="32"/>
                                    <w:szCs w:val="32"/>
                                  </w:rPr>
                                  <w:t>Bartosz Malinowski (2005342)</w:t>
                                </w:r>
                              </w:p>
                            </w:sdtContent>
                          </w:sdt>
                          <w:p w14:paraId="533D147B" w14:textId="3DBDB402" w:rsidR="00D34555" w:rsidRDefault="00D3455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imes New Roman" w:cstheme="minorHAnsi"/>
                                <w:b/>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C5EFA63" w14:textId="3C8C61E1" w:rsidR="00D34555" w:rsidRPr="00D34555" w:rsidRDefault="007A45ED">
                                <w:pPr>
                                  <w:pStyle w:val="NoSpacing"/>
                                  <w:pBdr>
                                    <w:bottom w:val="single" w:sz="6" w:space="4" w:color="7F7F7F" w:themeColor="text1" w:themeTint="80"/>
                                  </w:pBdr>
                                  <w:rPr>
                                    <w:rFonts w:eastAsiaTheme="majorEastAsia" w:cstheme="minorHAnsi"/>
                                    <w:color w:val="595959" w:themeColor="text1" w:themeTint="A6"/>
                                    <w:sz w:val="52"/>
                                    <w:szCs w:val="52"/>
                                  </w:rPr>
                                </w:pPr>
                                <w:r w:rsidRPr="007A45ED">
                                  <w:rPr>
                                    <w:rFonts w:eastAsia="Times New Roman" w:cstheme="minorHAnsi"/>
                                    <w:b/>
                                    <w:sz w:val="52"/>
                                    <w:szCs w:val="52"/>
                                  </w:rPr>
                                  <w:t>Intention to create legal relations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2B8A04C" w14:textId="5700E062" w:rsidR="00D34555" w:rsidRDefault="00D34555">
                                <w:pPr>
                                  <w:pStyle w:val="NoSpacing"/>
                                  <w:spacing w:before="240"/>
                                  <w:rPr>
                                    <w:caps/>
                                    <w:color w:val="44546A" w:themeColor="text2"/>
                                    <w:sz w:val="36"/>
                                    <w:szCs w:val="36"/>
                                  </w:rPr>
                                </w:pPr>
                                <w:r>
                                  <w:rPr>
                                    <w:caps/>
                                    <w:color w:val="44546A" w:themeColor="text2"/>
                                    <w:sz w:val="36"/>
                                    <w:szCs w:val="36"/>
                                  </w:rPr>
                                  <w:t>Bartosz Malinowski (2005342)</w:t>
                                </w:r>
                              </w:p>
                            </w:sdtContent>
                          </w:sdt>
                        </w:txbxContent>
                      </v:textbox>
                    </v:shape>
                    <w10:wrap anchorx="page" anchory="page"/>
                  </v:group>
                </w:pict>
              </mc:Fallback>
            </mc:AlternateContent>
          </w:r>
        </w:p>
        <w:p w14:paraId="645C57C7" w14:textId="0ECA7D04" w:rsidR="007525C1" w:rsidRPr="000A56B5" w:rsidRDefault="00D34555" w:rsidP="007525C1">
          <w:pPr>
            <w:rPr>
              <w:rFonts w:cstheme="minorHAnsi"/>
              <w:sz w:val="24"/>
              <w:szCs w:val="24"/>
            </w:rPr>
          </w:pPr>
          <w:r w:rsidRPr="000A56B5">
            <w:rPr>
              <w:rFonts w:cstheme="minorHAnsi"/>
              <w:sz w:val="24"/>
              <w:szCs w:val="24"/>
            </w:rPr>
            <w:br w:type="page"/>
          </w:r>
        </w:p>
      </w:sdtContent>
    </w:sdt>
    <w:sdt>
      <w:sdtPr>
        <w:rPr>
          <w:rFonts w:asciiTheme="minorHAnsi" w:hAnsiTheme="minorHAnsi" w:cstheme="minorHAnsi"/>
          <w:sz w:val="24"/>
          <w:szCs w:val="24"/>
        </w:rPr>
        <w:id w:val="240906819"/>
        <w:docPartObj>
          <w:docPartGallery w:val="Table of Contents"/>
          <w:docPartUnique/>
        </w:docPartObj>
      </w:sdtPr>
      <w:sdtEndPr>
        <w:rPr>
          <w:rFonts w:eastAsiaTheme="minorHAnsi"/>
          <w:b/>
          <w:bCs/>
          <w:noProof/>
          <w:color w:val="auto"/>
          <w:kern w:val="2"/>
          <w:lang w:val="en-GB"/>
          <w14:ligatures w14:val="standardContextual"/>
        </w:rPr>
      </w:sdtEndPr>
      <w:sdtContent>
        <w:p w14:paraId="45A05D3C" w14:textId="77777777" w:rsidR="007525C1" w:rsidRPr="000A56B5" w:rsidRDefault="007525C1" w:rsidP="007525C1">
          <w:pPr>
            <w:pStyle w:val="TOCHeading"/>
            <w:rPr>
              <w:rFonts w:asciiTheme="minorHAnsi" w:hAnsiTheme="minorHAnsi" w:cstheme="minorHAnsi"/>
              <w:sz w:val="24"/>
              <w:szCs w:val="24"/>
            </w:rPr>
          </w:pPr>
          <w:r w:rsidRPr="000A56B5">
            <w:rPr>
              <w:rFonts w:asciiTheme="minorHAnsi" w:hAnsiTheme="minorHAnsi" w:cstheme="minorHAnsi"/>
              <w:sz w:val="24"/>
              <w:szCs w:val="24"/>
            </w:rPr>
            <w:t>Contents</w:t>
          </w:r>
        </w:p>
        <w:p w14:paraId="3C39F193" w14:textId="6334D08A" w:rsidR="002D2578" w:rsidRDefault="007525C1">
          <w:pPr>
            <w:pStyle w:val="TOC1"/>
            <w:tabs>
              <w:tab w:val="right" w:leader="dot" w:pos="9016"/>
            </w:tabs>
            <w:rPr>
              <w:rFonts w:eastAsiaTheme="minorEastAsia"/>
              <w:noProof/>
              <w:kern w:val="0"/>
              <w:lang w:eastAsia="en-GB"/>
              <w14:ligatures w14:val="none"/>
            </w:rPr>
          </w:pPr>
          <w:r w:rsidRPr="000A56B5">
            <w:rPr>
              <w:rFonts w:cstheme="minorHAnsi"/>
              <w:sz w:val="24"/>
              <w:szCs w:val="24"/>
            </w:rPr>
            <w:fldChar w:fldCharType="begin"/>
          </w:r>
          <w:r w:rsidRPr="000A56B5">
            <w:rPr>
              <w:rFonts w:cstheme="minorHAnsi"/>
              <w:sz w:val="24"/>
              <w:szCs w:val="24"/>
            </w:rPr>
            <w:instrText xml:space="preserve"> TOC \o "1-3" \h \z \u </w:instrText>
          </w:r>
          <w:r w:rsidRPr="000A56B5">
            <w:rPr>
              <w:rFonts w:cstheme="minorHAnsi"/>
              <w:sz w:val="24"/>
              <w:szCs w:val="24"/>
            </w:rPr>
            <w:fldChar w:fldCharType="separate"/>
          </w:r>
          <w:hyperlink w:anchor="_Toc129262765" w:history="1">
            <w:r w:rsidR="002D2578" w:rsidRPr="00A010DD">
              <w:rPr>
                <w:rStyle w:val="Hyperlink"/>
                <w:noProof/>
              </w:rPr>
              <w:t>Introduction</w:t>
            </w:r>
            <w:r w:rsidR="002D2578">
              <w:rPr>
                <w:noProof/>
                <w:webHidden/>
              </w:rPr>
              <w:tab/>
            </w:r>
            <w:r w:rsidR="002D2578">
              <w:rPr>
                <w:noProof/>
                <w:webHidden/>
              </w:rPr>
              <w:fldChar w:fldCharType="begin"/>
            </w:r>
            <w:r w:rsidR="002D2578">
              <w:rPr>
                <w:noProof/>
                <w:webHidden/>
              </w:rPr>
              <w:instrText xml:space="preserve"> PAGEREF _Toc129262765 \h </w:instrText>
            </w:r>
            <w:r w:rsidR="002D2578">
              <w:rPr>
                <w:noProof/>
                <w:webHidden/>
              </w:rPr>
            </w:r>
            <w:r w:rsidR="002D2578">
              <w:rPr>
                <w:noProof/>
                <w:webHidden/>
              </w:rPr>
              <w:fldChar w:fldCharType="separate"/>
            </w:r>
            <w:r w:rsidR="002D2578">
              <w:rPr>
                <w:noProof/>
                <w:webHidden/>
              </w:rPr>
              <w:t>2</w:t>
            </w:r>
            <w:r w:rsidR="002D2578">
              <w:rPr>
                <w:noProof/>
                <w:webHidden/>
              </w:rPr>
              <w:fldChar w:fldCharType="end"/>
            </w:r>
          </w:hyperlink>
        </w:p>
        <w:p w14:paraId="15F55B83" w14:textId="115E4BBB" w:rsidR="002D2578" w:rsidRDefault="002D2578">
          <w:pPr>
            <w:pStyle w:val="TOC1"/>
            <w:tabs>
              <w:tab w:val="right" w:leader="dot" w:pos="9016"/>
            </w:tabs>
            <w:rPr>
              <w:rFonts w:eastAsiaTheme="minorEastAsia"/>
              <w:noProof/>
              <w:kern w:val="0"/>
              <w:lang w:eastAsia="en-GB"/>
              <w14:ligatures w14:val="none"/>
            </w:rPr>
          </w:pPr>
          <w:hyperlink w:anchor="_Toc129262766" w:history="1">
            <w:r w:rsidRPr="00A010DD">
              <w:rPr>
                <w:rStyle w:val="Hyperlink"/>
                <w:noProof/>
              </w:rPr>
              <w:t>Main Body</w:t>
            </w:r>
            <w:r>
              <w:rPr>
                <w:noProof/>
                <w:webHidden/>
              </w:rPr>
              <w:tab/>
            </w:r>
            <w:r>
              <w:rPr>
                <w:noProof/>
                <w:webHidden/>
              </w:rPr>
              <w:fldChar w:fldCharType="begin"/>
            </w:r>
            <w:r>
              <w:rPr>
                <w:noProof/>
                <w:webHidden/>
              </w:rPr>
              <w:instrText xml:space="preserve"> PAGEREF _Toc129262766 \h </w:instrText>
            </w:r>
            <w:r>
              <w:rPr>
                <w:noProof/>
                <w:webHidden/>
              </w:rPr>
            </w:r>
            <w:r>
              <w:rPr>
                <w:noProof/>
                <w:webHidden/>
              </w:rPr>
              <w:fldChar w:fldCharType="separate"/>
            </w:r>
            <w:r>
              <w:rPr>
                <w:noProof/>
                <w:webHidden/>
              </w:rPr>
              <w:t>2</w:t>
            </w:r>
            <w:r>
              <w:rPr>
                <w:noProof/>
                <w:webHidden/>
              </w:rPr>
              <w:fldChar w:fldCharType="end"/>
            </w:r>
          </w:hyperlink>
        </w:p>
        <w:p w14:paraId="00C47288" w14:textId="47170ADD" w:rsidR="002D2578" w:rsidRDefault="002D2578">
          <w:pPr>
            <w:pStyle w:val="TOC2"/>
            <w:tabs>
              <w:tab w:val="right" w:leader="dot" w:pos="9016"/>
            </w:tabs>
            <w:rPr>
              <w:noProof/>
            </w:rPr>
          </w:pPr>
          <w:hyperlink w:anchor="_Toc129262767" w:history="1">
            <w:r w:rsidRPr="00A010DD">
              <w:rPr>
                <w:rStyle w:val="Hyperlink"/>
                <w:noProof/>
              </w:rPr>
              <w:t>The presumption of intention to form legal relations:</w:t>
            </w:r>
            <w:r>
              <w:rPr>
                <w:noProof/>
                <w:webHidden/>
              </w:rPr>
              <w:tab/>
            </w:r>
            <w:r>
              <w:rPr>
                <w:noProof/>
                <w:webHidden/>
              </w:rPr>
              <w:fldChar w:fldCharType="begin"/>
            </w:r>
            <w:r>
              <w:rPr>
                <w:noProof/>
                <w:webHidden/>
              </w:rPr>
              <w:instrText xml:space="preserve"> PAGEREF _Toc129262767 \h </w:instrText>
            </w:r>
            <w:r>
              <w:rPr>
                <w:noProof/>
                <w:webHidden/>
              </w:rPr>
            </w:r>
            <w:r>
              <w:rPr>
                <w:noProof/>
                <w:webHidden/>
              </w:rPr>
              <w:fldChar w:fldCharType="separate"/>
            </w:r>
            <w:r>
              <w:rPr>
                <w:noProof/>
                <w:webHidden/>
              </w:rPr>
              <w:t>2</w:t>
            </w:r>
            <w:r>
              <w:rPr>
                <w:noProof/>
                <w:webHidden/>
              </w:rPr>
              <w:fldChar w:fldCharType="end"/>
            </w:r>
          </w:hyperlink>
        </w:p>
        <w:p w14:paraId="0B6A78E4" w14:textId="74BCBBAD" w:rsidR="002D2578" w:rsidRDefault="002D2578">
          <w:pPr>
            <w:pStyle w:val="TOC2"/>
            <w:tabs>
              <w:tab w:val="right" w:leader="dot" w:pos="9016"/>
            </w:tabs>
            <w:rPr>
              <w:noProof/>
            </w:rPr>
          </w:pPr>
          <w:hyperlink w:anchor="_Toc129262768" w:history="1">
            <w:r w:rsidRPr="00A010DD">
              <w:rPr>
                <w:rStyle w:val="Hyperlink"/>
                <w:noProof/>
              </w:rPr>
              <w:t>The presumption of consideration</w:t>
            </w:r>
            <w:r>
              <w:rPr>
                <w:noProof/>
                <w:webHidden/>
              </w:rPr>
              <w:tab/>
            </w:r>
            <w:r>
              <w:rPr>
                <w:noProof/>
                <w:webHidden/>
              </w:rPr>
              <w:fldChar w:fldCharType="begin"/>
            </w:r>
            <w:r>
              <w:rPr>
                <w:noProof/>
                <w:webHidden/>
              </w:rPr>
              <w:instrText xml:space="preserve"> PAGEREF _Toc129262768 \h </w:instrText>
            </w:r>
            <w:r>
              <w:rPr>
                <w:noProof/>
                <w:webHidden/>
              </w:rPr>
            </w:r>
            <w:r>
              <w:rPr>
                <w:noProof/>
                <w:webHidden/>
              </w:rPr>
              <w:fldChar w:fldCharType="separate"/>
            </w:r>
            <w:r>
              <w:rPr>
                <w:noProof/>
                <w:webHidden/>
              </w:rPr>
              <w:t>3</w:t>
            </w:r>
            <w:r>
              <w:rPr>
                <w:noProof/>
                <w:webHidden/>
              </w:rPr>
              <w:fldChar w:fldCharType="end"/>
            </w:r>
          </w:hyperlink>
        </w:p>
        <w:p w14:paraId="0EAC8020" w14:textId="025B1979" w:rsidR="002D2578" w:rsidRDefault="002D2578">
          <w:pPr>
            <w:pStyle w:val="TOC2"/>
            <w:tabs>
              <w:tab w:val="right" w:leader="dot" w:pos="9016"/>
            </w:tabs>
            <w:rPr>
              <w:noProof/>
            </w:rPr>
          </w:pPr>
          <w:hyperlink w:anchor="_Toc129262769" w:history="1">
            <w:r w:rsidRPr="00A010DD">
              <w:rPr>
                <w:rStyle w:val="Hyperlink"/>
                <w:noProof/>
              </w:rPr>
              <w:t>The prima facie enforceability presumption:</w:t>
            </w:r>
            <w:r>
              <w:rPr>
                <w:noProof/>
                <w:webHidden/>
              </w:rPr>
              <w:tab/>
            </w:r>
            <w:r>
              <w:rPr>
                <w:noProof/>
                <w:webHidden/>
              </w:rPr>
              <w:fldChar w:fldCharType="begin"/>
            </w:r>
            <w:r>
              <w:rPr>
                <w:noProof/>
                <w:webHidden/>
              </w:rPr>
              <w:instrText xml:space="preserve"> PAGEREF _Toc129262769 \h </w:instrText>
            </w:r>
            <w:r>
              <w:rPr>
                <w:noProof/>
                <w:webHidden/>
              </w:rPr>
            </w:r>
            <w:r>
              <w:rPr>
                <w:noProof/>
                <w:webHidden/>
              </w:rPr>
              <w:fldChar w:fldCharType="separate"/>
            </w:r>
            <w:r>
              <w:rPr>
                <w:noProof/>
                <w:webHidden/>
              </w:rPr>
              <w:t>3</w:t>
            </w:r>
            <w:r>
              <w:rPr>
                <w:noProof/>
                <w:webHidden/>
              </w:rPr>
              <w:fldChar w:fldCharType="end"/>
            </w:r>
          </w:hyperlink>
        </w:p>
        <w:p w14:paraId="0ABBFA92" w14:textId="234D3605" w:rsidR="002D2578" w:rsidRDefault="002D2578">
          <w:pPr>
            <w:pStyle w:val="TOC2"/>
            <w:tabs>
              <w:tab w:val="right" w:leader="dot" w:pos="9016"/>
            </w:tabs>
            <w:rPr>
              <w:noProof/>
            </w:rPr>
          </w:pPr>
          <w:hyperlink w:anchor="_Toc129262770" w:history="1">
            <w:r w:rsidRPr="00A010DD">
              <w:rPr>
                <w:rStyle w:val="Hyperlink"/>
                <w:noProof/>
              </w:rPr>
              <w:t>Examples of agreements</w:t>
            </w:r>
            <w:r>
              <w:rPr>
                <w:noProof/>
                <w:webHidden/>
              </w:rPr>
              <w:tab/>
            </w:r>
            <w:r>
              <w:rPr>
                <w:noProof/>
                <w:webHidden/>
              </w:rPr>
              <w:fldChar w:fldCharType="begin"/>
            </w:r>
            <w:r>
              <w:rPr>
                <w:noProof/>
                <w:webHidden/>
              </w:rPr>
              <w:instrText xml:space="preserve"> PAGEREF _Toc129262770 \h </w:instrText>
            </w:r>
            <w:r>
              <w:rPr>
                <w:noProof/>
                <w:webHidden/>
              </w:rPr>
            </w:r>
            <w:r>
              <w:rPr>
                <w:noProof/>
                <w:webHidden/>
              </w:rPr>
              <w:fldChar w:fldCharType="separate"/>
            </w:r>
            <w:r>
              <w:rPr>
                <w:noProof/>
                <w:webHidden/>
              </w:rPr>
              <w:t>3</w:t>
            </w:r>
            <w:r>
              <w:rPr>
                <w:noProof/>
                <w:webHidden/>
              </w:rPr>
              <w:fldChar w:fldCharType="end"/>
            </w:r>
          </w:hyperlink>
        </w:p>
        <w:p w14:paraId="688871F0" w14:textId="32CDCB52" w:rsidR="002D2578" w:rsidRDefault="002D2578">
          <w:pPr>
            <w:pStyle w:val="TOC1"/>
            <w:tabs>
              <w:tab w:val="right" w:leader="dot" w:pos="9016"/>
            </w:tabs>
            <w:rPr>
              <w:rFonts w:eastAsiaTheme="minorEastAsia"/>
              <w:noProof/>
              <w:kern w:val="0"/>
              <w:lang w:eastAsia="en-GB"/>
              <w14:ligatures w14:val="none"/>
            </w:rPr>
          </w:pPr>
          <w:hyperlink w:anchor="_Toc129262771" w:history="1">
            <w:r w:rsidRPr="00A010DD">
              <w:rPr>
                <w:rStyle w:val="Hyperlink"/>
                <w:noProof/>
              </w:rPr>
              <w:t>Conclusions</w:t>
            </w:r>
            <w:r>
              <w:rPr>
                <w:noProof/>
                <w:webHidden/>
              </w:rPr>
              <w:tab/>
            </w:r>
            <w:r>
              <w:rPr>
                <w:noProof/>
                <w:webHidden/>
              </w:rPr>
              <w:fldChar w:fldCharType="begin"/>
            </w:r>
            <w:r>
              <w:rPr>
                <w:noProof/>
                <w:webHidden/>
              </w:rPr>
              <w:instrText xml:space="preserve"> PAGEREF _Toc129262771 \h </w:instrText>
            </w:r>
            <w:r>
              <w:rPr>
                <w:noProof/>
                <w:webHidden/>
              </w:rPr>
            </w:r>
            <w:r>
              <w:rPr>
                <w:noProof/>
                <w:webHidden/>
              </w:rPr>
              <w:fldChar w:fldCharType="separate"/>
            </w:r>
            <w:r>
              <w:rPr>
                <w:noProof/>
                <w:webHidden/>
              </w:rPr>
              <w:t>5</w:t>
            </w:r>
            <w:r>
              <w:rPr>
                <w:noProof/>
                <w:webHidden/>
              </w:rPr>
              <w:fldChar w:fldCharType="end"/>
            </w:r>
          </w:hyperlink>
        </w:p>
        <w:p w14:paraId="558803E7" w14:textId="03B35EF9" w:rsidR="002D2578" w:rsidRDefault="002D2578">
          <w:pPr>
            <w:pStyle w:val="TOC1"/>
            <w:tabs>
              <w:tab w:val="right" w:leader="dot" w:pos="9016"/>
            </w:tabs>
            <w:rPr>
              <w:rFonts w:eastAsiaTheme="minorEastAsia"/>
              <w:noProof/>
              <w:kern w:val="0"/>
              <w:lang w:eastAsia="en-GB"/>
              <w14:ligatures w14:val="none"/>
            </w:rPr>
          </w:pPr>
          <w:hyperlink w:anchor="_Toc129262772" w:history="1">
            <w:r w:rsidRPr="00A010DD">
              <w:rPr>
                <w:rStyle w:val="Hyperlink"/>
                <w:noProof/>
              </w:rPr>
              <w:t>References</w:t>
            </w:r>
            <w:r>
              <w:rPr>
                <w:noProof/>
                <w:webHidden/>
              </w:rPr>
              <w:tab/>
            </w:r>
            <w:r>
              <w:rPr>
                <w:noProof/>
                <w:webHidden/>
              </w:rPr>
              <w:fldChar w:fldCharType="begin"/>
            </w:r>
            <w:r>
              <w:rPr>
                <w:noProof/>
                <w:webHidden/>
              </w:rPr>
              <w:instrText xml:space="preserve"> PAGEREF _Toc129262772 \h </w:instrText>
            </w:r>
            <w:r>
              <w:rPr>
                <w:noProof/>
                <w:webHidden/>
              </w:rPr>
            </w:r>
            <w:r>
              <w:rPr>
                <w:noProof/>
                <w:webHidden/>
              </w:rPr>
              <w:fldChar w:fldCharType="separate"/>
            </w:r>
            <w:r>
              <w:rPr>
                <w:noProof/>
                <w:webHidden/>
              </w:rPr>
              <w:t>6</w:t>
            </w:r>
            <w:r>
              <w:rPr>
                <w:noProof/>
                <w:webHidden/>
              </w:rPr>
              <w:fldChar w:fldCharType="end"/>
            </w:r>
          </w:hyperlink>
        </w:p>
        <w:p w14:paraId="3D653D4F" w14:textId="5E0A92E0" w:rsidR="007525C1" w:rsidRPr="000A56B5" w:rsidRDefault="007525C1" w:rsidP="007525C1">
          <w:pPr>
            <w:rPr>
              <w:rFonts w:cstheme="minorHAnsi"/>
              <w:sz w:val="24"/>
              <w:szCs w:val="24"/>
            </w:rPr>
          </w:pPr>
          <w:r w:rsidRPr="000A56B5">
            <w:rPr>
              <w:rFonts w:cstheme="minorHAnsi"/>
              <w:b/>
              <w:bCs/>
              <w:noProof/>
              <w:sz w:val="24"/>
              <w:szCs w:val="24"/>
            </w:rPr>
            <w:fldChar w:fldCharType="end"/>
          </w:r>
        </w:p>
      </w:sdtContent>
    </w:sdt>
    <w:p w14:paraId="6FEDE107" w14:textId="77777777" w:rsidR="007525C1" w:rsidRPr="000A56B5" w:rsidRDefault="007525C1" w:rsidP="007525C1">
      <w:pPr>
        <w:rPr>
          <w:rFonts w:cstheme="minorHAnsi"/>
          <w:sz w:val="24"/>
          <w:szCs w:val="24"/>
        </w:rPr>
      </w:pPr>
    </w:p>
    <w:p w14:paraId="65D6A74A" w14:textId="4749CDA5" w:rsidR="007A45ED" w:rsidRPr="000A56B5" w:rsidRDefault="007525C1" w:rsidP="007525C1">
      <w:pPr>
        <w:rPr>
          <w:rFonts w:cstheme="minorHAnsi"/>
          <w:sz w:val="24"/>
          <w:szCs w:val="24"/>
        </w:rPr>
      </w:pPr>
      <w:r w:rsidRPr="000A56B5">
        <w:rPr>
          <w:rFonts w:cstheme="minorHAnsi"/>
          <w:sz w:val="24"/>
          <w:szCs w:val="24"/>
        </w:rPr>
        <w:br w:type="page"/>
      </w:r>
    </w:p>
    <w:p w14:paraId="64A69971" w14:textId="77777777" w:rsidR="007525C1" w:rsidRPr="007A45ED" w:rsidRDefault="007525C1" w:rsidP="007A45ED">
      <w:pPr>
        <w:pStyle w:val="Heading1"/>
      </w:pPr>
      <w:bookmarkStart w:id="0" w:name="_Toc129262765"/>
      <w:r w:rsidRPr="007A45ED">
        <w:lastRenderedPageBreak/>
        <w:t>Introduction</w:t>
      </w:r>
      <w:bookmarkEnd w:id="0"/>
    </w:p>
    <w:p w14:paraId="66595F50" w14:textId="77777777" w:rsidR="007525C1" w:rsidRPr="000A56B5" w:rsidRDefault="007525C1" w:rsidP="007525C1">
      <w:pPr>
        <w:rPr>
          <w:rFonts w:cstheme="minorHAnsi"/>
          <w:sz w:val="24"/>
          <w:szCs w:val="24"/>
        </w:rPr>
      </w:pPr>
      <w:r w:rsidRPr="000A56B5">
        <w:rPr>
          <w:rFonts w:cstheme="minorHAnsi"/>
          <w:sz w:val="24"/>
          <w:szCs w:val="24"/>
        </w:rPr>
        <w:t>In contract law, the idea of purpose to form legal relations is a basic factor that determines whether a contract between parties is legally binding (Chen-Wishart, 2018). For a contract to be enforceable, the parties must have intended to establish legal relations. Nonetheless, depending on the environment in which the agreement was signed, the technique followed by the courts in establishing whether such a purpose existed might differ. This paper will critically examine the courts' approach to determining intent to form legal connections in three diverse contexts: social or domestic, commercial/business, and with public organisations.</w:t>
      </w:r>
    </w:p>
    <w:p w14:paraId="0DAA630C" w14:textId="77777777" w:rsidR="007525C1" w:rsidRPr="000A56B5" w:rsidRDefault="007525C1" w:rsidP="007525C1">
      <w:pPr>
        <w:rPr>
          <w:rFonts w:cstheme="minorHAnsi"/>
          <w:sz w:val="24"/>
          <w:szCs w:val="24"/>
        </w:rPr>
      </w:pPr>
      <w:r w:rsidRPr="000A56B5">
        <w:rPr>
          <w:rFonts w:cstheme="minorHAnsi"/>
          <w:sz w:val="24"/>
          <w:szCs w:val="24"/>
        </w:rPr>
        <w:t>By examining the different approaches taken by the courts in each of these contexts, this essay aims to provide a comprehensive understanding of the legal principles governing the formation of contracts.</w:t>
      </w:r>
    </w:p>
    <w:p w14:paraId="5CA674D0" w14:textId="77777777" w:rsidR="007525C1" w:rsidRPr="000A56B5" w:rsidRDefault="007525C1" w:rsidP="007525C1">
      <w:pPr>
        <w:rPr>
          <w:rFonts w:cstheme="minorHAnsi"/>
          <w:sz w:val="24"/>
          <w:szCs w:val="24"/>
        </w:rPr>
      </w:pPr>
    </w:p>
    <w:p w14:paraId="78DC24E7" w14:textId="77777777" w:rsidR="007525C1" w:rsidRPr="007A45ED" w:rsidRDefault="007525C1" w:rsidP="007A45ED">
      <w:pPr>
        <w:pStyle w:val="Heading1"/>
      </w:pPr>
      <w:bookmarkStart w:id="1" w:name="_Toc129262766"/>
      <w:r w:rsidRPr="007A45ED">
        <w:t>Main Body</w:t>
      </w:r>
      <w:bookmarkEnd w:id="1"/>
    </w:p>
    <w:p w14:paraId="3080ADDA" w14:textId="77777777" w:rsidR="007525C1" w:rsidRPr="000A56B5" w:rsidRDefault="007525C1" w:rsidP="007525C1">
      <w:pPr>
        <w:rPr>
          <w:rFonts w:cstheme="minorHAnsi"/>
          <w:sz w:val="24"/>
          <w:szCs w:val="24"/>
        </w:rPr>
      </w:pPr>
    </w:p>
    <w:p w14:paraId="539A4874" w14:textId="77777777" w:rsidR="007525C1" w:rsidRPr="000A56B5" w:rsidRDefault="007525C1" w:rsidP="007525C1">
      <w:pPr>
        <w:rPr>
          <w:rFonts w:cstheme="minorHAnsi"/>
          <w:sz w:val="24"/>
          <w:szCs w:val="24"/>
        </w:rPr>
      </w:pPr>
      <w:r w:rsidRPr="000A56B5">
        <w:rPr>
          <w:rFonts w:cstheme="minorHAnsi"/>
          <w:sz w:val="24"/>
          <w:szCs w:val="24"/>
        </w:rPr>
        <w:t>The necessity of a purpose to form legal relations has evolved via case law and is now a fundamental element in contract law (Smith and Thomas, 2019). The courts play an important role in evaluating whether the parties intended to create legal connections, and they do so by analysing numerous elements such as the circumstances of the agreement and the parties' relationship (McKendrick, 2018).</w:t>
      </w:r>
    </w:p>
    <w:p w14:paraId="60DA762F" w14:textId="77777777" w:rsidR="007525C1" w:rsidRPr="000A56B5" w:rsidRDefault="007525C1" w:rsidP="007525C1">
      <w:pPr>
        <w:rPr>
          <w:rFonts w:cstheme="minorHAnsi"/>
          <w:sz w:val="24"/>
          <w:szCs w:val="24"/>
        </w:rPr>
      </w:pPr>
      <w:r w:rsidRPr="000A56B5">
        <w:rPr>
          <w:rFonts w:cstheme="minorHAnsi"/>
          <w:sz w:val="24"/>
          <w:szCs w:val="24"/>
        </w:rPr>
        <w:t>One of the key reasons why courts demand an intent to form legal relations is to ensure clarity and predictability in economic transactions (Treitel, 2017). According to Burrows (2019), contract law plays a crucial role in supporting economic growth and development. The necessity of intent to form legal relations aids in ensuring that parties can rely on the enforcement of their agreements, which is critical for boosting corporate trust and investment.</w:t>
      </w:r>
    </w:p>
    <w:p w14:paraId="37F4E66E" w14:textId="77777777" w:rsidR="007525C1" w:rsidRPr="000A56B5" w:rsidRDefault="007525C1" w:rsidP="007525C1">
      <w:pPr>
        <w:rPr>
          <w:rFonts w:cstheme="minorHAnsi"/>
          <w:sz w:val="24"/>
          <w:szCs w:val="24"/>
        </w:rPr>
      </w:pPr>
      <w:r w:rsidRPr="000A56B5">
        <w:rPr>
          <w:rFonts w:cstheme="minorHAnsi"/>
          <w:sz w:val="24"/>
          <w:szCs w:val="24"/>
        </w:rPr>
        <w:t>Furthermore, the need of purpose to form legal relations aids in the prevention of false claims and litigation (McKendrick, 2018). If parties are not bound by their commitments, they are more prone to break their responsibilities or back out of a contract, which can lead to disagreements and legal action. Courts can dissuade parties from entering into commitments that they do not intend to fulfil by demanding a demonstrated intention to be bound.</w:t>
      </w:r>
    </w:p>
    <w:p w14:paraId="4938DF61" w14:textId="77777777" w:rsidR="007525C1" w:rsidRPr="000A56B5" w:rsidRDefault="007525C1" w:rsidP="007525C1">
      <w:pPr>
        <w:rPr>
          <w:rFonts w:cstheme="minorHAnsi"/>
          <w:sz w:val="24"/>
          <w:szCs w:val="24"/>
        </w:rPr>
      </w:pPr>
    </w:p>
    <w:p w14:paraId="25DE68C7" w14:textId="77777777" w:rsidR="007525C1" w:rsidRPr="000A56B5" w:rsidRDefault="007525C1" w:rsidP="007525C1">
      <w:pPr>
        <w:rPr>
          <w:rFonts w:cstheme="minorHAnsi"/>
          <w:sz w:val="24"/>
          <w:szCs w:val="24"/>
        </w:rPr>
      </w:pPr>
      <w:r w:rsidRPr="000A56B5">
        <w:rPr>
          <w:rFonts w:cstheme="minorHAnsi"/>
          <w:sz w:val="24"/>
          <w:szCs w:val="24"/>
        </w:rPr>
        <w:t>Presumptions play an important role in contract law, notably in evaluating the parties' intent to form legal relations. Contract law's main presumptions are as follows:</w:t>
      </w:r>
    </w:p>
    <w:p w14:paraId="69C7F67F" w14:textId="45B3C8C0" w:rsidR="00F1033B" w:rsidRDefault="007525C1" w:rsidP="002D2578">
      <w:pPr>
        <w:pStyle w:val="Heading2"/>
      </w:pPr>
      <w:bookmarkStart w:id="2" w:name="_Toc129262767"/>
      <w:r w:rsidRPr="002D2578">
        <w:t>The presumption of intention to form legal relations</w:t>
      </w:r>
      <w:r w:rsidR="002D2578">
        <w:t>:</w:t>
      </w:r>
      <w:bookmarkEnd w:id="2"/>
    </w:p>
    <w:p w14:paraId="60665A48" w14:textId="247CFB78" w:rsidR="007525C1" w:rsidRPr="000A56B5" w:rsidRDefault="007525C1" w:rsidP="007525C1">
      <w:pPr>
        <w:rPr>
          <w:rFonts w:cstheme="minorHAnsi"/>
          <w:sz w:val="24"/>
          <w:szCs w:val="24"/>
        </w:rPr>
      </w:pPr>
      <w:r w:rsidRPr="000A56B5">
        <w:rPr>
          <w:rFonts w:cstheme="minorHAnsi"/>
          <w:sz w:val="24"/>
          <w:szCs w:val="24"/>
        </w:rPr>
        <w:t xml:space="preserve"> In the absence of proof to the contrary, it is considered that the parties to a commercial/business contract intend to create legal relations, as established in Carlill v </w:t>
      </w:r>
      <w:r w:rsidRPr="000A56B5">
        <w:rPr>
          <w:rFonts w:cstheme="minorHAnsi"/>
          <w:sz w:val="24"/>
          <w:szCs w:val="24"/>
        </w:rPr>
        <w:lastRenderedPageBreak/>
        <w:t>Carbolic Smoke Ball Co (1893) 1 QB 256. (Chitty, 2018). This assumption does not apply to agreements formed in a social or domestic environment, where there is a presumption of no purpose to create legal connections, as stated in Balfour v Balfour (1919) 2 KB 571. (Treitel, 2015).</w:t>
      </w:r>
    </w:p>
    <w:p w14:paraId="37A60763" w14:textId="77777777" w:rsidR="002D2578" w:rsidRDefault="007525C1" w:rsidP="007525C1">
      <w:pPr>
        <w:rPr>
          <w:rFonts w:cstheme="minorHAnsi"/>
          <w:sz w:val="24"/>
          <w:szCs w:val="24"/>
        </w:rPr>
      </w:pPr>
      <w:bookmarkStart w:id="3" w:name="_Toc129262768"/>
      <w:r w:rsidRPr="002D2578">
        <w:rPr>
          <w:rStyle w:val="Heading2Char"/>
        </w:rPr>
        <w:t>The presumption of consideration</w:t>
      </w:r>
      <w:bookmarkEnd w:id="3"/>
      <w:r w:rsidRPr="000A56B5">
        <w:rPr>
          <w:rFonts w:cstheme="minorHAnsi"/>
          <w:sz w:val="24"/>
          <w:szCs w:val="24"/>
        </w:rPr>
        <w:t>:</w:t>
      </w:r>
    </w:p>
    <w:p w14:paraId="51A25AA4" w14:textId="6995ECB0" w:rsidR="007525C1" w:rsidRPr="000A56B5" w:rsidRDefault="007525C1" w:rsidP="007525C1">
      <w:pPr>
        <w:rPr>
          <w:rFonts w:cstheme="minorHAnsi"/>
          <w:sz w:val="24"/>
          <w:szCs w:val="24"/>
        </w:rPr>
      </w:pPr>
      <w:r w:rsidRPr="000A56B5">
        <w:rPr>
          <w:rFonts w:cstheme="minorHAnsi"/>
          <w:sz w:val="24"/>
          <w:szCs w:val="24"/>
        </w:rPr>
        <w:t xml:space="preserve"> It is assumed that a contract is backed by consideration, which is the price paid or pledged in exchange for a promise or performance. This assumption can be overcome if there is no consideration or if the consideration is unlawful or harmful to public policy (Chitty, 2018). The presumption of consideration: It is assumed that a contract is backed by consideration, which is the price paid or pledged in exchange for a promise or performance. This assumption can be overcome if there is no consideration or if the consideration is unlawful or harmful to public policy (Chitty, 2018).</w:t>
      </w:r>
    </w:p>
    <w:p w14:paraId="5C7C214A" w14:textId="77777777" w:rsidR="007525C1" w:rsidRPr="000A56B5" w:rsidRDefault="007525C1" w:rsidP="007525C1">
      <w:pPr>
        <w:rPr>
          <w:rFonts w:cstheme="minorHAnsi"/>
          <w:sz w:val="24"/>
          <w:szCs w:val="24"/>
        </w:rPr>
      </w:pPr>
    </w:p>
    <w:p w14:paraId="7F2299BF" w14:textId="77777777" w:rsidR="002D2578" w:rsidRDefault="007525C1" w:rsidP="007525C1">
      <w:pPr>
        <w:rPr>
          <w:rStyle w:val="Heading2Char"/>
        </w:rPr>
      </w:pPr>
      <w:bookmarkStart w:id="4" w:name="_Toc129262769"/>
      <w:r w:rsidRPr="002D2578">
        <w:rPr>
          <w:rStyle w:val="Heading2Char"/>
        </w:rPr>
        <w:t>The prima facie enforceability presumption:</w:t>
      </w:r>
      <w:bookmarkEnd w:id="4"/>
    </w:p>
    <w:p w14:paraId="2115FA50" w14:textId="2B3DDBB6" w:rsidR="007525C1" w:rsidRPr="000A56B5" w:rsidRDefault="007525C1" w:rsidP="007525C1">
      <w:pPr>
        <w:rPr>
          <w:rFonts w:cstheme="minorHAnsi"/>
          <w:sz w:val="24"/>
          <w:szCs w:val="24"/>
        </w:rPr>
      </w:pPr>
      <w:r w:rsidRPr="000A56B5">
        <w:rPr>
          <w:rFonts w:cstheme="minorHAnsi"/>
          <w:sz w:val="24"/>
          <w:szCs w:val="24"/>
        </w:rPr>
        <w:t xml:space="preserve"> A contract is believed to be prima facie enforceable, which means that the parties can be legally bound by the terms of the agreement. This assumption can be overcome if there is a flaw in the contract's creation, such as fraud, duress, error, or illegality (Treitel, 2015).</w:t>
      </w:r>
    </w:p>
    <w:p w14:paraId="63308E26" w14:textId="77777777" w:rsidR="007525C1" w:rsidRPr="000A56B5" w:rsidRDefault="007525C1" w:rsidP="007525C1">
      <w:pPr>
        <w:rPr>
          <w:rFonts w:cstheme="minorHAnsi"/>
          <w:sz w:val="24"/>
          <w:szCs w:val="24"/>
        </w:rPr>
      </w:pPr>
      <w:r w:rsidRPr="000A56B5">
        <w:rPr>
          <w:rFonts w:cstheme="minorHAnsi"/>
          <w:sz w:val="24"/>
          <w:szCs w:val="24"/>
        </w:rPr>
        <w:t>The parole evidence statement holds that the written terms of a contract are considered to represent the final expression of the parties agreement and cannot be disputed by extrinsic evidence, such as oral remarks or past talks unless the contract is confusing or incomplete (Chitty, 2018).</w:t>
      </w:r>
    </w:p>
    <w:p w14:paraId="58CA45C2" w14:textId="75630343" w:rsidR="007525C1" w:rsidRPr="000A56B5" w:rsidRDefault="007525C1" w:rsidP="007525C1">
      <w:pPr>
        <w:rPr>
          <w:rFonts w:cstheme="minorHAnsi"/>
          <w:sz w:val="24"/>
          <w:szCs w:val="24"/>
        </w:rPr>
      </w:pPr>
      <w:r w:rsidRPr="000A56B5">
        <w:rPr>
          <w:rFonts w:cstheme="minorHAnsi"/>
          <w:sz w:val="24"/>
          <w:szCs w:val="24"/>
        </w:rPr>
        <w:t>These presumptions are not absolute and can be rejected by evidence to the contrary. For example, the presumption of purpose to create legal relations can be rebutted by demonstrating that the parties did not intend to be legally bound, even though the agreement was signed in a commercial/business setting. Similarly, the assumption of consideration might be rebutted by demonstrating that the consideration was illusory or of no value. Generally, the use of presumptions in contract law serves to develop a framework for analysing contractual disputes and deciding the parties intentions.</w:t>
      </w:r>
    </w:p>
    <w:p w14:paraId="62E30A47" w14:textId="77777777" w:rsidR="007525C1" w:rsidRPr="000A56B5" w:rsidRDefault="007525C1" w:rsidP="007525C1">
      <w:pPr>
        <w:rPr>
          <w:rFonts w:cstheme="minorHAnsi"/>
          <w:sz w:val="24"/>
          <w:szCs w:val="24"/>
        </w:rPr>
      </w:pPr>
    </w:p>
    <w:p w14:paraId="3B0E27BA" w14:textId="77777777" w:rsidR="007525C1" w:rsidRPr="000A56B5" w:rsidRDefault="007525C1" w:rsidP="002D2578">
      <w:pPr>
        <w:pStyle w:val="Heading2"/>
      </w:pPr>
      <w:bookmarkStart w:id="5" w:name="_Toc129262770"/>
      <w:r w:rsidRPr="000A56B5">
        <w:t>Examples of agreements</w:t>
      </w:r>
      <w:bookmarkEnd w:id="5"/>
    </w:p>
    <w:p w14:paraId="6AD8A942" w14:textId="5D01148E" w:rsidR="007525C1" w:rsidRPr="000A56B5" w:rsidRDefault="007525C1" w:rsidP="007525C1">
      <w:pPr>
        <w:rPr>
          <w:rFonts w:cstheme="minorHAnsi"/>
          <w:sz w:val="24"/>
          <w:szCs w:val="24"/>
        </w:rPr>
      </w:pPr>
      <w:r w:rsidRPr="000A56B5">
        <w:rPr>
          <w:rFonts w:cstheme="minorHAnsi"/>
          <w:sz w:val="24"/>
          <w:szCs w:val="24"/>
        </w:rPr>
        <w:t xml:space="preserve">a) </w:t>
      </w:r>
      <w:r w:rsidRPr="002D2578">
        <w:rPr>
          <w:rStyle w:val="Heading3Char"/>
        </w:rPr>
        <w:t>Social or domestic:</w:t>
      </w:r>
    </w:p>
    <w:p w14:paraId="14E23FAA" w14:textId="77777777" w:rsidR="007525C1" w:rsidRPr="000A56B5" w:rsidRDefault="007525C1" w:rsidP="007525C1">
      <w:pPr>
        <w:rPr>
          <w:rFonts w:cstheme="minorHAnsi"/>
          <w:sz w:val="24"/>
          <w:szCs w:val="24"/>
        </w:rPr>
      </w:pPr>
      <w:r w:rsidRPr="000A56B5">
        <w:rPr>
          <w:rFonts w:cstheme="minorHAnsi"/>
          <w:sz w:val="24"/>
          <w:szCs w:val="24"/>
        </w:rPr>
        <w:t xml:space="preserve">In social or domestic contexts, the courts have traditionally presumed that there is no intention to create legal relations between family members or friends and that agreements made in these contexts are merely expressions of goodwill or affection. This was established in Balfour v Balfour (1919) 2 KB 571, where it was held that there was no intention to create legal relations between a husband and wife who had agreed to their marriage (Martin, 2018). However, in Merritt v Merritt (1970) 1 WLR 1211, the court took a different approach and held that a husband and wife who had separated and made a written agreement to </w:t>
      </w:r>
      <w:r w:rsidRPr="000A56B5">
        <w:rPr>
          <w:rFonts w:cstheme="minorHAnsi"/>
          <w:sz w:val="24"/>
          <w:szCs w:val="24"/>
        </w:rPr>
        <w:lastRenderedPageBreak/>
        <w:t>transfer ownership of their home to the wife had intended to create legal relations (Harpum, et al., 2016). The court emphasized that the agreement had been made more formally than in Balfour and that the parties had been living apart.</w:t>
      </w:r>
    </w:p>
    <w:p w14:paraId="46B12BCF" w14:textId="77777777" w:rsidR="007525C1" w:rsidRPr="000A56B5" w:rsidRDefault="007525C1" w:rsidP="007525C1">
      <w:pPr>
        <w:rPr>
          <w:rFonts w:cstheme="minorHAnsi"/>
          <w:sz w:val="24"/>
          <w:szCs w:val="24"/>
        </w:rPr>
      </w:pPr>
    </w:p>
    <w:p w14:paraId="15EA6FE1" w14:textId="77777777" w:rsidR="007525C1" w:rsidRPr="000A56B5" w:rsidRDefault="007525C1" w:rsidP="007525C1">
      <w:pPr>
        <w:rPr>
          <w:rFonts w:cstheme="minorHAnsi"/>
          <w:sz w:val="24"/>
          <w:szCs w:val="24"/>
        </w:rPr>
      </w:pPr>
      <w:r w:rsidRPr="000A56B5">
        <w:rPr>
          <w:rFonts w:cstheme="minorHAnsi"/>
          <w:sz w:val="24"/>
          <w:szCs w:val="24"/>
        </w:rPr>
        <w:t>More recently, the courts have moved away from the presumption of no intention to create legal relations in social or domestic contexts, and instead take a contextual approach. In Jones v Padavatton (1969) 1 WLR 328, Lord Denning stated that the question of intention to create legal relations "depends on the circumstances of the particular case" (Parker, 2002). This was reiterated in Parker v Taswell (2002) EWCA Civ 968, where the court held that there was an intention to create legal relations between two friends who had agreed to purchase a property together, as the agreement had been made more formally than in Balfour (McKendrick, 2019).</w:t>
      </w:r>
    </w:p>
    <w:p w14:paraId="5DD2CFBF" w14:textId="77777777" w:rsidR="007525C1" w:rsidRPr="000A56B5" w:rsidRDefault="007525C1" w:rsidP="007525C1">
      <w:pPr>
        <w:rPr>
          <w:rFonts w:cstheme="minorHAnsi"/>
          <w:sz w:val="24"/>
          <w:szCs w:val="24"/>
        </w:rPr>
      </w:pPr>
    </w:p>
    <w:p w14:paraId="61204B79" w14:textId="15E839E3" w:rsidR="007525C1" w:rsidRPr="000A56B5" w:rsidRDefault="007525C1" w:rsidP="007525C1">
      <w:pPr>
        <w:rPr>
          <w:rFonts w:cstheme="minorHAnsi"/>
          <w:sz w:val="24"/>
          <w:szCs w:val="24"/>
        </w:rPr>
      </w:pPr>
      <w:r w:rsidRPr="000A56B5">
        <w:rPr>
          <w:rFonts w:cstheme="minorHAnsi"/>
          <w:sz w:val="24"/>
          <w:szCs w:val="24"/>
        </w:rPr>
        <w:t xml:space="preserve">b) </w:t>
      </w:r>
      <w:r w:rsidRPr="002D2578">
        <w:rPr>
          <w:rStyle w:val="Heading3Char"/>
        </w:rPr>
        <w:t>Commercial/business:</w:t>
      </w:r>
    </w:p>
    <w:p w14:paraId="1D5176D1" w14:textId="50E1F528" w:rsidR="007525C1" w:rsidRPr="000A56B5" w:rsidRDefault="007525C1" w:rsidP="007525C1">
      <w:pPr>
        <w:rPr>
          <w:rFonts w:cstheme="minorHAnsi"/>
          <w:sz w:val="24"/>
          <w:szCs w:val="24"/>
        </w:rPr>
      </w:pPr>
      <w:r w:rsidRPr="000A56B5">
        <w:rPr>
          <w:rFonts w:cstheme="minorHAnsi"/>
          <w:sz w:val="24"/>
          <w:szCs w:val="24"/>
        </w:rPr>
        <w:t>In commercial or business contexts, the courts have traditionally presumed that there is an intention to create legal relations, as it is generally assumed that parties entering into such agreements intend to be legally bound by them. This was established in Carlill v Carbolic Smoke Ball Co (1893) 1 QB 256, where the court held that an advertisement for a product that promised a reward to anyone who contracted influenza after using it was an offer to enter into a binding contract (Stone, 2019).</w:t>
      </w:r>
    </w:p>
    <w:p w14:paraId="594803EB" w14:textId="77777777" w:rsidR="007525C1" w:rsidRPr="000A56B5" w:rsidRDefault="007525C1" w:rsidP="007525C1">
      <w:pPr>
        <w:rPr>
          <w:rFonts w:cstheme="minorHAnsi"/>
          <w:sz w:val="24"/>
          <w:szCs w:val="24"/>
        </w:rPr>
      </w:pPr>
      <w:r w:rsidRPr="000A56B5">
        <w:rPr>
          <w:rFonts w:cstheme="minorHAnsi"/>
          <w:sz w:val="24"/>
          <w:szCs w:val="24"/>
        </w:rPr>
        <w:t>However, the courts have also recognized that in some circumstances, parties may not intend to be legally bound despite being engaged in a commercial or business transaction. In Rose and Frank Co v JR Crompton and Bros Ltd (1925) AC 445, the House of Lords held that a clause in a contract stating that it was not intended to be legally binding was effective in rebutting the presumption of an intention to create legal relations (Tetley, 2018). This was further developed in Esso Petroleum Co Ltd v Commissioners of Customs and Excise (1976) 1 WLR 1, where the court held that a memorandum of understanding between two companies was not intended to be legally binding as it contained a statement to that effect and that the parties had not acted in a way that indicated otherwise (Stone, 2019).</w:t>
      </w:r>
    </w:p>
    <w:p w14:paraId="3ACB3FF7" w14:textId="77777777" w:rsidR="007525C1" w:rsidRPr="000A56B5" w:rsidRDefault="007525C1" w:rsidP="007525C1">
      <w:pPr>
        <w:rPr>
          <w:rFonts w:cstheme="minorHAnsi"/>
          <w:sz w:val="24"/>
          <w:szCs w:val="24"/>
        </w:rPr>
      </w:pPr>
    </w:p>
    <w:p w14:paraId="17821C9E" w14:textId="4BC55C6F" w:rsidR="007525C1" w:rsidRPr="000A56B5" w:rsidRDefault="007525C1" w:rsidP="007525C1">
      <w:pPr>
        <w:rPr>
          <w:rFonts w:cstheme="minorHAnsi"/>
          <w:sz w:val="24"/>
          <w:szCs w:val="24"/>
        </w:rPr>
      </w:pPr>
      <w:r w:rsidRPr="000A56B5">
        <w:rPr>
          <w:rFonts w:cstheme="minorHAnsi"/>
          <w:sz w:val="24"/>
          <w:szCs w:val="24"/>
        </w:rPr>
        <w:t xml:space="preserve">c) </w:t>
      </w:r>
      <w:r w:rsidRPr="002D2578">
        <w:rPr>
          <w:rStyle w:val="Heading3Char"/>
        </w:rPr>
        <w:t>With public bodies:</w:t>
      </w:r>
    </w:p>
    <w:p w14:paraId="44488CC1" w14:textId="77BCC0B9" w:rsidR="007525C1" w:rsidRPr="000A56B5" w:rsidRDefault="007525C1" w:rsidP="007525C1">
      <w:pPr>
        <w:rPr>
          <w:rFonts w:cstheme="minorHAnsi"/>
          <w:sz w:val="24"/>
          <w:szCs w:val="24"/>
        </w:rPr>
      </w:pPr>
      <w:r w:rsidRPr="000A56B5">
        <w:rPr>
          <w:rFonts w:cstheme="minorHAnsi"/>
          <w:sz w:val="24"/>
          <w:szCs w:val="24"/>
        </w:rPr>
        <w:t>When dealing with public bodies, the courts have generally presumed that there is an intention to create legal relations, as public bodies are assumed to act following their legal powers and obligations. This was established in R v Panel on Takeovers and Mergers, ex parte Datafin plc (1987) QB 815, where the court held that an agreement between a private company and a public body regulating the conduct of a takeover bid was intended to be legally binding (Tetley, 2018).</w:t>
      </w:r>
    </w:p>
    <w:p w14:paraId="2E4CB057" w14:textId="77777777" w:rsidR="007525C1" w:rsidRPr="000A56B5" w:rsidRDefault="007525C1" w:rsidP="007525C1">
      <w:pPr>
        <w:rPr>
          <w:rFonts w:cstheme="minorHAnsi"/>
          <w:sz w:val="24"/>
          <w:szCs w:val="24"/>
        </w:rPr>
      </w:pPr>
      <w:r w:rsidRPr="000A56B5">
        <w:rPr>
          <w:rFonts w:cstheme="minorHAnsi"/>
          <w:sz w:val="24"/>
          <w:szCs w:val="24"/>
        </w:rPr>
        <w:t xml:space="preserve">However, the courts have recognised that there may be instances where a public entity does not intend to be legally bound. The Privy Council ruled in Attorney General of Belize v Belize </w:t>
      </w:r>
      <w:r w:rsidRPr="000A56B5">
        <w:rPr>
          <w:rFonts w:cstheme="minorHAnsi"/>
          <w:sz w:val="24"/>
          <w:szCs w:val="24"/>
        </w:rPr>
        <w:lastRenderedPageBreak/>
        <w:t>Telecom Ltd (2009) UKPC 10 that an agreement between the government of Belize and a telecommunications company was not intended to be legally binding because it was made in the context of a public policy statement, and the language of the agreement did not indicate an intention to create legal relations (Barnett, 2019). Similarly, in Bristol City Council v Savage (2018) EWCA Civ 1884, the court determined that a letter from the council to a tenant outlining a repayment plan for rent arrears was not meant to be legally binding.</w:t>
      </w:r>
    </w:p>
    <w:p w14:paraId="4F15C67B" w14:textId="77777777" w:rsidR="007525C1" w:rsidRPr="000A56B5" w:rsidRDefault="007525C1" w:rsidP="007525C1">
      <w:pPr>
        <w:rPr>
          <w:rFonts w:cstheme="minorHAnsi"/>
          <w:sz w:val="24"/>
          <w:szCs w:val="24"/>
        </w:rPr>
      </w:pPr>
    </w:p>
    <w:p w14:paraId="116C4476" w14:textId="77777777" w:rsidR="007525C1" w:rsidRPr="000A56B5" w:rsidRDefault="007525C1" w:rsidP="007525C1">
      <w:pPr>
        <w:rPr>
          <w:rFonts w:cstheme="minorHAnsi"/>
          <w:sz w:val="24"/>
          <w:szCs w:val="24"/>
        </w:rPr>
      </w:pPr>
      <w:r w:rsidRPr="000A56B5">
        <w:rPr>
          <w:rFonts w:cstheme="minorHAnsi"/>
          <w:sz w:val="24"/>
          <w:szCs w:val="24"/>
        </w:rPr>
        <w:t>Overall, it is clear that courts use a contextual approach to determine the intention to create legal relations, taking into account a variety of factors such as the nature of the parties' relationship, the formality of the agreement, and any statements or actions that indicate the parties' intentions. While there are basic presumptions that apply in different settings, these can be rebutted in particular cases when the evidence reveals a different purpose.</w:t>
      </w:r>
    </w:p>
    <w:p w14:paraId="018B2C4D" w14:textId="77777777" w:rsidR="007525C1" w:rsidRPr="000A56B5" w:rsidRDefault="007525C1" w:rsidP="007525C1">
      <w:pPr>
        <w:rPr>
          <w:rFonts w:cstheme="minorHAnsi"/>
          <w:sz w:val="24"/>
          <w:szCs w:val="24"/>
        </w:rPr>
      </w:pPr>
    </w:p>
    <w:p w14:paraId="532F39BF" w14:textId="77777777" w:rsidR="007525C1" w:rsidRPr="007A45ED" w:rsidRDefault="007525C1" w:rsidP="007A45ED">
      <w:pPr>
        <w:pStyle w:val="Heading1"/>
      </w:pPr>
      <w:bookmarkStart w:id="6" w:name="_Toc129262771"/>
      <w:r w:rsidRPr="007A45ED">
        <w:t>Conclusions</w:t>
      </w:r>
      <w:bookmarkEnd w:id="6"/>
    </w:p>
    <w:p w14:paraId="55C741EF" w14:textId="77777777" w:rsidR="007525C1" w:rsidRPr="000A56B5" w:rsidRDefault="007525C1" w:rsidP="007525C1">
      <w:pPr>
        <w:rPr>
          <w:rFonts w:cstheme="minorHAnsi"/>
          <w:sz w:val="24"/>
          <w:szCs w:val="24"/>
        </w:rPr>
      </w:pPr>
    </w:p>
    <w:p w14:paraId="58394231" w14:textId="77777777" w:rsidR="007525C1" w:rsidRPr="000A56B5" w:rsidRDefault="007525C1" w:rsidP="007525C1">
      <w:pPr>
        <w:rPr>
          <w:rFonts w:cstheme="minorHAnsi"/>
          <w:sz w:val="24"/>
          <w:szCs w:val="24"/>
        </w:rPr>
      </w:pPr>
      <w:r w:rsidRPr="000A56B5">
        <w:rPr>
          <w:rFonts w:cstheme="minorHAnsi"/>
          <w:sz w:val="24"/>
          <w:szCs w:val="24"/>
        </w:rPr>
        <w:t>The purpose to create legal relations is a crucial concept in the construction of a legally enforceable contract. It is an important factor in determining whether or not a contract is legally binding. This essay has explored the notion of purpose to form legal relations, its significance, and how it may be established in various types of contracts.</w:t>
      </w:r>
    </w:p>
    <w:p w14:paraId="27AD3FDF" w14:textId="77777777" w:rsidR="007525C1" w:rsidRPr="000A56B5" w:rsidRDefault="007525C1" w:rsidP="007525C1">
      <w:pPr>
        <w:rPr>
          <w:rFonts w:cstheme="minorHAnsi"/>
          <w:sz w:val="24"/>
          <w:szCs w:val="24"/>
        </w:rPr>
      </w:pPr>
      <w:r w:rsidRPr="000A56B5">
        <w:rPr>
          <w:rFonts w:cstheme="minorHAnsi"/>
          <w:sz w:val="24"/>
          <w:szCs w:val="24"/>
        </w:rPr>
        <w:t>According to Poole (2021), a purpose to form legal relations arises when the parties to a contract desire to be legally bound by their agreement. This aim can be communicated or assumed by the agreement's circumstances, including the parties' behaviour. As a result, while entering into a contract, parties must be explicit about their objectives to avoid future confusion or disagreements.</w:t>
      </w:r>
    </w:p>
    <w:p w14:paraId="3C782155" w14:textId="77777777" w:rsidR="007525C1" w:rsidRPr="000A56B5" w:rsidRDefault="007525C1" w:rsidP="007525C1">
      <w:pPr>
        <w:rPr>
          <w:rFonts w:cstheme="minorHAnsi"/>
          <w:sz w:val="24"/>
          <w:szCs w:val="24"/>
        </w:rPr>
      </w:pPr>
      <w:r w:rsidRPr="000A56B5">
        <w:rPr>
          <w:rFonts w:cstheme="minorHAnsi"/>
          <w:sz w:val="24"/>
          <w:szCs w:val="24"/>
        </w:rPr>
        <w:t>Commercial contracts are frequently prepared with considerable care and attention to detail, and the parties' purpose to be bound by their agreement is typically evident (Chitty et al., 2020). Yet, the presence of a purpose to create legal ties is not always easy to demonstrate, particularly in the context of social or domestic agreements. According to Stone and DeVenny (2020), in certain cases, there may be a presumption against the presence of a purpose to form legal relations, and the parties' intentions may need to be inferred from the circumstances of the agreement.</w:t>
      </w:r>
    </w:p>
    <w:p w14:paraId="67A3931E" w14:textId="77777777" w:rsidR="007525C1" w:rsidRPr="000A56B5" w:rsidRDefault="007525C1" w:rsidP="007525C1">
      <w:pPr>
        <w:rPr>
          <w:rFonts w:cstheme="minorHAnsi"/>
          <w:sz w:val="24"/>
          <w:szCs w:val="24"/>
        </w:rPr>
      </w:pPr>
      <w:r w:rsidRPr="000A56B5">
        <w:rPr>
          <w:rFonts w:cstheme="minorHAnsi"/>
          <w:sz w:val="24"/>
          <w:szCs w:val="24"/>
        </w:rPr>
        <w:t>Lastly, the purpose to develop legal relations is a vital component in the formation of a legally enforceable contract. Its existence or absence might have a substantial influence on an agreement's enforceability. As a result, parties must be explicit about their intentions, and courts must carefully analyse the circumstances underlying the establishment of a contract. The concepts of purpose to form legal connections are critical in maintaining the smooth operation of contract law, and their importance should not be overlooked.</w:t>
      </w:r>
    </w:p>
    <w:p w14:paraId="4271C00D" w14:textId="77777777" w:rsidR="005E375B" w:rsidRPr="000A56B5" w:rsidRDefault="005E375B">
      <w:pPr>
        <w:rPr>
          <w:rFonts w:cstheme="minorHAnsi"/>
          <w:sz w:val="24"/>
          <w:szCs w:val="24"/>
        </w:rPr>
      </w:pPr>
    </w:p>
    <w:p w14:paraId="5E16659D" w14:textId="77777777" w:rsidR="007525C1" w:rsidRPr="000A56B5" w:rsidRDefault="007525C1">
      <w:pPr>
        <w:rPr>
          <w:rFonts w:cstheme="minorHAnsi"/>
          <w:sz w:val="24"/>
          <w:szCs w:val="24"/>
        </w:rPr>
      </w:pPr>
    </w:p>
    <w:p w14:paraId="32D3DC5B" w14:textId="77777777" w:rsidR="007F633D" w:rsidRDefault="007F633D">
      <w:pPr>
        <w:rPr>
          <w:rFonts w:cstheme="minorHAnsi"/>
          <w:sz w:val="24"/>
          <w:szCs w:val="24"/>
        </w:rPr>
      </w:pPr>
    </w:p>
    <w:p w14:paraId="05A8696C" w14:textId="77777777" w:rsidR="007F633D" w:rsidRPr="000A56B5" w:rsidRDefault="007F633D">
      <w:pPr>
        <w:rPr>
          <w:rFonts w:cstheme="minorHAnsi"/>
          <w:sz w:val="24"/>
          <w:szCs w:val="24"/>
        </w:rPr>
      </w:pPr>
    </w:p>
    <w:p w14:paraId="15621086" w14:textId="096DE263" w:rsidR="007525C1" w:rsidRPr="000A56B5" w:rsidRDefault="007525C1" w:rsidP="000A56B5">
      <w:pPr>
        <w:pStyle w:val="Heading1"/>
      </w:pPr>
      <w:bookmarkStart w:id="7" w:name="_Toc129262772"/>
      <w:r w:rsidRPr="000A56B5">
        <w:t>References</w:t>
      </w:r>
      <w:bookmarkEnd w:id="7"/>
    </w:p>
    <w:p w14:paraId="6AD98A4D" w14:textId="77777777" w:rsidR="000A56B5" w:rsidRPr="000A56B5" w:rsidRDefault="000A56B5" w:rsidP="000A56B5">
      <w:pPr>
        <w:rPr>
          <w:rFonts w:cstheme="minorHAnsi"/>
          <w:sz w:val="24"/>
          <w:szCs w:val="24"/>
        </w:rPr>
      </w:pPr>
    </w:p>
    <w:p w14:paraId="3DE5BF62" w14:textId="588F2A04" w:rsidR="000A56B5" w:rsidRPr="000A56B5" w:rsidRDefault="000A56B5" w:rsidP="000A56B5">
      <w:pPr>
        <w:rPr>
          <w:rFonts w:cstheme="minorHAnsi"/>
          <w:sz w:val="24"/>
          <w:szCs w:val="24"/>
        </w:rPr>
      </w:pPr>
      <w:r w:rsidRPr="000A56B5">
        <w:rPr>
          <w:rFonts w:cstheme="minorHAnsi"/>
          <w:sz w:val="24"/>
          <w:szCs w:val="24"/>
        </w:rPr>
        <w:t>Chen-Wishart, M. (2018). Contract Law. Oxford University Press.</w:t>
      </w:r>
    </w:p>
    <w:p w14:paraId="31EBF06A" w14:textId="77777777" w:rsidR="000A56B5" w:rsidRPr="000A56B5" w:rsidRDefault="000A56B5" w:rsidP="000A56B5">
      <w:pPr>
        <w:rPr>
          <w:rFonts w:cstheme="minorHAnsi"/>
          <w:sz w:val="24"/>
          <w:szCs w:val="24"/>
        </w:rPr>
      </w:pPr>
      <w:r w:rsidRPr="000A56B5">
        <w:rPr>
          <w:rFonts w:cstheme="minorHAnsi"/>
          <w:sz w:val="24"/>
          <w:szCs w:val="24"/>
        </w:rPr>
        <w:t>Adams, M., &amp; Brownsword, R. (2018). Understanding contract law (10th ed.). Routledge.</w:t>
      </w:r>
    </w:p>
    <w:p w14:paraId="4372D5DE" w14:textId="77777777" w:rsidR="000A56B5" w:rsidRPr="000A56B5" w:rsidRDefault="000A56B5" w:rsidP="000A56B5">
      <w:pPr>
        <w:rPr>
          <w:rFonts w:cstheme="minorHAnsi"/>
          <w:sz w:val="24"/>
          <w:szCs w:val="24"/>
        </w:rPr>
      </w:pPr>
      <w:r w:rsidRPr="000A56B5">
        <w:rPr>
          <w:rFonts w:cstheme="minorHAnsi"/>
          <w:sz w:val="24"/>
          <w:szCs w:val="24"/>
        </w:rPr>
        <w:t>Burrows, A. (2019). A casebook on contract (6th ed.). Hart Publishing.</w:t>
      </w:r>
    </w:p>
    <w:p w14:paraId="27838ACE" w14:textId="77777777" w:rsidR="000A56B5" w:rsidRPr="000A56B5" w:rsidRDefault="000A56B5" w:rsidP="000A56B5">
      <w:pPr>
        <w:rPr>
          <w:rFonts w:cstheme="minorHAnsi"/>
          <w:sz w:val="24"/>
          <w:szCs w:val="24"/>
        </w:rPr>
      </w:pPr>
      <w:r w:rsidRPr="000A56B5">
        <w:rPr>
          <w:rFonts w:cstheme="minorHAnsi"/>
          <w:sz w:val="24"/>
          <w:szCs w:val="24"/>
        </w:rPr>
        <w:t>McKendrick, E. (2018). Contract law: Text, cases, and materials (7th ed.). Oxford University Press.</w:t>
      </w:r>
    </w:p>
    <w:p w14:paraId="0BFE6483" w14:textId="312DDE5D" w:rsidR="000A56B5" w:rsidRPr="000A56B5" w:rsidRDefault="000A56B5" w:rsidP="000A56B5">
      <w:pPr>
        <w:rPr>
          <w:rFonts w:cstheme="minorHAnsi"/>
          <w:sz w:val="24"/>
          <w:szCs w:val="24"/>
        </w:rPr>
      </w:pPr>
      <w:r w:rsidRPr="000A56B5">
        <w:rPr>
          <w:rFonts w:cstheme="minorHAnsi"/>
          <w:sz w:val="24"/>
          <w:szCs w:val="24"/>
        </w:rPr>
        <w:t>Treitel, G. (2017). The law of contract (14th ed.). Sweet &amp; Maxwell.</w:t>
      </w:r>
    </w:p>
    <w:p w14:paraId="19F9B778" w14:textId="3C518385" w:rsidR="000A56B5" w:rsidRPr="000A56B5" w:rsidRDefault="000A56B5" w:rsidP="000A56B5">
      <w:pPr>
        <w:rPr>
          <w:rFonts w:cstheme="minorHAnsi"/>
          <w:sz w:val="24"/>
          <w:szCs w:val="24"/>
        </w:rPr>
      </w:pPr>
      <w:r w:rsidRPr="000A56B5">
        <w:rPr>
          <w:rFonts w:cstheme="minorHAnsi"/>
          <w:sz w:val="24"/>
          <w:szCs w:val="24"/>
        </w:rPr>
        <w:t>Barnett, H. (2019). The intention to create legal relations in contracts. LegalVision. Retrieved from https://legalvision.com.au/the-intention-to-create-legal-relations-in-contracts/.</w:t>
      </w:r>
    </w:p>
    <w:p w14:paraId="506E62C6" w14:textId="71D3E108" w:rsidR="000A56B5" w:rsidRPr="000A56B5" w:rsidRDefault="000A56B5" w:rsidP="000A56B5">
      <w:pPr>
        <w:rPr>
          <w:rFonts w:cstheme="minorHAnsi"/>
          <w:sz w:val="24"/>
          <w:szCs w:val="24"/>
        </w:rPr>
      </w:pPr>
      <w:r w:rsidRPr="000A56B5">
        <w:rPr>
          <w:rFonts w:cstheme="minorHAnsi"/>
          <w:sz w:val="24"/>
          <w:szCs w:val="24"/>
        </w:rPr>
        <w:t>Freedland, M. (2019). Can a letter from a local authority create a binding agreement? Mayer Brown. Retrieved from https://www.mayerbrown.com/en/perspectives-events/publications/2019/01/can-a-letter-from-a-local-authority-create-a-binding-agreement.</w:t>
      </w:r>
    </w:p>
    <w:p w14:paraId="0F8FF583" w14:textId="611C8CCE" w:rsidR="000A56B5" w:rsidRPr="000A56B5" w:rsidRDefault="000A56B5" w:rsidP="000A56B5">
      <w:pPr>
        <w:rPr>
          <w:rFonts w:cstheme="minorHAnsi"/>
          <w:sz w:val="24"/>
          <w:szCs w:val="24"/>
        </w:rPr>
      </w:pPr>
      <w:r w:rsidRPr="000A56B5">
        <w:rPr>
          <w:rFonts w:cstheme="minorHAnsi"/>
          <w:sz w:val="24"/>
          <w:szCs w:val="24"/>
        </w:rPr>
        <w:t>Harpum, C., Bridge, S., &amp; Dixon, M. (2016). The Law of Property (2nd ed.). Oxford, UK: Oxford University Press.</w:t>
      </w:r>
    </w:p>
    <w:p w14:paraId="1017BC09" w14:textId="42EBC5E4" w:rsidR="000A56B5" w:rsidRPr="000A56B5" w:rsidRDefault="000A56B5" w:rsidP="000A56B5">
      <w:pPr>
        <w:rPr>
          <w:rFonts w:cstheme="minorHAnsi"/>
          <w:sz w:val="24"/>
          <w:szCs w:val="24"/>
        </w:rPr>
      </w:pPr>
      <w:r w:rsidRPr="000A56B5">
        <w:rPr>
          <w:rFonts w:cstheme="minorHAnsi"/>
          <w:sz w:val="24"/>
          <w:szCs w:val="24"/>
        </w:rPr>
        <w:t>Martin, J. (2018). Intention to create legal relations. Oxford Law Faculty. Retrieved from https://www.law.ox.ac.uk/business-law-blog/blog/2018/09/intention-create-legal-relations.</w:t>
      </w:r>
    </w:p>
    <w:p w14:paraId="74B643CF" w14:textId="1FE9EE2D" w:rsidR="000A56B5" w:rsidRPr="000A56B5" w:rsidRDefault="000A56B5" w:rsidP="000A56B5">
      <w:pPr>
        <w:rPr>
          <w:rFonts w:cstheme="minorHAnsi"/>
          <w:sz w:val="24"/>
          <w:szCs w:val="24"/>
        </w:rPr>
      </w:pPr>
      <w:r w:rsidRPr="000A56B5">
        <w:rPr>
          <w:rFonts w:cstheme="minorHAnsi"/>
          <w:sz w:val="24"/>
          <w:szCs w:val="24"/>
        </w:rPr>
        <w:t>McKendrick, E. (2019). Contract law: Text, cases, and materials (8th ed.). Oxford, UK: Oxford University Press.</w:t>
      </w:r>
    </w:p>
    <w:p w14:paraId="32BA298B" w14:textId="731641D0" w:rsidR="000A56B5" w:rsidRPr="000A56B5" w:rsidRDefault="000A56B5" w:rsidP="000A56B5">
      <w:pPr>
        <w:rPr>
          <w:rFonts w:cstheme="minorHAnsi"/>
          <w:sz w:val="24"/>
          <w:szCs w:val="24"/>
        </w:rPr>
      </w:pPr>
      <w:r w:rsidRPr="000A56B5">
        <w:rPr>
          <w:rFonts w:cstheme="minorHAnsi"/>
          <w:sz w:val="24"/>
          <w:szCs w:val="24"/>
        </w:rPr>
        <w:t>Parker v Taswell (2002) EWCA Civ 968.</w:t>
      </w:r>
    </w:p>
    <w:p w14:paraId="5287B12E" w14:textId="0780A033" w:rsidR="000A56B5" w:rsidRPr="000A56B5" w:rsidRDefault="000A56B5" w:rsidP="000A56B5">
      <w:pPr>
        <w:rPr>
          <w:rFonts w:cstheme="minorHAnsi"/>
          <w:sz w:val="24"/>
          <w:szCs w:val="24"/>
        </w:rPr>
      </w:pPr>
      <w:r w:rsidRPr="000A56B5">
        <w:rPr>
          <w:rFonts w:cstheme="minorHAnsi"/>
          <w:sz w:val="24"/>
          <w:szCs w:val="24"/>
        </w:rPr>
        <w:t>Rose and Frank Co v JR Crompton and Bros Ltd (1925) AC 445.</w:t>
      </w:r>
    </w:p>
    <w:p w14:paraId="69234D1B" w14:textId="2077C971" w:rsidR="000A56B5" w:rsidRPr="000A56B5" w:rsidRDefault="000A56B5" w:rsidP="000A56B5">
      <w:pPr>
        <w:rPr>
          <w:rFonts w:cstheme="minorHAnsi"/>
          <w:sz w:val="24"/>
          <w:szCs w:val="24"/>
        </w:rPr>
      </w:pPr>
      <w:r w:rsidRPr="000A56B5">
        <w:rPr>
          <w:rFonts w:cstheme="minorHAnsi"/>
          <w:sz w:val="24"/>
          <w:szCs w:val="24"/>
        </w:rPr>
        <w:t>Stone, R. (2019). The Modern Law of Contract (11th ed.). Abingdon, UK: Routledge.</w:t>
      </w:r>
    </w:p>
    <w:p w14:paraId="0A52058A" w14:textId="77777777" w:rsidR="000A56B5" w:rsidRPr="000A56B5" w:rsidRDefault="000A56B5" w:rsidP="000A56B5">
      <w:pPr>
        <w:rPr>
          <w:rFonts w:cstheme="minorHAnsi"/>
          <w:sz w:val="24"/>
          <w:szCs w:val="24"/>
        </w:rPr>
      </w:pPr>
      <w:r w:rsidRPr="000A56B5">
        <w:rPr>
          <w:rFonts w:cstheme="minorHAnsi"/>
          <w:sz w:val="24"/>
          <w:szCs w:val="24"/>
        </w:rPr>
        <w:t>Tetley, W. (2018). Intention to create legal relations. The Canadian Encyclopedia. Retrieved from https://www.thecanadianencyclopedia.ca/en/article/intention-to-create-legal-relations.</w:t>
      </w:r>
    </w:p>
    <w:p w14:paraId="07AB34DC" w14:textId="77777777" w:rsidR="000A56B5" w:rsidRPr="000A56B5" w:rsidRDefault="000A56B5" w:rsidP="000A56B5">
      <w:pPr>
        <w:rPr>
          <w:rFonts w:cstheme="minorHAnsi"/>
          <w:sz w:val="24"/>
          <w:szCs w:val="24"/>
        </w:rPr>
      </w:pPr>
      <w:r w:rsidRPr="000A56B5">
        <w:rPr>
          <w:rFonts w:cstheme="minorHAnsi"/>
          <w:sz w:val="24"/>
          <w:szCs w:val="24"/>
        </w:rPr>
        <w:t>Carlill v Carbolic Smoke Ball Co (1893) 1 QB 256</w:t>
      </w:r>
    </w:p>
    <w:p w14:paraId="4E179877" w14:textId="77777777" w:rsidR="000A56B5" w:rsidRPr="000A56B5" w:rsidRDefault="000A56B5" w:rsidP="000A56B5">
      <w:pPr>
        <w:rPr>
          <w:rFonts w:cstheme="minorHAnsi"/>
          <w:sz w:val="24"/>
          <w:szCs w:val="24"/>
        </w:rPr>
      </w:pPr>
      <w:r w:rsidRPr="000A56B5">
        <w:rPr>
          <w:rFonts w:cstheme="minorHAnsi"/>
          <w:sz w:val="24"/>
          <w:szCs w:val="24"/>
        </w:rPr>
        <w:t>Balfour v Balfour (1919) 2 KB 571</w:t>
      </w:r>
    </w:p>
    <w:p w14:paraId="7A40DE13" w14:textId="77777777" w:rsidR="000A56B5" w:rsidRPr="000A56B5" w:rsidRDefault="000A56B5" w:rsidP="000A56B5">
      <w:pPr>
        <w:rPr>
          <w:rFonts w:cstheme="minorHAnsi"/>
          <w:sz w:val="24"/>
          <w:szCs w:val="24"/>
        </w:rPr>
      </w:pPr>
      <w:r w:rsidRPr="000A56B5">
        <w:rPr>
          <w:rFonts w:cstheme="minorHAnsi"/>
          <w:sz w:val="24"/>
          <w:szCs w:val="24"/>
        </w:rPr>
        <w:t>Chitty, J. (2018). Chitty on Contracts. 33rd edition. Sweet &amp; Maxwell.</w:t>
      </w:r>
    </w:p>
    <w:p w14:paraId="2E0DF65D" w14:textId="7AAD19D8" w:rsidR="000A56B5" w:rsidRPr="000A56B5" w:rsidRDefault="000A56B5" w:rsidP="000A56B5">
      <w:pPr>
        <w:rPr>
          <w:rFonts w:cstheme="minorHAnsi"/>
          <w:sz w:val="24"/>
          <w:szCs w:val="24"/>
        </w:rPr>
      </w:pPr>
      <w:r w:rsidRPr="000A56B5">
        <w:rPr>
          <w:rFonts w:cstheme="minorHAnsi"/>
          <w:sz w:val="24"/>
          <w:szCs w:val="24"/>
        </w:rPr>
        <w:lastRenderedPageBreak/>
        <w:t>Treitel, G. (2015). Treitel on the Law of Contract. 14th edition. Sweet &amp; Maxwell.</w:t>
      </w:r>
    </w:p>
    <w:p w14:paraId="68B111E5" w14:textId="77777777" w:rsidR="000A56B5" w:rsidRPr="000A56B5" w:rsidRDefault="000A56B5" w:rsidP="000A56B5">
      <w:pPr>
        <w:rPr>
          <w:rFonts w:cstheme="minorHAnsi"/>
          <w:sz w:val="24"/>
          <w:szCs w:val="24"/>
        </w:rPr>
      </w:pPr>
      <w:r w:rsidRPr="000A56B5">
        <w:rPr>
          <w:rFonts w:cstheme="minorHAnsi"/>
          <w:sz w:val="24"/>
          <w:szCs w:val="24"/>
        </w:rPr>
        <w:t>Chitty, J., Furmston, M., &amp; Tolhurst, G. (2020). Chitty on contracts. Sweet &amp; Maxwell.</w:t>
      </w:r>
    </w:p>
    <w:p w14:paraId="6C085C4D" w14:textId="77777777" w:rsidR="000A56B5" w:rsidRPr="000A56B5" w:rsidRDefault="000A56B5" w:rsidP="000A56B5">
      <w:pPr>
        <w:rPr>
          <w:rFonts w:cstheme="minorHAnsi"/>
          <w:sz w:val="24"/>
          <w:szCs w:val="24"/>
        </w:rPr>
      </w:pPr>
      <w:r w:rsidRPr="000A56B5">
        <w:rPr>
          <w:rFonts w:cstheme="minorHAnsi"/>
          <w:sz w:val="24"/>
          <w:szCs w:val="24"/>
        </w:rPr>
        <w:t>Poole, J. (2021). Textbook on Contract Law. Oxford University Press.</w:t>
      </w:r>
    </w:p>
    <w:p w14:paraId="0AC7A784" w14:textId="44ADABD4" w:rsidR="000A56B5" w:rsidRPr="000A56B5" w:rsidRDefault="000A56B5" w:rsidP="000A56B5">
      <w:pPr>
        <w:rPr>
          <w:rFonts w:cstheme="minorHAnsi"/>
          <w:sz w:val="24"/>
          <w:szCs w:val="24"/>
        </w:rPr>
      </w:pPr>
      <w:r w:rsidRPr="000A56B5">
        <w:rPr>
          <w:rFonts w:cstheme="minorHAnsi"/>
          <w:sz w:val="24"/>
          <w:szCs w:val="24"/>
        </w:rPr>
        <w:t>Stone, R., &amp; Devenney, J. (2020). The Modern Law of Contract. Routledge.</w:t>
      </w:r>
    </w:p>
    <w:sectPr w:rsidR="000A56B5" w:rsidRPr="000A56B5" w:rsidSect="00D34555">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8B7A1" w14:textId="77777777" w:rsidR="007A45ED" w:rsidRDefault="007A45ED" w:rsidP="007A45ED">
      <w:pPr>
        <w:spacing w:after="0" w:line="240" w:lineRule="auto"/>
      </w:pPr>
      <w:r>
        <w:separator/>
      </w:r>
    </w:p>
  </w:endnote>
  <w:endnote w:type="continuationSeparator" w:id="0">
    <w:p w14:paraId="1A55AA67" w14:textId="77777777" w:rsidR="007A45ED" w:rsidRDefault="007A45ED" w:rsidP="007A4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7A45ED" w14:paraId="4BC84AFF" w14:textId="77777777">
      <w:trPr>
        <w:jc w:val="right"/>
      </w:trPr>
      <w:tc>
        <w:tcPr>
          <w:tcW w:w="4795" w:type="dxa"/>
          <w:vAlign w:val="center"/>
        </w:tcPr>
        <w:sdt>
          <w:sdtPr>
            <w:rPr>
              <w:caps/>
              <w:color w:val="000000" w:themeColor="text1"/>
            </w:rPr>
            <w:alias w:val="Author"/>
            <w:tag w:val=""/>
            <w:id w:val="1534539408"/>
            <w:placeholder>
              <w:docPart w:val="88480E0028FE4575BC655ED27951EF62"/>
            </w:placeholder>
            <w:dataBinding w:prefixMappings="xmlns:ns0='http://purl.org/dc/elements/1.1/' xmlns:ns1='http://schemas.openxmlformats.org/package/2006/metadata/core-properties' " w:xpath="/ns1:coreProperties[1]/ns0:creator[1]" w:storeItemID="{6C3C8BC8-F283-45AE-878A-BAB7291924A1}"/>
            <w:text/>
          </w:sdtPr>
          <w:sdtContent>
            <w:p w14:paraId="203B4CA4" w14:textId="2F3BA040" w:rsidR="007A45ED" w:rsidRDefault="007A45ED">
              <w:pPr>
                <w:pStyle w:val="Header"/>
                <w:jc w:val="right"/>
                <w:rPr>
                  <w:caps/>
                  <w:color w:val="000000" w:themeColor="text1"/>
                </w:rPr>
              </w:pPr>
              <w:r>
                <w:rPr>
                  <w:caps/>
                  <w:color w:val="000000" w:themeColor="text1"/>
                </w:rPr>
                <w:t>Bartosz Malinowski (2005342)</w:t>
              </w:r>
            </w:p>
          </w:sdtContent>
        </w:sdt>
      </w:tc>
      <w:tc>
        <w:tcPr>
          <w:tcW w:w="250" w:type="pct"/>
          <w:shd w:val="clear" w:color="auto" w:fill="ED7D31" w:themeFill="accent2"/>
          <w:vAlign w:val="center"/>
        </w:tcPr>
        <w:p w14:paraId="1DF7F03E" w14:textId="77777777" w:rsidR="007A45ED" w:rsidRDefault="007A45ED">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281C57F" w14:textId="77777777" w:rsidR="007A45ED" w:rsidRDefault="007A4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34C7B" w14:textId="77777777" w:rsidR="007A45ED" w:rsidRDefault="007A45ED" w:rsidP="007A45ED">
      <w:pPr>
        <w:spacing w:after="0" w:line="240" w:lineRule="auto"/>
      </w:pPr>
      <w:r>
        <w:separator/>
      </w:r>
    </w:p>
  </w:footnote>
  <w:footnote w:type="continuationSeparator" w:id="0">
    <w:p w14:paraId="19B4F410" w14:textId="77777777" w:rsidR="007A45ED" w:rsidRDefault="007A45ED" w:rsidP="007A45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C0B"/>
    <w:rsid w:val="000A56B5"/>
    <w:rsid w:val="00264199"/>
    <w:rsid w:val="002D2578"/>
    <w:rsid w:val="005E375B"/>
    <w:rsid w:val="00695065"/>
    <w:rsid w:val="007525C1"/>
    <w:rsid w:val="007A45ED"/>
    <w:rsid w:val="007F633D"/>
    <w:rsid w:val="00D34555"/>
    <w:rsid w:val="00D43C0B"/>
    <w:rsid w:val="00F1033B"/>
    <w:rsid w:val="00FA1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3B44C"/>
  <w15:chartTrackingRefBased/>
  <w15:docId w15:val="{F2A8BC06-1FDB-424C-9FD7-4C9BD9D26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7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5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5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45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34555"/>
    <w:rPr>
      <w:rFonts w:eastAsiaTheme="minorEastAsia"/>
      <w:kern w:val="0"/>
      <w:lang w:val="en-US"/>
      <w14:ligatures w14:val="none"/>
    </w:rPr>
  </w:style>
  <w:style w:type="character" w:customStyle="1" w:styleId="Heading1Char">
    <w:name w:val="Heading 1 Char"/>
    <w:basedOn w:val="DefaultParagraphFont"/>
    <w:link w:val="Heading1"/>
    <w:uiPriority w:val="9"/>
    <w:rsid w:val="005E37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375B"/>
    <w:pPr>
      <w:outlineLvl w:val="9"/>
    </w:pPr>
    <w:rPr>
      <w:kern w:val="0"/>
      <w:lang w:val="en-US"/>
      <w14:ligatures w14:val="none"/>
    </w:rPr>
  </w:style>
  <w:style w:type="paragraph" w:styleId="TOC1">
    <w:name w:val="toc 1"/>
    <w:basedOn w:val="Normal"/>
    <w:next w:val="Normal"/>
    <w:autoRedefine/>
    <w:uiPriority w:val="39"/>
    <w:unhideWhenUsed/>
    <w:rsid w:val="007525C1"/>
    <w:pPr>
      <w:spacing w:after="100"/>
    </w:pPr>
  </w:style>
  <w:style w:type="character" w:styleId="Hyperlink">
    <w:name w:val="Hyperlink"/>
    <w:basedOn w:val="DefaultParagraphFont"/>
    <w:uiPriority w:val="99"/>
    <w:unhideWhenUsed/>
    <w:rsid w:val="007525C1"/>
    <w:rPr>
      <w:color w:val="0563C1" w:themeColor="hyperlink"/>
      <w:u w:val="single"/>
    </w:rPr>
  </w:style>
  <w:style w:type="paragraph" w:styleId="Header">
    <w:name w:val="header"/>
    <w:basedOn w:val="Normal"/>
    <w:link w:val="HeaderChar"/>
    <w:uiPriority w:val="99"/>
    <w:unhideWhenUsed/>
    <w:rsid w:val="007A4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5ED"/>
  </w:style>
  <w:style w:type="paragraph" w:styleId="Footer">
    <w:name w:val="footer"/>
    <w:basedOn w:val="Normal"/>
    <w:link w:val="FooterChar"/>
    <w:uiPriority w:val="99"/>
    <w:unhideWhenUsed/>
    <w:rsid w:val="007A4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5ED"/>
  </w:style>
  <w:style w:type="character" w:customStyle="1" w:styleId="Heading2Char">
    <w:name w:val="Heading 2 Char"/>
    <w:basedOn w:val="DefaultParagraphFont"/>
    <w:link w:val="Heading2"/>
    <w:uiPriority w:val="9"/>
    <w:rsid w:val="002D25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D257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D25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480E0028FE4575BC655ED27951EF62"/>
        <w:category>
          <w:name w:val="General"/>
          <w:gallery w:val="placeholder"/>
        </w:category>
        <w:types>
          <w:type w:val="bbPlcHdr"/>
        </w:types>
        <w:behaviors>
          <w:behavior w:val="content"/>
        </w:behaviors>
        <w:guid w:val="{46FE79A8-05BB-415A-848D-9976C8C694CA}"/>
      </w:docPartPr>
      <w:docPartBody>
        <w:p w:rsidR="00000000" w:rsidRDefault="001D503F" w:rsidP="001D503F">
          <w:pPr>
            <w:pStyle w:val="88480E0028FE4575BC655ED27951EF62"/>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03F"/>
    <w:rsid w:val="001D5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480E0028FE4575BC655ED27951EF62">
    <w:name w:val="88480E0028FE4575BC655ED27951EF62"/>
    <w:rsid w:val="001D50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AF10C-AC7B-4A1C-A31C-19F2BD920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Intention to create legal relations</dc:title>
  <dc:subject>Bartosz Malinowski (2005342)</dc:subject>
  <dc:creator>Bartosz Malinowski (2005342)</dc:creator>
  <cp:keywords/>
  <dc:description/>
  <cp:lastModifiedBy>bmalinowski9292@gmail.com</cp:lastModifiedBy>
  <cp:revision>8</cp:revision>
  <dcterms:created xsi:type="dcterms:W3CDTF">2023-03-09T13:47:00Z</dcterms:created>
  <dcterms:modified xsi:type="dcterms:W3CDTF">2023-03-09T13:59:00Z</dcterms:modified>
</cp:coreProperties>
</file>