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tbl>
      <w:tblPr>
        <w:tblW w:w="9629"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42"/>
        <w:gridCol w:w="7087"/>
      </w:tblGrid>
      <w:tr>
        <w:tblPrEx>
          <w:shd w:val="clear" w:color="auto" w:fill="ced7e7"/>
        </w:tblPrEx>
        <w:trPr>
          <w:trHeight w:val="468"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9"/>
              <w:bottom w:type="dxa" w:w="80"/>
              <w:right w:type="dxa" w:w="80"/>
            </w:tcMar>
            <w:vAlign w:val="top"/>
          </w:tcPr>
          <w:p>
            <w:pPr>
              <w:pStyle w:val="Body A"/>
              <w:spacing w:line="360" w:lineRule="auto"/>
              <w:ind w:left="129" w:firstLine="0"/>
            </w:pPr>
            <w:r>
              <w:rPr>
                <w:rFonts w:ascii="Times New Roman" w:hAnsi="Times New Roman"/>
                <w:b w:val="1"/>
                <w:bCs w:val="1"/>
                <w:sz w:val="24"/>
                <w:szCs w:val="24"/>
                <w:shd w:val="nil" w:color="auto" w:fill="auto"/>
                <w:rtl w:val="0"/>
                <w:lang w:val="en-US"/>
              </w:rPr>
              <w:t>Programme:</w:t>
            </w:r>
            <w:r>
              <w:rPr>
                <w:rFonts w:ascii="Times New Roman" w:hAnsi="Times New Roman" w:hint="default"/>
                <w:b w:val="1"/>
                <w:bCs w:val="1"/>
                <w:sz w:val="24"/>
                <w:szCs w:val="24"/>
                <w:shd w:val="nil" w:color="auto" w:fill="auto"/>
                <w:rtl w:val="0"/>
                <w:lang w:val="en-US"/>
              </w:rPr>
              <w:t> </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MSc Public Health and Social Care in Practice</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line="360" w:lineRule="auto"/>
              <w:ind w:left="128" w:firstLine="0"/>
            </w:pPr>
            <w:r>
              <w:rPr>
                <w:rFonts w:ascii="Times New Roman" w:hAnsi="Times New Roman"/>
                <w:b w:val="1"/>
                <w:bCs w:val="1"/>
                <w:sz w:val="24"/>
                <w:szCs w:val="24"/>
                <w:shd w:val="nil" w:color="auto" w:fill="auto"/>
                <w:rtl w:val="0"/>
                <w:lang w:val="en-US"/>
              </w:rPr>
              <w:t>Module:</w:t>
            </w:r>
            <w:r>
              <w:rPr>
                <w:rFonts w:ascii="Times New Roman" w:hAnsi="Times New Roman" w:hint="default"/>
                <w:b w:val="1"/>
                <w:bCs w:val="1"/>
                <w:sz w:val="24"/>
                <w:szCs w:val="24"/>
                <w:shd w:val="nil" w:color="auto" w:fill="auto"/>
                <w:rtl w:val="0"/>
                <w:lang w:val="en-US"/>
              </w:rPr>
              <w:t> </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Population Health and Digital Health Promotion</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line="360" w:lineRule="auto"/>
              <w:ind w:left="128" w:firstLine="0"/>
            </w:pPr>
            <w:r>
              <w:rPr>
                <w:rFonts w:ascii="Times New Roman" w:hAnsi="Times New Roman"/>
                <w:b w:val="1"/>
                <w:bCs w:val="1"/>
                <w:sz w:val="24"/>
                <w:szCs w:val="24"/>
                <w:shd w:val="nil" w:color="auto" w:fill="auto"/>
                <w:rtl w:val="0"/>
                <w:lang w:val="en-US"/>
              </w:rPr>
              <w:t>Module code:</w:t>
            </w:r>
            <w:r>
              <w:rPr>
                <w:rFonts w:ascii="Times New Roman" w:hAnsi="Times New Roman" w:hint="default"/>
                <w:b w:val="1"/>
                <w:bCs w:val="1"/>
                <w:sz w:val="24"/>
                <w:szCs w:val="24"/>
                <w:shd w:val="nil" w:color="auto" w:fill="auto"/>
                <w:rtl w:val="0"/>
                <w:lang w:val="en-US"/>
              </w:rPr>
              <w:t> </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LCHS7009</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line="360" w:lineRule="auto"/>
              <w:ind w:left="128" w:firstLine="0"/>
            </w:pPr>
            <w:r>
              <w:rPr>
                <w:rFonts w:ascii="Times New Roman" w:hAnsi="Times New Roman"/>
                <w:b w:val="1"/>
                <w:bCs w:val="1"/>
                <w:sz w:val="24"/>
                <w:szCs w:val="24"/>
                <w:shd w:val="nil" w:color="auto" w:fill="auto"/>
                <w:rtl w:val="0"/>
                <w:lang w:val="en-US"/>
              </w:rPr>
              <w:t>Lecturer</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Diola Bijlhout` Dr Ping Wu</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line="360" w:lineRule="auto"/>
              <w:ind w:left="128" w:firstLine="0"/>
            </w:pPr>
            <w:r>
              <w:rPr>
                <w:rFonts w:ascii="Times New Roman" w:hAnsi="Times New Roman"/>
                <w:b w:val="1"/>
                <w:bCs w:val="1"/>
                <w:sz w:val="24"/>
                <w:szCs w:val="24"/>
                <w:shd w:val="nil" w:color="auto" w:fill="auto"/>
                <w:rtl w:val="0"/>
                <w:lang w:val="en-US"/>
              </w:rPr>
              <w:t>Assignment Title:</w:t>
            </w:r>
            <w:r>
              <w:rPr>
                <w:rFonts w:ascii="Times New Roman" w:hAnsi="Times New Roman" w:hint="default"/>
                <w:b w:val="1"/>
                <w:bCs w:val="1"/>
                <w:sz w:val="24"/>
                <w:szCs w:val="24"/>
                <w:shd w:val="nil" w:color="auto" w:fill="auto"/>
                <w:rtl w:val="0"/>
                <w:lang w:val="en-US"/>
              </w:rPr>
              <w:t> </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Component 1, 2 Blogs</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line="360" w:lineRule="auto"/>
              <w:ind w:left="128" w:firstLine="0"/>
            </w:pPr>
            <w:r>
              <w:rPr>
                <w:rFonts w:ascii="Times New Roman" w:hAnsi="Times New Roman"/>
                <w:b w:val="1"/>
                <w:bCs w:val="1"/>
                <w:sz w:val="24"/>
                <w:szCs w:val="24"/>
                <w:shd w:val="nil" w:color="auto" w:fill="auto"/>
                <w:rtl w:val="0"/>
                <w:lang w:val="en-US"/>
              </w:rPr>
              <w:t>Student Name</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A"/>
              <w:spacing w:line="360" w:lineRule="auto"/>
            </w:pPr>
            <w:r>
              <w:rPr>
                <w:rFonts w:ascii="Times New Roman" w:hAnsi="Times New Roman"/>
                <w:b w:val="1"/>
                <w:bCs w:val="1"/>
                <w:sz w:val="24"/>
                <w:szCs w:val="24"/>
                <w:shd w:val="nil" w:color="auto" w:fill="auto"/>
                <w:rtl w:val="0"/>
                <w:lang w:val="en-US"/>
              </w:rPr>
              <w:t>Sahid Shabbir Ahmad Bhaiyat</w:t>
            </w:r>
          </w:p>
        </w:tc>
      </w:tr>
      <w:tr>
        <w:tblPrEx>
          <w:shd w:val="clear" w:color="auto" w:fill="ced7e7"/>
        </w:tblPrEx>
        <w:trPr>
          <w:trHeight w:val="486" w:hRule="atLeast"/>
        </w:trPr>
        <w:tc>
          <w:tcPr>
            <w:tcW w:type="dxa" w:w="254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208"/>
              <w:bottom w:type="dxa" w:w="80"/>
              <w:right w:type="dxa" w:w="80"/>
            </w:tcMar>
            <w:vAlign w:val="top"/>
          </w:tcPr>
          <w:p>
            <w:pPr>
              <w:pStyle w:val="Body A"/>
              <w:spacing w:before="110" w:line="360" w:lineRule="auto"/>
              <w:ind w:left="128" w:firstLine="0"/>
            </w:pPr>
            <w:r>
              <w:rPr>
                <w:rFonts w:ascii="Times New Roman" w:hAnsi="Times New Roman"/>
                <w:b w:val="1"/>
                <w:bCs w:val="1"/>
                <w:sz w:val="24"/>
                <w:szCs w:val="24"/>
                <w:shd w:val="nil" w:color="auto" w:fill="auto"/>
                <w:rtl w:val="0"/>
                <w:lang w:val="en-US"/>
              </w:rPr>
              <w:t>Student ID:</w:t>
            </w:r>
          </w:p>
        </w:tc>
        <w:tc>
          <w:tcPr>
            <w:tcW w:type="dxa" w:w="7087"/>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122"/>
            </w:tcMar>
            <w:vAlign w:val="top"/>
          </w:tcPr>
          <w:p>
            <w:pPr>
              <w:pStyle w:val="Body A"/>
              <w:spacing w:line="360" w:lineRule="auto"/>
              <w:ind w:right="42"/>
              <w:jc w:val="both"/>
            </w:pPr>
            <w:r>
              <w:rPr>
                <w:rFonts w:ascii="Times New Roman" w:hAnsi="Times New Roman"/>
                <w:b w:val="1"/>
                <w:bCs w:val="1"/>
                <w:sz w:val="24"/>
                <w:szCs w:val="24"/>
                <w:shd w:val="nil" w:color="auto" w:fill="auto"/>
                <w:rtl w:val="0"/>
                <w:lang w:val="en-US"/>
              </w:rPr>
              <w:t>2525517</w:t>
            </w:r>
          </w:p>
        </w:tc>
      </w:tr>
    </w:tbl>
    <w:p>
      <w:pPr>
        <w:pStyle w:val="Body"/>
        <w:widowControl w:val="0"/>
        <w:ind w:left="108" w:hanging="108"/>
      </w:pPr>
    </w:p>
    <w:p>
      <w:pPr>
        <w:pStyle w:val="Body A"/>
        <w:spacing w:after="240" w:line="240" w:lineRule="auto"/>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anchor distT="57150" distB="57150" distL="57150" distR="57150" simplePos="0" relativeHeight="251659264" behindDoc="0" locked="0" layoutInCell="1" allowOverlap="1">
            <wp:simplePos x="0" y="0"/>
            <wp:positionH relativeFrom="column">
              <wp:posOffset>4030980</wp:posOffset>
            </wp:positionH>
            <wp:positionV relativeFrom="line">
              <wp:posOffset>0</wp:posOffset>
            </wp:positionV>
            <wp:extent cx="1674495" cy="725170"/>
            <wp:effectExtent l="0" t="0" r="0" b="0"/>
            <wp:wrapSquare wrapText="bothSides" distL="57150" distR="57150" distT="57150" distB="57150"/>
            <wp:docPr id="1073741825" name="officeArt object" descr="Picture 3"/>
            <wp:cNvGraphicFramePr/>
            <a:graphic xmlns:a="http://schemas.openxmlformats.org/drawingml/2006/main">
              <a:graphicData uri="http://schemas.openxmlformats.org/drawingml/2006/picture">
                <pic:pic xmlns:pic="http://schemas.openxmlformats.org/drawingml/2006/picture">
                  <pic:nvPicPr>
                    <pic:cNvPr id="1073741825" name="Picture 3" descr="Picture 3"/>
                    <pic:cNvPicPr>
                      <a:picLocks noChangeAspect="1"/>
                    </pic:cNvPicPr>
                  </pic:nvPicPr>
                  <pic:blipFill>
                    <a:blip r:embed="rId4">
                      <a:extLst/>
                    </a:blip>
                    <a:stretch>
                      <a:fillRect/>
                    </a:stretch>
                  </pic:blipFill>
                  <pic:spPr>
                    <a:xfrm>
                      <a:off x="0" y="0"/>
                      <a:ext cx="1674495" cy="725170"/>
                    </a:xfrm>
                    <a:prstGeom prst="rect">
                      <a:avLst/>
                    </a:prstGeom>
                    <a:ln w="12700" cap="flat">
                      <a:noFill/>
                      <a:miter lim="400000"/>
                    </a:ln>
                    <a:effectLst/>
                  </pic:spPr>
                </pic:pic>
              </a:graphicData>
            </a:graphic>
          </wp:anchor>
        </w:drawing>
      </w:r>
    </w:p>
    <w:p>
      <w:pPr>
        <w:pStyle w:val="Body A"/>
        <w:jc w:val="center"/>
      </w:pPr>
      <w:r>
        <w:rPr>
          <w:rFonts w:ascii="Arial Unicode MS" w:cs="Arial Unicode MS" w:hAnsi="Arial Unicode MS" w:eastAsia="Arial Unicode MS"/>
          <w:b w:val="0"/>
          <w:bCs w:val="0"/>
          <w:i w:val="0"/>
          <w:iCs w:val="0"/>
          <w:sz w:val="24"/>
          <w:szCs w:val="24"/>
        </w:rPr>
        <w:br w:type="page"/>
      </w:r>
    </w:p>
    <w:p>
      <w:pPr>
        <w:pStyle w:val="TOC Heading"/>
        <w:spacing w:line="360" w:lineRule="auto"/>
        <w:jc w:val="center"/>
        <w:rPr>
          <w:rFonts w:ascii="Times New Roman" w:cs="Times New Roman" w:hAnsi="Times New Roman" w:eastAsia="Times New Roman"/>
          <w:sz w:val="24"/>
          <w:szCs w:val="24"/>
        </w:rPr>
      </w:pPr>
      <w:r>
        <w:rPr>
          <w:rFonts w:ascii="Times New Roman" w:hAnsi="Times New Roman"/>
          <w:sz w:val="24"/>
          <w:szCs w:val="24"/>
          <w:rtl w:val="0"/>
          <w:lang w:val="en-US"/>
        </w:rPr>
        <w:t>Table of Contents</w:t>
      </w:r>
    </w:p>
    <w:p>
      <w:pPr>
        <w:pStyle w:val="Body"/>
        <w:spacing w:line="360" w:lineRule="auto"/>
        <w:jc w:val="both"/>
      </w:pPr>
      <w:r>
        <w:rPr>
          <w:sz w:val="24"/>
          <w:szCs w:val="24"/>
        </w:rPr>
        <w:fldChar w:fldCharType="begin" w:fldLock="0"/>
      </w:r>
      <w:r>
        <w:rPr>
          <w:sz w:val="24"/>
          <w:szCs w:val="24"/>
        </w:rPr>
        <w:instrText xml:space="preserve"> TOC \o 1-1 </w:instrText>
      </w:r>
      <w:r>
        <w:rPr>
          <w:sz w:val="24"/>
          <w:szCs w:val="24"/>
        </w:rPr>
        <w:fldChar w:fldCharType="separate" w:fldLock="0"/>
      </w:r>
    </w:p>
    <w:p>
      <w:pPr>
        <w:pStyle w:val="TOC 1"/>
      </w:pPr>
      <w:r>
        <w:rPr>
          <w:rFonts w:cs="Arial Unicode MS" w:eastAsia="Arial Unicode MS"/>
          <w:rtl w:val="0"/>
        </w:rPr>
        <w:t>Blog 1- Critically discuss the impact of an existing digital technology currently used for a digital health promotion intervention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References</w:t>
        <w:tab/>
      </w:r>
      <w:r>
        <w:rPr/>
        <w:fldChar w:fldCharType="begin" w:fldLock="0"/>
      </w:r>
      <w:r>
        <w:instrText xml:space="preserve"> PAGEREF _Toc1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Blog 2- Critically discuss the impact of a digital technology for a digital health promotion intervention</w:t>
        <w:tab/>
      </w:r>
      <w:r>
        <w:rPr/>
        <w:fldChar w:fldCharType="begin" w:fldLock="0"/>
      </w:r>
      <w:r>
        <w:instrText xml:space="preserve"> PAGEREF _Toc2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References:</w:t>
        <w:tab/>
      </w:r>
      <w:r>
        <w:rPr/>
        <w:fldChar w:fldCharType="begin" w:fldLock="0"/>
      </w:r>
      <w:r>
        <w:instrText xml:space="preserve"> PAGEREF _Toc3 \h </w:instrText>
      </w:r>
      <w:r>
        <w:rPr/>
        <w:fldChar w:fldCharType="separate" w:fldLock="0"/>
      </w:r>
      <w:r>
        <w:rPr>
          <w:rFonts w:cs="Arial Unicode MS" w:eastAsia="Arial Unicode MS"/>
          <w:rtl w:val="0"/>
        </w:rPr>
        <w:t>13</w:t>
      </w:r>
      <w:r>
        <w:rPr/>
        <w:fldChar w:fldCharType="end" w:fldLock="0"/>
      </w:r>
    </w:p>
    <w:p>
      <w:pPr>
        <w:spacing w:line="360" w:lineRule="auto"/>
        <w:jc w:val="both"/>
      </w:pPr>
      <w:r>
        <w:rPr>
          <w:sz w:val="24"/>
          <w:szCs w:val="24"/>
        </w:rPr>
        <w:fldChar w:fldCharType="end" w:fldLock="0"/>
      </w:r>
    </w:p>
    <w:p>
      <w:pPr>
        <w:pStyle w:val="Body A"/>
        <w:spacing w:line="360" w:lineRule="auto"/>
        <w:jc w:val="both"/>
      </w:pPr>
      <w:r>
        <w:rPr>
          <w:rFonts w:ascii="Arial Unicode MS" w:cs="Arial Unicode MS" w:hAnsi="Arial Unicode MS" w:eastAsia="Arial Unicode MS"/>
          <w:b w:val="0"/>
          <w:bCs w:val="0"/>
          <w:i w:val="0"/>
          <w:iCs w:val="0"/>
          <w:sz w:val="24"/>
          <w:szCs w:val="24"/>
        </w:rPr>
        <w:br w:type="page"/>
      </w:r>
    </w:p>
    <w:p>
      <w:pPr>
        <w:pStyle w:val="Heading"/>
        <w:rPr>
          <w:b w:val="0"/>
          <w:bCs w:val="0"/>
        </w:rPr>
      </w:pPr>
      <w:bookmarkStart w:name="_Toc" w:id="0"/>
      <w:r>
        <w:rPr>
          <w:rFonts w:cs="Arial Unicode MS" w:eastAsia="Arial Unicode MS"/>
          <w:rtl w:val="0"/>
          <w:lang w:val="en-US"/>
        </w:rPr>
        <w:t>Blog 1- Critically discuss the impact of an existing digital technology currently used for a digital health promotion intervention</w:t>
      </w:r>
      <w:bookmarkEnd w:id="0"/>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Title: Digital Health Technologies for Obesity Management: Opportunities, Challenges and Future Directions</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Introduction:</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Obesity has become a major concern because it is the primary driver for severe, life-threatening conditions like type 2 diabetes, heart disease, stroke and even cancer (Balasundaram and Daley, 2025). More than 1 billion people are living with obesity in nearly every country (WHO, 2025).</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5943600" cy="4191000"/>
            <wp:effectExtent l="0" t="0" r="0" b="0"/>
            <wp:docPr id="1073741826" name="officeArt object" descr="image1.png"/>
            <wp:cNvGraphicFramePr/>
            <a:graphic xmlns:a="http://schemas.openxmlformats.org/drawingml/2006/main">
              <a:graphicData uri="http://schemas.openxmlformats.org/drawingml/2006/picture">
                <pic:pic xmlns:pic="http://schemas.openxmlformats.org/drawingml/2006/picture">
                  <pic:nvPicPr>
                    <pic:cNvPr id="1073741826" name="image1.png" descr="image1.png"/>
                    <pic:cNvPicPr>
                      <a:picLocks noChangeAspect="1"/>
                    </pic:cNvPicPr>
                  </pic:nvPicPr>
                  <pic:blipFill>
                    <a:blip r:embed="rId5">
                      <a:extLst/>
                    </a:blip>
                    <a:stretch>
                      <a:fillRect/>
                    </a:stretch>
                  </pic:blipFill>
                  <pic:spPr>
                    <a:xfrm>
                      <a:off x="0" y="0"/>
                      <a:ext cx="5943600" cy="4191000"/>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Figure.1: Obesity statistics in England</w:t>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(Source: Health Express, 2024)</w:t>
      </w:r>
    </w:p>
    <w:p>
      <w:pPr>
        <w:pStyle w:val="Body A"/>
        <w:spacing w:line="360" w:lineRule="auto"/>
        <w:jc w:val="both"/>
        <w:rPr>
          <w:rFonts w:ascii="Times New Roman" w:cs="Times New Roman" w:hAnsi="Times New Roman" w:eastAsia="Times New Roman"/>
          <w:b w:val="1"/>
          <w:bCs w:val="1"/>
          <w:sz w:val="24"/>
          <w:szCs w:val="24"/>
        </w:rPr>
      </w:pPr>
      <w:r>
        <w:rPr>
          <w:rFonts w:ascii="Times New Roman" w:cs="Times New Roman" w:hAnsi="Times New Roman" w:eastAsia="Times New Roman"/>
          <w:b w:val="1"/>
          <w:bCs w:val="1"/>
          <w:sz w:val="24"/>
          <w:szCs w:val="24"/>
        </w:rPr>
        <w:br w:type="textWrapping"/>
        <w:br w:type="textWrapping"/>
      </w:r>
      <w:r>
        <w:rPr>
          <w:rFonts w:ascii="Times New Roman" w:hAnsi="Times New Roman"/>
          <w:b w:val="1"/>
          <w:bCs w:val="1"/>
          <w:sz w:val="24"/>
          <w:szCs w:val="24"/>
          <w:rtl w:val="0"/>
          <w:lang w:val="en-US"/>
        </w:rPr>
        <w:t>Public health problem:</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 2024, 64.5% adults aged under 18 were estimated to be facing obesity in England (Gov. uk, 2024).  Hypertension and hyperlipidaemia, contributing to premature mortality, disability and reduced quality of life (NHS, 2024). Rising obesity increases pressure on healthcare systems through higher treatment costs, greater service demand, infrastructure strain, and increased musculoskeletal injuries among healthcare workers (Kyle et al., 2017).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Existing digital technology: </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existing digital technology for obesity management includes wearable fitness bands for active monitoring, smartphone health tracking applications and telehealth platforms for remote monitoring by physicians (Irvin et al., 2023). This significantly increases energy expenditure per workday by interrupting prolonged occupational sitting time. The use of digital technology is increasingly used either in a generic or in a tailored manner, which relies on personal data collection, raising privacy concerns. Moreover, by including low-cost sequencing technology, speech recognition and automated image interpretation, these technologies are also categorised into genomic testing, digital medicine, artificial intelligence and robotics (Hinchliffe et al., 2022).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Evidence of effectiveness: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According to the World Health Organisation, complex interactions between genetics, neurobiology, eating behaviour, market forces and environment play a role in creating obesity, a chronic relapsing disease (WHO, 2025). The forces driven by globalisation and industrialisation that are creating an obesogenic environment and lack of physical activity. In England in 2024, 67.4% of adults are physically inactive, with men being more physically inactive than women (Gov.uk, 2025). This indicates that technology advancement, urbanisation and dietary shift increase the rate of obesity in the UK.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center"/>
        <w:rPr>
          <w:rFonts w:ascii="Times New Roman" w:cs="Times New Roman" w:hAnsi="Times New Roman" w:eastAsia="Times New Roman"/>
          <w:sz w:val="24"/>
          <w:szCs w:val="24"/>
        </w:rPr>
      </w:pPr>
      <w:r>
        <w:rPr>
          <w:rFonts w:ascii="Times New Roman" w:cs="Times New Roman" w:hAnsi="Times New Roman" w:eastAsia="Times New Roman"/>
          <w:sz w:val="24"/>
          <w:szCs w:val="24"/>
        </w:rPr>
        <w:drawing xmlns:a="http://schemas.openxmlformats.org/drawingml/2006/main">
          <wp:inline distT="0" distB="0" distL="0" distR="0">
            <wp:extent cx="4640094" cy="2013626"/>
            <wp:effectExtent l="0" t="0" r="0" b="0"/>
            <wp:docPr id="1073741827" name="officeArt object" descr="image2.png"/>
            <wp:cNvGraphicFramePr/>
            <a:graphic xmlns:a="http://schemas.openxmlformats.org/drawingml/2006/main">
              <a:graphicData uri="http://schemas.openxmlformats.org/drawingml/2006/picture">
                <pic:pic xmlns:pic="http://schemas.openxmlformats.org/drawingml/2006/picture">
                  <pic:nvPicPr>
                    <pic:cNvPr id="1073741827" name="image2.png" descr="image2.png"/>
                    <pic:cNvPicPr>
                      <a:picLocks noChangeAspect="1"/>
                    </pic:cNvPicPr>
                  </pic:nvPicPr>
                  <pic:blipFill>
                    <a:blip r:embed="rId6">
                      <a:extLst/>
                    </a:blip>
                    <a:stretch>
                      <a:fillRect/>
                    </a:stretch>
                  </pic:blipFill>
                  <pic:spPr>
                    <a:xfrm>
                      <a:off x="0" y="0"/>
                      <a:ext cx="4640094" cy="2013626"/>
                    </a:xfrm>
                    <a:prstGeom prst="rect">
                      <a:avLst/>
                    </a:prstGeom>
                    <a:ln w="12700" cap="flat">
                      <a:noFill/>
                      <a:miter lim="400000"/>
                    </a:ln>
                    <a:effectLst/>
                  </pic:spPr>
                </pic:pic>
              </a:graphicData>
            </a:graphic>
          </wp:inline>
        </w:drawing>
      </w:r>
    </w:p>
    <w:p>
      <w:pPr>
        <w:pStyle w:val="Body A"/>
        <w:spacing w:line="360" w:lineRule="aut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Figure.2: Obesity prevalence </w:t>
      </w:r>
      <w:r>
        <w:rPr>
          <w:rFonts w:ascii="Times New Roman" w:cs="Times New Roman" w:hAnsi="Times New Roman" w:eastAsia="Times New Roman"/>
          <w:b w:val="1"/>
          <w:bCs w:val="1"/>
          <w:sz w:val="24"/>
          <w:szCs w:val="24"/>
          <w:rtl w:val="0"/>
          <w:lang w:val="en-US"/>
        </w:rPr>
        <w:br w:type="textWrapping"/>
        <w:t xml:space="preserve">   </w:t>
      </w:r>
      <w:r>
        <w:rPr>
          <w:rFonts w:ascii="Times New Roman" w:hAnsi="Times New Roman"/>
          <w:b w:val="1"/>
          <w:bCs w:val="1"/>
          <w:sz w:val="24"/>
          <w:szCs w:val="24"/>
          <w:rtl w:val="0"/>
        </w:rPr>
        <w:t>(Source: Gov.UK, 2025)</w:t>
      </w:r>
      <w:r>
        <w:rPr>
          <w:rFonts w:ascii="Times New Roman" w:cs="Times New Roman" w:hAnsi="Times New Roman" w:eastAsia="Times New Roman"/>
          <w:b w:val="1"/>
          <w:bCs w:val="1"/>
          <w:sz w:val="24"/>
          <w:szCs w:val="24"/>
        </w:rPr>
        <w:br w:type="textWrapping"/>
        <w:br w:type="textWrapping"/>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Critical evaluation:</w:t>
      </w:r>
    </w:p>
    <w:p>
      <w:pPr>
        <w:pStyle w:val="Body A"/>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en-US"/>
        </w:rPr>
        <w:t>Strengths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Digital health technology, such as wearable fitness trackers and telehealth platforms, supports obesity management. Wearable fitness bands deliver statistical data, which is significant for maintaining body weight and body mass index. It includes features like goal setting, active tracking and progress visualisation, which give eating and physical activity recommendations. This technology is cost -efficient, scalable and accessible to remotely monitor patients with obesity (Pujia et al., 2025).</w:t>
      </w:r>
    </w:p>
    <w:p>
      <w:pPr>
        <w:pStyle w:val="Body A"/>
        <w:spacing w:line="360" w:lineRule="auto"/>
        <w:jc w:val="both"/>
        <w:rPr>
          <w:rFonts w:ascii="Times New Roman" w:cs="Times New Roman" w:hAnsi="Times New Roman" w:eastAsia="Times New Roman"/>
          <w:b w:val="1"/>
          <w:bCs w:val="1"/>
          <w:i w:val="1"/>
          <w:iCs w:val="1"/>
          <w:sz w:val="24"/>
          <w:szCs w:val="24"/>
        </w:rPr>
      </w:pPr>
      <w:r>
        <w:rPr>
          <w:rFonts w:ascii="Times New Roman" w:hAnsi="Times New Roman"/>
          <w:b w:val="1"/>
          <w:bCs w:val="1"/>
          <w:i w:val="1"/>
          <w:iCs w:val="1"/>
          <w:sz w:val="24"/>
          <w:szCs w:val="24"/>
          <w:rtl w:val="0"/>
          <w:lang w:val="fr-FR"/>
        </w:rPr>
        <w:t>Limitations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Despite the benefits, current digital technologies for obesity management has limitations, such as a reduction of long-term user engagement. Due to declining motivation, competing personal commitments and technical difficulties, many users discontinue using the technology.  This also widens health inequalities as older adults lack digital literacy. Moreover, data privacy and confidentiality reduce user trust (Kearns et al., 2025).   </w:t>
      </w:r>
    </w:p>
    <w:p>
      <w:pPr>
        <w:pStyle w:val="Body A"/>
        <w:spacing w:line="360" w:lineRule="auto"/>
        <w:jc w:val="both"/>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Recommendations:</w:t>
      </w: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digital health technology for obesity management and healthcare providers should integrate personalised behavioural support with AI-driven coaching to enhance long-term engagement. The technology should be designed to accommodate various levels of digital literacy. Moreover, by strengthening data privacy and combining digital tools, this healthcare technology could produce sustainable weight-management outcomes, trust and reduce health inequalities (Motevalli et al., 2025).   </w:t>
      </w: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p>
    <w:p>
      <w:pPr>
        <w:pStyle w:val="Body A"/>
        <w:spacing w:line="360" w:lineRule="auto"/>
        <w:jc w:val="both"/>
        <w:rPr>
          <w:rFonts w:ascii="Times New Roman" w:cs="Times New Roman" w:hAnsi="Times New Roman" w:eastAsia="Times New Roman"/>
          <w:sz w:val="24"/>
          <w:szCs w:val="24"/>
        </w:rPr>
      </w:pPr>
      <w:r>
        <w:rPr>
          <w:rFonts w:ascii="Times New Roman" w:hAnsi="Times New Roman"/>
          <w:sz w:val="24"/>
          <w:szCs w:val="24"/>
          <w:rtl w:val="0"/>
        </w:rPr>
        <w:t xml:space="preserve"> </w:t>
      </w:r>
    </w:p>
    <w:p>
      <w:pPr>
        <w:pStyle w:val="Body A"/>
      </w:pPr>
      <w:r>
        <w:rPr>
          <w:rFonts w:ascii="Arial Unicode MS" w:cs="Arial Unicode MS" w:hAnsi="Arial Unicode MS" w:eastAsia="Arial Unicode MS"/>
          <w:b w:val="0"/>
          <w:bCs w:val="0"/>
          <w:i w:val="0"/>
          <w:iCs w:val="0"/>
          <w:sz w:val="24"/>
          <w:szCs w:val="24"/>
        </w:rPr>
        <w:br w:type="page"/>
      </w:r>
    </w:p>
    <w:p>
      <w:pPr>
        <w:pStyle w:val="Heading"/>
      </w:pPr>
      <w:bookmarkStart w:name="_Toc1" w:id="1"/>
      <w:r>
        <w:rPr>
          <w:rFonts w:cs="Arial Unicode MS" w:eastAsia="Arial Unicode MS"/>
          <w:rtl w:val="0"/>
          <w:lang w:val="fr-FR"/>
        </w:rPr>
        <w:t>References</w:t>
      </w:r>
      <w:bookmarkEnd w:id="1"/>
    </w:p>
    <w:p>
      <w:pPr>
        <w:pStyle w:val="Body A"/>
        <w:spacing w:line="360" w:lineRule="auto"/>
        <w:jc w:val="both"/>
        <w:rPr>
          <w:rStyle w:val="None"/>
          <w:rFonts w:ascii="Times New Roman" w:cs="Times New Roman" w:hAnsi="Times New Roman" w:eastAsia="Times New Roman"/>
          <w:sz w:val="24"/>
          <w:szCs w:val="24"/>
        </w:rPr>
      </w:pPr>
      <w:r>
        <w:rPr>
          <w:rFonts w:ascii="Times New Roman" w:hAnsi="Times New Roman"/>
          <w:sz w:val="24"/>
          <w:szCs w:val="24"/>
          <w:rtl w:val="0"/>
          <w:lang w:val="en-US"/>
        </w:rPr>
        <w:t xml:space="preserve">Balasundaram, P. and Daley, S.F., (2025). Public health considerations regarding obesity. In StatPearls [Internet]. </w:t>
      </w:r>
      <w:r>
        <w:rPr>
          <w:rFonts w:ascii="Times New Roman" w:hAnsi="Times New Roman"/>
          <w:i w:val="1"/>
          <w:iCs w:val="1"/>
          <w:sz w:val="24"/>
          <w:szCs w:val="24"/>
          <w:rtl w:val="0"/>
          <w:lang w:val="en-US"/>
        </w:rPr>
        <w:t>StatPearls Publishing</w:t>
      </w:r>
      <w:r>
        <w:rPr>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"https://www.ncbi.nlm.nih.gov/books/NBK572122/"</w:instrText>
      </w:r>
      <w:r>
        <w:rPr>
          <w:rStyle w:val="Hyperlink.0"/>
        </w:rPr>
        <w:fldChar w:fldCharType="separate" w:fldLock="0"/>
      </w:r>
      <w:r>
        <w:rPr>
          <w:rStyle w:val="Hyperlink.0"/>
          <w:rtl w:val="0"/>
          <w:lang w:val="en-US"/>
        </w:rPr>
        <w:t>https://www.ncbi.nlm.nih.gov/books/NBK572122/</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Ejigu, B.A. and Tiruneh, F.N., (2023). The link between overweight/obesity and noncommunicable diseases in Ethiopia: evidences from nationwide WHO STEPS survey 2015. </w:t>
      </w:r>
      <w:r>
        <w:rPr>
          <w:rStyle w:val="None"/>
          <w:rFonts w:ascii="Times New Roman" w:hAnsi="Times New Roman"/>
          <w:i w:val="1"/>
          <w:iCs w:val="1"/>
          <w:sz w:val="24"/>
          <w:szCs w:val="24"/>
          <w:rtl w:val="0"/>
          <w:lang w:val="en-US"/>
        </w:rPr>
        <w:t xml:space="preserve">International journal of hypertension, </w:t>
      </w:r>
      <w:r>
        <w:rPr>
          <w:rStyle w:val="None"/>
          <w:rFonts w:ascii="Times New Roman" w:hAnsi="Times New Roman"/>
          <w:sz w:val="24"/>
          <w:szCs w:val="24"/>
          <w:rtl w:val="0"/>
          <w:lang w:val="en-US"/>
        </w:rPr>
        <w:t xml:space="preserve">2023(1), p.2199853. Available at: </w:t>
      </w:r>
      <w:r>
        <w:rPr>
          <w:rStyle w:val="Hyperlink.0"/>
        </w:rPr>
        <w:fldChar w:fldCharType="begin" w:fldLock="0"/>
      </w:r>
      <w:r>
        <w:rPr>
          <w:rStyle w:val="Hyperlink.0"/>
        </w:rPr>
        <w:instrText xml:space="preserve"> HYPERLINK "https://pmc.ncbi.nlm.nih.gov/articles/PMC10667048/%23:~:text=Overweight%252520and%252520obesity%252520are%252520the,high%252520cholesterol%252520levels%25252C%252520and%252520cancer"</w:instrText>
      </w:r>
      <w:r>
        <w:rPr>
          <w:rStyle w:val="Hyperlink.0"/>
        </w:rPr>
        <w:fldChar w:fldCharType="separate" w:fldLock="0"/>
      </w:r>
      <w:r>
        <w:rPr>
          <w:rStyle w:val="Hyperlink.0"/>
          <w:rtl w:val="0"/>
          <w:lang w:val="en-US"/>
        </w:rPr>
        <w:t>https://pmc.ncbi.nlm.nih.gov/articles/PMC10667048/#:~:text=Overweight%20and%20obesity%20are%20the,high%20cholesterol%20levels%2C%20and%20cancer</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Gov. uk. (2025). </w:t>
      </w:r>
      <w:r>
        <w:rPr>
          <w:rStyle w:val="None"/>
          <w:rFonts w:ascii="Times New Roman" w:hAnsi="Times New Roman"/>
          <w:i w:val="1"/>
          <w:iCs w:val="1"/>
          <w:sz w:val="24"/>
          <w:szCs w:val="24"/>
          <w:rtl w:val="0"/>
          <w:lang w:val="en-US"/>
        </w:rPr>
        <w:t xml:space="preserve">Obesity profile: short statistical commentary, May 2025. </w:t>
      </w:r>
      <w:r>
        <w:rPr>
          <w:rStyle w:val="None"/>
          <w:rFonts w:ascii="Times New Roman" w:hAnsi="Times New Roman"/>
          <w:sz w:val="24"/>
          <w:szCs w:val="24"/>
          <w:rtl w:val="0"/>
          <w:lang w:val="en-US"/>
        </w:rPr>
        <w:t>Available at:</w:t>
      </w:r>
      <w:r>
        <w:rPr>
          <w:rStyle w:val="None A"/>
          <w:rtl w:val="0"/>
        </w:rPr>
        <w:t xml:space="preserve"> </w:t>
      </w:r>
      <w:r>
        <w:rPr>
          <w:rStyle w:val="None"/>
          <w:rFonts w:ascii="Times New Roman" w:hAnsi="Times New Roman"/>
          <w:sz w:val="24"/>
          <w:szCs w:val="24"/>
          <w:rtl w:val="0"/>
        </w:rPr>
        <w:t xml:space="preserve"> </w:t>
      </w:r>
      <w:r>
        <w:rPr>
          <w:rStyle w:val="Hyperlink.0"/>
        </w:rPr>
        <w:fldChar w:fldCharType="begin" w:fldLock="0"/>
      </w:r>
      <w:r>
        <w:rPr>
          <w:rStyle w:val="Hyperlink.0"/>
        </w:rPr>
        <w:instrText xml:space="preserve"> HYPERLINK "https://www.gov.uk/government/statistics/obesity-profile-may-2025-update/obesity-profile-short-statistical-commentary-may-2025%23:~:text=In%2525202023%252520to%2525202024%25252C%25252064.5%252525,since%2525202015%252520to%2525202016%252520(61.2%252525)"</w:instrText>
      </w:r>
      <w:r>
        <w:rPr>
          <w:rStyle w:val="Hyperlink.0"/>
        </w:rPr>
        <w:fldChar w:fldCharType="separate" w:fldLock="0"/>
      </w:r>
      <w:r>
        <w:rPr>
          <w:rStyle w:val="Hyperlink.0"/>
          <w:rtl w:val="0"/>
          <w:lang w:val="en-US"/>
        </w:rPr>
        <w:t>https://www.gov.uk/government/statistics/obesity-profile-may-2025-update/obesity-profile-short-statistical-commentary-may-2025#:~:text=In%202023%20to%202024%2C%2064.5%25,since%202015%20to%202016%20(61.2%25)</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Gov.UK, (2025).</w:t>
      </w:r>
      <w:r>
        <w:rPr>
          <w:rStyle w:val="None"/>
          <w:rFonts w:ascii="Times New Roman" w:hAnsi="Times New Roman"/>
          <w:i w:val="1"/>
          <w:iCs w:val="1"/>
          <w:sz w:val="24"/>
          <w:szCs w:val="24"/>
          <w:rtl w:val="0"/>
          <w:lang w:val="en-US"/>
        </w:rPr>
        <w:t xml:space="preserve"> Obesity Profile: short statistical commentary May 2024.</w:t>
      </w:r>
      <w:r>
        <w:rPr>
          <w:rStyle w:val="None"/>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"https://www.gov.uk/government/statistics/update-to-the-obesity-profile-on-fingertips/obesity-profile-short-statistical-commentary-may-2024"</w:instrText>
      </w:r>
      <w:r>
        <w:rPr>
          <w:rStyle w:val="Hyperlink.0"/>
        </w:rPr>
        <w:fldChar w:fldCharType="separate" w:fldLock="0"/>
      </w:r>
      <w:r>
        <w:rPr>
          <w:rStyle w:val="Hyperlink.0"/>
          <w:rtl w:val="0"/>
          <w:lang w:val="en-US"/>
        </w:rPr>
        <w:t>https://www.gov.uk/government/statistics/update-to-the-obesity-profile-on-fingertips/obesity-profile-short-statistical-commentary-may-2024</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Health express.  (2024). </w:t>
      </w:r>
      <w:r>
        <w:rPr>
          <w:rStyle w:val="None"/>
          <w:rFonts w:ascii="Times New Roman" w:hAnsi="Times New Roman"/>
          <w:i w:val="1"/>
          <w:iCs w:val="1"/>
          <w:sz w:val="24"/>
          <w:szCs w:val="24"/>
          <w:rtl w:val="0"/>
          <w:lang w:val="en-US"/>
        </w:rPr>
        <w:t xml:space="preserve">Obesity Statistics 2024: Facts and Figures in the UK. </w:t>
      </w:r>
      <w:r>
        <w:rPr>
          <w:rStyle w:val="None"/>
          <w:rFonts w:ascii="Times New Roman" w:hAnsi="Times New Roman"/>
          <w:sz w:val="24"/>
          <w:szCs w:val="24"/>
          <w:rtl w:val="0"/>
          <w:lang w:val="en-US"/>
        </w:rPr>
        <w:t xml:space="preserve">An aialbe at: </w:t>
      </w:r>
      <w:r>
        <w:rPr>
          <w:rStyle w:val="Hyperlink.0"/>
        </w:rPr>
        <w:fldChar w:fldCharType="begin" w:fldLock="0"/>
      </w:r>
      <w:r>
        <w:rPr>
          <w:rStyle w:val="Hyperlink.0"/>
        </w:rPr>
        <w:instrText xml:space="preserve"> HYPERLINK "https://www.healthexpress.co.uk/obesity-statistics-uk"</w:instrText>
      </w:r>
      <w:r>
        <w:rPr>
          <w:rStyle w:val="Hyperlink.0"/>
        </w:rPr>
        <w:fldChar w:fldCharType="separate" w:fldLock="0"/>
      </w:r>
      <w:r>
        <w:rPr>
          <w:rStyle w:val="Hyperlink.0"/>
          <w:rtl w:val="0"/>
          <w:lang w:val="en-US"/>
        </w:rPr>
        <w:t>https://www.healthexpress.co.uk/obesity-statistics-uk</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Hinchliffe, N., Capehorn, M.S., Bewick, M. and Feenie, J., (2022). The potential role of digital health in obesity care.</w:t>
      </w:r>
      <w:r>
        <w:rPr>
          <w:rStyle w:val="None"/>
          <w:rFonts w:ascii="Times New Roman" w:hAnsi="Times New Roman"/>
          <w:i w:val="1"/>
          <w:iCs w:val="1"/>
          <w:sz w:val="24"/>
          <w:szCs w:val="24"/>
          <w:rtl w:val="0"/>
          <w:lang w:val="en-US"/>
        </w:rPr>
        <w:t xml:space="preserve"> Advances in Therapy, </w:t>
      </w:r>
      <w:r>
        <w:rPr>
          <w:rStyle w:val="None"/>
          <w:rFonts w:ascii="Times New Roman" w:hAnsi="Times New Roman"/>
          <w:sz w:val="24"/>
          <w:szCs w:val="24"/>
          <w:rtl w:val="0"/>
          <w:lang w:val="en-US"/>
        </w:rPr>
        <w:t xml:space="preserve">39(10), pp.4397-4412. Available at: </w:t>
      </w:r>
      <w:r>
        <w:rPr>
          <w:rStyle w:val="Hyperlink.0"/>
        </w:rPr>
        <w:fldChar w:fldCharType="begin" w:fldLock="0"/>
      </w:r>
      <w:r>
        <w:rPr>
          <w:rStyle w:val="Hyperlink.0"/>
        </w:rPr>
        <w:instrText xml:space="preserve"> HYPERLINK "https://pmc.ncbi.nlm.nih.gov/articles/PMC9362065/"</w:instrText>
      </w:r>
      <w:r>
        <w:rPr>
          <w:rStyle w:val="Hyperlink.0"/>
        </w:rPr>
        <w:fldChar w:fldCharType="separate" w:fldLock="0"/>
      </w:r>
      <w:r>
        <w:rPr>
          <w:rStyle w:val="Hyperlink.0"/>
          <w:rtl w:val="0"/>
          <w:lang w:val="en-US"/>
        </w:rPr>
        <w:t>https://pmc.ncbi.nlm.nih.gov/articles/PMC9362065/</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Irvin, L., Madden, L.A., Marshall, P. and Vince, R.V., (2023). Digital health solutions for weight loss and obesity: a narrative review</w:t>
      </w:r>
      <w:r>
        <w:rPr>
          <w:rStyle w:val="None"/>
          <w:rFonts w:ascii="Times New Roman" w:hAnsi="Times New Roman"/>
          <w:i w:val="1"/>
          <w:iCs w:val="1"/>
          <w:sz w:val="24"/>
          <w:szCs w:val="24"/>
          <w:rtl w:val="0"/>
          <w:lang w:val="en-US"/>
        </w:rPr>
        <w:t>. Nutrients,</w:t>
      </w:r>
      <w:r>
        <w:rPr>
          <w:rStyle w:val="None"/>
          <w:rFonts w:ascii="Times New Roman" w:hAnsi="Times New Roman"/>
          <w:sz w:val="24"/>
          <w:szCs w:val="24"/>
          <w:rtl w:val="0"/>
          <w:lang w:val="en-US"/>
        </w:rPr>
        <w:t xml:space="preserve"> 15(8), p.1858. Availabe at: </w:t>
      </w:r>
      <w:r>
        <w:rPr>
          <w:rStyle w:val="Hyperlink.0"/>
        </w:rPr>
        <w:fldChar w:fldCharType="begin" w:fldLock="0"/>
      </w:r>
      <w:r>
        <w:rPr>
          <w:rStyle w:val="Hyperlink.0"/>
        </w:rPr>
        <w:instrText xml:space="preserve"> HYPERLINK "https://pmc.ncbi.nlm.nih.gov/articles/PMC10145832/"</w:instrText>
      </w:r>
      <w:r>
        <w:rPr>
          <w:rStyle w:val="Hyperlink.0"/>
        </w:rPr>
        <w:fldChar w:fldCharType="separate" w:fldLock="0"/>
      </w:r>
      <w:r>
        <w:rPr>
          <w:rStyle w:val="Hyperlink.0"/>
          <w:rtl w:val="0"/>
          <w:lang w:val="en-US"/>
        </w:rPr>
        <w:t>https://pmc.ncbi.nlm.nih.gov/articles/PMC10145832/</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Kearns, A., Moorhead, A., Mulvenna, M. and Bond, R., (2025). Assessing the uses, benefits, and limitations of digital technologies used by health professionals in supporting obesity and mental health communication: scoping review. </w:t>
      </w:r>
      <w:r>
        <w:rPr>
          <w:rStyle w:val="None"/>
          <w:rFonts w:ascii="Times New Roman" w:hAnsi="Times New Roman"/>
          <w:i w:val="1"/>
          <w:iCs w:val="1"/>
          <w:sz w:val="24"/>
          <w:szCs w:val="24"/>
          <w:rtl w:val="0"/>
          <w:lang w:val="en-US"/>
        </w:rPr>
        <w:t>Journal of Medical Internet Research</w:t>
      </w:r>
      <w:r>
        <w:rPr>
          <w:rStyle w:val="None"/>
          <w:rFonts w:ascii="Times New Roman" w:hAnsi="Times New Roman"/>
          <w:sz w:val="24"/>
          <w:szCs w:val="24"/>
          <w:rtl w:val="0"/>
          <w:lang w:val="en-US"/>
        </w:rPr>
        <w:t xml:space="preserve">, 27, p.e58434. Availabe at: </w:t>
      </w:r>
      <w:r>
        <w:rPr>
          <w:rStyle w:val="Hyperlink.1"/>
        </w:rPr>
        <w:fldChar w:fldCharType="begin" w:fldLock="0"/>
      </w:r>
      <w:r>
        <w:rPr>
          <w:rStyle w:val="Hyperlink.1"/>
        </w:rPr>
        <w:instrText xml:space="preserve"> HYPERLINK "https://www.jmir.org/2025/1/e58434"</w:instrText>
      </w:r>
      <w:r>
        <w:rPr>
          <w:rStyle w:val="Hyperlink.1"/>
        </w:rPr>
        <w:fldChar w:fldCharType="separate" w:fldLock="0"/>
      </w:r>
      <w:r>
        <w:rPr>
          <w:rStyle w:val="Hyperlink.1"/>
          <w:rtl w:val="0"/>
        </w:rPr>
        <w:t>https://www.jmir.org/2025/1/e58434</w:t>
      </w:r>
      <w:r>
        <w:rPr/>
        <w:fldChar w:fldCharType="end" w:fldLock="0"/>
      </w:r>
      <w:r>
        <w:rPr>
          <w:rStyle w:val="None"/>
          <w:rFonts w:ascii="Times New Roman" w:hAnsi="Times New Roman"/>
          <w:sz w:val="24"/>
          <w:szCs w:val="24"/>
          <w:rtl w:val="0"/>
        </w:rPr>
        <w:t>/</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Kyle, R.G., Wills, J., Mahoney, C., Hoyle, L., Kelly, M. and Atherton, I.M., (2017). Obesity prevalence among healthcare professionals in England: a cross-sectional study using the Health Survey for England</w:t>
      </w:r>
      <w:r>
        <w:rPr>
          <w:rStyle w:val="None"/>
          <w:rFonts w:ascii="Times New Roman" w:hAnsi="Times New Roman"/>
          <w:i w:val="1"/>
          <w:iCs w:val="1"/>
          <w:sz w:val="24"/>
          <w:szCs w:val="24"/>
          <w:rtl w:val="0"/>
          <w:lang w:val="nl-NL"/>
        </w:rPr>
        <w:t>. BMJ open,</w:t>
      </w:r>
      <w:r>
        <w:rPr>
          <w:rStyle w:val="None"/>
          <w:rFonts w:ascii="Times New Roman" w:hAnsi="Times New Roman"/>
          <w:sz w:val="24"/>
          <w:szCs w:val="24"/>
          <w:rtl w:val="0"/>
          <w:lang w:val="en-US"/>
        </w:rPr>
        <w:t xml:space="preserve"> 7(12), p.e018498. Available at:  </w:t>
      </w:r>
      <w:r>
        <w:rPr>
          <w:rStyle w:val="Hyperlink.0"/>
        </w:rPr>
        <w:fldChar w:fldCharType="begin" w:fldLock="0"/>
      </w:r>
      <w:r>
        <w:rPr>
          <w:rStyle w:val="Hyperlink.0"/>
        </w:rPr>
        <w:instrText xml:space="preserve"> HYPERLINK "https://pmc.ncbi.nlm.nih.gov/articles/PMC5719305/"</w:instrText>
      </w:r>
      <w:r>
        <w:rPr>
          <w:rStyle w:val="Hyperlink.0"/>
        </w:rPr>
        <w:fldChar w:fldCharType="separate" w:fldLock="0"/>
      </w:r>
      <w:r>
        <w:rPr>
          <w:rStyle w:val="Hyperlink.0"/>
          <w:rtl w:val="0"/>
          <w:lang w:val="en-US"/>
        </w:rPr>
        <w:t>https://pmc.ncbi.nlm.nih.gov/articles/PMC5719305/</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Motevalli, M., Drenowatz, C., Tanous, D., Ruedl, G., Kirschner, W., Schauer, M., Rosemann, T. and Wirnitzer, K., (2025). Guideline-based digital exercise interventions for reducing body weight and fat and promoting physical activity in adults with overweight and obesity: systematic review and meta-analysis.</w:t>
      </w:r>
      <w:r>
        <w:rPr>
          <w:rStyle w:val="None"/>
          <w:rFonts w:ascii="Times New Roman" w:hAnsi="Times New Roman"/>
          <w:i w:val="1"/>
          <w:iCs w:val="1"/>
          <w:sz w:val="24"/>
          <w:szCs w:val="24"/>
          <w:rtl w:val="0"/>
          <w:lang w:val="en-US"/>
        </w:rPr>
        <w:t xml:space="preserve"> Interactive Journal of Medical Research</w:t>
      </w:r>
      <w:r>
        <w:rPr>
          <w:rStyle w:val="None"/>
          <w:rFonts w:ascii="Times New Roman" w:hAnsi="Times New Roman"/>
          <w:sz w:val="24"/>
          <w:szCs w:val="24"/>
          <w:rtl w:val="0"/>
        </w:rPr>
        <w:t xml:space="preserve">, 14(1), p.e73656. Avialbe at: </w:t>
      </w:r>
      <w:r>
        <w:rPr>
          <w:rStyle w:val="Hyperlink.0"/>
        </w:rPr>
        <w:fldChar w:fldCharType="begin" w:fldLock="0"/>
      </w:r>
      <w:r>
        <w:rPr>
          <w:rStyle w:val="Hyperlink.0"/>
        </w:rPr>
        <w:instrText xml:space="preserve"> HYPERLINK "https://pmc.ncbi.nlm.nih.gov/articles/PMC12371298/"</w:instrText>
      </w:r>
      <w:r>
        <w:rPr>
          <w:rStyle w:val="Hyperlink.0"/>
        </w:rPr>
        <w:fldChar w:fldCharType="separate" w:fldLock="0"/>
      </w:r>
      <w:r>
        <w:rPr>
          <w:rStyle w:val="Hyperlink.0"/>
          <w:rtl w:val="0"/>
          <w:lang w:val="en-US"/>
        </w:rPr>
        <w:t>https://pmc.ncbi.nlm.nih.gov/articles/PMC12371298/</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NHS. (2024). </w:t>
      </w:r>
      <w:r>
        <w:rPr>
          <w:rStyle w:val="None"/>
          <w:rFonts w:ascii="Times New Roman" w:hAnsi="Times New Roman"/>
          <w:i w:val="1"/>
          <w:iCs w:val="1"/>
          <w:sz w:val="24"/>
          <w:szCs w:val="24"/>
          <w:rtl w:val="0"/>
          <w:lang w:val="pt-PT"/>
        </w:rPr>
        <w:t xml:space="preserve">Causes.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"https://www.nhs.uk/conditions/coronary-heart-disease/causes/"</w:instrText>
      </w:r>
      <w:r>
        <w:rPr>
          <w:rStyle w:val="Hyperlink.0"/>
        </w:rPr>
        <w:fldChar w:fldCharType="separate" w:fldLock="0"/>
      </w:r>
      <w:r>
        <w:rPr>
          <w:rStyle w:val="Hyperlink.0"/>
          <w:rtl w:val="0"/>
          <w:lang w:val="en-US"/>
        </w:rPr>
        <w:t>https://www.nhs.uk/conditions/coronary-heart-disease/causes/</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Pujia, C., Ferro, Y., Mazza, E., Maurotti, S., Montalcini, T. and Pujia, A., (2025). The role of mobile apps in obesity management: systematic review and meta-analysis. </w:t>
      </w:r>
      <w:r>
        <w:rPr>
          <w:rStyle w:val="None"/>
          <w:rFonts w:ascii="Times New Roman" w:hAnsi="Times New Roman"/>
          <w:i w:val="1"/>
          <w:iCs w:val="1"/>
          <w:sz w:val="24"/>
          <w:szCs w:val="24"/>
          <w:rtl w:val="0"/>
          <w:lang w:val="en-US"/>
        </w:rPr>
        <w:t>Journal of medical Internet research,</w:t>
      </w:r>
      <w:r>
        <w:rPr>
          <w:rStyle w:val="None"/>
          <w:rFonts w:ascii="Times New Roman" w:hAnsi="Times New Roman"/>
          <w:sz w:val="24"/>
          <w:szCs w:val="24"/>
          <w:rtl w:val="0"/>
          <w:lang w:val="en-US"/>
        </w:rPr>
        <w:t xml:space="preserve"> 27, p.e66887. Available at: </w:t>
      </w:r>
      <w:r>
        <w:rPr>
          <w:rStyle w:val="Hyperlink.1"/>
        </w:rPr>
        <w:fldChar w:fldCharType="begin" w:fldLock="0"/>
      </w:r>
      <w:r>
        <w:rPr>
          <w:rStyle w:val="Hyperlink.1"/>
        </w:rPr>
        <w:instrText xml:space="preserve"> HYPERLINK "https://www.jmir.org/2025/1/e66887"</w:instrText>
      </w:r>
      <w:r>
        <w:rPr>
          <w:rStyle w:val="Hyperlink.1"/>
        </w:rPr>
        <w:fldChar w:fldCharType="separate" w:fldLock="0"/>
      </w:r>
      <w:r>
        <w:rPr>
          <w:rStyle w:val="Hyperlink.1"/>
          <w:rtl w:val="0"/>
        </w:rPr>
        <w:t>https://www.jmir.org/2025/1/e66887</w:t>
      </w:r>
      <w:r>
        <w:rPr/>
        <w:fldChar w:fldCharType="end" w:fldLock="0"/>
      </w:r>
      <w:r>
        <w:rPr>
          <w:rStyle w:val="None"/>
          <w:rFonts w:ascii="Times New Roman" w:hAnsi="Times New Roman"/>
          <w:sz w:val="24"/>
          <w:szCs w:val="24"/>
          <w:rtl w:val="0"/>
        </w:rPr>
        <w:t xml:space="preserve">/ </w:t>
      </w:r>
    </w:p>
    <w:p>
      <w:pPr>
        <w:pStyle w:val="Body A"/>
      </w:pPr>
      <w:r>
        <w:rPr>
          <w:rStyle w:val="None"/>
          <w:rFonts w:ascii="Arial Unicode MS" w:cs="Arial Unicode MS" w:hAnsi="Arial Unicode MS" w:eastAsia="Arial Unicode MS"/>
          <w:b w:val="0"/>
          <w:bCs w:val="0"/>
          <w:i w:val="0"/>
          <w:iCs w:val="0"/>
          <w:sz w:val="24"/>
          <w:szCs w:val="24"/>
        </w:rPr>
        <w:br w:type="page"/>
      </w:r>
    </w:p>
    <w:p>
      <w:pPr>
        <w:pStyle w:val="Heading"/>
      </w:pPr>
      <w:bookmarkStart w:name="_Toc2" w:id="2"/>
      <w:r>
        <w:rPr>
          <w:rStyle w:val="None"/>
          <w:rFonts w:cs="Arial Unicode MS" w:eastAsia="Arial Unicode MS"/>
          <w:rtl w:val="0"/>
          <w:lang w:val="en-US"/>
        </w:rPr>
        <w:t>Blog 2- Critically discuss the impact of a digital technology for a digital health promotion intervention</w:t>
      </w:r>
      <w:bookmarkEnd w:id="2"/>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de-DE"/>
        </w:rPr>
        <w:t xml:space="preserve">Title: </w:t>
      </w:r>
      <w:r>
        <w:rPr>
          <w:rStyle w:val="None"/>
          <w:rFonts w:ascii="Times New Roman" w:hAnsi="Times New Roman"/>
          <w:sz w:val="24"/>
          <w:szCs w:val="24"/>
          <w:rtl w:val="0"/>
          <w:lang w:val="en-US"/>
        </w:rPr>
        <w:t>The HealthyLife AI Band: Critically Evaluating an AI-Enabled Wearable for Digital Health Promotion in Obesity</w:t>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Public health problem</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Obesity is a growing UK health crisis, affecting one-third of adults in England, where in London, 8% of adults are obese (TOI, 2026). Obesity increases the risk of chronic conditions such as type 2 diabetes, sleep apnoea, osteoarthritis, and cardiovascular diseases (Haase, 2020). In 2023, obesity contributed to over 16,000 cardiovascular disease deaths in England and costs the NHS around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6 billion annually, with expenses projected to exceed </w:t>
      </w:r>
      <w:r>
        <w:rPr>
          <w:rStyle w:val="None"/>
          <w:rFonts w:ascii="Times New Roman" w:hAnsi="Times New Roman" w:hint="default"/>
          <w:sz w:val="24"/>
          <w:szCs w:val="24"/>
          <w:rtl w:val="0"/>
          <w:lang w:val="en-US"/>
        </w:rPr>
        <w:t>£</w:t>
      </w:r>
      <w:r>
        <w:rPr>
          <w:rStyle w:val="None"/>
          <w:rFonts w:ascii="Times New Roman" w:hAnsi="Times New Roman"/>
          <w:sz w:val="24"/>
          <w:szCs w:val="24"/>
          <w:rtl w:val="0"/>
        </w:rPr>
        <w:t xml:space="preserve">9.7 billion by 2050 (Gov. uk, 2025). </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center"/>
        <w:rPr>
          <w:rStyle w:val="None"/>
          <w:rFonts w:ascii="Times New Roman" w:cs="Times New Roman" w:hAnsi="Times New Roman" w:eastAsia="Times New Roman"/>
          <w:sz w:val="24"/>
          <w:szCs w:val="24"/>
        </w:rPr>
      </w:pPr>
      <w:r>
        <w:rPr>
          <w:rStyle w:val="None"/>
          <w:rFonts w:ascii="Times New Roman" w:cs="Times New Roman" w:hAnsi="Times New Roman" w:eastAsia="Times New Roman"/>
          <w:sz w:val="24"/>
          <w:szCs w:val="24"/>
        </w:rPr>
        <w:drawing xmlns:a="http://schemas.openxmlformats.org/drawingml/2006/main">
          <wp:inline distT="0" distB="0" distL="0" distR="0">
            <wp:extent cx="4924425" cy="4257675"/>
            <wp:effectExtent l="0" t="0" r="0" b="0"/>
            <wp:docPr id="1073741828" name="officeArt object" descr="image5.png"/>
            <wp:cNvGraphicFramePr/>
            <a:graphic xmlns:a="http://schemas.openxmlformats.org/drawingml/2006/main">
              <a:graphicData uri="http://schemas.openxmlformats.org/drawingml/2006/picture">
                <pic:pic xmlns:pic="http://schemas.openxmlformats.org/drawingml/2006/picture">
                  <pic:nvPicPr>
                    <pic:cNvPr id="1073741828" name="image5.png" descr="image5.png"/>
                    <pic:cNvPicPr>
                      <a:picLocks noChangeAspect="1"/>
                    </pic:cNvPicPr>
                  </pic:nvPicPr>
                  <pic:blipFill>
                    <a:blip r:embed="rId7">
                      <a:extLst/>
                    </a:blip>
                    <a:stretch>
                      <a:fillRect/>
                    </a:stretch>
                  </pic:blipFill>
                  <pic:spPr>
                    <a:xfrm>
                      <a:off x="0" y="0"/>
                      <a:ext cx="4924425" cy="4257675"/>
                    </a:xfrm>
                    <a:prstGeom prst="rect">
                      <a:avLst/>
                    </a:prstGeom>
                    <a:ln w="12700" cap="flat">
                      <a:noFill/>
                      <a:miter lim="400000"/>
                    </a:ln>
                    <a:effectLst/>
                  </pic:spPr>
                </pic:pic>
              </a:graphicData>
            </a:graphic>
          </wp:inline>
        </w:drawing>
      </w:r>
    </w:p>
    <w:p>
      <w:pPr>
        <w:pStyle w:val="Body A"/>
        <w:spacing w:line="360" w:lineRule="auto"/>
        <w:jc w:val="center"/>
      </w:pPr>
      <w:r>
        <w:rPr>
          <w:rStyle w:val="None"/>
          <w:rFonts w:ascii="Times New Roman" w:hAnsi="Times New Roman"/>
          <w:b w:val="1"/>
          <w:bCs w:val="1"/>
          <w:sz w:val="24"/>
          <w:szCs w:val="24"/>
          <w:rtl w:val="0"/>
          <w:lang w:val="en-US"/>
        </w:rPr>
        <w:t>Figure 3: number of obesity patient in NHS (Source- Dailymail, 2023)</w:t>
      </w:r>
      <w:r>
        <w:rPr>
          <w:rStyle w:val="None"/>
          <w:rFonts w:ascii="Arial Unicode MS" w:cs="Arial Unicode MS" w:hAnsi="Arial Unicode MS" w:eastAsia="Arial Unicode MS"/>
          <w:b w:val="0"/>
          <w:bCs w:val="0"/>
          <w:i w:val="0"/>
          <w:iCs w:val="0"/>
          <w:sz w:val="24"/>
          <w:szCs w:val="24"/>
        </w:rPr>
        <w:br w:type="page"/>
      </w:r>
    </w:p>
    <w:p>
      <w:pPr>
        <w:pStyle w:val="Body A"/>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Modified digital technology</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The current digital health technology, wearable fit bands tech struggles to provide: </w:t>
      </w:r>
    </w:p>
    <w:p>
      <w:pPr>
        <w:pStyle w:val="Body A"/>
        <w:numPr>
          <w:ilvl w:val="0"/>
          <w:numId w:val="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 end-to-end encryption</w:t>
      </w:r>
    </w:p>
    <w:p>
      <w:pPr>
        <w:pStyle w:val="Body A"/>
        <w:numPr>
          <w:ilvl w:val="0"/>
          <w:numId w:val="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medical diagnosis accuracy </w:t>
      </w:r>
    </w:p>
    <w:p>
      <w:pPr>
        <w:pStyle w:val="Body A"/>
        <w:numPr>
          <w:ilvl w:val="0"/>
          <w:numId w:val="2"/>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non-invasive blood glucose tracking (Canali, 2022)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Hence, the modified version of this existing one </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HealthyLife AI</w:t>
      </w:r>
      <w:r>
        <w:rPr>
          <w:rStyle w:val="None"/>
          <w:rFonts w:ascii="Times New Roman" w:hAnsi="Times New Roman" w:hint="default"/>
          <w:sz w:val="24"/>
          <w:szCs w:val="24"/>
          <w:rtl w:val="0"/>
          <w:lang w:val="en-US"/>
        </w:rPr>
        <w:t xml:space="preserve">’ </w:t>
      </w:r>
      <w:r>
        <w:rPr>
          <w:rStyle w:val="None"/>
          <w:rFonts w:ascii="Times New Roman" w:hAnsi="Times New Roman"/>
          <w:sz w:val="24"/>
          <w:szCs w:val="24"/>
          <w:rtl w:val="0"/>
          <w:lang w:val="en-US"/>
        </w:rPr>
        <w:t xml:space="preserve">Band will support obesity management through continuous monitoring of heart rate, stress levels, and blood sugar fluctuations. The HealthyLife AI band should be designed by combining AI-driven lifestyle coaching, sensor fusion (ECG and PPG), non-invasive glucose monitoring and end-to-end encryption to offer personalised obesity prevention, support sustain behaviour change and enable communication with healthcare professionals (Chan et al., 2024). Continuous PPG monitoring tracks blood volume, heart rate variability, and blood oxygen levels, while ECG provides accurate measurements of heart electrical activity (Saarinen et al., 2023). For non-invasive glucose tracking methods, the fitband will ensure FDA-cleared and medically approved devices with optical sensors that detect unique electromagnetic or optical signs. </w:t>
      </w:r>
    </w:p>
    <w:p>
      <w:pPr>
        <w:pStyle w:val="Body A"/>
        <w:spacing w:line="360" w:lineRule="auto"/>
        <w:jc w:val="center"/>
        <w:rPr>
          <w:rStyle w:val="None"/>
          <w:rFonts w:ascii="Times New Roman" w:cs="Times New Roman" w:hAnsi="Times New Roman" w:eastAsia="Times New Roman"/>
          <w:sz w:val="24"/>
          <w:szCs w:val="24"/>
        </w:rPr>
      </w:pPr>
      <w:r>
        <w:rPr>
          <w:rStyle w:val="None"/>
          <w:rFonts w:ascii="Times New Roman" w:cs="Times New Roman" w:hAnsi="Times New Roman" w:eastAsia="Times New Roman"/>
          <w:sz w:val="24"/>
          <w:szCs w:val="24"/>
        </w:rPr>
        <w:drawing xmlns:a="http://schemas.openxmlformats.org/drawingml/2006/main">
          <wp:inline distT="0" distB="0" distL="0" distR="0">
            <wp:extent cx="5238750" cy="3514725"/>
            <wp:effectExtent l="0" t="0" r="0" b="0"/>
            <wp:docPr id="1073741829" name="officeArt object" descr="image3.png"/>
            <wp:cNvGraphicFramePr/>
            <a:graphic xmlns:a="http://schemas.openxmlformats.org/drawingml/2006/main">
              <a:graphicData uri="http://schemas.openxmlformats.org/drawingml/2006/picture">
                <pic:pic xmlns:pic="http://schemas.openxmlformats.org/drawingml/2006/picture">
                  <pic:nvPicPr>
                    <pic:cNvPr id="1073741829" name="image3.png" descr="image3.png"/>
                    <pic:cNvPicPr>
                      <a:picLocks noChangeAspect="1"/>
                    </pic:cNvPicPr>
                  </pic:nvPicPr>
                  <pic:blipFill>
                    <a:blip r:embed="rId8">
                      <a:extLst/>
                    </a:blip>
                    <a:stretch>
                      <a:fillRect/>
                    </a:stretch>
                  </pic:blipFill>
                  <pic:spPr>
                    <a:xfrm>
                      <a:off x="0" y="0"/>
                      <a:ext cx="5238750" cy="3514725"/>
                    </a:xfrm>
                    <a:prstGeom prst="rect">
                      <a:avLst/>
                    </a:prstGeom>
                    <a:ln w="12700" cap="flat">
                      <a:noFill/>
                      <a:miter lim="400000"/>
                    </a:ln>
                    <a:effectLst/>
                  </pic:spPr>
                </pic:pic>
              </a:graphicData>
            </a:graphic>
          </wp:inline>
        </w:drawing>
      </w:r>
    </w:p>
    <w:p>
      <w:pPr>
        <w:pStyle w:val="Body A"/>
        <w:spacing w:line="360" w:lineRule="auto"/>
        <w:jc w:val="center"/>
      </w:pPr>
      <w:r>
        <w:rPr>
          <w:rStyle w:val="None"/>
          <w:rFonts w:ascii="Times New Roman" w:hAnsi="Times New Roman"/>
          <w:b w:val="1"/>
          <w:bCs w:val="1"/>
          <w:sz w:val="24"/>
          <w:szCs w:val="24"/>
          <w:rtl w:val="0"/>
          <w:lang w:val="en-US"/>
        </w:rPr>
        <w:t>Figure 4: AI driven wearable in digital healthcare (Source: MDPI, 2025)</w:t>
      </w:r>
      <w:r>
        <w:rPr>
          <w:rStyle w:val="None"/>
          <w:rFonts w:ascii="Arial Unicode MS" w:cs="Arial Unicode MS" w:hAnsi="Arial Unicode MS" w:eastAsia="Arial Unicode MS"/>
          <w:b w:val="0"/>
          <w:bCs w:val="0"/>
          <w:i w:val="0"/>
          <w:iCs w:val="0"/>
          <w:sz w:val="24"/>
          <w:szCs w:val="24"/>
        </w:rPr>
        <w:br w:type="page"/>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Impact of modified digital technology</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The HealthyLife Band will support obesity management through personalised care and continuous ECG and PPG monitoring (Burlacu et al., 2026). AI-driven coaching with ECG, PPG, and non-invasive glucose monitoring promotes sustainable lifestyle changes, and helps obese patients identify behaviours that trigger glucose spikes (Chan et al., 2024). These fit bands will support behaviour change, reduce obesity risks, and align with the COM-B model by transforming secure health data into actionable interventions (West and Michile, 2020).  </w:t>
      </w:r>
    </w:p>
    <w:p>
      <w:pPr>
        <w:pStyle w:val="Body A"/>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Capability- The wearable AI fit band improves the physiological and physical capability through AI-driven coaching and informs users about physical stamina through ECG and PPG metrics. </w:t>
      </w:r>
    </w:p>
    <w:p>
      <w:pPr>
        <w:pStyle w:val="Body A"/>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Opportunity- This creates physical and social opportunity for health tracking through real-time data, offering privacy to sensitive health data. </w:t>
      </w:r>
    </w:p>
    <w:p>
      <w:pPr>
        <w:pStyle w:val="Body A"/>
        <w:numPr>
          <w:ilvl w:val="0"/>
          <w:numId w:val="4"/>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 xml:space="preserve">Motivation- This drives motivation by providing AI-driven goal setting and real time alerts regarding heart rhythm, stress and blood sugar spikes. </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center"/>
        <w:rPr>
          <w:rStyle w:val="None"/>
          <w:rFonts w:ascii="Times New Roman" w:cs="Times New Roman" w:hAnsi="Times New Roman" w:eastAsia="Times New Roman"/>
          <w:sz w:val="24"/>
          <w:szCs w:val="24"/>
        </w:rPr>
      </w:pPr>
      <w:r>
        <w:rPr>
          <w:rStyle w:val="None"/>
          <w:rFonts w:ascii="Times New Roman" w:cs="Times New Roman" w:hAnsi="Times New Roman" w:eastAsia="Times New Roman"/>
          <w:sz w:val="24"/>
          <w:szCs w:val="24"/>
        </w:rPr>
        <w:drawing xmlns:a="http://schemas.openxmlformats.org/drawingml/2006/main">
          <wp:inline distT="0" distB="0" distL="0" distR="0">
            <wp:extent cx="4367720" cy="2120631"/>
            <wp:effectExtent l="0" t="0" r="0" b="0"/>
            <wp:docPr id="1073741830" name="officeArt object" descr="image4.png"/>
            <wp:cNvGraphicFramePr/>
            <a:graphic xmlns:a="http://schemas.openxmlformats.org/drawingml/2006/main">
              <a:graphicData uri="http://schemas.openxmlformats.org/drawingml/2006/picture">
                <pic:pic xmlns:pic="http://schemas.openxmlformats.org/drawingml/2006/picture">
                  <pic:nvPicPr>
                    <pic:cNvPr id="1073741830" name="image4.png" descr="image4.png"/>
                    <pic:cNvPicPr>
                      <a:picLocks noChangeAspect="1"/>
                    </pic:cNvPicPr>
                  </pic:nvPicPr>
                  <pic:blipFill>
                    <a:blip r:embed="rId9">
                      <a:extLst/>
                    </a:blip>
                    <a:srcRect l="0" t="0" r="0" b="5537"/>
                    <a:stretch>
                      <a:fillRect/>
                    </a:stretch>
                  </pic:blipFill>
                  <pic:spPr>
                    <a:xfrm>
                      <a:off x="0" y="0"/>
                      <a:ext cx="4367720" cy="2120631"/>
                    </a:xfrm>
                    <a:prstGeom prst="rect">
                      <a:avLst/>
                    </a:prstGeom>
                    <a:ln w="12700" cap="flat">
                      <a:noFill/>
                      <a:miter lim="400000"/>
                    </a:ln>
                    <a:effectLst/>
                  </pic:spPr>
                </pic:pic>
              </a:graphicData>
            </a:graphic>
          </wp:inline>
        </w:drawing>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Figure 5: UK wearable tech market insights</w:t>
      </w:r>
    </w:p>
    <w:p>
      <w:pPr>
        <w:pStyle w:val="Body A"/>
        <w:spacing w:line="360" w:lineRule="auto"/>
        <w:jc w:val="center"/>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(Source: mordorintelligence, 2024)</w:t>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Critical evaluation:</w:t>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 xml:space="preserve">Advantages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The HealthyLife AI band will provide holistic health tracking allowing heart rate variability and anxiety detection through ECG and PPG, pain free glucose awareness, actionable insight through AI-driven coaching and secure data security (Elgendi et al, 2026).  AI sensor fusion will improve PPG accuracy by reducing background errors, while end-to-end encryption protects health data by ensuring secure transmission between devices (Khan, 2025). </w:t>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Disadvantages</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The multiple sensors controlling, continuous AI processing and simultaneously tracking encryption could create huge pressure on the battery life of the HealthLife AI fit band. Moreover, the prolonged usage could over reliance and users may incorrectly assume passive reading and replace regular medical evaluation (Bauman et al., 2025).   </w:t>
      </w:r>
    </w:p>
    <w:p>
      <w:pPr>
        <w:pStyle w:val="Body A"/>
        <w:spacing w:line="360" w:lineRule="auto"/>
        <w:jc w:val="both"/>
        <w:rPr>
          <w:rStyle w:val="None"/>
          <w:rFonts w:ascii="Times New Roman" w:cs="Times New Roman" w:hAnsi="Times New Roman" w:eastAsia="Times New Roman"/>
          <w:b w:val="1"/>
          <w:bCs w:val="1"/>
          <w:sz w:val="24"/>
          <w:szCs w:val="24"/>
        </w:rPr>
      </w:pPr>
      <w:r>
        <w:rPr>
          <w:rStyle w:val="None"/>
          <w:rFonts w:ascii="Times New Roman" w:hAnsi="Times New Roman"/>
          <w:b w:val="1"/>
          <w:bCs w:val="1"/>
          <w:sz w:val="24"/>
          <w:szCs w:val="24"/>
          <w:rtl w:val="0"/>
          <w:lang w:val="en-US"/>
        </w:rPr>
        <w:t>Recommendation to solve the issue</w:t>
      </w:r>
    </w:p>
    <w:p>
      <w:pPr>
        <w:pStyle w:val="Body A"/>
        <w:numPr>
          <w:ilvl w:val="0"/>
          <w:numId w:val="6"/>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Optimised manufacturing of batteries</w:t>
      </w:r>
    </w:p>
    <w:p>
      <w:pPr>
        <w:pStyle w:val="Body A"/>
        <w:numPr>
          <w:ilvl w:val="0"/>
          <w:numId w:val="6"/>
        </w:numPr>
        <w:bidi w:val="0"/>
        <w:spacing w:line="360" w:lineRule="auto"/>
        <w:ind w:right="0"/>
        <w:jc w:val="both"/>
        <w:rPr>
          <w:rFonts w:ascii="Times New Roman" w:hAnsi="Times New Roman"/>
          <w:sz w:val="24"/>
          <w:szCs w:val="24"/>
          <w:rtl w:val="0"/>
          <w:lang w:val="en-US"/>
        </w:rPr>
      </w:pPr>
      <w:r>
        <w:rPr>
          <w:rStyle w:val="None"/>
          <w:rFonts w:ascii="Times New Roman" w:hAnsi="Times New Roman"/>
          <w:sz w:val="24"/>
          <w:szCs w:val="24"/>
          <w:rtl w:val="0"/>
          <w:lang w:val="en-US"/>
        </w:rPr>
        <w:t>Providing a disclaimer interface regarding misdiagnosis</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Provide digital education through notification to reduce overreliance.</w:t>
      </w: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spacing w:line="360" w:lineRule="auto"/>
        <w:jc w:val="both"/>
        <w:rPr>
          <w:rStyle w:val="None"/>
          <w:rFonts w:ascii="Times New Roman" w:cs="Times New Roman" w:hAnsi="Times New Roman" w:eastAsia="Times New Roman"/>
          <w:sz w:val="24"/>
          <w:szCs w:val="24"/>
        </w:rPr>
      </w:pPr>
    </w:p>
    <w:p>
      <w:pPr>
        <w:pStyle w:val="Body A"/>
      </w:pPr>
      <w:r>
        <w:rPr>
          <w:rStyle w:val="None"/>
          <w:rFonts w:ascii="Arial Unicode MS" w:cs="Arial Unicode MS" w:hAnsi="Arial Unicode MS" w:eastAsia="Arial Unicode MS"/>
          <w:b w:val="0"/>
          <w:bCs w:val="0"/>
          <w:i w:val="0"/>
          <w:iCs w:val="0"/>
          <w:sz w:val="24"/>
          <w:szCs w:val="24"/>
        </w:rPr>
        <w:br w:type="page"/>
      </w:r>
    </w:p>
    <w:p>
      <w:pPr>
        <w:pStyle w:val="Heading"/>
      </w:pPr>
      <w:bookmarkStart w:name="_Toc3" w:id="3"/>
      <w:r>
        <w:rPr>
          <w:rStyle w:val="None"/>
          <w:rFonts w:cs="Arial Unicode MS" w:eastAsia="Arial Unicode MS"/>
          <w:rtl w:val="0"/>
          <w:lang w:val="fr-FR"/>
        </w:rPr>
        <w:t>References:</w:t>
      </w:r>
      <w:bookmarkEnd w:id="3"/>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Baumann, S., Stone, R.T. and Abdelall, E., (2025). Smart healthcare at home: a review of AI-enabled wearables and diagnostics through the Lens of the pi-CON methodology. </w:t>
      </w:r>
      <w:r>
        <w:rPr>
          <w:rStyle w:val="None"/>
          <w:rFonts w:ascii="Times New Roman" w:hAnsi="Times New Roman"/>
          <w:i w:val="1"/>
          <w:iCs w:val="1"/>
          <w:sz w:val="24"/>
          <w:szCs w:val="24"/>
          <w:rtl w:val="0"/>
          <w:lang w:val="en-US"/>
        </w:rPr>
        <w:t xml:space="preserve">Sensors, </w:t>
      </w:r>
      <w:r>
        <w:rPr>
          <w:rStyle w:val="None"/>
          <w:rFonts w:ascii="Times New Roman" w:hAnsi="Times New Roman"/>
          <w:sz w:val="24"/>
          <w:szCs w:val="24"/>
          <w:rtl w:val="0"/>
          <w:lang w:val="en-US"/>
        </w:rPr>
        <w:t xml:space="preserve">25(19), p.6067. Available at: </w:t>
      </w:r>
      <w:r>
        <w:rPr>
          <w:rStyle w:val="Hyperlink.0"/>
        </w:rPr>
        <w:fldChar w:fldCharType="begin" w:fldLock="0"/>
      </w:r>
      <w:r>
        <w:rPr>
          <w:rStyle w:val="Hyperlink.0"/>
        </w:rPr>
        <w:instrText xml:space="preserve"> HYPERLINK "https://www.mdpi.com/1424-8220/25/19/6067"</w:instrText>
      </w:r>
      <w:r>
        <w:rPr>
          <w:rStyle w:val="Hyperlink.0"/>
        </w:rPr>
        <w:fldChar w:fldCharType="separate" w:fldLock="0"/>
      </w:r>
      <w:r>
        <w:rPr>
          <w:rStyle w:val="Hyperlink.0"/>
          <w:rtl w:val="0"/>
          <w:lang w:val="en-US"/>
        </w:rPr>
        <w:t>https://www.mdpi.com/1424-8220/25/19/6067</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Burlacu, A., Brinza, C., Geman, O., Karppa, M. and Hemanth, D.J., (2026). Heart rate variability as a dual-use digital biomarker: integrating clinical, AI, and operational perspectives on human performance and resilience. </w:t>
      </w:r>
      <w:r>
        <w:rPr>
          <w:rStyle w:val="None"/>
          <w:rFonts w:ascii="Times New Roman" w:hAnsi="Times New Roman"/>
          <w:i w:val="1"/>
          <w:iCs w:val="1"/>
          <w:sz w:val="24"/>
          <w:szCs w:val="24"/>
          <w:rtl w:val="0"/>
          <w:lang w:val="it-IT"/>
        </w:rPr>
        <w:t>BMC Cardiovascular Disorders</w:t>
      </w:r>
      <w:r>
        <w:rPr>
          <w:rStyle w:val="None"/>
          <w:rFonts w:ascii="Times New Roman" w:hAnsi="Times New Roman"/>
          <w:sz w:val="24"/>
          <w:szCs w:val="24"/>
          <w:rtl w:val="0"/>
          <w:lang w:val="en-US"/>
        </w:rPr>
        <w:t xml:space="preserve">. Available at: </w:t>
      </w:r>
      <w:r>
        <w:rPr>
          <w:rStyle w:val="Hyperlink.0"/>
        </w:rPr>
        <w:fldChar w:fldCharType="begin" w:fldLock="0"/>
      </w:r>
      <w:r>
        <w:rPr>
          <w:rStyle w:val="Hyperlink.0"/>
        </w:rPr>
        <w:instrText xml:space="preserve"> HYPERLINK "https://pmc.ncbi.nlm.nih.gov/articles/PMC12849089/"</w:instrText>
      </w:r>
      <w:r>
        <w:rPr>
          <w:rStyle w:val="Hyperlink.0"/>
        </w:rPr>
        <w:fldChar w:fldCharType="separate" w:fldLock="0"/>
      </w:r>
      <w:r>
        <w:rPr>
          <w:rStyle w:val="Hyperlink.0"/>
          <w:rtl w:val="0"/>
          <w:lang w:val="en-US"/>
        </w:rPr>
        <w:t>https://pmc.ncbi.nlm.nih.gov/articles/PMC12849089/</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Canali, S., Schiaffonati, V. and Aliverti, A., (2022). Challenges and recommendations for wearable devices in digital health: Data quality, interoperability, health equity, fairness.</w:t>
      </w:r>
      <w:r>
        <w:rPr>
          <w:rStyle w:val="None"/>
          <w:rFonts w:ascii="Times New Roman" w:hAnsi="Times New Roman"/>
          <w:i w:val="1"/>
          <w:iCs w:val="1"/>
          <w:sz w:val="24"/>
          <w:szCs w:val="24"/>
          <w:rtl w:val="0"/>
          <w:lang w:val="en-US"/>
        </w:rPr>
        <w:t xml:space="preserve"> PLOS digital health, </w:t>
      </w:r>
      <w:r>
        <w:rPr>
          <w:rStyle w:val="None"/>
          <w:rFonts w:ascii="Times New Roman" w:hAnsi="Times New Roman"/>
          <w:sz w:val="24"/>
          <w:szCs w:val="24"/>
          <w:rtl w:val="0"/>
          <w:lang w:val="en-US"/>
        </w:rPr>
        <w:t xml:space="preserve">1(10), p.e0000104. Available at: </w:t>
      </w:r>
      <w:r>
        <w:rPr>
          <w:rStyle w:val="Hyperlink.0"/>
        </w:rPr>
        <w:fldChar w:fldCharType="begin" w:fldLock="0"/>
      </w:r>
      <w:r>
        <w:rPr>
          <w:rStyle w:val="Hyperlink.0"/>
        </w:rPr>
        <w:instrText xml:space="preserve"> HYPERLINK "https://pmc.ncbi.nlm.nih.gov/articles/PMC9931360/"</w:instrText>
      </w:r>
      <w:r>
        <w:rPr>
          <w:rStyle w:val="Hyperlink.0"/>
        </w:rPr>
        <w:fldChar w:fldCharType="separate" w:fldLock="0"/>
      </w:r>
      <w:r>
        <w:rPr>
          <w:rStyle w:val="Hyperlink.0"/>
          <w:rtl w:val="0"/>
          <w:lang w:val="en-US"/>
        </w:rPr>
        <w:t>https://pmc.ncbi.nlm.nih.gov/articles/PMC9931360/</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Chan, P.Z., Jin, E., Jansson, M. and Chew, H.S.J., (2024). AI-based noninvasive blood glucose monitoring: Scoping review. </w:t>
      </w:r>
      <w:r>
        <w:rPr>
          <w:rStyle w:val="None"/>
          <w:rFonts w:ascii="Times New Roman" w:hAnsi="Times New Roman"/>
          <w:i w:val="1"/>
          <w:iCs w:val="1"/>
          <w:sz w:val="24"/>
          <w:szCs w:val="24"/>
          <w:rtl w:val="0"/>
          <w:lang w:val="en-US"/>
        </w:rPr>
        <w:t xml:space="preserve">Journal of Medical Internet Research, </w:t>
      </w:r>
      <w:r>
        <w:rPr>
          <w:rStyle w:val="None"/>
          <w:rFonts w:ascii="Times New Roman" w:hAnsi="Times New Roman"/>
          <w:sz w:val="24"/>
          <w:szCs w:val="24"/>
          <w:rtl w:val="0"/>
          <w:lang w:val="en-US"/>
        </w:rPr>
        <w:t xml:space="preserve">26, p.e58892. Available at: </w:t>
      </w:r>
      <w:r>
        <w:rPr>
          <w:rStyle w:val="Hyperlink.0"/>
        </w:rPr>
        <w:fldChar w:fldCharType="begin" w:fldLock="0"/>
      </w:r>
      <w:r>
        <w:rPr>
          <w:rStyle w:val="Hyperlink.0"/>
        </w:rPr>
        <w:instrText xml:space="preserve"> HYPERLINK "https://pmc.ncbi.nlm.nih.gov/articles/PMC11615544/"</w:instrText>
      </w:r>
      <w:r>
        <w:rPr>
          <w:rStyle w:val="Hyperlink.0"/>
        </w:rPr>
        <w:fldChar w:fldCharType="separate" w:fldLock="0"/>
      </w:r>
      <w:r>
        <w:rPr>
          <w:rStyle w:val="Hyperlink.0"/>
          <w:rtl w:val="0"/>
          <w:lang w:val="en-US"/>
        </w:rPr>
        <w:t>https://pmc.ncbi.nlm.nih.gov/articles/PMC11615544/</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Craig, E. (2023). </w:t>
      </w:r>
      <w:r>
        <w:rPr>
          <w:rStyle w:val="None"/>
          <w:rFonts w:ascii="Times New Roman" w:hAnsi="Times New Roman"/>
          <w:i w:val="1"/>
          <w:iCs w:val="1"/>
          <w:sz w:val="24"/>
          <w:szCs w:val="24"/>
          <w:rtl w:val="0"/>
          <w:lang w:val="en-US"/>
        </w:rPr>
        <w:t xml:space="preserve">Areas of England most burdened by obesity revealed as stats show NHS hospitals are dealing with 3,000 fat-related admissions every day.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"https://www.dailymail.com/health/article-12876489/Areas-England-obesity-revealed-NHS-map.html"</w:instrText>
      </w:r>
      <w:r>
        <w:rPr>
          <w:rStyle w:val="Hyperlink.0"/>
        </w:rPr>
        <w:fldChar w:fldCharType="separate" w:fldLock="0"/>
      </w:r>
      <w:r>
        <w:rPr>
          <w:rStyle w:val="Hyperlink.0"/>
          <w:rtl w:val="0"/>
          <w:lang w:val="en-US"/>
        </w:rPr>
        <w:t>https://www.dailymail.com/health/article-12876489/Areas-England-obesity-revealed-NHS-map.html</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Elgendi, M., Elkhalifa, A., Alhashmi, N., Aldahmani, A., Aljneibi, N., Alamro, D., Jelinek, H.F., Khandoker, A. and Ward, R., (2026). Wearable ECG and PPG for anxiety detection: a translational digital medicine perspective. </w:t>
      </w:r>
      <w:r>
        <w:rPr>
          <w:rStyle w:val="None"/>
          <w:rFonts w:ascii="Times New Roman" w:hAnsi="Times New Roman"/>
          <w:i w:val="1"/>
          <w:iCs w:val="1"/>
          <w:sz w:val="24"/>
          <w:szCs w:val="24"/>
          <w:rtl w:val="0"/>
        </w:rPr>
        <w:t xml:space="preserve">npj Digital Medicine.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"https://www.nature.com/articles/s41746-026-02620-7"</w:instrText>
      </w:r>
      <w:r>
        <w:rPr>
          <w:rStyle w:val="Hyperlink.0"/>
        </w:rPr>
        <w:fldChar w:fldCharType="separate" w:fldLock="0"/>
      </w:r>
      <w:r>
        <w:rPr>
          <w:rStyle w:val="Hyperlink.0"/>
          <w:rtl w:val="0"/>
          <w:lang w:val="en-US"/>
        </w:rPr>
        <w:t>https://www.nature.com/articles/s41746-026-02620-7</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 xml:space="preserve">Gov. uk, (2025). </w:t>
      </w:r>
      <w:r>
        <w:rPr>
          <w:rStyle w:val="None"/>
          <w:rFonts w:ascii="Times New Roman" w:hAnsi="Times New Roman"/>
          <w:i w:val="1"/>
          <w:iCs w:val="1"/>
          <w:sz w:val="24"/>
          <w:szCs w:val="24"/>
          <w:rtl w:val="0"/>
          <w:lang w:val="en-US"/>
        </w:rPr>
        <w:t xml:space="preserve">New obesity treatments and technology to save the NHS billions,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"https://www.gov.uk/government/news/new-obesity-treatments-and-technology-to-save-the-nhs-billions"</w:instrText>
      </w:r>
      <w:r>
        <w:rPr>
          <w:rStyle w:val="Hyperlink.0"/>
        </w:rPr>
        <w:fldChar w:fldCharType="separate" w:fldLock="0"/>
      </w:r>
      <w:r>
        <w:rPr>
          <w:rStyle w:val="Hyperlink.0"/>
          <w:rtl w:val="0"/>
          <w:lang w:val="en-US"/>
        </w:rPr>
        <w:t>https://www.gov.uk/government/news/new-obesity-treatments-and-technology-to-save-the-nhs-billions</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Haase, C.L., Eriksen, K.T., Lopes, S., Satylganova, A., Schnecke, V. and McEwan, P., (2021). Body mass index and risk of obesity</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related conditions in a cohort of 2.9 million people: evidence from a UK primary care database. </w:t>
      </w:r>
      <w:r>
        <w:rPr>
          <w:rStyle w:val="None"/>
          <w:rFonts w:ascii="Times New Roman" w:hAnsi="Times New Roman"/>
          <w:i w:val="1"/>
          <w:iCs w:val="1"/>
          <w:sz w:val="24"/>
          <w:szCs w:val="24"/>
          <w:rtl w:val="0"/>
          <w:lang w:val="en-US"/>
        </w:rPr>
        <w:t>Obesity science &amp; practice</w:t>
      </w:r>
      <w:r>
        <w:rPr>
          <w:rStyle w:val="None"/>
          <w:rFonts w:ascii="Times New Roman" w:hAnsi="Times New Roman"/>
          <w:sz w:val="24"/>
          <w:szCs w:val="24"/>
          <w:rtl w:val="0"/>
          <w:lang w:val="en-US"/>
        </w:rPr>
        <w:t xml:space="preserve">, 7(2), pp.137-147. Available at: </w:t>
      </w:r>
      <w:r>
        <w:rPr>
          <w:rStyle w:val="Hyperlink.0"/>
        </w:rPr>
        <w:fldChar w:fldCharType="begin" w:fldLock="0"/>
      </w:r>
      <w:r>
        <w:rPr>
          <w:rStyle w:val="Hyperlink.0"/>
        </w:rPr>
        <w:instrText xml:space="preserve"> HYPERLINK "https://pmc.ncbi.nlm.nih.gov/articles/PMC8019280/"</w:instrText>
      </w:r>
      <w:r>
        <w:rPr>
          <w:rStyle w:val="Hyperlink.0"/>
        </w:rPr>
        <w:fldChar w:fldCharType="separate" w:fldLock="0"/>
      </w:r>
      <w:r>
        <w:rPr>
          <w:rStyle w:val="Hyperlink.0"/>
          <w:rtl w:val="0"/>
          <w:lang w:val="en-US"/>
        </w:rPr>
        <w:t>https://pmc.ncbi.nlm.nih.gov/articles/PMC8019280/</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Huang, G., Chen, X. and Liao, C., (2025). AI-driven wearable bioelectronics in digital healthcare. </w:t>
      </w:r>
      <w:r>
        <w:rPr>
          <w:rStyle w:val="None"/>
          <w:rFonts w:ascii="Times New Roman" w:hAnsi="Times New Roman"/>
          <w:i w:val="1"/>
          <w:iCs w:val="1"/>
          <w:sz w:val="24"/>
          <w:szCs w:val="24"/>
          <w:rtl w:val="0"/>
          <w:lang w:val="it-IT"/>
        </w:rPr>
        <w:t>Biosensors,</w:t>
      </w:r>
      <w:r>
        <w:rPr>
          <w:rStyle w:val="None"/>
          <w:rFonts w:ascii="Times New Roman" w:hAnsi="Times New Roman"/>
          <w:sz w:val="24"/>
          <w:szCs w:val="24"/>
          <w:rtl w:val="0"/>
          <w:lang w:val="en-US"/>
        </w:rPr>
        <w:t xml:space="preserve"> 15(7), p.410.  Available at: </w:t>
      </w:r>
      <w:r>
        <w:rPr>
          <w:rStyle w:val="Hyperlink.0"/>
        </w:rPr>
        <w:fldChar w:fldCharType="begin" w:fldLock="0"/>
      </w:r>
      <w:r>
        <w:rPr>
          <w:rStyle w:val="Hyperlink.0"/>
        </w:rPr>
        <w:instrText xml:space="preserve"> HYPERLINK "https://www.mdpi.com/2079-6374/15/7/410"</w:instrText>
      </w:r>
      <w:r>
        <w:rPr>
          <w:rStyle w:val="Hyperlink.0"/>
        </w:rPr>
        <w:fldChar w:fldCharType="separate" w:fldLock="0"/>
      </w:r>
      <w:r>
        <w:rPr>
          <w:rStyle w:val="Hyperlink.0"/>
          <w:rtl w:val="0"/>
          <w:lang w:val="en-US"/>
        </w:rPr>
        <w:t>https://www.mdpi.com/2079-6374/15/7/410</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Irvin, L., Madden, L.A., Marshall, P. and Vince, R.V., (2023). Digital health solutions for weight loss and obesity: a narrative review</w:t>
      </w:r>
      <w:r>
        <w:rPr>
          <w:rStyle w:val="None"/>
          <w:rFonts w:ascii="Times New Roman" w:hAnsi="Times New Roman"/>
          <w:i w:val="1"/>
          <w:iCs w:val="1"/>
          <w:sz w:val="24"/>
          <w:szCs w:val="24"/>
          <w:rtl w:val="0"/>
          <w:lang w:val="en-US"/>
        </w:rPr>
        <w:t>. Nutrients,</w:t>
      </w:r>
      <w:r>
        <w:rPr>
          <w:rStyle w:val="None"/>
          <w:rFonts w:ascii="Times New Roman" w:hAnsi="Times New Roman"/>
          <w:sz w:val="24"/>
          <w:szCs w:val="24"/>
          <w:rtl w:val="0"/>
          <w:lang w:val="en-US"/>
        </w:rPr>
        <w:t xml:space="preserve"> 15(8), p.1858. Availabe at: </w:t>
      </w:r>
      <w:r>
        <w:rPr>
          <w:rStyle w:val="Hyperlink.0"/>
        </w:rPr>
        <w:fldChar w:fldCharType="begin" w:fldLock="0"/>
      </w:r>
      <w:r>
        <w:rPr>
          <w:rStyle w:val="Hyperlink.0"/>
        </w:rPr>
        <w:instrText xml:space="preserve"> HYPERLINK "https://pmc.ncbi.nlm.nih.gov/articles/PMC10145832/"</w:instrText>
      </w:r>
      <w:r>
        <w:rPr>
          <w:rStyle w:val="Hyperlink.0"/>
        </w:rPr>
        <w:fldChar w:fldCharType="separate" w:fldLock="0"/>
      </w:r>
      <w:r>
        <w:rPr>
          <w:rStyle w:val="Hyperlink.0"/>
          <w:rtl w:val="0"/>
          <w:lang w:val="en-US"/>
        </w:rPr>
        <w:t>https://pmc.ncbi.nlm.nih.gov/articles/PMC10145832/</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 xml:space="preserve">Khan, H., Kavati, R., Pulkaram, S.S. and Jalooli, A., (2025). End-to-end privacy-aware federated learning for wearable health devices via encrypted aggregation in programmable networks. </w:t>
      </w:r>
      <w:r>
        <w:rPr>
          <w:rStyle w:val="None"/>
          <w:rFonts w:ascii="Times New Roman" w:hAnsi="Times New Roman"/>
          <w:i w:val="1"/>
          <w:iCs w:val="1"/>
          <w:sz w:val="24"/>
          <w:szCs w:val="24"/>
          <w:rtl w:val="0"/>
          <w:lang w:val="it-IT"/>
        </w:rPr>
        <w:t>Sensors</w:t>
      </w:r>
      <w:r>
        <w:rPr>
          <w:rStyle w:val="None"/>
          <w:rFonts w:ascii="Times New Roman" w:hAnsi="Times New Roman"/>
          <w:sz w:val="24"/>
          <w:szCs w:val="24"/>
          <w:rtl w:val="0"/>
          <w:lang w:val="en-US"/>
        </w:rPr>
        <w:t xml:space="preserve">, 25(22), p.7023. Available at: </w:t>
      </w:r>
      <w:r>
        <w:rPr>
          <w:rStyle w:val="Hyperlink.0"/>
        </w:rPr>
        <w:fldChar w:fldCharType="begin" w:fldLock="0"/>
      </w:r>
      <w:r>
        <w:rPr>
          <w:rStyle w:val="Hyperlink.0"/>
        </w:rPr>
        <w:instrText xml:space="preserve"> HYPERLINK "https://pmc.ncbi.nlm.nih.gov/articles/PMC12656036/"</w:instrText>
      </w:r>
      <w:r>
        <w:rPr>
          <w:rStyle w:val="Hyperlink.0"/>
        </w:rPr>
        <w:fldChar w:fldCharType="separate" w:fldLock="0"/>
      </w:r>
      <w:r>
        <w:rPr>
          <w:rStyle w:val="Hyperlink.0"/>
          <w:rtl w:val="0"/>
          <w:lang w:val="en-US"/>
        </w:rPr>
        <w:t>https://pmc.ncbi.nlm.nih.gov/articles/PMC12656036/</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pt-PT"/>
        </w:rPr>
        <w:t xml:space="preserve">Modorintelligence. (2026). </w:t>
      </w:r>
      <w:r>
        <w:rPr>
          <w:rStyle w:val="None"/>
          <w:rFonts w:ascii="Times New Roman" w:hAnsi="Times New Roman"/>
          <w:i w:val="1"/>
          <w:iCs w:val="1"/>
          <w:sz w:val="24"/>
          <w:szCs w:val="24"/>
          <w:rtl w:val="0"/>
          <w:lang w:val="en-US"/>
        </w:rPr>
        <w:t xml:space="preserve">UNITED KINGDOM WEARABLE TECHNOLOGY MARKET SIZE &amp; SHARE ANALYSIS - GROWTH TRENDS AND FORECAST (2026 - 2031).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"https://www.mordorintelligence.com/industry-reports/united-kingdom-wearable-technology-market"</w:instrText>
      </w:r>
      <w:r>
        <w:rPr>
          <w:rStyle w:val="Hyperlink.0"/>
        </w:rPr>
        <w:fldChar w:fldCharType="separate" w:fldLock="0"/>
      </w:r>
      <w:r>
        <w:rPr>
          <w:rStyle w:val="Hyperlink.0"/>
          <w:rtl w:val="0"/>
          <w:lang w:val="en-US"/>
        </w:rPr>
        <w:t>https://www.mordorintelligence.com/industry-reports/united-kingdom-wearable-technology-market</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lang w:val="en-US"/>
        </w:rPr>
        <w:t>Saarinen, H.J., Joutsen, A., Korpi, K., Halkola, T., Nurmi, M., Hernesniemi, J. and Vehkaoja, A., (2023). Wrist-worn device combining PPG and ECG can be reliably used for atrial fibrillation detection in an outpatient setting.</w:t>
      </w:r>
      <w:r>
        <w:rPr>
          <w:rStyle w:val="None"/>
          <w:rFonts w:ascii="Times New Roman" w:hAnsi="Times New Roman"/>
          <w:i w:val="1"/>
          <w:iCs w:val="1"/>
          <w:sz w:val="24"/>
          <w:szCs w:val="24"/>
          <w:rtl w:val="0"/>
          <w:lang w:val="en-US"/>
        </w:rPr>
        <w:t xml:space="preserve"> Frontiers in cardiovascular medicine, </w:t>
      </w:r>
      <w:r>
        <w:rPr>
          <w:rStyle w:val="None"/>
          <w:rFonts w:ascii="Times New Roman" w:hAnsi="Times New Roman"/>
          <w:sz w:val="24"/>
          <w:szCs w:val="24"/>
          <w:rtl w:val="0"/>
          <w:lang w:val="en-US"/>
        </w:rPr>
        <w:t xml:space="preserve">10, p.1100127. Available at: </w:t>
      </w:r>
      <w:r>
        <w:rPr>
          <w:rStyle w:val="Hyperlink.0"/>
        </w:rPr>
        <w:fldChar w:fldCharType="begin" w:fldLock="0"/>
      </w:r>
      <w:r>
        <w:rPr>
          <w:rStyle w:val="Hyperlink.0"/>
        </w:rPr>
        <w:instrText xml:space="preserve"> HYPERLINK "https://pmc.ncbi.nlm.nih.gov/articles/PMC9949528/"</w:instrText>
      </w:r>
      <w:r>
        <w:rPr>
          <w:rStyle w:val="Hyperlink.0"/>
        </w:rPr>
        <w:fldChar w:fldCharType="separate" w:fldLock="0"/>
      </w:r>
      <w:r>
        <w:rPr>
          <w:rStyle w:val="Hyperlink.0"/>
          <w:rtl w:val="0"/>
          <w:lang w:val="en-US"/>
        </w:rPr>
        <w:t>https://pmc.ncbi.nlm.nih.gov/articles/PMC9949528/</w:t>
      </w:r>
      <w:r>
        <w:rPr/>
        <w:fldChar w:fldCharType="end" w:fldLock="0"/>
      </w:r>
      <w:r>
        <w:rPr>
          <w:rStyle w:val="None"/>
          <w:rFonts w:ascii="Times New Roman" w:hAnsi="Times New Roman"/>
          <w:sz w:val="24"/>
          <w:szCs w:val="24"/>
          <w:rtl w:val="0"/>
        </w:rPr>
        <w:t xml:space="preserve"> </w:t>
      </w:r>
    </w:p>
    <w:p>
      <w:pPr>
        <w:pStyle w:val="Body A"/>
        <w:spacing w:line="360" w:lineRule="auto"/>
        <w:jc w:val="both"/>
        <w:rPr>
          <w:rStyle w:val="None"/>
          <w:rFonts w:ascii="Times New Roman" w:cs="Times New Roman" w:hAnsi="Times New Roman" w:eastAsia="Times New Roman"/>
          <w:sz w:val="24"/>
          <w:szCs w:val="24"/>
        </w:rPr>
      </w:pPr>
      <w:r>
        <w:rPr>
          <w:rStyle w:val="None"/>
          <w:rFonts w:ascii="Times New Roman" w:hAnsi="Times New Roman"/>
          <w:sz w:val="24"/>
          <w:szCs w:val="24"/>
          <w:rtl w:val="0"/>
        </w:rPr>
        <w:t>TOI. (2026). UK</w:t>
      </w:r>
      <w:r>
        <w:rPr>
          <w:rStyle w:val="None"/>
          <w:rFonts w:ascii="Times New Roman" w:hAnsi="Times New Roman" w:hint="default"/>
          <w:sz w:val="24"/>
          <w:szCs w:val="24"/>
          <w:rtl w:val="0"/>
          <w:lang w:val="en-US"/>
        </w:rPr>
        <w:t>’</w:t>
      </w:r>
      <w:r>
        <w:rPr>
          <w:rStyle w:val="None"/>
          <w:rFonts w:ascii="Times New Roman" w:hAnsi="Times New Roman"/>
          <w:sz w:val="24"/>
          <w:szCs w:val="24"/>
          <w:rtl w:val="0"/>
          <w:lang w:val="en-US"/>
        </w:rPr>
        <w:t xml:space="preserve">s obesity </w:t>
      </w:r>
      <w:r>
        <w:rPr>
          <w:rStyle w:val="None"/>
          <w:rFonts w:ascii="Times New Roman" w:hAnsi="Times New Roman"/>
          <w:i w:val="1"/>
          <w:iCs w:val="1"/>
          <w:sz w:val="24"/>
          <w:szCs w:val="24"/>
          <w:rtl w:val="0"/>
          <w:lang w:val="en-US"/>
        </w:rPr>
        <w:t xml:space="preserve">crisis: a;arming surge among young adults-which places are the most obese?.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"https://timesofindia.indiatimes.com/etimes/wellness/uks-obesity-crisis-alarming-surge-among-young-adults-which-places-are-the-most-obese/articleshow/132061160.cms%23:~:text=A%252520huge%252520review%252520of%252520NHS,in%252520their%25252020s%252520and%25252030s"</w:instrText>
      </w:r>
      <w:r>
        <w:rPr>
          <w:rStyle w:val="Hyperlink.0"/>
        </w:rPr>
        <w:fldChar w:fldCharType="separate" w:fldLock="0"/>
      </w:r>
      <w:r>
        <w:rPr>
          <w:rStyle w:val="Hyperlink.0"/>
          <w:rtl w:val="0"/>
          <w:lang w:val="en-US"/>
        </w:rPr>
        <w:t>https://timesofindia.indiatimes.com/etimes/wellness/uks-obesity-crisis-alarming-surge-among-young-adults-which-places-are-the-most-obese/articleshow/132061160.cms#:~:text=A%20huge%20review%20of%20NHS,in%20their%2020s%20and%2030s</w:t>
      </w:r>
      <w:r>
        <w:rPr/>
        <w:fldChar w:fldCharType="end" w:fldLock="0"/>
      </w:r>
      <w:r>
        <w:rPr>
          <w:rStyle w:val="None"/>
          <w:rFonts w:ascii="Times New Roman" w:hAnsi="Times New Roman"/>
          <w:sz w:val="24"/>
          <w:szCs w:val="24"/>
          <w:rtl w:val="0"/>
        </w:rPr>
        <w:t xml:space="preserve">. </w:t>
      </w:r>
    </w:p>
    <w:p>
      <w:pPr>
        <w:pStyle w:val="Body A"/>
        <w:spacing w:line="360" w:lineRule="auto"/>
        <w:jc w:val="both"/>
      </w:pPr>
      <w:r>
        <w:rPr>
          <w:rStyle w:val="None"/>
          <w:rFonts w:ascii="Times New Roman" w:hAnsi="Times New Roman"/>
          <w:sz w:val="24"/>
          <w:szCs w:val="24"/>
          <w:rtl w:val="0"/>
          <w:lang w:val="en-US"/>
        </w:rPr>
        <w:t>West, R. and Michie, S., (2020). A brief introduction to the COM-B Model of behaviour and the PRIME Theory of motivation [v1].</w:t>
      </w:r>
      <w:r>
        <w:rPr>
          <w:rStyle w:val="None"/>
          <w:rFonts w:ascii="Times New Roman" w:hAnsi="Times New Roman"/>
          <w:i w:val="1"/>
          <w:iCs w:val="1"/>
          <w:sz w:val="24"/>
          <w:szCs w:val="24"/>
          <w:rtl w:val="0"/>
          <w:lang w:val="pt-PT"/>
        </w:rPr>
        <w:t xml:space="preserve"> Qeios. </w:t>
      </w:r>
      <w:r>
        <w:rPr>
          <w:rStyle w:val="None"/>
          <w:rFonts w:ascii="Times New Roman" w:hAnsi="Times New Roman"/>
          <w:sz w:val="24"/>
          <w:szCs w:val="24"/>
          <w:rtl w:val="0"/>
          <w:lang w:val="en-US"/>
        </w:rPr>
        <w:t xml:space="preserve">Available at: </w:t>
      </w:r>
      <w:r>
        <w:rPr>
          <w:rStyle w:val="Hyperlink.0"/>
        </w:rPr>
        <w:fldChar w:fldCharType="begin" w:fldLock="0"/>
      </w:r>
      <w:r>
        <w:rPr>
          <w:rStyle w:val="Hyperlink.0"/>
        </w:rPr>
        <w:instrText xml:space="preserve"> HYPERLINK "https://www.researchgate.net/publication/340545295_A_brief_introduction_to_the_COM-B_Model_of_behaviour_and_the_PRIME_Theory_of_motivation"</w:instrText>
      </w:r>
      <w:r>
        <w:rPr>
          <w:rStyle w:val="Hyperlink.0"/>
        </w:rPr>
        <w:fldChar w:fldCharType="separate" w:fldLock="0"/>
      </w:r>
      <w:r>
        <w:rPr>
          <w:rStyle w:val="Hyperlink.0"/>
          <w:rtl w:val="0"/>
          <w:lang w:val="en-US"/>
        </w:rPr>
        <w:t>https://www.researchgate.net/publication/340545295_A_brief_introduction_to_the_COM-B_Model_of_behaviour_and_the_PRIME_Theory_of_motivation</w:t>
      </w:r>
      <w:r>
        <w:rPr/>
        <w:fldChar w:fldCharType="end" w:fldLock="0"/>
      </w:r>
      <w:r>
        <w:rPr>
          <w:rStyle w:val="None"/>
          <w:rFonts w:ascii="Times New Roman" w:hAnsi="Times New Roman"/>
          <w:sz w:val="24"/>
          <w:szCs w:val="24"/>
          <w:rtl w:val="0"/>
        </w:rPr>
        <w:t xml:space="preserve"> </w:t>
      </w:r>
    </w:p>
    <w:sectPr>
      <w:headerReference w:type="default" r:id="rId10"/>
      <w:footerReference w:type="default" r:id="rId11"/>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Times New Roman" w:cs="Times New Roman" w:hAnsi="Times New Roman" w:eastAsia="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Heading">
    <w:name w:val="TOC Heading"/>
    <w:next w:val="Body A"/>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A"/>
    <w:pPr>
      <w:keepNext w:val="1"/>
      <w:keepLines w:val="1"/>
      <w:pageBreakBefore w:val="0"/>
      <w:widowControl w:val="1"/>
      <w:shd w:val="clear" w:color="auto" w:fill="auto"/>
      <w:suppressAutoHyphens w:val="0"/>
      <w:bidi w:val="0"/>
      <w:spacing w:before="400" w:after="120" w:line="360" w:lineRule="auto"/>
      <w:ind w:left="0" w:right="0" w:firstLine="0"/>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1155cc"/>
      <w:sz w:val="24"/>
      <w:szCs w:val="24"/>
      <w:u w:val="single" w:color="1155cc"/>
      <w:lang w:val="en-US"/>
      <w14:textFill>
        <w14:solidFill>
          <w14:srgbClr w14:val="1155CC"/>
        </w14:solidFill>
      </w14:textFill>
    </w:rPr>
  </w:style>
  <w:style w:type="character" w:styleId="None A">
    <w:name w:val="None A"/>
  </w:style>
  <w:style w:type="character" w:styleId="Hyperlink.1">
    <w:name w:val="Hyperlink.1"/>
    <w:basedOn w:val="None"/>
    <w:next w:val="Hyperlink.1"/>
    <w:rPr>
      <w:rFonts w:ascii="Times New Roman" w:cs="Times New Roman" w:hAnsi="Times New Roman" w:eastAsia="Times New Roman"/>
      <w:outline w:val="0"/>
      <w:color w:val="1155cc"/>
      <w:sz w:val="24"/>
      <w:szCs w:val="24"/>
      <w:u w:val="single" w:color="1155cc"/>
      <w14:textFill>
        <w14:solidFill>
          <w14:srgbClr w14:val="1155CC"/>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numbering" Target="numbering.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