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DA249B" w14:textId="77777777" w:rsidR="00180EA3" w:rsidRPr="008D53E5" w:rsidRDefault="00180EA3" w:rsidP="00180EA3">
      <w:pPr>
        <w:rPr>
          <w:rFonts w:ascii="Arial" w:hAnsi="Arial" w:cs="Arial"/>
        </w:rPr>
      </w:pPr>
      <w:r w:rsidRPr="008D53E5">
        <w:rPr>
          <w:rFonts w:ascii="Arial" w:hAnsi="Arial" w:cs="Arial"/>
        </w:rPr>
        <w:t>Module: Social Epidemiology and Public Health Development</w:t>
      </w:r>
    </w:p>
    <w:p w14:paraId="0C1E4F05" w14:textId="37B5E298" w:rsidR="00180EA3" w:rsidRPr="008D53E5" w:rsidRDefault="00180EA3" w:rsidP="002D3C29">
      <w:pPr>
        <w:rPr>
          <w:rFonts w:ascii="Arial" w:hAnsi="Arial" w:cs="Arial"/>
        </w:rPr>
      </w:pPr>
      <w:r w:rsidRPr="008D53E5">
        <w:rPr>
          <w:rFonts w:ascii="Arial" w:hAnsi="Arial" w:cs="Arial"/>
        </w:rPr>
        <w:t xml:space="preserve">Module code: LCHS7000 </w:t>
      </w:r>
    </w:p>
    <w:p w14:paraId="41E14BCA" w14:textId="3DCD0100" w:rsidR="00180EA3" w:rsidRPr="008D53E5" w:rsidRDefault="00180EA3" w:rsidP="00180EA3">
      <w:pPr>
        <w:rPr>
          <w:rFonts w:ascii="Arial" w:hAnsi="Arial" w:cs="Arial"/>
        </w:rPr>
      </w:pPr>
      <w:r w:rsidRPr="008D53E5">
        <w:rPr>
          <w:rFonts w:ascii="Arial" w:hAnsi="Arial" w:cs="Arial"/>
        </w:rPr>
        <w:t xml:space="preserve">Lecturer: </w:t>
      </w:r>
      <w:proofErr w:type="spellStart"/>
      <w:r w:rsidRPr="008D53E5">
        <w:rPr>
          <w:rFonts w:ascii="Arial" w:hAnsi="Arial" w:cs="Arial"/>
        </w:rPr>
        <w:t>Itse</w:t>
      </w:r>
      <w:proofErr w:type="spellEnd"/>
      <w:r w:rsidRPr="008D53E5">
        <w:rPr>
          <w:rFonts w:ascii="Arial" w:hAnsi="Arial" w:cs="Arial"/>
        </w:rPr>
        <w:t xml:space="preserve"> </w:t>
      </w:r>
      <w:proofErr w:type="spellStart"/>
      <w:r w:rsidRPr="008D53E5">
        <w:rPr>
          <w:rFonts w:ascii="Arial" w:hAnsi="Arial" w:cs="Arial"/>
        </w:rPr>
        <w:t>Olaoye</w:t>
      </w:r>
      <w:proofErr w:type="spellEnd"/>
      <w:r w:rsidR="002D3C29" w:rsidRPr="008D53E5">
        <w:rPr>
          <w:rFonts w:ascii="Arial" w:hAnsi="Arial" w:cs="Arial"/>
        </w:rPr>
        <w:t xml:space="preserve"> </w:t>
      </w:r>
      <w:r w:rsidRPr="008D53E5">
        <w:rPr>
          <w:rFonts w:ascii="Arial" w:hAnsi="Arial" w:cs="Arial"/>
        </w:rPr>
        <w:t>Brian</w:t>
      </w:r>
      <w:r w:rsidR="002D3C29" w:rsidRPr="008D53E5">
        <w:rPr>
          <w:rFonts w:ascii="Arial" w:hAnsi="Arial" w:cs="Arial"/>
        </w:rPr>
        <w:t xml:space="preserve"> </w:t>
      </w:r>
      <w:proofErr w:type="spellStart"/>
      <w:r w:rsidRPr="008D53E5">
        <w:rPr>
          <w:rFonts w:ascii="Arial" w:hAnsi="Arial" w:cs="Arial"/>
        </w:rPr>
        <w:t>Mashumba</w:t>
      </w:r>
      <w:proofErr w:type="spellEnd"/>
    </w:p>
    <w:p w14:paraId="6593A2BF" w14:textId="77777777" w:rsidR="00180EA3" w:rsidRPr="008D53E5" w:rsidRDefault="00180EA3" w:rsidP="00180EA3">
      <w:pPr>
        <w:rPr>
          <w:rFonts w:ascii="Arial" w:hAnsi="Arial" w:cs="Arial"/>
        </w:rPr>
      </w:pPr>
      <w:r w:rsidRPr="008D53E5">
        <w:rPr>
          <w:rFonts w:ascii="Arial" w:hAnsi="Arial" w:cs="Arial"/>
        </w:rPr>
        <w:t>Assignment Title: Component 2</w:t>
      </w:r>
    </w:p>
    <w:p w14:paraId="7AB0AD7C" w14:textId="0F214AC1" w:rsidR="00FF5C08" w:rsidRPr="008D53E5" w:rsidRDefault="00180EA3">
      <w:pPr>
        <w:rPr>
          <w:rFonts w:ascii="Arial" w:hAnsi="Arial" w:cs="Arial"/>
        </w:rPr>
      </w:pPr>
      <w:r w:rsidRPr="008D53E5">
        <w:rPr>
          <w:rFonts w:ascii="Arial" w:hAnsi="Arial" w:cs="Arial"/>
        </w:rPr>
        <w:t>Analytical Report</w:t>
      </w:r>
      <w:r w:rsidR="00370C0E" w:rsidRPr="008D53E5">
        <w:rPr>
          <w:rFonts w:ascii="Arial" w:hAnsi="Arial" w:cs="Arial"/>
        </w:rPr>
        <w:t xml:space="preserve"> </w:t>
      </w:r>
    </w:p>
    <w:p w14:paraId="74FA9C82" w14:textId="77777777" w:rsidR="00FF5C08" w:rsidRPr="008D53E5" w:rsidRDefault="00FF5C08">
      <w:pPr>
        <w:rPr>
          <w:rFonts w:ascii="Arial" w:hAnsi="Arial" w:cs="Arial"/>
        </w:rPr>
      </w:pPr>
    </w:p>
    <w:p w14:paraId="62DCF3A6" w14:textId="261F47D9" w:rsidR="002D3C29" w:rsidRPr="008D53E5" w:rsidRDefault="002D3C29">
      <w:pPr>
        <w:rPr>
          <w:rFonts w:ascii="Arial" w:hAnsi="Arial" w:cs="Arial"/>
        </w:rPr>
      </w:pPr>
      <w:r w:rsidRPr="008D53E5">
        <w:rPr>
          <w:rFonts w:ascii="Arial" w:hAnsi="Arial" w:cs="Arial"/>
        </w:rPr>
        <w:t>Patience Edo</w:t>
      </w:r>
    </w:p>
    <w:p w14:paraId="328A3FF2" w14:textId="7EC2B832" w:rsidR="002D3C29" w:rsidRPr="008D53E5" w:rsidRDefault="002D3C29">
      <w:pPr>
        <w:rPr>
          <w:rFonts w:ascii="Arial" w:hAnsi="Arial" w:cs="Arial"/>
        </w:rPr>
      </w:pPr>
      <w:r w:rsidRPr="008D53E5">
        <w:rPr>
          <w:rFonts w:ascii="Arial" w:hAnsi="Arial" w:cs="Arial"/>
        </w:rPr>
        <w:t xml:space="preserve">Student </w:t>
      </w:r>
      <w:r w:rsidR="00370C0E" w:rsidRPr="008D53E5">
        <w:rPr>
          <w:rFonts w:ascii="Arial" w:hAnsi="Arial" w:cs="Arial"/>
        </w:rPr>
        <w:t>I’d: 2220883</w:t>
      </w:r>
    </w:p>
    <w:p w14:paraId="0814300B" w14:textId="77777777" w:rsidR="00FF5C08" w:rsidRPr="008D53E5" w:rsidRDefault="00FF5C08">
      <w:pPr>
        <w:rPr>
          <w:rFonts w:ascii="Arial" w:hAnsi="Arial" w:cs="Arial"/>
        </w:rPr>
      </w:pPr>
    </w:p>
    <w:p w14:paraId="22503C0D" w14:textId="77777777" w:rsidR="00FF5C08" w:rsidRPr="008D53E5" w:rsidRDefault="00FF5C08">
      <w:pPr>
        <w:rPr>
          <w:rFonts w:ascii="Arial" w:hAnsi="Arial" w:cs="Arial"/>
        </w:rPr>
      </w:pPr>
    </w:p>
    <w:p w14:paraId="0EC2EFC7" w14:textId="77777777" w:rsidR="00FF5C08" w:rsidRPr="008D53E5" w:rsidRDefault="00FF5C08">
      <w:pPr>
        <w:rPr>
          <w:rFonts w:ascii="Arial" w:hAnsi="Arial" w:cs="Arial"/>
        </w:rPr>
      </w:pPr>
    </w:p>
    <w:p w14:paraId="1DDAF838" w14:textId="77777777" w:rsidR="00FF5C08" w:rsidRPr="008D53E5" w:rsidRDefault="00FF5C08">
      <w:pPr>
        <w:rPr>
          <w:rFonts w:ascii="Arial" w:hAnsi="Arial" w:cs="Arial"/>
        </w:rPr>
      </w:pPr>
    </w:p>
    <w:p w14:paraId="3A40A38A" w14:textId="77777777" w:rsidR="00FF5C08" w:rsidRPr="008D53E5" w:rsidRDefault="00FF5C08">
      <w:pPr>
        <w:rPr>
          <w:rFonts w:ascii="Arial" w:hAnsi="Arial" w:cs="Arial"/>
        </w:rPr>
      </w:pPr>
    </w:p>
    <w:p w14:paraId="2D5B7CE1" w14:textId="77777777" w:rsidR="00FF5C08" w:rsidRPr="008D53E5" w:rsidRDefault="00FF5C08">
      <w:pPr>
        <w:rPr>
          <w:rFonts w:ascii="Arial" w:hAnsi="Arial" w:cs="Arial"/>
        </w:rPr>
      </w:pPr>
    </w:p>
    <w:p w14:paraId="7457FC7D" w14:textId="77777777" w:rsidR="005D34AC" w:rsidRPr="008D53E5" w:rsidRDefault="005D34AC">
      <w:pPr>
        <w:rPr>
          <w:rFonts w:ascii="Arial" w:hAnsi="Arial" w:cs="Arial"/>
        </w:rPr>
      </w:pPr>
    </w:p>
    <w:p w14:paraId="79275679" w14:textId="77777777" w:rsidR="005D34AC" w:rsidRPr="008D53E5" w:rsidRDefault="005D34AC">
      <w:pPr>
        <w:rPr>
          <w:rFonts w:ascii="Arial" w:hAnsi="Arial" w:cs="Arial"/>
        </w:rPr>
      </w:pPr>
    </w:p>
    <w:p w14:paraId="6A6CC404" w14:textId="77777777" w:rsidR="005D34AC" w:rsidRPr="008D53E5" w:rsidRDefault="005D34AC">
      <w:pPr>
        <w:rPr>
          <w:rFonts w:ascii="Arial" w:hAnsi="Arial" w:cs="Arial"/>
        </w:rPr>
      </w:pPr>
    </w:p>
    <w:p w14:paraId="0A318B5D" w14:textId="77777777" w:rsidR="005D34AC" w:rsidRPr="008D53E5" w:rsidRDefault="005D34AC">
      <w:pPr>
        <w:rPr>
          <w:rFonts w:ascii="Arial" w:hAnsi="Arial" w:cs="Arial"/>
        </w:rPr>
      </w:pPr>
    </w:p>
    <w:p w14:paraId="334CE110" w14:textId="77777777" w:rsidR="005D34AC" w:rsidRPr="008D53E5" w:rsidRDefault="005D34AC">
      <w:pPr>
        <w:rPr>
          <w:rFonts w:ascii="Arial" w:hAnsi="Arial" w:cs="Arial"/>
        </w:rPr>
      </w:pPr>
    </w:p>
    <w:p w14:paraId="3B5042F4" w14:textId="77777777" w:rsidR="009F7D85" w:rsidRPr="008D53E5" w:rsidRDefault="009F7D85" w:rsidP="00FF5C08">
      <w:pPr>
        <w:rPr>
          <w:rFonts w:ascii="Arial" w:hAnsi="Arial" w:cs="Arial"/>
        </w:rPr>
      </w:pPr>
    </w:p>
    <w:p w14:paraId="624A7754" w14:textId="77777777" w:rsidR="009F7D85" w:rsidRPr="008D53E5" w:rsidRDefault="009F7D85" w:rsidP="00FF5C08">
      <w:pPr>
        <w:rPr>
          <w:rFonts w:ascii="Arial" w:hAnsi="Arial" w:cs="Arial"/>
        </w:rPr>
      </w:pPr>
    </w:p>
    <w:p w14:paraId="2BEE1557" w14:textId="77777777" w:rsidR="009F7D85" w:rsidRPr="008D53E5" w:rsidRDefault="009F7D85" w:rsidP="00FF5C08">
      <w:pPr>
        <w:rPr>
          <w:rFonts w:ascii="Arial" w:hAnsi="Arial" w:cs="Arial"/>
        </w:rPr>
      </w:pPr>
    </w:p>
    <w:p w14:paraId="382E4C07" w14:textId="77777777" w:rsidR="009F7D85" w:rsidRPr="008D53E5" w:rsidRDefault="009F7D85" w:rsidP="00FF5C08">
      <w:pPr>
        <w:rPr>
          <w:rFonts w:ascii="Arial" w:hAnsi="Arial" w:cs="Arial"/>
        </w:rPr>
      </w:pPr>
    </w:p>
    <w:p w14:paraId="7E1AD743" w14:textId="77777777" w:rsidR="009F7D85" w:rsidRPr="008D53E5" w:rsidRDefault="009F7D85" w:rsidP="00FF5C08">
      <w:pPr>
        <w:rPr>
          <w:rFonts w:ascii="Arial" w:hAnsi="Arial" w:cs="Arial"/>
        </w:rPr>
      </w:pPr>
    </w:p>
    <w:p w14:paraId="18D30DCD" w14:textId="77777777" w:rsidR="009F7D85" w:rsidRPr="008D53E5" w:rsidRDefault="009F7D85" w:rsidP="00FF5C08">
      <w:pPr>
        <w:rPr>
          <w:rFonts w:ascii="Arial" w:hAnsi="Arial" w:cs="Arial"/>
        </w:rPr>
      </w:pPr>
    </w:p>
    <w:p w14:paraId="71ADBBD4" w14:textId="77777777" w:rsidR="009F7D85" w:rsidRPr="008D53E5" w:rsidRDefault="009F7D85" w:rsidP="00FF5C08">
      <w:pPr>
        <w:rPr>
          <w:rFonts w:ascii="Arial" w:hAnsi="Arial" w:cs="Arial"/>
        </w:rPr>
      </w:pPr>
    </w:p>
    <w:p w14:paraId="2752EE02" w14:textId="77777777" w:rsidR="009F7D85" w:rsidRPr="008D53E5" w:rsidRDefault="009F7D85" w:rsidP="00FF5C08">
      <w:pPr>
        <w:rPr>
          <w:rFonts w:ascii="Arial" w:hAnsi="Arial" w:cs="Arial"/>
        </w:rPr>
      </w:pPr>
    </w:p>
    <w:p w14:paraId="0CB9AB5D" w14:textId="77777777" w:rsidR="009F7D85" w:rsidRPr="008D53E5" w:rsidRDefault="009F7D85" w:rsidP="00FF5C08">
      <w:pPr>
        <w:rPr>
          <w:rFonts w:ascii="Arial" w:hAnsi="Arial" w:cs="Arial"/>
        </w:rPr>
      </w:pPr>
    </w:p>
    <w:p w14:paraId="0CB784A1" w14:textId="77777777" w:rsidR="009F7D85" w:rsidRPr="008D53E5" w:rsidRDefault="009F7D85" w:rsidP="00FF5C08">
      <w:pPr>
        <w:rPr>
          <w:rFonts w:ascii="Arial" w:hAnsi="Arial" w:cs="Arial"/>
        </w:rPr>
      </w:pPr>
    </w:p>
    <w:p w14:paraId="6429F7FF" w14:textId="77777777" w:rsidR="009F7D85" w:rsidRPr="008D53E5" w:rsidRDefault="009F7D85" w:rsidP="00FF5C08">
      <w:pPr>
        <w:rPr>
          <w:rFonts w:ascii="Arial" w:hAnsi="Arial" w:cs="Arial"/>
        </w:rPr>
      </w:pPr>
    </w:p>
    <w:p w14:paraId="7A655879" w14:textId="77777777" w:rsidR="009F7D85" w:rsidRPr="008D53E5" w:rsidRDefault="009F7D85" w:rsidP="00FF5C08">
      <w:pPr>
        <w:rPr>
          <w:rFonts w:ascii="Arial" w:hAnsi="Arial" w:cs="Arial"/>
        </w:rPr>
      </w:pPr>
    </w:p>
    <w:p w14:paraId="368BB4EC" w14:textId="77777777" w:rsidR="009F7D85" w:rsidRPr="008D53E5" w:rsidRDefault="009F7D85" w:rsidP="00FF5C08">
      <w:pPr>
        <w:rPr>
          <w:rFonts w:ascii="Arial" w:hAnsi="Arial" w:cs="Arial"/>
        </w:rPr>
      </w:pPr>
    </w:p>
    <w:p w14:paraId="23B23B92" w14:textId="77777777" w:rsidR="00FF5C08" w:rsidRPr="008D53E5" w:rsidRDefault="00FF5C08">
      <w:pPr>
        <w:rPr>
          <w:rFonts w:ascii="Arial" w:hAnsi="Arial" w:cs="Arial"/>
        </w:rPr>
      </w:pPr>
    </w:p>
    <w:p w14:paraId="506636E5" w14:textId="1295B2D6" w:rsidR="005D34AC" w:rsidRPr="008D53E5" w:rsidRDefault="005D34AC" w:rsidP="009B599E">
      <w:pPr>
        <w:pStyle w:val="Heading2"/>
        <w:rPr>
          <w:rFonts w:ascii="Arial" w:hAnsi="Arial" w:cs="Arial"/>
          <w:sz w:val="24"/>
          <w:szCs w:val="24"/>
        </w:rPr>
      </w:pPr>
      <w:r w:rsidRPr="008D53E5">
        <w:rPr>
          <w:rFonts w:ascii="Arial" w:hAnsi="Arial" w:cs="Arial"/>
          <w:sz w:val="24"/>
          <w:szCs w:val="24"/>
        </w:rPr>
        <w:t>Ethnicity and disparities of health in the UK: A Social Epidemiological analysis</w:t>
      </w:r>
    </w:p>
    <w:p w14:paraId="543A01EF" w14:textId="7CE02AA5" w:rsidR="005D34AC" w:rsidRPr="008D53E5" w:rsidRDefault="005D34AC" w:rsidP="00BA21E2">
      <w:pPr>
        <w:pStyle w:val="Heading2"/>
        <w:rPr>
          <w:rFonts w:ascii="Arial" w:hAnsi="Arial" w:cs="Arial"/>
          <w:sz w:val="24"/>
          <w:szCs w:val="24"/>
        </w:rPr>
      </w:pPr>
      <w:r w:rsidRPr="008D53E5">
        <w:rPr>
          <w:rFonts w:ascii="Arial" w:hAnsi="Arial" w:cs="Arial"/>
          <w:sz w:val="24"/>
          <w:szCs w:val="24"/>
        </w:rPr>
        <w:t>Introduction</w:t>
      </w:r>
    </w:p>
    <w:p w14:paraId="5068FE99" w14:textId="77777777" w:rsidR="0095612E" w:rsidRPr="008D53E5" w:rsidRDefault="0095612E" w:rsidP="0095612E">
      <w:pPr>
        <w:spacing w:after="150" w:line="240" w:lineRule="auto"/>
        <w:textAlignment w:val="baseline"/>
        <w:rPr>
          <w:rFonts w:ascii="Arial" w:hAnsi="Arial" w:cs="Arial"/>
          <w:spacing w:val="8"/>
          <w:kern w:val="0"/>
          <w14:ligatures w14:val="none"/>
        </w:rPr>
      </w:pPr>
    </w:p>
    <w:p w14:paraId="66FC0613" w14:textId="4A182E37" w:rsidR="0095612E" w:rsidRPr="008D53E5" w:rsidRDefault="0095612E" w:rsidP="0095612E">
      <w:pPr>
        <w:spacing w:after="150" w:line="240" w:lineRule="auto"/>
        <w:textAlignment w:val="baseline"/>
        <w:rPr>
          <w:rFonts w:ascii="Arial" w:hAnsi="Arial" w:cs="Arial"/>
          <w:spacing w:val="8"/>
          <w:kern w:val="0"/>
          <w14:ligatures w14:val="none"/>
        </w:rPr>
      </w:pPr>
      <w:r w:rsidRPr="008D53E5">
        <w:rPr>
          <w:rFonts w:ascii="Arial" w:hAnsi="Arial" w:cs="Arial"/>
          <w:spacing w:val="8"/>
          <w:kern w:val="0"/>
          <w14:ligatures w14:val="none"/>
        </w:rPr>
        <w:t xml:space="preserve">Health inequalities are systematic, </w:t>
      </w:r>
      <w:r w:rsidR="005663D2" w:rsidRPr="008D53E5">
        <w:rPr>
          <w:rFonts w:ascii="Arial" w:hAnsi="Arial" w:cs="Arial"/>
          <w:spacing w:val="8"/>
          <w:kern w:val="0"/>
          <w14:ligatures w14:val="none"/>
        </w:rPr>
        <w:t>avoidable,</w:t>
      </w:r>
      <w:r w:rsidRPr="008D53E5">
        <w:rPr>
          <w:rFonts w:ascii="Arial" w:hAnsi="Arial" w:cs="Arial"/>
          <w:spacing w:val="8"/>
          <w:kern w:val="0"/>
          <w14:ligatures w14:val="none"/>
        </w:rPr>
        <w:t xml:space="preserve"> and unjust differences in health outcomes between different groups (The King’s Fund, 2023). Ethnicity is related to cultural, social and historical characteristics rather than biological differences and is a major determinant of health (ScotPHO, 2023). In the UK, ethnic minority groups (Black, Asian, and other minority groups) are at a higher risk of poorer health than White people. Social epidemiology shows that these disparities are the result of social structures of inequality (economic inequality, discrimination and access to resources) in society (World Health Organization, 2023). More and more research has begun to show structural racism as a root cause of these inequalities rather than individual behaviour (</w:t>
      </w:r>
      <w:proofErr w:type="spellStart"/>
      <w:r w:rsidRPr="008D53E5">
        <w:rPr>
          <w:rFonts w:ascii="Arial" w:hAnsi="Arial" w:cs="Arial"/>
          <w:spacing w:val="8"/>
          <w:kern w:val="0"/>
          <w14:ligatures w14:val="none"/>
        </w:rPr>
        <w:t>Kisa</w:t>
      </w:r>
      <w:proofErr w:type="spellEnd"/>
      <w:r w:rsidRPr="008D53E5">
        <w:rPr>
          <w:rFonts w:ascii="Arial" w:hAnsi="Arial" w:cs="Arial"/>
          <w:spacing w:val="8"/>
          <w:kern w:val="0"/>
          <w14:ligatures w14:val="none"/>
        </w:rPr>
        <w:t xml:space="preserve"> and </w:t>
      </w:r>
      <w:proofErr w:type="spellStart"/>
      <w:r w:rsidRPr="008D53E5">
        <w:rPr>
          <w:rFonts w:ascii="Arial" w:hAnsi="Arial" w:cs="Arial"/>
          <w:spacing w:val="8"/>
          <w:kern w:val="0"/>
          <w14:ligatures w14:val="none"/>
        </w:rPr>
        <w:t>Kisa</w:t>
      </w:r>
      <w:proofErr w:type="spellEnd"/>
      <w:r w:rsidRPr="008D53E5">
        <w:rPr>
          <w:rFonts w:ascii="Arial" w:hAnsi="Arial" w:cs="Arial"/>
          <w:spacing w:val="8"/>
          <w:kern w:val="0"/>
          <w14:ligatures w14:val="none"/>
        </w:rPr>
        <w:t>, 2025). This report contends that ethnic health inequalities take place through the association of disease risk, social disadvantage, systemic barriers and policy implementation failures.</w:t>
      </w:r>
    </w:p>
    <w:p w14:paraId="6D820694" w14:textId="77777777" w:rsidR="0095612E" w:rsidRPr="008D53E5" w:rsidRDefault="0095612E" w:rsidP="005B5472">
      <w:pPr>
        <w:pStyle w:val="Heading2"/>
      </w:pPr>
    </w:p>
    <w:p w14:paraId="30434963" w14:textId="77777777" w:rsidR="0095612E" w:rsidRPr="008D53E5" w:rsidRDefault="0095612E" w:rsidP="005B5472">
      <w:pPr>
        <w:pStyle w:val="Heading2"/>
      </w:pPr>
      <w:r w:rsidRPr="008D53E5">
        <w:t>Contextual Background and Underlying Factors.</w:t>
      </w:r>
    </w:p>
    <w:p w14:paraId="20632AEA" w14:textId="5351CAD9" w:rsidR="0095612E" w:rsidRPr="008D53E5" w:rsidRDefault="003B1BB9" w:rsidP="003B1BB9">
      <w:pPr>
        <w:pStyle w:val="Heading2"/>
        <w:rPr>
          <w:rFonts w:ascii="Arial" w:hAnsi="Arial" w:cs="Arial"/>
          <w:sz w:val="24"/>
          <w:szCs w:val="24"/>
        </w:rPr>
      </w:pPr>
      <w:r w:rsidRPr="008D53E5">
        <w:rPr>
          <w:rFonts w:ascii="Arial" w:hAnsi="Arial" w:cs="Arial"/>
          <w:sz w:val="24"/>
          <w:szCs w:val="24"/>
        </w:rPr>
        <w:t>Cardiovascular</w:t>
      </w:r>
    </w:p>
    <w:p w14:paraId="17722595" w14:textId="1CB25002" w:rsidR="0095612E" w:rsidRPr="008D53E5" w:rsidRDefault="0095612E" w:rsidP="0095612E">
      <w:pPr>
        <w:spacing w:after="150" w:line="240" w:lineRule="auto"/>
        <w:textAlignment w:val="baseline"/>
        <w:rPr>
          <w:rFonts w:ascii="Arial" w:hAnsi="Arial" w:cs="Arial"/>
          <w:spacing w:val="8"/>
          <w:kern w:val="0"/>
          <w14:ligatures w14:val="none"/>
        </w:rPr>
      </w:pPr>
      <w:r w:rsidRPr="008D53E5">
        <w:rPr>
          <w:rFonts w:ascii="Arial" w:hAnsi="Arial" w:cs="Arial"/>
          <w:spacing w:val="8"/>
          <w:kern w:val="0"/>
          <w14:ligatures w14:val="none"/>
        </w:rPr>
        <w:t>Cardiovascular</w:t>
      </w:r>
      <w:r w:rsidR="003B1BB9" w:rsidRPr="008D53E5">
        <w:rPr>
          <w:rFonts w:ascii="Arial" w:hAnsi="Arial" w:cs="Arial"/>
          <w:spacing w:val="8"/>
          <w:kern w:val="0"/>
          <w14:ligatures w14:val="none"/>
        </w:rPr>
        <w:t xml:space="preserve"> </w:t>
      </w:r>
      <w:r w:rsidR="00AA70D9" w:rsidRPr="008D53E5">
        <w:rPr>
          <w:rFonts w:ascii="Arial" w:hAnsi="Arial" w:cs="Arial"/>
          <w:spacing w:val="8"/>
          <w:kern w:val="0"/>
          <w14:ligatures w14:val="none"/>
        </w:rPr>
        <w:t>(</w:t>
      </w:r>
      <w:r w:rsidRPr="008D53E5">
        <w:rPr>
          <w:rFonts w:ascii="Arial" w:hAnsi="Arial" w:cs="Arial"/>
          <w:spacing w:val="8"/>
          <w:kern w:val="0"/>
          <w14:ligatures w14:val="none"/>
        </w:rPr>
        <w:t>CVD) has been found to be more prevalent among South Asian groups in the UK (Public Health England, 2020) with up to 50% more cases of coronary heart disease than the general population. Although lifestyle factors are frequently blamed, these explanations tend to be too superficial. Socioeconomic problems are at the heart of this and ethnic minority groups are more likely to live in deprived areas where access to good food, safe environments and preventive healthcare is scarce (</w:t>
      </w:r>
      <w:proofErr w:type="spellStart"/>
      <w:r w:rsidRPr="008D53E5">
        <w:rPr>
          <w:rFonts w:ascii="Arial" w:hAnsi="Arial" w:cs="Arial"/>
          <w:spacing w:val="8"/>
          <w:kern w:val="0"/>
          <w14:ligatures w14:val="none"/>
        </w:rPr>
        <w:t>Barakat</w:t>
      </w:r>
      <w:proofErr w:type="spellEnd"/>
      <w:r w:rsidRPr="008D53E5">
        <w:rPr>
          <w:rFonts w:ascii="Arial" w:hAnsi="Arial" w:cs="Arial"/>
          <w:spacing w:val="8"/>
          <w:kern w:val="0"/>
          <w14:ligatures w14:val="none"/>
        </w:rPr>
        <w:t xml:space="preserve"> et al., 2023). Meanwhile, inequalities in early diagnosis are also linked to poorer outcomes. </w:t>
      </w:r>
      <w:r w:rsidR="00AA70D9" w:rsidRPr="008D53E5">
        <w:rPr>
          <w:rFonts w:ascii="Arial" w:hAnsi="Arial" w:cs="Arial"/>
          <w:spacing w:val="8"/>
          <w:kern w:val="0"/>
          <w14:ligatures w14:val="none"/>
        </w:rPr>
        <w:t>As</w:t>
      </w:r>
      <w:r w:rsidR="00A1401D" w:rsidRPr="008D53E5">
        <w:rPr>
          <w:rFonts w:ascii="Arial" w:hAnsi="Arial" w:cs="Arial"/>
          <w:spacing w:val="8"/>
          <w:kern w:val="0"/>
          <w14:ligatures w14:val="none"/>
        </w:rPr>
        <w:t xml:space="preserve"> to </w:t>
      </w:r>
      <w:r w:rsidRPr="008D53E5">
        <w:rPr>
          <w:rFonts w:ascii="Arial" w:hAnsi="Arial" w:cs="Arial"/>
          <w:spacing w:val="8"/>
          <w:kern w:val="0"/>
          <w14:ligatures w14:val="none"/>
        </w:rPr>
        <w:t>deal with inequality this is going to require targeted screening and tailored programs and interventions to help reduce deprivation and to make accessing healthy living environments more accessible.</w:t>
      </w:r>
    </w:p>
    <w:p w14:paraId="11187F0D" w14:textId="07EA1F9C" w:rsidR="0095612E" w:rsidRPr="008D53E5" w:rsidRDefault="009376BE" w:rsidP="009376BE">
      <w:pPr>
        <w:pStyle w:val="Heading2"/>
        <w:rPr>
          <w:rFonts w:ascii="Arial" w:hAnsi="Arial" w:cs="Arial"/>
          <w:sz w:val="24"/>
          <w:szCs w:val="24"/>
        </w:rPr>
      </w:pPr>
      <w:r w:rsidRPr="008D53E5">
        <w:rPr>
          <w:rFonts w:ascii="Arial" w:hAnsi="Arial" w:cs="Arial"/>
          <w:sz w:val="24"/>
          <w:szCs w:val="24"/>
        </w:rPr>
        <w:t>Type 2 diabetes</w:t>
      </w:r>
    </w:p>
    <w:p w14:paraId="73CED8DB" w14:textId="77777777" w:rsidR="0095612E" w:rsidRPr="008D53E5" w:rsidRDefault="0095612E" w:rsidP="0095612E">
      <w:pPr>
        <w:spacing w:after="150" w:line="240" w:lineRule="auto"/>
        <w:textAlignment w:val="baseline"/>
        <w:rPr>
          <w:rFonts w:ascii="Arial" w:hAnsi="Arial" w:cs="Arial"/>
          <w:spacing w:val="8"/>
          <w:kern w:val="0"/>
          <w14:ligatures w14:val="none"/>
        </w:rPr>
      </w:pPr>
      <w:r w:rsidRPr="008D53E5">
        <w:rPr>
          <w:rFonts w:ascii="Arial" w:hAnsi="Arial" w:cs="Arial"/>
          <w:spacing w:val="8"/>
          <w:kern w:val="0"/>
          <w14:ligatures w14:val="none"/>
        </w:rPr>
        <w:t>Type 2 diabetes is up to six times more prevalent in South Asian populations than in White populations (Diabetes UK, 2023), and it usually develops earlier and has more severe complications. Although genetics are more frequently mentioned, social determinants such as deprivation, lack of access to health care, and poor health literacy play a role (Au-Yeung et al., 2024). These factors lead to delayed diagnosis and poor disease control. To reduce this inequality we need culturally appropriate health education, earlier screening programs and more access to preventative services tailored for ethnic minority communities.</w:t>
      </w:r>
    </w:p>
    <w:p w14:paraId="6162402B" w14:textId="77777777" w:rsidR="0095612E" w:rsidRPr="008D53E5" w:rsidRDefault="0095612E" w:rsidP="0095612E">
      <w:pPr>
        <w:spacing w:after="150" w:line="240" w:lineRule="auto"/>
        <w:textAlignment w:val="baseline"/>
        <w:rPr>
          <w:rFonts w:ascii="Arial" w:hAnsi="Arial" w:cs="Arial"/>
          <w:spacing w:val="8"/>
          <w:kern w:val="0"/>
          <w14:ligatures w14:val="none"/>
        </w:rPr>
      </w:pPr>
    </w:p>
    <w:p w14:paraId="37D2125F" w14:textId="77777777" w:rsidR="002D63B4" w:rsidRPr="008D53E5" w:rsidRDefault="002D63B4" w:rsidP="0095181E">
      <w:pPr>
        <w:pStyle w:val="Heading2"/>
        <w:rPr>
          <w:rFonts w:ascii="Arial" w:eastAsia="Times New Roman" w:hAnsi="Arial" w:cs="Arial"/>
          <w:sz w:val="24"/>
          <w:szCs w:val="24"/>
        </w:rPr>
      </w:pPr>
      <w:r w:rsidRPr="008D53E5">
        <w:rPr>
          <w:rFonts w:ascii="Arial" w:eastAsia="Times New Roman" w:hAnsi="Arial" w:cs="Arial"/>
          <w:sz w:val="24"/>
          <w:szCs w:val="24"/>
        </w:rPr>
        <w:t>Mental Health Inequalities.</w:t>
      </w:r>
    </w:p>
    <w:p w14:paraId="111794D1" w14:textId="77777777" w:rsidR="002D63B4" w:rsidRPr="008D53E5" w:rsidRDefault="002D63B4" w:rsidP="002D63B4">
      <w:pPr>
        <w:spacing w:after="150" w:line="240" w:lineRule="auto"/>
        <w:textAlignment w:val="baseline"/>
        <w:rPr>
          <w:rFonts w:ascii="Arial" w:hAnsi="Arial" w:cs="Arial"/>
          <w:spacing w:val="8"/>
          <w:kern w:val="0"/>
          <w14:ligatures w14:val="none"/>
        </w:rPr>
      </w:pPr>
      <w:r w:rsidRPr="008D53E5">
        <w:rPr>
          <w:rFonts w:ascii="Arial" w:hAnsi="Arial" w:cs="Arial"/>
          <w:spacing w:val="8"/>
          <w:kern w:val="0"/>
          <w14:ligatures w14:val="none"/>
        </w:rPr>
        <w:t>Mental health conditions are a major long-term health inequality in the UK for ethnic minority groups. People from Black and minority ethnic (BME) communities are more likely to have a severe mental health problem and to not have access to appropriate support services (Bansal et al., 2022). Furthermore, ethnic minority patients are found to be overrepresented in compulsory psychiatric admissions and are more likely to be subjected to coercive treatment, pointing to systemic inequalities in mental health systems (</w:t>
      </w:r>
      <w:proofErr w:type="spellStart"/>
      <w:r w:rsidRPr="008D53E5">
        <w:rPr>
          <w:rFonts w:ascii="Arial" w:hAnsi="Arial" w:cs="Arial"/>
          <w:spacing w:val="8"/>
          <w:kern w:val="0"/>
          <w14:ligatures w14:val="none"/>
        </w:rPr>
        <w:t>Memon</w:t>
      </w:r>
      <w:proofErr w:type="spellEnd"/>
      <w:r w:rsidRPr="008D53E5">
        <w:rPr>
          <w:rFonts w:ascii="Arial" w:hAnsi="Arial" w:cs="Arial"/>
          <w:spacing w:val="8"/>
          <w:kern w:val="0"/>
          <w14:ligatures w14:val="none"/>
        </w:rPr>
        <w:t xml:space="preserve"> et al., 2016).</w:t>
      </w:r>
    </w:p>
    <w:p w14:paraId="50B4C248" w14:textId="5D642BE3" w:rsidR="002D63B4" w:rsidRPr="008D53E5" w:rsidRDefault="002D63B4" w:rsidP="002D63B4">
      <w:pPr>
        <w:spacing w:after="150" w:line="240" w:lineRule="auto"/>
        <w:textAlignment w:val="baseline"/>
        <w:rPr>
          <w:rFonts w:ascii="Arial" w:hAnsi="Arial" w:cs="Arial"/>
          <w:spacing w:val="8"/>
          <w:kern w:val="0"/>
          <w14:ligatures w14:val="none"/>
        </w:rPr>
      </w:pPr>
      <w:r w:rsidRPr="008D53E5">
        <w:rPr>
          <w:rFonts w:ascii="Arial" w:hAnsi="Arial" w:cs="Arial"/>
          <w:spacing w:val="8"/>
          <w:kern w:val="0"/>
          <w14:ligatures w14:val="none"/>
        </w:rPr>
        <w:t xml:space="preserve">These disparities </w:t>
      </w:r>
      <w:r w:rsidR="005F5F05" w:rsidRPr="008D53E5">
        <w:rPr>
          <w:rFonts w:ascii="Arial" w:hAnsi="Arial" w:cs="Arial"/>
          <w:spacing w:val="8"/>
          <w:kern w:val="0"/>
          <w14:ligatures w14:val="none"/>
        </w:rPr>
        <w:t>cannot</w:t>
      </w:r>
      <w:r w:rsidRPr="008D53E5">
        <w:rPr>
          <w:rFonts w:ascii="Arial" w:hAnsi="Arial" w:cs="Arial"/>
          <w:spacing w:val="8"/>
          <w:kern w:val="0"/>
          <w14:ligatures w14:val="none"/>
        </w:rPr>
        <w:t xml:space="preserve"> simply be ascribed to individuals or their culture. Rather they are rooted in structural problems such as poverty, racism and lack of culturally appropriate services. There is evidence that stigma surrounding mental health, as well as distrust of the healthcare system, is a significant barrier for ethnic minority communities to seek help (NIHR, 2023). Language barriers and lack of culturally competent care also have a negative impact on access to services which contribute to delayed diagnosis and worse outcomes (Race Equality Foundation, 2022).</w:t>
      </w:r>
    </w:p>
    <w:p w14:paraId="418E3260" w14:textId="510BCD45" w:rsidR="002D63B4" w:rsidRPr="008D53E5" w:rsidRDefault="002D63B4" w:rsidP="002D63B4">
      <w:pPr>
        <w:spacing w:after="150" w:line="240" w:lineRule="auto"/>
        <w:textAlignment w:val="baseline"/>
        <w:rPr>
          <w:rFonts w:ascii="Arial" w:hAnsi="Arial" w:cs="Arial"/>
          <w:spacing w:val="8"/>
          <w:kern w:val="0"/>
          <w14:ligatures w14:val="none"/>
        </w:rPr>
      </w:pPr>
      <w:r w:rsidRPr="008D53E5">
        <w:rPr>
          <w:rFonts w:ascii="Arial" w:hAnsi="Arial" w:cs="Arial"/>
          <w:spacing w:val="8"/>
          <w:kern w:val="0"/>
          <w14:ligatures w14:val="none"/>
        </w:rPr>
        <w:t>More bluntly, mental healthcare systems fail to meet the needs of diverse populations and tend to adopt standardised approaches that do not take cultural differences into account ( Mental Health, 2024). This is to say inequalities are not only a result of underutilisation but are embedded in the provision of healthcare. In order to combat these disparities we need systemic change— culturally tailored mental health services and community-based interventions, and a more diverse workforce. Mental health inequalities for ethnic minorities are not likely to remedy despite the efforts of policy to do so.</w:t>
      </w:r>
    </w:p>
    <w:p w14:paraId="4486DDA3" w14:textId="77777777" w:rsidR="002D63B4" w:rsidRPr="008D53E5" w:rsidRDefault="002D63B4" w:rsidP="0095612E">
      <w:pPr>
        <w:spacing w:after="150" w:line="240" w:lineRule="auto"/>
        <w:textAlignment w:val="baseline"/>
        <w:rPr>
          <w:rFonts w:ascii="Arial" w:hAnsi="Arial" w:cs="Arial"/>
          <w:spacing w:val="8"/>
          <w:kern w:val="0"/>
          <w14:ligatures w14:val="none"/>
        </w:rPr>
      </w:pPr>
    </w:p>
    <w:p w14:paraId="3E905459" w14:textId="6C3190A4" w:rsidR="0095612E" w:rsidRPr="008D53E5" w:rsidRDefault="0095612E" w:rsidP="0095612E">
      <w:pPr>
        <w:spacing w:after="150" w:line="240" w:lineRule="auto"/>
        <w:textAlignment w:val="baseline"/>
        <w:rPr>
          <w:rFonts w:ascii="Arial" w:hAnsi="Arial" w:cs="Arial"/>
          <w:spacing w:val="8"/>
          <w:kern w:val="0"/>
          <w14:ligatures w14:val="none"/>
        </w:rPr>
      </w:pPr>
      <w:r w:rsidRPr="008D53E5">
        <w:rPr>
          <w:rFonts w:ascii="Arial" w:hAnsi="Arial" w:cs="Arial"/>
          <w:spacing w:val="8"/>
          <w:kern w:val="0"/>
          <w14:ligatures w14:val="none"/>
        </w:rPr>
        <w:t>Socioeconomic inequality is one of the main drivers of ethnic health disparities that are present in the UK (Marmot, 2010), and 40% of ethnic minorities live in poverty whereas 19% of White people do not (Marmot, 2010). Poverty impedes access to basic resources such as fresh food, safe housing and health services. It also creates chronic stress and it negatively impacts health (</w:t>
      </w:r>
      <w:proofErr w:type="spellStart"/>
      <w:r w:rsidRPr="008D53E5">
        <w:rPr>
          <w:rFonts w:ascii="Arial" w:hAnsi="Arial" w:cs="Arial"/>
          <w:spacing w:val="8"/>
          <w:kern w:val="0"/>
          <w14:ligatures w14:val="none"/>
        </w:rPr>
        <w:t>Barakat</w:t>
      </w:r>
      <w:proofErr w:type="spellEnd"/>
      <w:r w:rsidRPr="008D53E5">
        <w:rPr>
          <w:rFonts w:ascii="Arial" w:hAnsi="Arial" w:cs="Arial"/>
          <w:spacing w:val="8"/>
          <w:kern w:val="0"/>
          <w14:ligatures w14:val="none"/>
        </w:rPr>
        <w:t xml:space="preserve"> et al., 2023). Structural factors like inequality in employment and education are also part of why. In order to address this we have to have comprehensive policies addressing income inequality and improving socioeconomic opportunities.</w:t>
      </w:r>
    </w:p>
    <w:p w14:paraId="42009CDE" w14:textId="77777777" w:rsidR="0095612E" w:rsidRPr="008D53E5" w:rsidRDefault="0095612E" w:rsidP="0095612E">
      <w:pPr>
        <w:spacing w:after="150" w:line="240" w:lineRule="auto"/>
        <w:textAlignment w:val="baseline"/>
        <w:rPr>
          <w:rFonts w:ascii="Arial" w:hAnsi="Arial" w:cs="Arial"/>
          <w:spacing w:val="8"/>
          <w:kern w:val="0"/>
          <w14:ligatures w14:val="none"/>
        </w:rPr>
      </w:pPr>
    </w:p>
    <w:p w14:paraId="2C8ED5E1" w14:textId="77777777" w:rsidR="0095612E" w:rsidRPr="008D53E5" w:rsidRDefault="0095612E" w:rsidP="0095612E">
      <w:pPr>
        <w:spacing w:after="150" w:line="240" w:lineRule="auto"/>
        <w:textAlignment w:val="baseline"/>
        <w:rPr>
          <w:rFonts w:ascii="Arial" w:hAnsi="Arial" w:cs="Arial"/>
          <w:spacing w:val="8"/>
          <w:kern w:val="0"/>
          <w14:ligatures w14:val="none"/>
        </w:rPr>
      </w:pPr>
      <w:r w:rsidRPr="008D53E5">
        <w:rPr>
          <w:rFonts w:ascii="Arial" w:hAnsi="Arial" w:cs="Arial"/>
          <w:spacing w:val="8"/>
          <w:kern w:val="0"/>
          <w14:ligatures w14:val="none"/>
        </w:rPr>
        <w:t>Healthcare access barriers to ethnic minority groups are language differences, cultural misunderstanding and lack of culturally appropriate services (World Health Organization, 2023). These barriers can cause delayed diagnosis and less use of preventative services. Despite legislation like the Data Protection Act 2018 to protect patients’ privacy and promote trust in healthcare systems, distrust remains a barrier for some communities. In this context we need to remember that legal protections aren’t sufficient without culturally competent service delivery. The solution for these inequalities is to improve communication, enhance language support and change the way healthcare systems work with the diverse population.</w:t>
      </w:r>
    </w:p>
    <w:p w14:paraId="7EAFDB6C" w14:textId="77777777" w:rsidR="0095612E" w:rsidRPr="008D53E5" w:rsidRDefault="0095612E" w:rsidP="0095612E">
      <w:pPr>
        <w:spacing w:after="150" w:line="240" w:lineRule="auto"/>
        <w:textAlignment w:val="baseline"/>
        <w:rPr>
          <w:rFonts w:ascii="Arial" w:hAnsi="Arial" w:cs="Arial"/>
          <w:spacing w:val="8"/>
          <w:kern w:val="0"/>
          <w14:ligatures w14:val="none"/>
        </w:rPr>
      </w:pPr>
    </w:p>
    <w:p w14:paraId="3B81B166" w14:textId="77777777" w:rsidR="0095612E" w:rsidRPr="008D53E5" w:rsidRDefault="0095612E" w:rsidP="0095612E">
      <w:pPr>
        <w:spacing w:after="150" w:line="240" w:lineRule="auto"/>
        <w:textAlignment w:val="baseline"/>
        <w:rPr>
          <w:rFonts w:ascii="Arial" w:hAnsi="Arial" w:cs="Arial"/>
          <w:spacing w:val="8"/>
          <w:kern w:val="0"/>
          <w14:ligatures w14:val="none"/>
        </w:rPr>
      </w:pPr>
      <w:r w:rsidRPr="008D53E5">
        <w:rPr>
          <w:rFonts w:ascii="Arial" w:hAnsi="Arial" w:cs="Arial"/>
          <w:spacing w:val="8"/>
          <w:kern w:val="0"/>
          <w14:ligatures w14:val="none"/>
        </w:rPr>
        <w:t xml:space="preserve">Structural racism is one of the main drivers of ethnic health inequalities including access to resources and experiences in health care systems (Dean and Thorpe, 2022; </w:t>
      </w:r>
      <w:proofErr w:type="spellStart"/>
      <w:r w:rsidRPr="008D53E5">
        <w:rPr>
          <w:rFonts w:ascii="Arial" w:hAnsi="Arial" w:cs="Arial"/>
          <w:spacing w:val="8"/>
          <w:kern w:val="0"/>
          <w14:ligatures w14:val="none"/>
        </w:rPr>
        <w:t>Kisa</w:t>
      </w:r>
      <w:proofErr w:type="spellEnd"/>
      <w:r w:rsidRPr="008D53E5">
        <w:rPr>
          <w:rFonts w:ascii="Arial" w:hAnsi="Arial" w:cs="Arial"/>
          <w:spacing w:val="8"/>
          <w:kern w:val="0"/>
          <w14:ligatures w14:val="none"/>
        </w:rPr>
        <w:t xml:space="preserve"> and </w:t>
      </w:r>
      <w:proofErr w:type="spellStart"/>
      <w:r w:rsidRPr="008D53E5">
        <w:rPr>
          <w:rFonts w:ascii="Arial" w:hAnsi="Arial" w:cs="Arial"/>
          <w:spacing w:val="8"/>
          <w:kern w:val="0"/>
          <w14:ligatures w14:val="none"/>
        </w:rPr>
        <w:t>Kisa</w:t>
      </w:r>
      <w:proofErr w:type="spellEnd"/>
      <w:r w:rsidRPr="008D53E5">
        <w:rPr>
          <w:rFonts w:ascii="Arial" w:hAnsi="Arial" w:cs="Arial"/>
          <w:spacing w:val="8"/>
          <w:kern w:val="0"/>
          <w14:ligatures w14:val="none"/>
        </w:rPr>
        <w:t>, 2025). According to research, ethnic minority patients may be discriminated against in treatment and communication and have poorer outcomes (Hamed et al., 2022). For instance, Black women are almost four times as likely to die in childbirth than White women (MBRRACE-UK, 2023). Despite legislative protections such as the Equality Act 2010 which bans discrimination in healthcare, these inequalities persist and indicate a gap between policy and practice. Moreover, disparities in outcomes are of concern in relation to the Human Rights Act 1998, as far as a human being’s right to life and equitable access to care is concerned. These problems need to be addressed through systemic change, including anti-racism training, reform of policy and workforce diversity.</w:t>
      </w:r>
    </w:p>
    <w:p w14:paraId="315F07BA" w14:textId="77777777" w:rsidR="002D63B4" w:rsidRPr="008D53E5" w:rsidRDefault="002D63B4" w:rsidP="002D63B4">
      <w:pPr>
        <w:spacing w:after="0" w:line="240" w:lineRule="auto"/>
        <w:textAlignment w:val="baseline"/>
        <w:rPr>
          <w:rFonts w:ascii="Arial" w:eastAsia="Times New Roman" w:hAnsi="Arial" w:cs="Arial"/>
          <w:spacing w:val="8"/>
          <w:kern w:val="0"/>
          <w14:ligatures w14:val="none"/>
        </w:rPr>
      </w:pPr>
      <w:r w:rsidRPr="008D53E5">
        <w:rPr>
          <w:rFonts w:ascii="Arial" w:eastAsia="Times New Roman" w:hAnsi="Arial" w:cs="Arial"/>
          <w:spacing w:val="8"/>
          <w:kern w:val="0"/>
          <w14:ligatures w14:val="none"/>
        </w:rPr>
        <w:t>The COVID-19 pandemic further exposed these inequalities, with Black African people up to four times more likely to die than White British people (Public Health England, 2020; Mishra et al., 2021). This illustrates how structural racism and social disadvantage are factors that lead to unequal exposure to health risks.</w:t>
      </w:r>
    </w:p>
    <w:p w14:paraId="0206F9BB" w14:textId="77777777" w:rsidR="00D34E6D" w:rsidRPr="008D53E5" w:rsidRDefault="00D34E6D" w:rsidP="0095612E">
      <w:pPr>
        <w:spacing w:after="150" w:line="240" w:lineRule="auto"/>
        <w:textAlignment w:val="baseline"/>
        <w:rPr>
          <w:rFonts w:ascii="Arial" w:hAnsi="Arial" w:cs="Arial"/>
          <w:spacing w:val="8"/>
          <w:kern w:val="0"/>
          <w14:ligatures w14:val="none"/>
        </w:rPr>
      </w:pPr>
    </w:p>
    <w:p w14:paraId="797F76EF" w14:textId="77777777" w:rsidR="0095612E" w:rsidRPr="008D53E5" w:rsidRDefault="0095612E" w:rsidP="00F727A4">
      <w:pPr>
        <w:pStyle w:val="Heading2"/>
        <w:rPr>
          <w:rFonts w:ascii="Arial" w:hAnsi="Arial" w:cs="Arial"/>
          <w:sz w:val="24"/>
          <w:szCs w:val="24"/>
        </w:rPr>
      </w:pPr>
    </w:p>
    <w:p w14:paraId="2A02A9B5" w14:textId="77777777" w:rsidR="0095612E" w:rsidRPr="008D53E5" w:rsidRDefault="0095612E" w:rsidP="00F727A4">
      <w:pPr>
        <w:pStyle w:val="Heading2"/>
        <w:rPr>
          <w:rFonts w:ascii="Arial" w:hAnsi="Arial" w:cs="Arial"/>
          <w:sz w:val="24"/>
          <w:szCs w:val="24"/>
        </w:rPr>
      </w:pPr>
      <w:r w:rsidRPr="008D53E5">
        <w:rPr>
          <w:rFonts w:ascii="Arial" w:hAnsi="Arial" w:cs="Arial"/>
          <w:sz w:val="24"/>
          <w:szCs w:val="24"/>
        </w:rPr>
        <w:t>National Response to reduce health inequalities.</w:t>
      </w:r>
    </w:p>
    <w:p w14:paraId="43355A66" w14:textId="77777777" w:rsidR="0095612E" w:rsidRPr="008D53E5" w:rsidRDefault="0095612E" w:rsidP="00F727A4">
      <w:pPr>
        <w:pStyle w:val="Heading2"/>
        <w:rPr>
          <w:rFonts w:ascii="Arial" w:hAnsi="Arial" w:cs="Arial"/>
          <w:sz w:val="24"/>
          <w:szCs w:val="24"/>
        </w:rPr>
      </w:pPr>
    </w:p>
    <w:p w14:paraId="70D9C621" w14:textId="666D8C6E" w:rsidR="0095612E" w:rsidRPr="008D53E5" w:rsidRDefault="0095612E" w:rsidP="0095612E">
      <w:pPr>
        <w:spacing w:after="150" w:line="240" w:lineRule="auto"/>
        <w:textAlignment w:val="baseline"/>
        <w:rPr>
          <w:rFonts w:ascii="Arial" w:hAnsi="Arial" w:cs="Arial"/>
          <w:spacing w:val="8"/>
          <w:kern w:val="0"/>
          <w14:ligatures w14:val="none"/>
        </w:rPr>
      </w:pPr>
      <w:r w:rsidRPr="008D53E5">
        <w:rPr>
          <w:rFonts w:ascii="Arial" w:hAnsi="Arial" w:cs="Arial"/>
          <w:spacing w:val="8"/>
          <w:kern w:val="0"/>
          <w14:ligatures w14:val="none"/>
        </w:rPr>
        <w:t xml:space="preserve">Public Health England has played a major role in </w:t>
      </w:r>
      <w:r w:rsidR="00220002" w:rsidRPr="008D53E5">
        <w:rPr>
          <w:rFonts w:ascii="Arial" w:hAnsi="Arial" w:cs="Arial"/>
          <w:spacing w:val="8"/>
          <w:kern w:val="0"/>
          <w14:ligatures w14:val="none"/>
        </w:rPr>
        <w:t>showing</w:t>
      </w:r>
      <w:r w:rsidRPr="008D53E5">
        <w:rPr>
          <w:rFonts w:ascii="Arial" w:hAnsi="Arial" w:cs="Arial"/>
          <w:spacing w:val="8"/>
          <w:kern w:val="0"/>
          <w14:ligatures w14:val="none"/>
        </w:rPr>
        <w:t xml:space="preserve"> ethnic health disparities, particularly during the COVID-19 pandemic (Public Health England, 2020). But that approach has been criticised for </w:t>
      </w:r>
      <w:r w:rsidR="00220002" w:rsidRPr="008D53E5">
        <w:rPr>
          <w:rFonts w:ascii="Arial" w:hAnsi="Arial" w:cs="Arial"/>
          <w:spacing w:val="8"/>
          <w:kern w:val="0"/>
          <w14:ligatures w14:val="none"/>
        </w:rPr>
        <w:t>characterising</w:t>
      </w:r>
      <w:r w:rsidRPr="008D53E5">
        <w:rPr>
          <w:rFonts w:ascii="Arial" w:hAnsi="Arial" w:cs="Arial"/>
          <w:spacing w:val="8"/>
          <w:kern w:val="0"/>
          <w14:ligatures w14:val="none"/>
        </w:rPr>
        <w:t xml:space="preserve"> inequalities and glossing over the root causes.</w:t>
      </w:r>
    </w:p>
    <w:p w14:paraId="6D92E057" w14:textId="77777777" w:rsidR="0095612E" w:rsidRPr="008D53E5" w:rsidRDefault="0095612E" w:rsidP="0095612E">
      <w:pPr>
        <w:spacing w:after="150" w:line="240" w:lineRule="auto"/>
        <w:textAlignment w:val="baseline"/>
        <w:rPr>
          <w:rFonts w:ascii="Arial" w:hAnsi="Arial" w:cs="Arial"/>
          <w:spacing w:val="8"/>
          <w:kern w:val="0"/>
          <w14:ligatures w14:val="none"/>
        </w:rPr>
      </w:pPr>
    </w:p>
    <w:p w14:paraId="36B5494A" w14:textId="77777777" w:rsidR="0095612E" w:rsidRPr="008D53E5" w:rsidRDefault="0095612E" w:rsidP="0095612E">
      <w:pPr>
        <w:spacing w:after="150" w:line="240" w:lineRule="auto"/>
        <w:textAlignment w:val="baseline"/>
        <w:rPr>
          <w:rFonts w:ascii="Arial" w:hAnsi="Arial" w:cs="Arial"/>
          <w:spacing w:val="8"/>
          <w:kern w:val="0"/>
          <w14:ligatures w14:val="none"/>
        </w:rPr>
      </w:pPr>
      <w:r w:rsidRPr="008D53E5">
        <w:rPr>
          <w:rFonts w:ascii="Arial" w:hAnsi="Arial" w:cs="Arial"/>
          <w:spacing w:val="8"/>
          <w:kern w:val="0"/>
          <w14:ligatures w14:val="none"/>
        </w:rPr>
        <w:t>The NHS Long Term Plan aims to reduce health inequalities through improved access to care and community-based services (NHS England, 2023). This is also in line with the legal duty set out in the Health and Social Care Act 2012 that the NHS must reduce disparities in access and outcomes. Yet the fact that there are still disparities as evidence suggests policy is not enough, without addressing larger structural drivers such as poverty and racism.</w:t>
      </w:r>
    </w:p>
    <w:p w14:paraId="63C97412" w14:textId="77777777" w:rsidR="0095612E" w:rsidRPr="008D53E5" w:rsidRDefault="0095612E" w:rsidP="0095612E">
      <w:pPr>
        <w:spacing w:after="150" w:line="240" w:lineRule="auto"/>
        <w:textAlignment w:val="baseline"/>
        <w:rPr>
          <w:rFonts w:ascii="Arial" w:hAnsi="Arial" w:cs="Arial"/>
          <w:spacing w:val="8"/>
          <w:kern w:val="0"/>
          <w14:ligatures w14:val="none"/>
        </w:rPr>
      </w:pPr>
    </w:p>
    <w:p w14:paraId="4276CEB9" w14:textId="77777777" w:rsidR="0095612E" w:rsidRPr="008D53E5" w:rsidRDefault="0095612E" w:rsidP="00B90913">
      <w:pPr>
        <w:pStyle w:val="Heading2"/>
        <w:rPr>
          <w:rFonts w:ascii="Arial" w:hAnsi="Arial" w:cs="Arial"/>
          <w:sz w:val="24"/>
          <w:szCs w:val="24"/>
        </w:rPr>
      </w:pPr>
      <w:r w:rsidRPr="008D53E5">
        <w:rPr>
          <w:rFonts w:ascii="Arial" w:hAnsi="Arial" w:cs="Arial"/>
          <w:sz w:val="24"/>
          <w:szCs w:val="24"/>
        </w:rPr>
        <w:t>Organisations that Support Ethnic Minority Groups.</w:t>
      </w:r>
    </w:p>
    <w:p w14:paraId="62E57688" w14:textId="77777777" w:rsidR="0095612E" w:rsidRPr="008D53E5" w:rsidRDefault="0095612E" w:rsidP="0095612E">
      <w:pPr>
        <w:spacing w:after="150" w:line="240" w:lineRule="auto"/>
        <w:textAlignment w:val="baseline"/>
        <w:rPr>
          <w:rFonts w:ascii="Arial" w:hAnsi="Arial" w:cs="Arial"/>
          <w:spacing w:val="8"/>
          <w:kern w:val="0"/>
          <w14:ligatures w14:val="none"/>
        </w:rPr>
      </w:pPr>
    </w:p>
    <w:p w14:paraId="18012BC1" w14:textId="77777777" w:rsidR="0095612E" w:rsidRPr="008D53E5" w:rsidRDefault="0095612E" w:rsidP="0095612E">
      <w:pPr>
        <w:spacing w:after="150" w:line="240" w:lineRule="auto"/>
        <w:textAlignment w:val="baseline"/>
        <w:rPr>
          <w:rFonts w:ascii="Arial" w:hAnsi="Arial" w:cs="Arial"/>
          <w:spacing w:val="8"/>
          <w:kern w:val="0"/>
          <w14:ligatures w14:val="none"/>
        </w:rPr>
      </w:pPr>
      <w:r w:rsidRPr="008D53E5">
        <w:rPr>
          <w:rFonts w:ascii="Arial" w:hAnsi="Arial" w:cs="Arial"/>
          <w:spacing w:val="8"/>
          <w:kern w:val="0"/>
          <w14:ligatures w14:val="none"/>
        </w:rPr>
        <w:t>The Race Equality Foundation works to reduce inequalities through research, policy influence, and community engagement. The goal is to improve access to healthcare and reduce disparities faced by ethnic minority groups.</w:t>
      </w:r>
    </w:p>
    <w:p w14:paraId="7FF8579D" w14:textId="77777777" w:rsidR="0095612E" w:rsidRPr="008D53E5" w:rsidRDefault="0095612E" w:rsidP="0095612E">
      <w:pPr>
        <w:spacing w:after="150" w:line="240" w:lineRule="auto"/>
        <w:textAlignment w:val="baseline"/>
        <w:rPr>
          <w:rFonts w:ascii="Arial" w:hAnsi="Arial" w:cs="Arial"/>
          <w:spacing w:val="8"/>
          <w:kern w:val="0"/>
          <w14:ligatures w14:val="none"/>
        </w:rPr>
      </w:pPr>
    </w:p>
    <w:p w14:paraId="75460D54" w14:textId="77777777" w:rsidR="0095612E" w:rsidRPr="008D53E5" w:rsidRDefault="0095612E" w:rsidP="0095612E">
      <w:pPr>
        <w:spacing w:after="150" w:line="240" w:lineRule="auto"/>
        <w:textAlignment w:val="baseline"/>
        <w:rPr>
          <w:rFonts w:ascii="Arial" w:hAnsi="Arial" w:cs="Arial"/>
          <w:spacing w:val="8"/>
          <w:kern w:val="0"/>
          <w14:ligatures w14:val="none"/>
        </w:rPr>
      </w:pPr>
      <w:r w:rsidRPr="008D53E5">
        <w:rPr>
          <w:rFonts w:ascii="Arial" w:hAnsi="Arial" w:cs="Arial"/>
          <w:spacing w:val="8"/>
          <w:kern w:val="0"/>
          <w14:ligatures w14:val="none"/>
        </w:rPr>
        <w:t>From a health policy perspective, the King’s Fund is very important in analysis of health inequalities and policy advice. It underlines social determinants and helps to improve equity in NHS.</w:t>
      </w:r>
    </w:p>
    <w:p w14:paraId="1B7A53EB" w14:textId="77777777" w:rsidR="0095612E" w:rsidRPr="008D53E5" w:rsidRDefault="0095612E" w:rsidP="0095612E">
      <w:pPr>
        <w:spacing w:after="150" w:line="240" w:lineRule="auto"/>
        <w:textAlignment w:val="baseline"/>
        <w:rPr>
          <w:rFonts w:ascii="Arial" w:hAnsi="Arial" w:cs="Arial"/>
          <w:spacing w:val="8"/>
          <w:kern w:val="0"/>
          <w14:ligatures w14:val="none"/>
        </w:rPr>
      </w:pPr>
    </w:p>
    <w:p w14:paraId="3EF21059" w14:textId="77777777" w:rsidR="0095612E" w:rsidRPr="008D53E5" w:rsidRDefault="0095612E" w:rsidP="0095612E">
      <w:pPr>
        <w:spacing w:after="150" w:line="240" w:lineRule="auto"/>
        <w:textAlignment w:val="baseline"/>
        <w:rPr>
          <w:rFonts w:ascii="Arial" w:hAnsi="Arial" w:cs="Arial"/>
          <w:spacing w:val="8"/>
          <w:kern w:val="0"/>
          <w14:ligatures w14:val="none"/>
        </w:rPr>
      </w:pPr>
      <w:r w:rsidRPr="008D53E5">
        <w:rPr>
          <w:rStyle w:val="Heading2Char"/>
          <w:rFonts w:ascii="Arial" w:hAnsi="Arial" w:cs="Arial"/>
          <w:sz w:val="24"/>
          <w:szCs w:val="24"/>
        </w:rPr>
        <w:t>Conclusion</w:t>
      </w:r>
      <w:r w:rsidRPr="008D53E5">
        <w:rPr>
          <w:rFonts w:ascii="Arial" w:hAnsi="Arial" w:cs="Arial"/>
          <w:spacing w:val="8"/>
          <w:kern w:val="0"/>
          <w14:ligatures w14:val="none"/>
        </w:rPr>
        <w:t>.</w:t>
      </w:r>
    </w:p>
    <w:p w14:paraId="676A0617" w14:textId="77777777" w:rsidR="0095612E" w:rsidRPr="008D53E5" w:rsidRDefault="0095612E" w:rsidP="0095612E">
      <w:pPr>
        <w:spacing w:after="150" w:line="240" w:lineRule="auto"/>
        <w:textAlignment w:val="baseline"/>
        <w:rPr>
          <w:rFonts w:ascii="Arial" w:hAnsi="Arial" w:cs="Arial"/>
          <w:spacing w:val="8"/>
          <w:kern w:val="0"/>
          <w14:ligatures w14:val="none"/>
        </w:rPr>
      </w:pPr>
    </w:p>
    <w:p w14:paraId="164A9E0E" w14:textId="69787F70" w:rsidR="008568DD" w:rsidRPr="008D53E5" w:rsidRDefault="0095612E">
      <w:pPr>
        <w:rPr>
          <w:rFonts w:ascii="Arial" w:hAnsi="Arial" w:cs="Arial"/>
          <w:spacing w:val="8"/>
          <w:kern w:val="0"/>
          <w14:ligatures w14:val="none"/>
        </w:rPr>
      </w:pPr>
      <w:r w:rsidRPr="008D53E5">
        <w:rPr>
          <w:rFonts w:ascii="Arial" w:hAnsi="Arial" w:cs="Arial"/>
          <w:spacing w:val="8"/>
          <w:kern w:val="0"/>
          <w14:ligatures w14:val="none"/>
        </w:rPr>
        <w:t>Ethnic health inequalities in the UK are a complex and persistent problem that is rooted in social, economic and structural factors. Poverty, discrimination and systemic barriers lead to lower rates of disease in ethnic minorities. While measures like the Equality Act 2010 and Health and Social Care Act 2012 are in place to address these inequalities, the persistence of such disparities are a barrier to achieving equity. A focus on health equity is needed in the context of the broader factors that affect health; socio-economic inequalities and structural racism. Without these changes, ethnic health inequalities will persist in society and we will not achieve equitable health.</w:t>
      </w:r>
    </w:p>
    <w:p w14:paraId="1FB24AB8" w14:textId="77777777" w:rsidR="00810517" w:rsidRPr="008D53E5" w:rsidRDefault="00810517">
      <w:pPr>
        <w:rPr>
          <w:rFonts w:ascii="Arial" w:hAnsi="Arial" w:cs="Arial"/>
        </w:rPr>
      </w:pPr>
    </w:p>
    <w:p w14:paraId="1F47FEF9" w14:textId="77777777" w:rsidR="008568DD" w:rsidRPr="008D53E5" w:rsidRDefault="008568DD">
      <w:pPr>
        <w:rPr>
          <w:rFonts w:ascii="Arial" w:hAnsi="Arial" w:cs="Arial"/>
        </w:rPr>
      </w:pPr>
    </w:p>
    <w:p w14:paraId="226F7543" w14:textId="77777777" w:rsidR="008568DD" w:rsidRPr="008D53E5" w:rsidRDefault="008568DD">
      <w:pPr>
        <w:rPr>
          <w:rFonts w:ascii="Arial" w:hAnsi="Arial" w:cs="Arial"/>
        </w:rPr>
      </w:pPr>
    </w:p>
    <w:p w14:paraId="753791DB" w14:textId="77777777" w:rsidR="008568DD" w:rsidRPr="008D53E5" w:rsidRDefault="008568DD">
      <w:pPr>
        <w:rPr>
          <w:rFonts w:ascii="Arial" w:hAnsi="Arial" w:cs="Arial"/>
        </w:rPr>
      </w:pPr>
    </w:p>
    <w:p w14:paraId="03B9C514" w14:textId="77777777" w:rsidR="008568DD" w:rsidRPr="008D53E5" w:rsidRDefault="008568DD">
      <w:pPr>
        <w:rPr>
          <w:rFonts w:ascii="Arial" w:hAnsi="Arial" w:cs="Arial"/>
        </w:rPr>
      </w:pPr>
    </w:p>
    <w:p w14:paraId="52FD1D0A" w14:textId="77777777" w:rsidR="008568DD" w:rsidRPr="008D53E5" w:rsidRDefault="008568DD">
      <w:pPr>
        <w:rPr>
          <w:rFonts w:ascii="Arial" w:hAnsi="Arial" w:cs="Arial"/>
        </w:rPr>
      </w:pPr>
    </w:p>
    <w:p w14:paraId="3B62459C" w14:textId="77777777" w:rsidR="008568DD" w:rsidRPr="008D53E5" w:rsidRDefault="008568DD">
      <w:pPr>
        <w:rPr>
          <w:rFonts w:ascii="Arial" w:hAnsi="Arial" w:cs="Arial"/>
        </w:rPr>
      </w:pPr>
    </w:p>
    <w:p w14:paraId="59F76139" w14:textId="77777777" w:rsidR="00666BEF" w:rsidRPr="008D53E5" w:rsidRDefault="00666BEF">
      <w:pPr>
        <w:rPr>
          <w:rFonts w:ascii="Arial" w:hAnsi="Arial" w:cs="Arial"/>
        </w:rPr>
      </w:pPr>
    </w:p>
    <w:p w14:paraId="01E19C8A" w14:textId="77777777" w:rsidR="008568DD" w:rsidRPr="008D53E5" w:rsidRDefault="008568DD">
      <w:pPr>
        <w:rPr>
          <w:rFonts w:ascii="Arial" w:hAnsi="Arial" w:cs="Arial"/>
        </w:rPr>
      </w:pPr>
    </w:p>
    <w:p w14:paraId="58A3AF3A" w14:textId="77777777" w:rsidR="008568DD" w:rsidRPr="008D53E5" w:rsidRDefault="008568DD">
      <w:pPr>
        <w:rPr>
          <w:rFonts w:ascii="Arial" w:hAnsi="Arial" w:cs="Arial"/>
        </w:rPr>
      </w:pPr>
    </w:p>
    <w:p w14:paraId="251F71DD" w14:textId="45D7CD55" w:rsidR="008568DD" w:rsidRPr="008D53E5" w:rsidRDefault="008568DD" w:rsidP="008568DD">
      <w:pPr>
        <w:pStyle w:val="Heading2"/>
        <w:rPr>
          <w:rFonts w:ascii="Arial" w:hAnsi="Arial" w:cs="Arial"/>
          <w:sz w:val="24"/>
          <w:szCs w:val="24"/>
        </w:rPr>
      </w:pPr>
      <w:r w:rsidRPr="008D53E5">
        <w:rPr>
          <w:rFonts w:ascii="Arial" w:hAnsi="Arial" w:cs="Arial"/>
          <w:sz w:val="24"/>
          <w:szCs w:val="24"/>
        </w:rPr>
        <w:t xml:space="preserve">References </w:t>
      </w:r>
    </w:p>
    <w:p w14:paraId="5944D140" w14:textId="77777777" w:rsidR="008568DD" w:rsidRPr="008D53E5" w:rsidRDefault="008568DD">
      <w:pPr>
        <w:rPr>
          <w:rFonts w:ascii="Arial" w:hAnsi="Arial" w:cs="Arial"/>
        </w:rPr>
      </w:pPr>
    </w:p>
    <w:p w14:paraId="2086BA13" w14:textId="77777777" w:rsidR="007E789D" w:rsidRPr="008D53E5" w:rsidRDefault="004157FF" w:rsidP="004157FF">
      <w:pPr>
        <w:rPr>
          <w:rFonts w:ascii="Arial" w:hAnsi="Arial" w:cs="Arial"/>
        </w:rPr>
      </w:pPr>
      <w:r w:rsidRPr="008D53E5">
        <w:rPr>
          <w:rFonts w:ascii="Arial" w:hAnsi="Arial" w:cs="Arial"/>
        </w:rPr>
        <w:t xml:space="preserve">Bansal N, </w:t>
      </w:r>
      <w:proofErr w:type="spellStart"/>
      <w:r w:rsidRPr="008D53E5">
        <w:rPr>
          <w:rFonts w:ascii="Arial" w:hAnsi="Arial" w:cs="Arial"/>
        </w:rPr>
        <w:t>Karlsen</w:t>
      </w:r>
      <w:proofErr w:type="spellEnd"/>
      <w:r w:rsidRPr="008D53E5">
        <w:rPr>
          <w:rFonts w:ascii="Arial" w:hAnsi="Arial" w:cs="Arial"/>
        </w:rPr>
        <w:t xml:space="preserve"> S, </w:t>
      </w:r>
      <w:proofErr w:type="spellStart"/>
      <w:r w:rsidRPr="008D53E5">
        <w:rPr>
          <w:rFonts w:ascii="Arial" w:hAnsi="Arial" w:cs="Arial"/>
        </w:rPr>
        <w:t>Sashidharan</w:t>
      </w:r>
      <w:proofErr w:type="spellEnd"/>
      <w:r w:rsidRPr="008D53E5">
        <w:rPr>
          <w:rFonts w:ascii="Arial" w:hAnsi="Arial" w:cs="Arial"/>
        </w:rPr>
        <w:t xml:space="preserve"> SP, Cohen R, Chew-Graham CA, </w:t>
      </w:r>
      <w:proofErr w:type="spellStart"/>
      <w:r w:rsidRPr="008D53E5">
        <w:rPr>
          <w:rFonts w:ascii="Arial" w:hAnsi="Arial" w:cs="Arial"/>
        </w:rPr>
        <w:t>Malpass</w:t>
      </w:r>
      <w:proofErr w:type="spellEnd"/>
      <w:r w:rsidRPr="008D53E5">
        <w:rPr>
          <w:rFonts w:ascii="Arial" w:hAnsi="Arial" w:cs="Arial"/>
        </w:rPr>
        <w:t xml:space="preserve"> A. Understanding ethnic inequalities in mental healthcare in the UK: A meta-ethnography. PLoS Med. 2022 Dec 13;19(12):e1004139. </w:t>
      </w:r>
      <w:proofErr w:type="spellStart"/>
      <w:r w:rsidRPr="008D53E5">
        <w:rPr>
          <w:rFonts w:ascii="Arial" w:hAnsi="Arial" w:cs="Arial"/>
        </w:rPr>
        <w:t>doi</w:t>
      </w:r>
      <w:proofErr w:type="spellEnd"/>
      <w:r w:rsidRPr="008D53E5">
        <w:rPr>
          <w:rFonts w:ascii="Arial" w:hAnsi="Arial" w:cs="Arial"/>
        </w:rPr>
        <w:t>: 10.1371/journal.pmed.1004139. PMID: 36512523; PMCID: PMC9746991.</w:t>
      </w:r>
    </w:p>
    <w:p w14:paraId="1BC9BE03" w14:textId="52AEDDA3" w:rsidR="004157FF" w:rsidRPr="008D53E5" w:rsidRDefault="004157FF" w:rsidP="004157FF">
      <w:pPr>
        <w:rPr>
          <w:rFonts w:ascii="Arial" w:hAnsi="Arial" w:cs="Arial"/>
        </w:rPr>
      </w:pPr>
      <w:r w:rsidRPr="008D53E5">
        <w:rPr>
          <w:rFonts w:ascii="Arial" w:hAnsi="Arial" w:cs="Arial"/>
        </w:rPr>
        <w:t xml:space="preserve"> https://evidence.nihr.ac.uk/alert/how-can-mental-healthcare-services-meet-needs-people-from-ethnically-diverse-groups/, https://mentalhealth.bmj.com/content/28/1/e301481, https://raceequalityfoundation.org.uk/wp-content/uploads/2022/10/mental-health-report-v5-2.pdf https://kclpure.kcl.ac.uk/ws/portalfiles/portal/337931956/e301481.full.pdf</w:t>
      </w:r>
    </w:p>
    <w:p w14:paraId="258B2FF0" w14:textId="77777777" w:rsidR="004157FF" w:rsidRPr="008D53E5" w:rsidRDefault="004157FF" w:rsidP="004157FF">
      <w:pPr>
        <w:rPr>
          <w:rFonts w:ascii="Arial" w:hAnsi="Arial" w:cs="Arial"/>
        </w:rPr>
      </w:pPr>
    </w:p>
    <w:p w14:paraId="67BAE287" w14:textId="6653695F" w:rsidR="004157FF" w:rsidRPr="008D53E5" w:rsidRDefault="004157FF" w:rsidP="004157FF">
      <w:pPr>
        <w:rPr>
          <w:rFonts w:ascii="Arial" w:hAnsi="Arial" w:cs="Arial"/>
        </w:rPr>
      </w:pPr>
      <w:r w:rsidRPr="008D53E5">
        <w:rPr>
          <w:rFonts w:ascii="Arial" w:hAnsi="Arial" w:cs="Arial"/>
        </w:rPr>
        <w:t>https://www.researchgate.net/publication/396155106_Barriers_and_challenges_of_people_from_ethnic_minorities_and_ethnic_groups_accessing_and_using_UK_mental_health_services_a_critical_discussion</w:t>
      </w:r>
    </w:p>
    <w:p w14:paraId="079134CE" w14:textId="77777777" w:rsidR="004157FF" w:rsidRPr="008D53E5" w:rsidRDefault="004157FF" w:rsidP="004157FF">
      <w:pPr>
        <w:rPr>
          <w:rFonts w:ascii="Arial" w:hAnsi="Arial" w:cs="Arial"/>
        </w:rPr>
      </w:pPr>
    </w:p>
    <w:p w14:paraId="766B7227" w14:textId="68A37B8E" w:rsidR="004157FF" w:rsidRPr="008D53E5" w:rsidRDefault="004157FF">
      <w:pPr>
        <w:rPr>
          <w:rFonts w:ascii="Arial" w:hAnsi="Arial" w:cs="Arial"/>
        </w:rPr>
      </w:pPr>
      <w:proofErr w:type="spellStart"/>
      <w:r w:rsidRPr="008D53E5">
        <w:rPr>
          <w:rFonts w:ascii="Arial" w:hAnsi="Arial" w:cs="Arial"/>
        </w:rPr>
        <w:t>Memon</w:t>
      </w:r>
      <w:proofErr w:type="spellEnd"/>
      <w:r w:rsidRPr="008D53E5">
        <w:rPr>
          <w:rFonts w:ascii="Arial" w:hAnsi="Arial" w:cs="Arial"/>
        </w:rPr>
        <w:t xml:space="preserve"> A, Taylor K, </w:t>
      </w:r>
      <w:proofErr w:type="spellStart"/>
      <w:r w:rsidRPr="008D53E5">
        <w:rPr>
          <w:rFonts w:ascii="Arial" w:hAnsi="Arial" w:cs="Arial"/>
        </w:rPr>
        <w:t>Mohebati</w:t>
      </w:r>
      <w:proofErr w:type="spellEnd"/>
      <w:r w:rsidRPr="008D53E5">
        <w:rPr>
          <w:rFonts w:ascii="Arial" w:hAnsi="Arial" w:cs="Arial"/>
        </w:rPr>
        <w:t xml:space="preserve"> LM, Sundin J, Cooper M, Scanlon T, de </w:t>
      </w:r>
      <w:proofErr w:type="spellStart"/>
      <w:r w:rsidRPr="008D53E5">
        <w:rPr>
          <w:rFonts w:ascii="Arial" w:hAnsi="Arial" w:cs="Arial"/>
        </w:rPr>
        <w:t>Visser</w:t>
      </w:r>
      <w:proofErr w:type="spellEnd"/>
      <w:r w:rsidRPr="008D53E5">
        <w:rPr>
          <w:rFonts w:ascii="Arial" w:hAnsi="Arial" w:cs="Arial"/>
        </w:rPr>
        <w:t xml:space="preserve"> R. Perceived barriers to accessing mental health services among black and minority ethnic (BME) communities: a qualitative study in Southeast England. BMJ Open. 2016 Nov 16;6(11):e012337. </w:t>
      </w:r>
      <w:proofErr w:type="spellStart"/>
      <w:r w:rsidRPr="008D53E5">
        <w:rPr>
          <w:rFonts w:ascii="Arial" w:hAnsi="Arial" w:cs="Arial"/>
        </w:rPr>
        <w:t>doi</w:t>
      </w:r>
      <w:proofErr w:type="spellEnd"/>
      <w:r w:rsidRPr="008D53E5">
        <w:rPr>
          <w:rFonts w:ascii="Arial" w:hAnsi="Arial" w:cs="Arial"/>
        </w:rPr>
        <w:t>: 10.1136/bmjopen-2016-012337. PMID: 27852712; PMCID: PMC5128839.</w:t>
      </w:r>
    </w:p>
    <w:p w14:paraId="4FE55D9F" w14:textId="77777777" w:rsidR="00B40CFC" w:rsidRPr="008D53E5" w:rsidRDefault="00B40CFC" w:rsidP="00B40CFC">
      <w:pPr>
        <w:pStyle w:val="p1"/>
        <w:numPr>
          <w:ilvl w:val="0"/>
          <w:numId w:val="2"/>
        </w:numPr>
        <w:rPr>
          <w:rFonts w:ascii="Arial" w:hAnsi="Arial" w:cs="Arial"/>
        </w:rPr>
      </w:pPr>
      <w:r w:rsidRPr="008D53E5">
        <w:rPr>
          <w:rStyle w:val="s1"/>
          <w:rFonts w:ascii="Arial" w:hAnsi="Arial" w:cs="Arial"/>
        </w:rPr>
        <w:t xml:space="preserve">Au-Yeung, C.H., et al. (2024) ‘Socioeconomic and ethnic inequalities in type 2 diabetes risk’, </w:t>
      </w:r>
      <w:r w:rsidRPr="008D53E5">
        <w:rPr>
          <w:rStyle w:val="s2"/>
          <w:rFonts w:ascii="Arial" w:hAnsi="Arial" w:cs="Arial"/>
        </w:rPr>
        <w:t>Frontiers in Public Health</w:t>
      </w:r>
      <w:r w:rsidRPr="008D53E5">
        <w:rPr>
          <w:rStyle w:val="s1"/>
          <w:rFonts w:ascii="Arial" w:hAnsi="Arial" w:cs="Arial"/>
        </w:rPr>
        <w:t>, 12. Available at: https://www.frontiersin.org/articles/10.3389/fpubh.2024.1477418</w:t>
      </w:r>
    </w:p>
    <w:p w14:paraId="2D457B06" w14:textId="77777777" w:rsidR="00B40CFC" w:rsidRPr="008D53E5" w:rsidRDefault="00B40CFC" w:rsidP="00B40CFC">
      <w:pPr>
        <w:pStyle w:val="p1"/>
        <w:numPr>
          <w:ilvl w:val="0"/>
          <w:numId w:val="2"/>
        </w:numPr>
        <w:rPr>
          <w:rFonts w:ascii="Arial" w:hAnsi="Arial" w:cs="Arial"/>
        </w:rPr>
      </w:pPr>
      <w:proofErr w:type="spellStart"/>
      <w:r w:rsidRPr="008D53E5">
        <w:rPr>
          <w:rStyle w:val="s1"/>
          <w:rFonts w:ascii="Arial" w:hAnsi="Arial" w:cs="Arial"/>
        </w:rPr>
        <w:t>Barakat</w:t>
      </w:r>
      <w:proofErr w:type="spellEnd"/>
      <w:r w:rsidRPr="008D53E5">
        <w:rPr>
          <w:rStyle w:val="s1"/>
          <w:rFonts w:ascii="Arial" w:hAnsi="Arial" w:cs="Arial"/>
        </w:rPr>
        <w:t xml:space="preserve">, C., </w:t>
      </w:r>
      <w:proofErr w:type="spellStart"/>
      <w:r w:rsidRPr="008D53E5">
        <w:rPr>
          <w:rStyle w:val="s1"/>
          <w:rFonts w:ascii="Arial" w:hAnsi="Arial" w:cs="Arial"/>
        </w:rPr>
        <w:t>Konstantinidis</w:t>
      </w:r>
      <w:proofErr w:type="spellEnd"/>
      <w:r w:rsidRPr="008D53E5">
        <w:rPr>
          <w:rStyle w:val="s1"/>
          <w:rFonts w:ascii="Arial" w:hAnsi="Arial" w:cs="Arial"/>
        </w:rPr>
        <w:t xml:space="preserve">, T. (2023) ‘A review of the relationship between socioeconomic status and health’, </w:t>
      </w:r>
      <w:r w:rsidRPr="008D53E5">
        <w:rPr>
          <w:rStyle w:val="s2"/>
          <w:rFonts w:ascii="Arial" w:hAnsi="Arial" w:cs="Arial"/>
        </w:rPr>
        <w:t>International Journal of Environmental Research and Public Health</w:t>
      </w:r>
      <w:r w:rsidRPr="008D53E5">
        <w:rPr>
          <w:rStyle w:val="s1"/>
          <w:rFonts w:ascii="Arial" w:hAnsi="Arial" w:cs="Arial"/>
        </w:rPr>
        <w:t>, 20(13), 6249. Available at: https://doi.org/10.3390/ijerph20136249</w:t>
      </w:r>
    </w:p>
    <w:p w14:paraId="5D8D5BFC" w14:textId="77777777" w:rsidR="00B40CFC" w:rsidRPr="008D53E5" w:rsidRDefault="00B40CFC" w:rsidP="00B40CFC">
      <w:pPr>
        <w:pStyle w:val="p1"/>
        <w:numPr>
          <w:ilvl w:val="0"/>
          <w:numId w:val="2"/>
        </w:numPr>
        <w:rPr>
          <w:rFonts w:ascii="Arial" w:hAnsi="Arial" w:cs="Arial"/>
        </w:rPr>
      </w:pPr>
      <w:r w:rsidRPr="008D53E5">
        <w:rPr>
          <w:rStyle w:val="s1"/>
          <w:rFonts w:ascii="Arial" w:hAnsi="Arial" w:cs="Arial"/>
        </w:rPr>
        <w:t xml:space="preserve">Dean, L.T. and Thorpe, R.J. (2022) ‘What structural racism is (or is not) and how to measure it’, </w:t>
      </w:r>
      <w:r w:rsidRPr="008D53E5">
        <w:rPr>
          <w:rStyle w:val="s2"/>
          <w:rFonts w:ascii="Arial" w:hAnsi="Arial" w:cs="Arial"/>
        </w:rPr>
        <w:t>American Journal of Epidemiology</w:t>
      </w:r>
      <w:r w:rsidRPr="008D53E5">
        <w:rPr>
          <w:rStyle w:val="s1"/>
          <w:rFonts w:ascii="Arial" w:hAnsi="Arial" w:cs="Arial"/>
        </w:rPr>
        <w:t>, 191(9), pp. 1521–1526. Available at: https://doi.org/10.1093/aje/kwac112</w:t>
      </w:r>
    </w:p>
    <w:p w14:paraId="130EC557" w14:textId="77777777" w:rsidR="00B40CFC" w:rsidRPr="008D53E5" w:rsidRDefault="00B40CFC" w:rsidP="00B40CFC">
      <w:pPr>
        <w:pStyle w:val="p1"/>
        <w:numPr>
          <w:ilvl w:val="0"/>
          <w:numId w:val="2"/>
        </w:numPr>
        <w:rPr>
          <w:rFonts w:ascii="Arial" w:hAnsi="Arial" w:cs="Arial"/>
        </w:rPr>
      </w:pPr>
      <w:r w:rsidRPr="008D53E5">
        <w:rPr>
          <w:rStyle w:val="s1"/>
          <w:rFonts w:ascii="Arial" w:hAnsi="Arial" w:cs="Arial"/>
        </w:rPr>
        <w:t xml:space="preserve">Diabetes UK (2023) </w:t>
      </w:r>
      <w:r w:rsidRPr="008D53E5">
        <w:rPr>
          <w:rStyle w:val="s2"/>
          <w:rFonts w:ascii="Arial" w:hAnsi="Arial" w:cs="Arial"/>
        </w:rPr>
        <w:t>Diabetes and ethnicity</w:t>
      </w:r>
      <w:r w:rsidRPr="008D53E5">
        <w:rPr>
          <w:rStyle w:val="s1"/>
          <w:rFonts w:ascii="Arial" w:hAnsi="Arial" w:cs="Arial"/>
        </w:rPr>
        <w:t>. Available at: https://www.diabetes.org.uk/diabetes-the-basics/risk-factors/ethnicity</w:t>
      </w:r>
    </w:p>
    <w:p w14:paraId="38B55892" w14:textId="77777777" w:rsidR="00B40CFC" w:rsidRPr="008D53E5" w:rsidRDefault="00B40CFC" w:rsidP="00B40CFC">
      <w:pPr>
        <w:pStyle w:val="p1"/>
        <w:numPr>
          <w:ilvl w:val="0"/>
          <w:numId w:val="2"/>
        </w:numPr>
        <w:rPr>
          <w:rFonts w:ascii="Arial" w:hAnsi="Arial" w:cs="Arial"/>
        </w:rPr>
      </w:pPr>
      <w:r w:rsidRPr="008D53E5">
        <w:rPr>
          <w:rStyle w:val="s1"/>
          <w:rFonts w:ascii="Arial" w:hAnsi="Arial" w:cs="Arial"/>
        </w:rPr>
        <w:t xml:space="preserve">Hamed, S., </w:t>
      </w:r>
      <w:proofErr w:type="spellStart"/>
      <w:r w:rsidRPr="008D53E5">
        <w:rPr>
          <w:rStyle w:val="s1"/>
          <w:rFonts w:ascii="Arial" w:hAnsi="Arial" w:cs="Arial"/>
        </w:rPr>
        <w:t>Bradby</w:t>
      </w:r>
      <w:proofErr w:type="spellEnd"/>
      <w:r w:rsidRPr="008D53E5">
        <w:rPr>
          <w:rStyle w:val="s1"/>
          <w:rFonts w:ascii="Arial" w:hAnsi="Arial" w:cs="Arial"/>
        </w:rPr>
        <w:t xml:space="preserve">, H., Ahlberg, B.M. et al. (2022) ‘Racism in healthcare: a scoping review’, </w:t>
      </w:r>
      <w:r w:rsidRPr="008D53E5">
        <w:rPr>
          <w:rStyle w:val="s2"/>
          <w:rFonts w:ascii="Arial" w:hAnsi="Arial" w:cs="Arial"/>
        </w:rPr>
        <w:t>BMC Public Health</w:t>
      </w:r>
      <w:r w:rsidRPr="008D53E5">
        <w:rPr>
          <w:rStyle w:val="s1"/>
          <w:rFonts w:ascii="Arial" w:hAnsi="Arial" w:cs="Arial"/>
        </w:rPr>
        <w:t>, 22, 988. Available at: https://doi.org/10.1186/s12889-022-13122-y</w:t>
      </w:r>
    </w:p>
    <w:p w14:paraId="2013BB33" w14:textId="77777777" w:rsidR="00B40CFC" w:rsidRPr="008D53E5" w:rsidRDefault="00B40CFC" w:rsidP="00B40CFC">
      <w:pPr>
        <w:pStyle w:val="p1"/>
        <w:numPr>
          <w:ilvl w:val="0"/>
          <w:numId w:val="2"/>
        </w:numPr>
        <w:rPr>
          <w:rFonts w:ascii="Arial" w:hAnsi="Arial" w:cs="Arial"/>
        </w:rPr>
      </w:pPr>
      <w:proofErr w:type="spellStart"/>
      <w:r w:rsidRPr="008D53E5">
        <w:rPr>
          <w:rStyle w:val="s1"/>
          <w:rFonts w:ascii="Arial" w:hAnsi="Arial" w:cs="Arial"/>
        </w:rPr>
        <w:t>Kisa</w:t>
      </w:r>
      <w:proofErr w:type="spellEnd"/>
      <w:r w:rsidRPr="008D53E5">
        <w:rPr>
          <w:rStyle w:val="s1"/>
          <w:rFonts w:ascii="Arial" w:hAnsi="Arial" w:cs="Arial"/>
        </w:rPr>
        <w:t xml:space="preserve">, A. and </w:t>
      </w:r>
      <w:proofErr w:type="spellStart"/>
      <w:r w:rsidRPr="008D53E5">
        <w:rPr>
          <w:rStyle w:val="s1"/>
          <w:rFonts w:ascii="Arial" w:hAnsi="Arial" w:cs="Arial"/>
        </w:rPr>
        <w:t>Kisa</w:t>
      </w:r>
      <w:proofErr w:type="spellEnd"/>
      <w:r w:rsidRPr="008D53E5">
        <w:rPr>
          <w:rStyle w:val="s1"/>
          <w:rFonts w:ascii="Arial" w:hAnsi="Arial" w:cs="Arial"/>
        </w:rPr>
        <w:t xml:space="preserve">, S. (2025) ‘Structural racism as a fundamental cause of health inequities: a scoping review’, </w:t>
      </w:r>
      <w:r w:rsidRPr="008D53E5">
        <w:rPr>
          <w:rStyle w:val="s2"/>
          <w:rFonts w:ascii="Arial" w:hAnsi="Arial" w:cs="Arial"/>
        </w:rPr>
        <w:t>International Journal for Equity in Health</w:t>
      </w:r>
      <w:r w:rsidRPr="008D53E5">
        <w:rPr>
          <w:rStyle w:val="s1"/>
          <w:rFonts w:ascii="Arial" w:hAnsi="Arial" w:cs="Arial"/>
        </w:rPr>
        <w:t>, 24, 257. Available at: https://doi.org/10.1186/s12939-025-02644-7</w:t>
      </w:r>
    </w:p>
    <w:p w14:paraId="3001450E" w14:textId="77777777" w:rsidR="00B40CFC" w:rsidRPr="008D53E5" w:rsidRDefault="00B40CFC" w:rsidP="00B40CFC">
      <w:pPr>
        <w:pStyle w:val="p1"/>
        <w:numPr>
          <w:ilvl w:val="0"/>
          <w:numId w:val="2"/>
        </w:numPr>
        <w:rPr>
          <w:rFonts w:ascii="Arial" w:hAnsi="Arial" w:cs="Arial"/>
        </w:rPr>
      </w:pPr>
      <w:r w:rsidRPr="008D53E5">
        <w:rPr>
          <w:rStyle w:val="s1"/>
          <w:rFonts w:ascii="Arial" w:hAnsi="Arial" w:cs="Arial"/>
        </w:rPr>
        <w:t xml:space="preserve">Marmot, M. (2010) </w:t>
      </w:r>
      <w:r w:rsidRPr="008D53E5">
        <w:rPr>
          <w:rStyle w:val="s2"/>
          <w:rFonts w:ascii="Arial" w:hAnsi="Arial" w:cs="Arial"/>
        </w:rPr>
        <w:t>Fair Society, Healthy Lives (The Marmot Review)</w:t>
      </w:r>
      <w:r w:rsidRPr="008D53E5">
        <w:rPr>
          <w:rStyle w:val="s1"/>
          <w:rFonts w:ascii="Arial" w:hAnsi="Arial" w:cs="Arial"/>
        </w:rPr>
        <w:t>. London: UCL Institute of Health Equity. Available at: https://www.instituteofhealthequity.org/resources-reports/fair-society-healthy-lives-the-marmot-review</w:t>
      </w:r>
    </w:p>
    <w:p w14:paraId="3BC30666" w14:textId="77777777" w:rsidR="00B40CFC" w:rsidRPr="008D53E5" w:rsidRDefault="00B40CFC" w:rsidP="00B40CFC">
      <w:pPr>
        <w:pStyle w:val="p1"/>
        <w:numPr>
          <w:ilvl w:val="0"/>
          <w:numId w:val="2"/>
        </w:numPr>
        <w:rPr>
          <w:rFonts w:ascii="Arial" w:hAnsi="Arial" w:cs="Arial"/>
        </w:rPr>
      </w:pPr>
      <w:r w:rsidRPr="008D53E5">
        <w:rPr>
          <w:rStyle w:val="s1"/>
          <w:rFonts w:ascii="Arial" w:hAnsi="Arial" w:cs="Arial"/>
        </w:rPr>
        <w:t xml:space="preserve">MBRRACE-UK (2023) </w:t>
      </w:r>
      <w:r w:rsidRPr="008D53E5">
        <w:rPr>
          <w:rStyle w:val="s2"/>
          <w:rFonts w:ascii="Arial" w:hAnsi="Arial" w:cs="Arial"/>
        </w:rPr>
        <w:t>Saving Lives, Improving Mothers’ Care</w:t>
      </w:r>
      <w:r w:rsidRPr="008D53E5">
        <w:rPr>
          <w:rStyle w:val="s1"/>
          <w:rFonts w:ascii="Arial" w:hAnsi="Arial" w:cs="Arial"/>
        </w:rPr>
        <w:t>. Available at: https://www.npeu.ox.ac.uk/mbrrace-uk</w:t>
      </w:r>
    </w:p>
    <w:p w14:paraId="43D94880" w14:textId="77777777" w:rsidR="00B40CFC" w:rsidRPr="008D53E5" w:rsidRDefault="00B40CFC" w:rsidP="00B40CFC">
      <w:pPr>
        <w:pStyle w:val="p1"/>
        <w:numPr>
          <w:ilvl w:val="0"/>
          <w:numId w:val="2"/>
        </w:numPr>
        <w:rPr>
          <w:rFonts w:ascii="Arial" w:hAnsi="Arial" w:cs="Arial"/>
        </w:rPr>
      </w:pPr>
      <w:r w:rsidRPr="008D53E5">
        <w:rPr>
          <w:rStyle w:val="s1"/>
          <w:rFonts w:ascii="Arial" w:hAnsi="Arial" w:cs="Arial"/>
        </w:rPr>
        <w:t xml:space="preserve">Mishra, V., </w:t>
      </w:r>
      <w:proofErr w:type="spellStart"/>
      <w:r w:rsidRPr="008D53E5">
        <w:rPr>
          <w:rStyle w:val="s1"/>
          <w:rFonts w:ascii="Arial" w:hAnsi="Arial" w:cs="Arial"/>
        </w:rPr>
        <w:t>Seyedzenouzi</w:t>
      </w:r>
      <w:proofErr w:type="spellEnd"/>
      <w:r w:rsidRPr="008D53E5">
        <w:rPr>
          <w:rStyle w:val="s1"/>
          <w:rFonts w:ascii="Arial" w:hAnsi="Arial" w:cs="Arial"/>
        </w:rPr>
        <w:t xml:space="preserve">, G., </w:t>
      </w:r>
      <w:proofErr w:type="spellStart"/>
      <w:r w:rsidRPr="008D53E5">
        <w:rPr>
          <w:rStyle w:val="s1"/>
          <w:rFonts w:ascii="Arial" w:hAnsi="Arial" w:cs="Arial"/>
        </w:rPr>
        <w:t>Almohtadi</w:t>
      </w:r>
      <w:proofErr w:type="spellEnd"/>
      <w:r w:rsidRPr="008D53E5">
        <w:rPr>
          <w:rStyle w:val="s1"/>
          <w:rFonts w:ascii="Arial" w:hAnsi="Arial" w:cs="Arial"/>
        </w:rPr>
        <w:t xml:space="preserve">, A. et al. (2021) ‘Health inequalities during COVID-19 and their effects on morbidity and mortality’, </w:t>
      </w:r>
      <w:r w:rsidRPr="008D53E5">
        <w:rPr>
          <w:rStyle w:val="s2"/>
          <w:rFonts w:ascii="Arial" w:hAnsi="Arial" w:cs="Arial"/>
        </w:rPr>
        <w:t>Journal of Healthcare Leadership</w:t>
      </w:r>
      <w:r w:rsidRPr="008D53E5">
        <w:rPr>
          <w:rStyle w:val="s1"/>
          <w:rFonts w:ascii="Arial" w:hAnsi="Arial" w:cs="Arial"/>
        </w:rPr>
        <w:t>, 13, pp. 19–26. Available at: https://doi.org/10.2147/JHL.S270175</w:t>
      </w:r>
    </w:p>
    <w:p w14:paraId="01BF415A" w14:textId="77777777" w:rsidR="00B40CFC" w:rsidRPr="008D53E5" w:rsidRDefault="00B40CFC" w:rsidP="00B40CFC">
      <w:pPr>
        <w:pStyle w:val="p1"/>
        <w:numPr>
          <w:ilvl w:val="0"/>
          <w:numId w:val="2"/>
        </w:numPr>
        <w:rPr>
          <w:rFonts w:ascii="Arial" w:hAnsi="Arial" w:cs="Arial"/>
        </w:rPr>
      </w:pPr>
      <w:r w:rsidRPr="008D53E5">
        <w:rPr>
          <w:rStyle w:val="s1"/>
          <w:rFonts w:ascii="Arial" w:hAnsi="Arial" w:cs="Arial"/>
        </w:rPr>
        <w:t xml:space="preserve">NHS England (2023) </w:t>
      </w:r>
      <w:r w:rsidRPr="008D53E5">
        <w:rPr>
          <w:rStyle w:val="s2"/>
          <w:rFonts w:ascii="Arial" w:hAnsi="Arial" w:cs="Arial"/>
        </w:rPr>
        <w:t>NHS Long Term Plan</w:t>
      </w:r>
      <w:r w:rsidRPr="008D53E5">
        <w:rPr>
          <w:rStyle w:val="s1"/>
          <w:rFonts w:ascii="Arial" w:hAnsi="Arial" w:cs="Arial"/>
        </w:rPr>
        <w:t>. Available at: https://www.england.nhs.uk/long-term-plan/</w:t>
      </w:r>
    </w:p>
    <w:p w14:paraId="213ACDEC" w14:textId="77777777" w:rsidR="00B40CFC" w:rsidRPr="008D53E5" w:rsidRDefault="00B40CFC" w:rsidP="00B40CFC">
      <w:pPr>
        <w:pStyle w:val="p1"/>
        <w:numPr>
          <w:ilvl w:val="0"/>
          <w:numId w:val="2"/>
        </w:numPr>
        <w:rPr>
          <w:rFonts w:ascii="Arial" w:hAnsi="Arial" w:cs="Arial"/>
        </w:rPr>
      </w:pPr>
      <w:r w:rsidRPr="008D53E5">
        <w:rPr>
          <w:rStyle w:val="s1"/>
          <w:rFonts w:ascii="Arial" w:hAnsi="Arial" w:cs="Arial"/>
        </w:rPr>
        <w:t xml:space="preserve">Payne, B.K. and </w:t>
      </w:r>
      <w:proofErr w:type="spellStart"/>
      <w:r w:rsidRPr="008D53E5">
        <w:rPr>
          <w:rStyle w:val="s1"/>
          <w:rFonts w:ascii="Arial" w:hAnsi="Arial" w:cs="Arial"/>
        </w:rPr>
        <w:t>Hannay</w:t>
      </w:r>
      <w:proofErr w:type="spellEnd"/>
      <w:r w:rsidRPr="008D53E5">
        <w:rPr>
          <w:rStyle w:val="s1"/>
          <w:rFonts w:ascii="Arial" w:hAnsi="Arial" w:cs="Arial"/>
        </w:rPr>
        <w:t xml:space="preserve">, J.W. (2021) ‘Implicit bias reflects systemic racism’, </w:t>
      </w:r>
      <w:r w:rsidRPr="008D53E5">
        <w:rPr>
          <w:rStyle w:val="s2"/>
          <w:rFonts w:ascii="Arial" w:hAnsi="Arial" w:cs="Arial"/>
        </w:rPr>
        <w:t>Trends in Cognitive Sciences</w:t>
      </w:r>
      <w:r w:rsidRPr="008D53E5">
        <w:rPr>
          <w:rStyle w:val="s1"/>
          <w:rFonts w:ascii="Arial" w:hAnsi="Arial" w:cs="Arial"/>
        </w:rPr>
        <w:t>, 25(11), pp. 927–936. Available at: https://doi.org/10.1016/j.tics.2021.08.001</w:t>
      </w:r>
    </w:p>
    <w:p w14:paraId="67FAA15D" w14:textId="77777777" w:rsidR="00B40CFC" w:rsidRPr="008D53E5" w:rsidRDefault="00B40CFC" w:rsidP="00B40CFC">
      <w:pPr>
        <w:pStyle w:val="p1"/>
        <w:numPr>
          <w:ilvl w:val="0"/>
          <w:numId w:val="2"/>
        </w:numPr>
        <w:rPr>
          <w:rFonts w:ascii="Arial" w:hAnsi="Arial" w:cs="Arial"/>
        </w:rPr>
      </w:pPr>
      <w:r w:rsidRPr="008D53E5">
        <w:rPr>
          <w:rStyle w:val="s1"/>
          <w:rFonts w:ascii="Arial" w:hAnsi="Arial" w:cs="Arial"/>
        </w:rPr>
        <w:t xml:space="preserve">Public Health England (2020) </w:t>
      </w:r>
      <w:r w:rsidRPr="008D53E5">
        <w:rPr>
          <w:rStyle w:val="s2"/>
          <w:rFonts w:ascii="Arial" w:hAnsi="Arial" w:cs="Arial"/>
        </w:rPr>
        <w:t>Disparities in the risk and outcomes of COVID-19</w:t>
      </w:r>
      <w:r w:rsidRPr="008D53E5">
        <w:rPr>
          <w:rStyle w:val="s1"/>
          <w:rFonts w:ascii="Arial" w:hAnsi="Arial" w:cs="Arial"/>
        </w:rPr>
        <w:t>. Available at: https://www.gov.uk/government/publications/covid-19-review-of-disparities-in-risks-and-outcomes</w:t>
      </w:r>
    </w:p>
    <w:p w14:paraId="150D5A55" w14:textId="77777777" w:rsidR="00B40CFC" w:rsidRPr="008D53E5" w:rsidRDefault="00B40CFC" w:rsidP="00B40CFC">
      <w:pPr>
        <w:pStyle w:val="p1"/>
        <w:numPr>
          <w:ilvl w:val="0"/>
          <w:numId w:val="2"/>
        </w:numPr>
        <w:rPr>
          <w:rFonts w:ascii="Arial" w:hAnsi="Arial" w:cs="Arial"/>
          <w:color w:val="196B24" w:themeColor="accent3"/>
        </w:rPr>
      </w:pPr>
      <w:r w:rsidRPr="008D53E5">
        <w:rPr>
          <w:rStyle w:val="s1"/>
          <w:rFonts w:ascii="Arial" w:hAnsi="Arial" w:cs="Arial"/>
          <w:color w:val="196B24" w:themeColor="accent3"/>
        </w:rPr>
        <w:t xml:space="preserve">ScotPHO (2023) </w:t>
      </w:r>
      <w:r w:rsidRPr="008D53E5">
        <w:rPr>
          <w:rStyle w:val="s2"/>
          <w:rFonts w:ascii="Arial" w:hAnsi="Arial" w:cs="Arial"/>
          <w:color w:val="196B24" w:themeColor="accent3"/>
        </w:rPr>
        <w:t>Defining ethnicity and race</w:t>
      </w:r>
      <w:r w:rsidRPr="008D53E5">
        <w:rPr>
          <w:rStyle w:val="s1"/>
          <w:rFonts w:ascii="Arial" w:hAnsi="Arial" w:cs="Arial"/>
          <w:color w:val="196B24" w:themeColor="accent3"/>
        </w:rPr>
        <w:t>. Available at: https://www.scotpho.org.uk/population-groups/ethnic-minorities/defining-ethnicity-and-race/</w:t>
      </w:r>
    </w:p>
    <w:p w14:paraId="3C4F37C9" w14:textId="77777777" w:rsidR="00B40CFC" w:rsidRPr="008D53E5" w:rsidRDefault="00B40CFC" w:rsidP="00B40CFC">
      <w:pPr>
        <w:pStyle w:val="p1"/>
        <w:numPr>
          <w:ilvl w:val="0"/>
          <w:numId w:val="2"/>
        </w:numPr>
        <w:rPr>
          <w:rFonts w:ascii="Arial" w:hAnsi="Arial" w:cs="Arial"/>
        </w:rPr>
      </w:pPr>
      <w:r w:rsidRPr="008D53E5">
        <w:rPr>
          <w:rStyle w:val="s1"/>
          <w:rFonts w:ascii="Arial" w:hAnsi="Arial" w:cs="Arial"/>
        </w:rPr>
        <w:t xml:space="preserve">The King’s Fund (2023) </w:t>
      </w:r>
      <w:r w:rsidRPr="008D53E5">
        <w:rPr>
          <w:rStyle w:val="s2"/>
          <w:rFonts w:ascii="Arial" w:hAnsi="Arial" w:cs="Arial"/>
        </w:rPr>
        <w:t>What are health inequalities?</w:t>
      </w:r>
      <w:r w:rsidRPr="008D53E5">
        <w:rPr>
          <w:rStyle w:val="s1"/>
          <w:rFonts w:ascii="Arial" w:hAnsi="Arial" w:cs="Arial"/>
        </w:rPr>
        <w:t xml:space="preserve"> Available at: https://www.kingsfund.org.uk/insight-and-analysis/long-reads/what-are-health-inequalities</w:t>
      </w:r>
    </w:p>
    <w:p w14:paraId="461BE9BE" w14:textId="77777777" w:rsidR="00B40CFC" w:rsidRPr="008D53E5" w:rsidRDefault="00B40CFC" w:rsidP="00B40CFC">
      <w:pPr>
        <w:pStyle w:val="p1"/>
        <w:numPr>
          <w:ilvl w:val="0"/>
          <w:numId w:val="2"/>
        </w:numPr>
        <w:rPr>
          <w:rFonts w:ascii="Arial" w:hAnsi="Arial" w:cs="Arial"/>
        </w:rPr>
      </w:pPr>
      <w:r w:rsidRPr="008D53E5">
        <w:rPr>
          <w:rStyle w:val="s1"/>
          <w:rFonts w:ascii="Arial" w:hAnsi="Arial" w:cs="Arial"/>
        </w:rPr>
        <w:t xml:space="preserve">World Health Organization (2023) </w:t>
      </w:r>
      <w:r w:rsidRPr="008D53E5">
        <w:rPr>
          <w:rStyle w:val="s2"/>
          <w:rFonts w:ascii="Arial" w:hAnsi="Arial" w:cs="Arial"/>
        </w:rPr>
        <w:t>Social determinants of health</w:t>
      </w:r>
      <w:r w:rsidRPr="008D53E5">
        <w:rPr>
          <w:rStyle w:val="s1"/>
          <w:rFonts w:ascii="Arial" w:hAnsi="Arial" w:cs="Arial"/>
        </w:rPr>
        <w:t>. Available at: https://www.who.int/health-topics/social-determinants-of-health</w:t>
      </w:r>
    </w:p>
    <w:p w14:paraId="446BFFF6" w14:textId="77777777" w:rsidR="00666BEF" w:rsidRPr="008D53E5" w:rsidRDefault="00666BEF">
      <w:pPr>
        <w:rPr>
          <w:rFonts w:ascii="Arial" w:hAnsi="Arial" w:cs="Arial"/>
        </w:rPr>
      </w:pPr>
    </w:p>
    <w:p w14:paraId="121C43A5" w14:textId="77777777" w:rsidR="00144D33" w:rsidRPr="008D53E5" w:rsidRDefault="00144D33" w:rsidP="00144D33">
      <w:pPr>
        <w:pStyle w:val="p1"/>
        <w:numPr>
          <w:ilvl w:val="0"/>
          <w:numId w:val="3"/>
        </w:numPr>
        <w:rPr>
          <w:rFonts w:ascii="Arial" w:hAnsi="Arial" w:cs="Arial"/>
        </w:rPr>
      </w:pPr>
      <w:r w:rsidRPr="008D53E5">
        <w:rPr>
          <w:rStyle w:val="s1"/>
          <w:rFonts w:ascii="Arial" w:hAnsi="Arial" w:cs="Arial"/>
        </w:rPr>
        <w:t xml:space="preserve">Au-Yeung, C.H., </w:t>
      </w:r>
      <w:r w:rsidRPr="008D53E5">
        <w:rPr>
          <w:rStyle w:val="s2"/>
          <w:rFonts w:ascii="Arial" w:hAnsi="Arial" w:cs="Arial"/>
        </w:rPr>
        <w:t>et al.</w:t>
      </w:r>
      <w:r w:rsidRPr="008D53E5">
        <w:rPr>
          <w:rStyle w:val="s1"/>
          <w:rFonts w:ascii="Arial" w:hAnsi="Arial" w:cs="Arial"/>
        </w:rPr>
        <w:t xml:space="preserve"> (2024) ‘Socioeconomic and ethnic inequalities in type 2 diabetes risk’, </w:t>
      </w:r>
      <w:r w:rsidRPr="008D53E5">
        <w:rPr>
          <w:rStyle w:val="s2"/>
          <w:rFonts w:ascii="Arial" w:hAnsi="Arial" w:cs="Arial"/>
        </w:rPr>
        <w:t>Frontiers in Public Health</w:t>
      </w:r>
      <w:r w:rsidRPr="008D53E5">
        <w:rPr>
          <w:rStyle w:val="s1"/>
          <w:rFonts w:ascii="Arial" w:hAnsi="Arial" w:cs="Arial"/>
        </w:rPr>
        <w:t>, 12. Available at: https://www.frontiersin.org/articles/10.3389/fpubh.2024.1477418</w:t>
      </w:r>
    </w:p>
    <w:p w14:paraId="615BCC83" w14:textId="77777777" w:rsidR="00144D33" w:rsidRPr="008D53E5" w:rsidRDefault="00144D33" w:rsidP="00144D33">
      <w:pPr>
        <w:pStyle w:val="p1"/>
        <w:numPr>
          <w:ilvl w:val="0"/>
          <w:numId w:val="3"/>
        </w:numPr>
        <w:rPr>
          <w:rFonts w:ascii="Arial" w:hAnsi="Arial" w:cs="Arial"/>
        </w:rPr>
      </w:pPr>
      <w:proofErr w:type="spellStart"/>
      <w:r w:rsidRPr="008D53E5">
        <w:rPr>
          <w:rStyle w:val="s1"/>
          <w:rFonts w:ascii="Arial" w:hAnsi="Arial" w:cs="Arial"/>
        </w:rPr>
        <w:t>Barakat</w:t>
      </w:r>
      <w:proofErr w:type="spellEnd"/>
      <w:r w:rsidRPr="008D53E5">
        <w:rPr>
          <w:rStyle w:val="s1"/>
          <w:rFonts w:ascii="Arial" w:hAnsi="Arial" w:cs="Arial"/>
        </w:rPr>
        <w:t xml:space="preserve">, C. and </w:t>
      </w:r>
      <w:proofErr w:type="spellStart"/>
      <w:r w:rsidRPr="008D53E5">
        <w:rPr>
          <w:rStyle w:val="s1"/>
          <w:rFonts w:ascii="Arial" w:hAnsi="Arial" w:cs="Arial"/>
        </w:rPr>
        <w:t>Konstantinidis</w:t>
      </w:r>
      <w:proofErr w:type="spellEnd"/>
      <w:r w:rsidRPr="008D53E5">
        <w:rPr>
          <w:rStyle w:val="s1"/>
          <w:rFonts w:ascii="Arial" w:hAnsi="Arial" w:cs="Arial"/>
        </w:rPr>
        <w:t xml:space="preserve">, T. (2023) ‘A review of the relationship between socioeconomic status and health’, </w:t>
      </w:r>
      <w:r w:rsidRPr="008D53E5">
        <w:rPr>
          <w:rStyle w:val="s2"/>
          <w:rFonts w:ascii="Arial" w:hAnsi="Arial" w:cs="Arial"/>
        </w:rPr>
        <w:t>International Journal of Environmental Research and Public Health</w:t>
      </w:r>
      <w:r w:rsidRPr="008D53E5">
        <w:rPr>
          <w:rStyle w:val="s1"/>
          <w:rFonts w:ascii="Arial" w:hAnsi="Arial" w:cs="Arial"/>
        </w:rPr>
        <w:t>, 20(13), 6249. Available at: https://doi.org/10.3390/ijerph20136249</w:t>
      </w:r>
    </w:p>
    <w:p w14:paraId="19C19795" w14:textId="77777777" w:rsidR="00144D33" w:rsidRPr="008D53E5" w:rsidRDefault="00144D33" w:rsidP="00144D33">
      <w:pPr>
        <w:pStyle w:val="p1"/>
        <w:numPr>
          <w:ilvl w:val="0"/>
          <w:numId w:val="3"/>
        </w:numPr>
        <w:rPr>
          <w:rFonts w:ascii="Arial" w:hAnsi="Arial" w:cs="Arial"/>
        </w:rPr>
      </w:pPr>
      <w:r w:rsidRPr="008D53E5">
        <w:rPr>
          <w:rStyle w:val="s1"/>
          <w:rFonts w:ascii="Arial" w:hAnsi="Arial" w:cs="Arial"/>
        </w:rPr>
        <w:t xml:space="preserve">Dean, L.T. and Thorpe, R.J. (2022) ‘What structural racism is (or is not) and how to measure it’, </w:t>
      </w:r>
      <w:r w:rsidRPr="008D53E5">
        <w:rPr>
          <w:rStyle w:val="s2"/>
          <w:rFonts w:ascii="Arial" w:hAnsi="Arial" w:cs="Arial"/>
        </w:rPr>
        <w:t>American Journal of Epidemiology</w:t>
      </w:r>
      <w:r w:rsidRPr="008D53E5">
        <w:rPr>
          <w:rStyle w:val="s1"/>
          <w:rFonts w:ascii="Arial" w:hAnsi="Arial" w:cs="Arial"/>
        </w:rPr>
        <w:t>, 191(9), pp. 1521–1526. Available at: https://doi.org/10.1093/aje/kwac112</w:t>
      </w:r>
    </w:p>
    <w:p w14:paraId="32E0E860" w14:textId="77777777" w:rsidR="00144D33" w:rsidRPr="008D53E5" w:rsidRDefault="00144D33" w:rsidP="00144D33">
      <w:pPr>
        <w:pStyle w:val="p1"/>
        <w:numPr>
          <w:ilvl w:val="0"/>
          <w:numId w:val="3"/>
        </w:numPr>
        <w:rPr>
          <w:rFonts w:ascii="Arial" w:hAnsi="Arial" w:cs="Arial"/>
        </w:rPr>
      </w:pPr>
      <w:r w:rsidRPr="008D53E5">
        <w:rPr>
          <w:rStyle w:val="s1"/>
          <w:rFonts w:ascii="Arial" w:hAnsi="Arial" w:cs="Arial"/>
        </w:rPr>
        <w:t xml:space="preserve">Diabetes UK (2023) </w:t>
      </w:r>
      <w:r w:rsidRPr="008D53E5">
        <w:rPr>
          <w:rStyle w:val="s2"/>
          <w:rFonts w:ascii="Arial" w:hAnsi="Arial" w:cs="Arial"/>
        </w:rPr>
        <w:t>Diabetes and ethnicity</w:t>
      </w:r>
      <w:r w:rsidRPr="008D53E5">
        <w:rPr>
          <w:rStyle w:val="s1"/>
          <w:rFonts w:ascii="Arial" w:hAnsi="Arial" w:cs="Arial"/>
        </w:rPr>
        <w:t>. Available at: https://www.diabetes.org.uk/diabetes-the-basics/risk-factors/ethnicity</w:t>
      </w:r>
    </w:p>
    <w:p w14:paraId="793F7C05" w14:textId="77777777" w:rsidR="00144D33" w:rsidRPr="008D53E5" w:rsidRDefault="00144D33" w:rsidP="00144D33">
      <w:pPr>
        <w:pStyle w:val="p1"/>
        <w:numPr>
          <w:ilvl w:val="0"/>
          <w:numId w:val="3"/>
        </w:numPr>
        <w:rPr>
          <w:rFonts w:ascii="Arial" w:hAnsi="Arial" w:cs="Arial"/>
        </w:rPr>
      </w:pPr>
      <w:r w:rsidRPr="008D53E5">
        <w:rPr>
          <w:rStyle w:val="s1"/>
          <w:rFonts w:ascii="Arial" w:hAnsi="Arial" w:cs="Arial"/>
        </w:rPr>
        <w:t xml:space="preserve">Hamed, S., </w:t>
      </w:r>
      <w:proofErr w:type="spellStart"/>
      <w:r w:rsidRPr="008D53E5">
        <w:rPr>
          <w:rStyle w:val="s1"/>
          <w:rFonts w:ascii="Arial" w:hAnsi="Arial" w:cs="Arial"/>
        </w:rPr>
        <w:t>Bradby</w:t>
      </w:r>
      <w:proofErr w:type="spellEnd"/>
      <w:r w:rsidRPr="008D53E5">
        <w:rPr>
          <w:rStyle w:val="s1"/>
          <w:rFonts w:ascii="Arial" w:hAnsi="Arial" w:cs="Arial"/>
        </w:rPr>
        <w:t xml:space="preserve">, H., Ahlberg, B.M. </w:t>
      </w:r>
      <w:r w:rsidRPr="008D53E5">
        <w:rPr>
          <w:rStyle w:val="s2"/>
          <w:rFonts w:ascii="Arial" w:hAnsi="Arial" w:cs="Arial"/>
        </w:rPr>
        <w:t>et al.</w:t>
      </w:r>
      <w:r w:rsidRPr="008D53E5">
        <w:rPr>
          <w:rStyle w:val="s1"/>
          <w:rFonts w:ascii="Arial" w:hAnsi="Arial" w:cs="Arial"/>
        </w:rPr>
        <w:t xml:space="preserve"> (2022) ‘Racism in healthcare: a scoping review’, </w:t>
      </w:r>
      <w:r w:rsidRPr="008D53E5">
        <w:rPr>
          <w:rStyle w:val="s2"/>
          <w:rFonts w:ascii="Arial" w:hAnsi="Arial" w:cs="Arial"/>
        </w:rPr>
        <w:t>BMC Public Health</w:t>
      </w:r>
      <w:r w:rsidRPr="008D53E5">
        <w:rPr>
          <w:rStyle w:val="s1"/>
          <w:rFonts w:ascii="Arial" w:hAnsi="Arial" w:cs="Arial"/>
        </w:rPr>
        <w:t>, 22, 988. Available at: https://doi.org/10.1186/s12889-022-13122-y</w:t>
      </w:r>
    </w:p>
    <w:p w14:paraId="1385C128" w14:textId="77777777" w:rsidR="00144D33" w:rsidRPr="008D53E5" w:rsidRDefault="00144D33" w:rsidP="00144D33">
      <w:pPr>
        <w:pStyle w:val="p1"/>
        <w:numPr>
          <w:ilvl w:val="0"/>
          <w:numId w:val="3"/>
        </w:numPr>
        <w:rPr>
          <w:rFonts w:ascii="Arial" w:hAnsi="Arial" w:cs="Arial"/>
        </w:rPr>
      </w:pPr>
      <w:proofErr w:type="spellStart"/>
      <w:r w:rsidRPr="008D53E5">
        <w:rPr>
          <w:rStyle w:val="s1"/>
          <w:rFonts w:ascii="Arial" w:hAnsi="Arial" w:cs="Arial"/>
        </w:rPr>
        <w:t>Kisa</w:t>
      </w:r>
      <w:proofErr w:type="spellEnd"/>
      <w:r w:rsidRPr="008D53E5">
        <w:rPr>
          <w:rStyle w:val="s1"/>
          <w:rFonts w:ascii="Arial" w:hAnsi="Arial" w:cs="Arial"/>
        </w:rPr>
        <w:t xml:space="preserve">, A. and </w:t>
      </w:r>
      <w:proofErr w:type="spellStart"/>
      <w:r w:rsidRPr="008D53E5">
        <w:rPr>
          <w:rStyle w:val="s1"/>
          <w:rFonts w:ascii="Arial" w:hAnsi="Arial" w:cs="Arial"/>
        </w:rPr>
        <w:t>Kisa</w:t>
      </w:r>
      <w:proofErr w:type="spellEnd"/>
      <w:r w:rsidRPr="008D53E5">
        <w:rPr>
          <w:rStyle w:val="s1"/>
          <w:rFonts w:ascii="Arial" w:hAnsi="Arial" w:cs="Arial"/>
        </w:rPr>
        <w:t xml:space="preserve">, S. (2025) ‘Structural racism as a fundamental cause of health inequities: a scoping review’, </w:t>
      </w:r>
      <w:r w:rsidRPr="008D53E5">
        <w:rPr>
          <w:rStyle w:val="s2"/>
          <w:rFonts w:ascii="Arial" w:hAnsi="Arial" w:cs="Arial"/>
        </w:rPr>
        <w:t>International Journal for Equity in Health</w:t>
      </w:r>
      <w:r w:rsidRPr="008D53E5">
        <w:rPr>
          <w:rStyle w:val="s1"/>
          <w:rFonts w:ascii="Arial" w:hAnsi="Arial" w:cs="Arial"/>
        </w:rPr>
        <w:t>, 24, 257. Available at: https://doi.org/10.1186/s12939-025-02644-7</w:t>
      </w:r>
    </w:p>
    <w:p w14:paraId="0D4FE03E" w14:textId="77777777" w:rsidR="00144D33" w:rsidRPr="008D53E5" w:rsidRDefault="00144D33" w:rsidP="00144D33">
      <w:pPr>
        <w:pStyle w:val="p1"/>
        <w:numPr>
          <w:ilvl w:val="0"/>
          <w:numId w:val="3"/>
        </w:numPr>
        <w:rPr>
          <w:rFonts w:ascii="Arial" w:hAnsi="Arial" w:cs="Arial"/>
        </w:rPr>
      </w:pPr>
      <w:r w:rsidRPr="008D53E5">
        <w:rPr>
          <w:rStyle w:val="s1"/>
          <w:rFonts w:ascii="Arial" w:hAnsi="Arial" w:cs="Arial"/>
        </w:rPr>
        <w:t xml:space="preserve">Marmot, M. (2010) </w:t>
      </w:r>
      <w:r w:rsidRPr="008D53E5">
        <w:rPr>
          <w:rStyle w:val="s2"/>
          <w:rFonts w:ascii="Arial" w:hAnsi="Arial" w:cs="Arial"/>
        </w:rPr>
        <w:t>Fair Society, Healthy Lives (The Marmot Review)</w:t>
      </w:r>
      <w:r w:rsidRPr="008D53E5">
        <w:rPr>
          <w:rStyle w:val="s1"/>
          <w:rFonts w:ascii="Arial" w:hAnsi="Arial" w:cs="Arial"/>
        </w:rPr>
        <w:t>. London: UCL Institute of Health Equity. Available at: https://www.instituteofhealthequity.org/resources-reports/fair-society-healthy-lives-the-marmot-review</w:t>
      </w:r>
    </w:p>
    <w:p w14:paraId="4C5A73A7" w14:textId="77777777" w:rsidR="00144D33" w:rsidRPr="008D53E5" w:rsidRDefault="00144D33" w:rsidP="00144D33">
      <w:pPr>
        <w:pStyle w:val="p1"/>
        <w:numPr>
          <w:ilvl w:val="0"/>
          <w:numId w:val="3"/>
        </w:numPr>
        <w:rPr>
          <w:rFonts w:ascii="Arial" w:hAnsi="Arial" w:cs="Arial"/>
        </w:rPr>
      </w:pPr>
      <w:r w:rsidRPr="008D53E5">
        <w:rPr>
          <w:rStyle w:val="s1"/>
          <w:rFonts w:ascii="Arial" w:hAnsi="Arial" w:cs="Arial"/>
        </w:rPr>
        <w:t xml:space="preserve">MBRRACE-UK (2023) </w:t>
      </w:r>
      <w:r w:rsidRPr="008D53E5">
        <w:rPr>
          <w:rStyle w:val="s2"/>
          <w:rFonts w:ascii="Arial" w:hAnsi="Arial" w:cs="Arial"/>
        </w:rPr>
        <w:t>Saving Lives, Improving Mothers’ Care</w:t>
      </w:r>
      <w:r w:rsidRPr="008D53E5">
        <w:rPr>
          <w:rStyle w:val="s1"/>
          <w:rFonts w:ascii="Arial" w:hAnsi="Arial" w:cs="Arial"/>
        </w:rPr>
        <w:t>. Available at: https://www.npeu.ox.ac.uk/mbrrace-uk</w:t>
      </w:r>
    </w:p>
    <w:p w14:paraId="4513B24C" w14:textId="77777777" w:rsidR="00144D33" w:rsidRPr="008D53E5" w:rsidRDefault="00144D33" w:rsidP="00144D33">
      <w:pPr>
        <w:pStyle w:val="p1"/>
        <w:numPr>
          <w:ilvl w:val="0"/>
          <w:numId w:val="3"/>
        </w:numPr>
        <w:rPr>
          <w:rFonts w:ascii="Arial" w:hAnsi="Arial" w:cs="Arial"/>
        </w:rPr>
      </w:pPr>
      <w:r w:rsidRPr="008D53E5">
        <w:rPr>
          <w:rStyle w:val="s1"/>
          <w:rFonts w:ascii="Arial" w:hAnsi="Arial" w:cs="Arial"/>
        </w:rPr>
        <w:t xml:space="preserve">Mishra, V., </w:t>
      </w:r>
      <w:proofErr w:type="spellStart"/>
      <w:r w:rsidRPr="008D53E5">
        <w:rPr>
          <w:rStyle w:val="s1"/>
          <w:rFonts w:ascii="Arial" w:hAnsi="Arial" w:cs="Arial"/>
        </w:rPr>
        <w:t>Seyedzenouzi</w:t>
      </w:r>
      <w:proofErr w:type="spellEnd"/>
      <w:r w:rsidRPr="008D53E5">
        <w:rPr>
          <w:rStyle w:val="s1"/>
          <w:rFonts w:ascii="Arial" w:hAnsi="Arial" w:cs="Arial"/>
        </w:rPr>
        <w:t xml:space="preserve">, G., </w:t>
      </w:r>
      <w:proofErr w:type="spellStart"/>
      <w:r w:rsidRPr="008D53E5">
        <w:rPr>
          <w:rStyle w:val="s1"/>
          <w:rFonts w:ascii="Arial" w:hAnsi="Arial" w:cs="Arial"/>
        </w:rPr>
        <w:t>Almohtadi</w:t>
      </w:r>
      <w:proofErr w:type="spellEnd"/>
      <w:r w:rsidRPr="008D53E5">
        <w:rPr>
          <w:rStyle w:val="s1"/>
          <w:rFonts w:ascii="Arial" w:hAnsi="Arial" w:cs="Arial"/>
        </w:rPr>
        <w:t xml:space="preserve">, A. </w:t>
      </w:r>
      <w:r w:rsidRPr="008D53E5">
        <w:rPr>
          <w:rStyle w:val="s2"/>
          <w:rFonts w:ascii="Arial" w:hAnsi="Arial" w:cs="Arial"/>
        </w:rPr>
        <w:t>et al.</w:t>
      </w:r>
      <w:r w:rsidRPr="008D53E5">
        <w:rPr>
          <w:rStyle w:val="s1"/>
          <w:rFonts w:ascii="Arial" w:hAnsi="Arial" w:cs="Arial"/>
        </w:rPr>
        <w:t xml:space="preserve"> (2021) ‘Health inequalities during COVID-19 and their effects on morbidity and mortality’, </w:t>
      </w:r>
      <w:r w:rsidRPr="008D53E5">
        <w:rPr>
          <w:rStyle w:val="s2"/>
          <w:rFonts w:ascii="Arial" w:hAnsi="Arial" w:cs="Arial"/>
        </w:rPr>
        <w:t>Journal of Healthcare Leadership</w:t>
      </w:r>
      <w:r w:rsidRPr="008D53E5">
        <w:rPr>
          <w:rStyle w:val="s1"/>
          <w:rFonts w:ascii="Arial" w:hAnsi="Arial" w:cs="Arial"/>
        </w:rPr>
        <w:t>, 13, pp. 19–26. Available at: https://doi.org/10.2147/JHL.S270175</w:t>
      </w:r>
    </w:p>
    <w:p w14:paraId="1FABE547" w14:textId="77777777" w:rsidR="00144D33" w:rsidRPr="008D53E5" w:rsidRDefault="00144D33" w:rsidP="00144D33">
      <w:pPr>
        <w:pStyle w:val="p1"/>
        <w:numPr>
          <w:ilvl w:val="0"/>
          <w:numId w:val="3"/>
        </w:numPr>
        <w:rPr>
          <w:rFonts w:ascii="Arial" w:hAnsi="Arial" w:cs="Arial"/>
        </w:rPr>
      </w:pPr>
      <w:r w:rsidRPr="008D53E5">
        <w:rPr>
          <w:rStyle w:val="s1"/>
          <w:rFonts w:ascii="Arial" w:hAnsi="Arial" w:cs="Arial"/>
        </w:rPr>
        <w:t xml:space="preserve">NHS England (2023) </w:t>
      </w:r>
      <w:r w:rsidRPr="008D53E5">
        <w:rPr>
          <w:rStyle w:val="s2"/>
          <w:rFonts w:ascii="Arial" w:hAnsi="Arial" w:cs="Arial"/>
        </w:rPr>
        <w:t>NHS Long Term Plan</w:t>
      </w:r>
      <w:r w:rsidRPr="008D53E5">
        <w:rPr>
          <w:rStyle w:val="s1"/>
          <w:rFonts w:ascii="Arial" w:hAnsi="Arial" w:cs="Arial"/>
        </w:rPr>
        <w:t>. Available at: https://www.england.nhs.uk/long-term-plan/</w:t>
      </w:r>
    </w:p>
    <w:p w14:paraId="20879C34" w14:textId="77777777" w:rsidR="00144D33" w:rsidRPr="008D53E5" w:rsidRDefault="00144D33" w:rsidP="00144D33">
      <w:pPr>
        <w:pStyle w:val="p1"/>
        <w:numPr>
          <w:ilvl w:val="0"/>
          <w:numId w:val="3"/>
        </w:numPr>
        <w:rPr>
          <w:rFonts w:ascii="Arial" w:hAnsi="Arial" w:cs="Arial"/>
        </w:rPr>
      </w:pPr>
      <w:r w:rsidRPr="008D53E5">
        <w:rPr>
          <w:rStyle w:val="s1"/>
          <w:rFonts w:ascii="Arial" w:hAnsi="Arial" w:cs="Arial"/>
        </w:rPr>
        <w:t xml:space="preserve">Payne, B.K. and </w:t>
      </w:r>
      <w:proofErr w:type="spellStart"/>
      <w:r w:rsidRPr="008D53E5">
        <w:rPr>
          <w:rStyle w:val="s1"/>
          <w:rFonts w:ascii="Arial" w:hAnsi="Arial" w:cs="Arial"/>
        </w:rPr>
        <w:t>Hannay</w:t>
      </w:r>
      <w:proofErr w:type="spellEnd"/>
      <w:r w:rsidRPr="008D53E5">
        <w:rPr>
          <w:rStyle w:val="s1"/>
          <w:rFonts w:ascii="Arial" w:hAnsi="Arial" w:cs="Arial"/>
        </w:rPr>
        <w:t xml:space="preserve">, J.W. (2021) ‘Implicit bias reflects systemic racism’, </w:t>
      </w:r>
      <w:r w:rsidRPr="008D53E5">
        <w:rPr>
          <w:rStyle w:val="s2"/>
          <w:rFonts w:ascii="Arial" w:hAnsi="Arial" w:cs="Arial"/>
        </w:rPr>
        <w:t>Trends in Cognitive Sciences</w:t>
      </w:r>
      <w:r w:rsidRPr="008D53E5">
        <w:rPr>
          <w:rStyle w:val="s1"/>
          <w:rFonts w:ascii="Arial" w:hAnsi="Arial" w:cs="Arial"/>
        </w:rPr>
        <w:t>, 25(11), pp. 927–936. Available at: https://doi.org/10.1016/j.tics.2021.08.001</w:t>
      </w:r>
    </w:p>
    <w:p w14:paraId="0D802E57" w14:textId="77777777" w:rsidR="00144D33" w:rsidRPr="008D53E5" w:rsidRDefault="00144D33" w:rsidP="00144D33">
      <w:pPr>
        <w:pStyle w:val="p1"/>
        <w:numPr>
          <w:ilvl w:val="0"/>
          <w:numId w:val="3"/>
        </w:numPr>
        <w:rPr>
          <w:rFonts w:ascii="Arial" w:hAnsi="Arial" w:cs="Arial"/>
        </w:rPr>
      </w:pPr>
      <w:r w:rsidRPr="008D53E5">
        <w:rPr>
          <w:rStyle w:val="s1"/>
          <w:rFonts w:ascii="Arial" w:hAnsi="Arial" w:cs="Arial"/>
        </w:rPr>
        <w:t xml:space="preserve">Public Health England (2020) </w:t>
      </w:r>
      <w:r w:rsidRPr="008D53E5">
        <w:rPr>
          <w:rStyle w:val="s2"/>
          <w:rFonts w:ascii="Arial" w:hAnsi="Arial" w:cs="Arial"/>
        </w:rPr>
        <w:t>Disparities in the risk and outcomes of COVID-19</w:t>
      </w:r>
      <w:r w:rsidRPr="008D53E5">
        <w:rPr>
          <w:rStyle w:val="s1"/>
          <w:rFonts w:ascii="Arial" w:hAnsi="Arial" w:cs="Arial"/>
        </w:rPr>
        <w:t>. Available at: https://www.gov.uk/government/publications/covid-19-review-of-disparities-in-risks-and-outcomes</w:t>
      </w:r>
    </w:p>
    <w:p w14:paraId="097E82F8" w14:textId="77777777" w:rsidR="00144D33" w:rsidRPr="008D53E5" w:rsidRDefault="00144D33" w:rsidP="00144D33">
      <w:pPr>
        <w:pStyle w:val="p1"/>
        <w:numPr>
          <w:ilvl w:val="0"/>
          <w:numId w:val="3"/>
        </w:numPr>
        <w:rPr>
          <w:rFonts w:ascii="Arial" w:hAnsi="Arial" w:cs="Arial"/>
        </w:rPr>
      </w:pPr>
      <w:r w:rsidRPr="008D53E5">
        <w:rPr>
          <w:rStyle w:val="s1"/>
          <w:rFonts w:ascii="Arial" w:hAnsi="Arial" w:cs="Arial"/>
        </w:rPr>
        <w:t xml:space="preserve">ScotPHO (2023) </w:t>
      </w:r>
      <w:r w:rsidRPr="008D53E5">
        <w:rPr>
          <w:rStyle w:val="s2"/>
          <w:rFonts w:ascii="Arial" w:hAnsi="Arial" w:cs="Arial"/>
        </w:rPr>
        <w:t>Defining ethnicity and race</w:t>
      </w:r>
      <w:r w:rsidRPr="008D53E5">
        <w:rPr>
          <w:rStyle w:val="s1"/>
          <w:rFonts w:ascii="Arial" w:hAnsi="Arial" w:cs="Arial"/>
        </w:rPr>
        <w:t>. Available at: https://www.scotpho.org.uk/population-groups/ethnic-minorities/defining-ethnicity-and-race/</w:t>
      </w:r>
    </w:p>
    <w:p w14:paraId="557322E2" w14:textId="77777777" w:rsidR="00144D33" w:rsidRPr="008D53E5" w:rsidRDefault="00144D33" w:rsidP="00144D33">
      <w:pPr>
        <w:pStyle w:val="p1"/>
        <w:numPr>
          <w:ilvl w:val="0"/>
          <w:numId w:val="3"/>
        </w:numPr>
        <w:rPr>
          <w:rFonts w:ascii="Arial" w:hAnsi="Arial" w:cs="Arial"/>
        </w:rPr>
      </w:pPr>
      <w:r w:rsidRPr="008D53E5">
        <w:rPr>
          <w:rStyle w:val="s1"/>
          <w:rFonts w:ascii="Arial" w:hAnsi="Arial" w:cs="Arial"/>
        </w:rPr>
        <w:t xml:space="preserve">The King’s Fund (2023) </w:t>
      </w:r>
      <w:r w:rsidRPr="008D53E5">
        <w:rPr>
          <w:rStyle w:val="s2"/>
          <w:rFonts w:ascii="Arial" w:hAnsi="Arial" w:cs="Arial"/>
        </w:rPr>
        <w:t>What are health inequalities?</w:t>
      </w:r>
      <w:r w:rsidRPr="008D53E5">
        <w:rPr>
          <w:rStyle w:val="s1"/>
          <w:rFonts w:ascii="Arial" w:hAnsi="Arial" w:cs="Arial"/>
        </w:rPr>
        <w:t xml:space="preserve"> Available at: https://www.kingsfund.org.uk/insight-and-analysis/long-reads/what-are-health-inequalities</w:t>
      </w:r>
    </w:p>
    <w:p w14:paraId="3D0E1A2F" w14:textId="77777777" w:rsidR="00144D33" w:rsidRPr="008D53E5" w:rsidRDefault="00144D33" w:rsidP="00144D33">
      <w:pPr>
        <w:pStyle w:val="p1"/>
        <w:numPr>
          <w:ilvl w:val="0"/>
          <w:numId w:val="3"/>
        </w:numPr>
        <w:rPr>
          <w:rFonts w:ascii="Arial" w:hAnsi="Arial" w:cs="Arial"/>
        </w:rPr>
      </w:pPr>
      <w:r w:rsidRPr="008D53E5">
        <w:rPr>
          <w:rStyle w:val="s1"/>
          <w:rFonts w:ascii="Arial" w:hAnsi="Arial" w:cs="Arial"/>
        </w:rPr>
        <w:t xml:space="preserve">World Health Organization (2023) </w:t>
      </w:r>
      <w:r w:rsidRPr="008D53E5">
        <w:rPr>
          <w:rStyle w:val="s2"/>
          <w:rFonts w:ascii="Arial" w:hAnsi="Arial" w:cs="Arial"/>
        </w:rPr>
        <w:t>Social determinants of health</w:t>
      </w:r>
      <w:r w:rsidRPr="008D53E5">
        <w:rPr>
          <w:rStyle w:val="s1"/>
          <w:rFonts w:ascii="Arial" w:hAnsi="Arial" w:cs="Arial"/>
        </w:rPr>
        <w:t>. Available at: https://www.who.int/health-topics/social-determinants-of-health</w:t>
      </w:r>
    </w:p>
    <w:p w14:paraId="12960958" w14:textId="77777777" w:rsidR="00666BEF" w:rsidRPr="008D53E5" w:rsidRDefault="00666BEF">
      <w:pPr>
        <w:rPr>
          <w:rFonts w:ascii="Arial" w:hAnsi="Arial" w:cs="Arial"/>
        </w:rPr>
      </w:pPr>
    </w:p>
    <w:p w14:paraId="622486FE" w14:textId="77777777" w:rsidR="00666BEF" w:rsidRPr="008D53E5" w:rsidRDefault="00666BEF">
      <w:pPr>
        <w:rPr>
          <w:rFonts w:ascii="Arial" w:hAnsi="Arial" w:cs="Arial"/>
        </w:rPr>
      </w:pPr>
    </w:p>
    <w:p w14:paraId="0EDB34B0" w14:textId="77777777" w:rsidR="00666BEF" w:rsidRPr="008D53E5" w:rsidRDefault="00666BEF">
      <w:pPr>
        <w:rPr>
          <w:rFonts w:ascii="Arial" w:hAnsi="Arial" w:cs="Arial"/>
        </w:rPr>
      </w:pPr>
    </w:p>
    <w:p w14:paraId="11A3238B" w14:textId="77777777" w:rsidR="00666BEF" w:rsidRPr="008D53E5" w:rsidRDefault="00666BEF">
      <w:pPr>
        <w:rPr>
          <w:rFonts w:ascii="Arial" w:hAnsi="Arial" w:cs="Arial"/>
        </w:rPr>
      </w:pPr>
    </w:p>
    <w:p w14:paraId="592F12EB" w14:textId="77777777" w:rsidR="00666BEF" w:rsidRPr="008D53E5" w:rsidRDefault="00666BEF">
      <w:pPr>
        <w:rPr>
          <w:rFonts w:ascii="Arial" w:hAnsi="Arial" w:cs="Arial"/>
        </w:rPr>
      </w:pPr>
    </w:p>
    <w:p w14:paraId="54725FB7" w14:textId="77777777" w:rsidR="00666BEF" w:rsidRPr="008D53E5" w:rsidRDefault="00666BEF">
      <w:pPr>
        <w:rPr>
          <w:rFonts w:ascii="Arial" w:hAnsi="Arial" w:cs="Arial"/>
        </w:rPr>
      </w:pPr>
    </w:p>
    <w:p w14:paraId="1560FA2F" w14:textId="77777777" w:rsidR="00666BEF" w:rsidRPr="008D53E5" w:rsidRDefault="00666BEF">
      <w:pPr>
        <w:rPr>
          <w:rFonts w:ascii="Arial" w:hAnsi="Arial" w:cs="Arial"/>
        </w:rPr>
      </w:pPr>
    </w:p>
    <w:p w14:paraId="4851F638" w14:textId="77777777" w:rsidR="00666BEF" w:rsidRPr="008D53E5" w:rsidRDefault="00666BEF">
      <w:pPr>
        <w:rPr>
          <w:rFonts w:ascii="Arial" w:hAnsi="Arial" w:cs="Arial"/>
        </w:rPr>
      </w:pPr>
    </w:p>
    <w:p w14:paraId="709DEA39" w14:textId="77777777" w:rsidR="00666BEF" w:rsidRPr="008D53E5" w:rsidRDefault="00666BEF">
      <w:pPr>
        <w:rPr>
          <w:rFonts w:ascii="Arial" w:hAnsi="Arial" w:cs="Arial"/>
        </w:rPr>
      </w:pPr>
    </w:p>
    <w:p w14:paraId="3A26F072" w14:textId="77777777" w:rsidR="00666BEF" w:rsidRPr="008D53E5" w:rsidRDefault="00666BEF">
      <w:pPr>
        <w:rPr>
          <w:rFonts w:ascii="Arial" w:hAnsi="Arial" w:cs="Arial"/>
        </w:rPr>
      </w:pPr>
    </w:p>
    <w:p w14:paraId="5F130832" w14:textId="77777777" w:rsidR="00666BEF" w:rsidRPr="008D53E5" w:rsidRDefault="00666BEF">
      <w:pPr>
        <w:rPr>
          <w:rFonts w:ascii="Arial" w:hAnsi="Arial" w:cs="Arial"/>
        </w:rPr>
      </w:pPr>
    </w:p>
    <w:p w14:paraId="24DB26B1" w14:textId="77777777" w:rsidR="00666BEF" w:rsidRPr="008D53E5" w:rsidRDefault="00666BEF">
      <w:pPr>
        <w:rPr>
          <w:rFonts w:ascii="Arial" w:hAnsi="Arial" w:cs="Arial"/>
        </w:rPr>
      </w:pPr>
    </w:p>
    <w:p w14:paraId="615DDF2F" w14:textId="77777777" w:rsidR="00666BEF" w:rsidRPr="008D53E5" w:rsidRDefault="00666BEF">
      <w:pPr>
        <w:rPr>
          <w:rFonts w:ascii="Arial" w:hAnsi="Arial" w:cs="Arial"/>
        </w:rPr>
      </w:pPr>
    </w:p>
    <w:p w14:paraId="6B557EA0" w14:textId="40CFFBAB" w:rsidR="00666BEF" w:rsidRPr="008D53E5" w:rsidRDefault="00240A1D" w:rsidP="00FA2E1A">
      <w:pPr>
        <w:pStyle w:val="Heading2"/>
        <w:rPr>
          <w:rFonts w:ascii="Arial" w:hAnsi="Arial" w:cs="Arial"/>
          <w:sz w:val="24"/>
          <w:szCs w:val="24"/>
        </w:rPr>
      </w:pPr>
      <w:r w:rsidRPr="008D53E5">
        <w:rPr>
          <w:rFonts w:ascii="Arial" w:hAnsi="Arial" w:cs="Arial"/>
          <w:sz w:val="24"/>
          <w:szCs w:val="24"/>
        </w:rPr>
        <w:t>Task 2</w:t>
      </w:r>
      <w:r w:rsidR="00FA2E1A" w:rsidRPr="008D53E5">
        <w:rPr>
          <w:rFonts w:ascii="Arial" w:hAnsi="Arial" w:cs="Arial"/>
          <w:sz w:val="24"/>
          <w:szCs w:val="24"/>
        </w:rPr>
        <w:t xml:space="preserve"> </w:t>
      </w:r>
      <w:r w:rsidR="00666BEF" w:rsidRPr="008D53E5">
        <w:rPr>
          <w:rFonts w:ascii="Arial" w:hAnsi="Arial" w:cs="Arial"/>
          <w:sz w:val="24"/>
          <w:szCs w:val="24"/>
        </w:rPr>
        <w:t>Type 2 Diabetes in Tower Hamlets, London: Epidemiological analysis.</w:t>
      </w:r>
    </w:p>
    <w:p w14:paraId="49E7A9D9" w14:textId="77777777" w:rsidR="00666BEF" w:rsidRPr="008D53E5" w:rsidRDefault="00666BEF" w:rsidP="00FA2E1A">
      <w:pPr>
        <w:pStyle w:val="Heading2"/>
        <w:rPr>
          <w:rFonts w:ascii="Arial" w:hAnsi="Arial" w:cs="Arial"/>
          <w:sz w:val="24"/>
          <w:szCs w:val="24"/>
        </w:rPr>
      </w:pPr>
    </w:p>
    <w:p w14:paraId="40A10FF5" w14:textId="3ED048B5" w:rsidR="00C62279" w:rsidRPr="008D53E5" w:rsidRDefault="005502B3" w:rsidP="00FA2E1A">
      <w:pPr>
        <w:pStyle w:val="Heading2"/>
        <w:rPr>
          <w:rFonts w:ascii="Arial" w:hAnsi="Arial" w:cs="Arial"/>
          <w:sz w:val="24"/>
          <w:szCs w:val="24"/>
        </w:rPr>
      </w:pPr>
      <w:r w:rsidRPr="008D53E5">
        <w:rPr>
          <w:rFonts w:ascii="Arial" w:hAnsi="Arial" w:cs="Arial"/>
          <w:sz w:val="24"/>
          <w:szCs w:val="24"/>
        </w:rPr>
        <w:t>Introduction and background</w:t>
      </w:r>
      <w:r w:rsidR="00C62279" w:rsidRPr="008D53E5">
        <w:rPr>
          <w:rFonts w:ascii="Arial" w:hAnsi="Arial" w:cs="Arial"/>
          <w:sz w:val="24"/>
          <w:szCs w:val="24"/>
        </w:rPr>
        <w:t>.</w:t>
      </w:r>
    </w:p>
    <w:p w14:paraId="7DEDF4A1" w14:textId="77777777" w:rsidR="00C62279" w:rsidRPr="008D53E5" w:rsidRDefault="00C62279" w:rsidP="00C62279">
      <w:pPr>
        <w:rPr>
          <w:rFonts w:ascii="Arial" w:hAnsi="Arial" w:cs="Arial"/>
        </w:rPr>
      </w:pPr>
    </w:p>
    <w:p w14:paraId="2CCEC165" w14:textId="77777777" w:rsidR="00C62279" w:rsidRPr="008D53E5" w:rsidRDefault="00C62279" w:rsidP="00C62279">
      <w:pPr>
        <w:rPr>
          <w:rFonts w:ascii="Arial" w:hAnsi="Arial" w:cs="Arial"/>
        </w:rPr>
      </w:pPr>
      <w:r w:rsidRPr="008D53E5">
        <w:rPr>
          <w:rFonts w:ascii="Arial" w:hAnsi="Arial" w:cs="Arial"/>
        </w:rPr>
        <w:t>Type 2 diabetes mellitus (T2DM) is a chronic metabolic disorder characterized by insulin resistance and progressive β-cell dysfunction that causes long-term hyperglycaemia and vascular damage (World Health Organization, 2024). The condition is one of the most serious global public health challenges due to its high prevalence, preventability, and association with premature morbidity and mortality (International Diabetes Federation, 2024).</w:t>
      </w:r>
    </w:p>
    <w:p w14:paraId="12DE11BE" w14:textId="77777777" w:rsidR="00C62279" w:rsidRPr="008D53E5" w:rsidRDefault="00C62279" w:rsidP="00C62279">
      <w:pPr>
        <w:rPr>
          <w:rFonts w:ascii="Arial" w:hAnsi="Arial" w:cs="Arial"/>
        </w:rPr>
      </w:pPr>
    </w:p>
    <w:p w14:paraId="6C5B5587" w14:textId="77777777" w:rsidR="00C62279" w:rsidRPr="008D53E5" w:rsidRDefault="00C62279" w:rsidP="00C62279">
      <w:pPr>
        <w:rPr>
          <w:rFonts w:ascii="Arial" w:hAnsi="Arial" w:cs="Arial"/>
        </w:rPr>
      </w:pPr>
      <w:r w:rsidRPr="008D53E5">
        <w:rPr>
          <w:rFonts w:ascii="Arial" w:hAnsi="Arial" w:cs="Arial"/>
        </w:rPr>
        <w:t xml:space="preserve">The global burden of diabetes has expanded considerably in recent decades due to demographic change, urbanisation and shifts in diet and physical activity (Magliano and </w:t>
      </w:r>
      <w:proofErr w:type="spellStart"/>
      <w:r w:rsidRPr="008D53E5">
        <w:rPr>
          <w:rFonts w:ascii="Arial" w:hAnsi="Arial" w:cs="Arial"/>
        </w:rPr>
        <w:t>Boyko</w:t>
      </w:r>
      <w:proofErr w:type="spellEnd"/>
      <w:r w:rsidRPr="008D53E5">
        <w:rPr>
          <w:rFonts w:ascii="Arial" w:hAnsi="Arial" w:cs="Arial"/>
        </w:rPr>
        <w:t>, 2021). In 2024, 589 million adults were living with diabetes, and at 853 million by 2050 this is an alarming epidemic (International Diabetes Federation, 2024). But global statistics mask significant inequalities, with low- and middle-income countries experiencing the greatest growth because of the structural factors like poverty and food systems and the lack of healthcare (Hossain et al., 2024).</w:t>
      </w:r>
    </w:p>
    <w:p w14:paraId="06ECFC08" w14:textId="77777777" w:rsidR="00C62279" w:rsidRPr="008D53E5" w:rsidRDefault="00C62279" w:rsidP="00C62279">
      <w:pPr>
        <w:rPr>
          <w:rFonts w:ascii="Arial" w:hAnsi="Arial" w:cs="Arial"/>
        </w:rPr>
      </w:pPr>
    </w:p>
    <w:p w14:paraId="4C8D663E" w14:textId="77777777" w:rsidR="00C62279" w:rsidRPr="008D53E5" w:rsidRDefault="00C62279" w:rsidP="00C62279">
      <w:pPr>
        <w:rPr>
          <w:rFonts w:ascii="Arial" w:hAnsi="Arial" w:cs="Arial"/>
        </w:rPr>
      </w:pPr>
      <w:r w:rsidRPr="008D53E5">
        <w:rPr>
          <w:rFonts w:ascii="Arial" w:hAnsi="Arial" w:cs="Arial"/>
        </w:rPr>
        <w:t>In contrast, the UK is a high-income country with established healthcare infrastructure, yet still has a high diabetes burden where economic development is not enough to eradicate risk (Diabetes UK, 2025). More than 5.8 million people are living with diabetes in the UK, with around 1.3 million undiagnosed cases, and there are still gaps in detection (Diabetes UK, 2025). In fact, about 90% of cases are type 2 diabetes, which means that most of the burden is theoretically preventable (NICE, 2024).</w:t>
      </w:r>
    </w:p>
    <w:p w14:paraId="67984039" w14:textId="77777777" w:rsidR="00C62279" w:rsidRPr="008D53E5" w:rsidRDefault="00C62279" w:rsidP="00C62279">
      <w:pPr>
        <w:rPr>
          <w:rFonts w:ascii="Arial" w:hAnsi="Arial" w:cs="Arial"/>
        </w:rPr>
      </w:pPr>
    </w:p>
    <w:p w14:paraId="56E4B388" w14:textId="77777777" w:rsidR="00C62279" w:rsidRPr="008D53E5" w:rsidRDefault="00C62279" w:rsidP="00C62279">
      <w:pPr>
        <w:rPr>
          <w:rFonts w:ascii="Arial" w:hAnsi="Arial" w:cs="Arial"/>
        </w:rPr>
      </w:pPr>
      <w:r w:rsidRPr="008D53E5">
        <w:rPr>
          <w:rFonts w:ascii="Arial" w:hAnsi="Arial" w:cs="Arial"/>
        </w:rPr>
        <w:t>At the local level Tower Hamlets is an important case study since it highlights key epidemiological risk factors such as deprivation, ethnic diversity and early onset of long-term conditions (Tower Hamlets Council, 2022). The borough is more prone to diabetes hospitalisation and mortality than London and England and this means local health inequalities have been highlighted (Tower Hamlets Council, 2022). This is a critical epidemiological insight: national averages obscure localized concentrations of disease burden so proper public health responses need to be geographically targeted rather than uniformly applied (</w:t>
      </w:r>
      <w:proofErr w:type="spellStart"/>
      <w:r w:rsidRPr="008D53E5">
        <w:rPr>
          <w:rFonts w:ascii="Arial" w:hAnsi="Arial" w:cs="Arial"/>
        </w:rPr>
        <w:t>Bambra</w:t>
      </w:r>
      <w:proofErr w:type="spellEnd"/>
      <w:r w:rsidRPr="008D53E5">
        <w:rPr>
          <w:rFonts w:ascii="Arial" w:hAnsi="Arial" w:cs="Arial"/>
        </w:rPr>
        <w:t>, Smith and Pearce, 2015).</w:t>
      </w:r>
    </w:p>
    <w:p w14:paraId="1EC846AB" w14:textId="77777777" w:rsidR="00C62279" w:rsidRPr="008D53E5" w:rsidRDefault="00C62279" w:rsidP="00C62279">
      <w:pPr>
        <w:rPr>
          <w:rFonts w:ascii="Arial" w:hAnsi="Arial" w:cs="Arial"/>
        </w:rPr>
      </w:pPr>
    </w:p>
    <w:p w14:paraId="044BD4EF" w14:textId="6BAE3448" w:rsidR="00C62279" w:rsidRPr="008D53E5" w:rsidRDefault="00C62279" w:rsidP="00C62279">
      <w:pPr>
        <w:rPr>
          <w:rFonts w:ascii="Arial" w:hAnsi="Arial" w:cs="Arial"/>
        </w:rPr>
      </w:pPr>
    </w:p>
    <w:p w14:paraId="6C347AE3" w14:textId="77777777" w:rsidR="00C62279" w:rsidRPr="008D53E5" w:rsidRDefault="00C62279" w:rsidP="00C62279">
      <w:pPr>
        <w:rPr>
          <w:rFonts w:ascii="Arial" w:hAnsi="Arial" w:cs="Arial"/>
        </w:rPr>
      </w:pPr>
    </w:p>
    <w:p w14:paraId="345B3ACB" w14:textId="77777777" w:rsidR="00C62279" w:rsidRPr="008D53E5" w:rsidRDefault="00C62279" w:rsidP="00FA2E1A">
      <w:pPr>
        <w:pStyle w:val="Heading2"/>
        <w:rPr>
          <w:rFonts w:ascii="Arial" w:hAnsi="Arial" w:cs="Arial"/>
          <w:sz w:val="24"/>
          <w:szCs w:val="24"/>
        </w:rPr>
      </w:pPr>
      <w:r w:rsidRPr="008D53E5">
        <w:rPr>
          <w:rFonts w:ascii="Arial" w:hAnsi="Arial" w:cs="Arial"/>
          <w:sz w:val="24"/>
          <w:szCs w:val="24"/>
        </w:rPr>
        <w:t>Determinants and distribution of disease</w:t>
      </w:r>
    </w:p>
    <w:p w14:paraId="2AEB5FFB" w14:textId="77777777" w:rsidR="00C62279" w:rsidRPr="008D53E5" w:rsidRDefault="00C62279" w:rsidP="00C62279">
      <w:pPr>
        <w:rPr>
          <w:rFonts w:ascii="Arial" w:hAnsi="Arial" w:cs="Arial"/>
        </w:rPr>
      </w:pPr>
    </w:p>
    <w:p w14:paraId="22CDD8AE" w14:textId="77777777" w:rsidR="00C62279" w:rsidRPr="008D53E5" w:rsidRDefault="00C62279" w:rsidP="00C62279">
      <w:pPr>
        <w:rPr>
          <w:rFonts w:ascii="Arial" w:hAnsi="Arial" w:cs="Arial"/>
        </w:rPr>
      </w:pPr>
      <w:r w:rsidRPr="008D53E5">
        <w:rPr>
          <w:rFonts w:ascii="Arial" w:hAnsi="Arial" w:cs="Arial"/>
        </w:rPr>
        <w:t xml:space="preserve">T2DM is highly influenced by social determinants making it an important example of a non-communicable disease that is rooted in structural inequality and not individual </w:t>
      </w:r>
      <w:proofErr w:type="spellStart"/>
      <w:r w:rsidRPr="008D53E5">
        <w:rPr>
          <w:rFonts w:ascii="Arial" w:hAnsi="Arial" w:cs="Arial"/>
        </w:rPr>
        <w:t>behavior</w:t>
      </w:r>
      <w:proofErr w:type="spellEnd"/>
      <w:r w:rsidRPr="008D53E5">
        <w:rPr>
          <w:rFonts w:ascii="Arial" w:hAnsi="Arial" w:cs="Arial"/>
        </w:rPr>
        <w:t xml:space="preserve"> alone (Hill, Wyatt and Peters, 2012). Obesity and physical inactivity are often depicted as the chief causes, but this is misleading as these behaviours are driven by socio-economic and environmental conditions (</w:t>
      </w:r>
      <w:proofErr w:type="spellStart"/>
      <w:r w:rsidRPr="008D53E5">
        <w:rPr>
          <w:rFonts w:ascii="Arial" w:hAnsi="Arial" w:cs="Arial"/>
        </w:rPr>
        <w:t>Bambra</w:t>
      </w:r>
      <w:proofErr w:type="spellEnd"/>
      <w:r w:rsidRPr="008D53E5">
        <w:rPr>
          <w:rFonts w:ascii="Arial" w:hAnsi="Arial" w:cs="Arial"/>
        </w:rPr>
        <w:t>, Smith and Pearce, 2015).</w:t>
      </w:r>
    </w:p>
    <w:p w14:paraId="4DFE6367" w14:textId="77777777" w:rsidR="00C62279" w:rsidRPr="008D53E5" w:rsidRDefault="00C62279" w:rsidP="00C62279">
      <w:pPr>
        <w:rPr>
          <w:rFonts w:ascii="Arial" w:hAnsi="Arial" w:cs="Arial"/>
        </w:rPr>
      </w:pPr>
    </w:p>
    <w:p w14:paraId="3338383E" w14:textId="77777777" w:rsidR="00C62279" w:rsidRPr="008D53E5" w:rsidRDefault="00C62279" w:rsidP="00C62279">
      <w:pPr>
        <w:rPr>
          <w:rFonts w:ascii="Arial" w:hAnsi="Arial" w:cs="Arial"/>
        </w:rPr>
      </w:pPr>
      <w:r w:rsidRPr="008D53E5">
        <w:rPr>
          <w:rFonts w:ascii="Arial" w:hAnsi="Arial" w:cs="Arial"/>
        </w:rPr>
        <w:t>Ethnicity is a major factor in Tower Hamlets, where a significant proportion of the population is of South Asian origin (Tower Hamlets Council, 2022). There is evidence that South Asian populations develop T2DM at younger ages and lower BMI thresholds and that the differences are linked to biological susceptibility and environmental exposure (</w:t>
      </w:r>
      <w:proofErr w:type="spellStart"/>
      <w:r w:rsidRPr="008D53E5">
        <w:rPr>
          <w:rFonts w:ascii="Arial" w:hAnsi="Arial" w:cs="Arial"/>
        </w:rPr>
        <w:t>Mathur</w:t>
      </w:r>
      <w:proofErr w:type="spellEnd"/>
      <w:r w:rsidRPr="008D53E5">
        <w:rPr>
          <w:rFonts w:ascii="Arial" w:hAnsi="Arial" w:cs="Arial"/>
        </w:rPr>
        <w:t xml:space="preserve"> et al., 2020). However, a biological explanation is not sufficient, as ethnic differences are also mediated by structural factors such as deprivation, access to culturally appropriate care and health literacy (</w:t>
      </w:r>
      <w:proofErr w:type="spellStart"/>
      <w:r w:rsidRPr="008D53E5">
        <w:rPr>
          <w:rFonts w:ascii="Arial" w:hAnsi="Arial" w:cs="Arial"/>
        </w:rPr>
        <w:t>Kayyali</w:t>
      </w:r>
      <w:proofErr w:type="spellEnd"/>
      <w:r w:rsidRPr="008D53E5">
        <w:rPr>
          <w:rFonts w:ascii="Arial" w:hAnsi="Arial" w:cs="Arial"/>
        </w:rPr>
        <w:t xml:space="preserve"> et al., 2019).</w:t>
      </w:r>
    </w:p>
    <w:p w14:paraId="0ED2637D" w14:textId="77777777" w:rsidR="00C62279" w:rsidRPr="008D53E5" w:rsidRDefault="00C62279" w:rsidP="00C62279">
      <w:pPr>
        <w:rPr>
          <w:rFonts w:ascii="Arial" w:hAnsi="Arial" w:cs="Arial"/>
        </w:rPr>
      </w:pPr>
    </w:p>
    <w:p w14:paraId="383F7865" w14:textId="77777777" w:rsidR="00C62279" w:rsidRPr="008D53E5" w:rsidRDefault="00C62279" w:rsidP="00C62279">
      <w:pPr>
        <w:rPr>
          <w:rFonts w:ascii="Arial" w:hAnsi="Arial" w:cs="Arial"/>
        </w:rPr>
      </w:pPr>
      <w:r w:rsidRPr="008D53E5">
        <w:rPr>
          <w:rFonts w:ascii="Arial" w:hAnsi="Arial" w:cs="Arial"/>
        </w:rPr>
        <w:t xml:space="preserve">Socioeconomic deprivation is equally critical. The epidemiology of </w:t>
      </w:r>
      <w:proofErr w:type="spellStart"/>
      <w:r w:rsidRPr="008D53E5">
        <w:rPr>
          <w:rFonts w:ascii="Arial" w:hAnsi="Arial" w:cs="Arial"/>
        </w:rPr>
        <w:t>multimorbidity</w:t>
      </w:r>
      <w:proofErr w:type="spellEnd"/>
      <w:r w:rsidRPr="008D53E5">
        <w:rPr>
          <w:rFonts w:ascii="Arial" w:hAnsi="Arial" w:cs="Arial"/>
        </w:rPr>
        <w:t xml:space="preserve"> shows that in deprived areas people develop multiple chronic conditions earlier and suffer worse outcomes (Barnett et al., 2012). This is particularly true in Tower Hamlets where deprivation increases both the incidence and severity of T2DM (Tower Hamlets Council, 2022).</w:t>
      </w:r>
    </w:p>
    <w:p w14:paraId="75FA8731" w14:textId="77777777" w:rsidR="00C62279" w:rsidRPr="008D53E5" w:rsidRDefault="00C62279" w:rsidP="00C62279">
      <w:pPr>
        <w:rPr>
          <w:rFonts w:ascii="Arial" w:hAnsi="Arial" w:cs="Arial"/>
        </w:rPr>
      </w:pPr>
    </w:p>
    <w:p w14:paraId="27214E1A" w14:textId="77777777" w:rsidR="00C62279" w:rsidRPr="008D53E5" w:rsidRDefault="00C62279" w:rsidP="00C62279">
      <w:pPr>
        <w:rPr>
          <w:rFonts w:ascii="Arial" w:hAnsi="Arial" w:cs="Arial"/>
        </w:rPr>
      </w:pPr>
      <w:r w:rsidRPr="008D53E5">
        <w:rPr>
          <w:rFonts w:ascii="Arial" w:hAnsi="Arial" w:cs="Arial"/>
        </w:rPr>
        <w:t>Crucial deprivation is not only about exposure to risk factors, it is about how it reduces the capacity for disease management (</w:t>
      </w:r>
      <w:proofErr w:type="spellStart"/>
      <w:r w:rsidRPr="008D53E5">
        <w:rPr>
          <w:rFonts w:ascii="Arial" w:hAnsi="Arial" w:cs="Arial"/>
        </w:rPr>
        <w:t>Bambra</w:t>
      </w:r>
      <w:proofErr w:type="spellEnd"/>
      <w:r w:rsidRPr="008D53E5">
        <w:rPr>
          <w:rFonts w:ascii="Arial" w:hAnsi="Arial" w:cs="Arial"/>
        </w:rPr>
        <w:t>, Smith and Pearce, 2015). For example, poor people in deprived communities may have to deal with unstable housing, food insecurity, and competing financial pressures, all of which may lead to poor compliance with the treatment and lifestyle recommendations (Mayberry and Osborn, 2012).</w:t>
      </w:r>
    </w:p>
    <w:p w14:paraId="43BDF31E" w14:textId="77777777" w:rsidR="00C62279" w:rsidRPr="008D53E5" w:rsidRDefault="00C62279" w:rsidP="00C62279">
      <w:pPr>
        <w:rPr>
          <w:rFonts w:ascii="Arial" w:hAnsi="Arial" w:cs="Arial"/>
        </w:rPr>
      </w:pPr>
    </w:p>
    <w:p w14:paraId="69249E29" w14:textId="77777777" w:rsidR="00C62279" w:rsidRPr="008D53E5" w:rsidRDefault="00C62279" w:rsidP="00C62279">
      <w:pPr>
        <w:rPr>
          <w:rFonts w:ascii="Arial" w:hAnsi="Arial" w:cs="Arial"/>
        </w:rPr>
      </w:pPr>
      <w:r w:rsidRPr="008D53E5">
        <w:rPr>
          <w:rFonts w:ascii="Arial" w:hAnsi="Arial" w:cs="Arial"/>
        </w:rPr>
        <w:t>Another important epidemiological trend is the change in T2DM onset that has a long term impact on health systems (Anson et al., 2025). We find that younger onset is associated with longer disease duration and increased lifetime risk of complications, suggesting that current prevention efforts may be insufficiently focused on younger populations (Anson et al., 2025).</w:t>
      </w:r>
    </w:p>
    <w:p w14:paraId="3CD48A0C" w14:textId="77777777" w:rsidR="00C62279" w:rsidRPr="008D53E5" w:rsidRDefault="00C62279" w:rsidP="00C62279">
      <w:pPr>
        <w:rPr>
          <w:rFonts w:ascii="Arial" w:hAnsi="Arial" w:cs="Arial"/>
        </w:rPr>
      </w:pPr>
    </w:p>
    <w:p w14:paraId="40C0D191" w14:textId="0CC48EFD" w:rsidR="00C62279" w:rsidRPr="008D53E5" w:rsidRDefault="00C62279" w:rsidP="00C62279">
      <w:pPr>
        <w:rPr>
          <w:rFonts w:ascii="Arial" w:hAnsi="Arial" w:cs="Arial"/>
        </w:rPr>
      </w:pPr>
    </w:p>
    <w:p w14:paraId="40346E09" w14:textId="77777777" w:rsidR="00C62279" w:rsidRPr="008D53E5" w:rsidRDefault="00C62279" w:rsidP="00C62279">
      <w:pPr>
        <w:rPr>
          <w:rFonts w:ascii="Arial" w:hAnsi="Arial" w:cs="Arial"/>
        </w:rPr>
      </w:pPr>
    </w:p>
    <w:p w14:paraId="366E1840" w14:textId="77777777" w:rsidR="00C62279" w:rsidRPr="008D53E5" w:rsidRDefault="00C62279" w:rsidP="00FA2E1A">
      <w:pPr>
        <w:pStyle w:val="Heading2"/>
        <w:rPr>
          <w:rFonts w:ascii="Arial" w:hAnsi="Arial" w:cs="Arial"/>
          <w:sz w:val="24"/>
          <w:szCs w:val="24"/>
        </w:rPr>
      </w:pPr>
      <w:r w:rsidRPr="008D53E5">
        <w:rPr>
          <w:rFonts w:ascii="Arial" w:hAnsi="Arial" w:cs="Arial"/>
          <w:sz w:val="24"/>
          <w:szCs w:val="24"/>
        </w:rPr>
        <w:t>Public health measures: Promotion, Prevention, Protection</w:t>
      </w:r>
    </w:p>
    <w:p w14:paraId="38A525F1" w14:textId="77777777" w:rsidR="00C62279" w:rsidRPr="008D53E5" w:rsidRDefault="00C62279" w:rsidP="00C62279">
      <w:pPr>
        <w:rPr>
          <w:rFonts w:ascii="Arial" w:hAnsi="Arial" w:cs="Arial"/>
        </w:rPr>
      </w:pPr>
    </w:p>
    <w:p w14:paraId="32AD6E76" w14:textId="77777777" w:rsidR="00C62279" w:rsidRPr="008D53E5" w:rsidRDefault="00C62279" w:rsidP="00C62279">
      <w:pPr>
        <w:rPr>
          <w:rFonts w:ascii="Arial" w:hAnsi="Arial" w:cs="Arial"/>
        </w:rPr>
      </w:pPr>
      <w:r w:rsidRPr="008D53E5">
        <w:rPr>
          <w:rFonts w:ascii="Arial" w:hAnsi="Arial" w:cs="Arial"/>
        </w:rPr>
        <w:t>Public health responses to T2DM can be analysed through the framework of promotion, prevention and protection (NICE, 2024).</w:t>
      </w:r>
    </w:p>
    <w:p w14:paraId="42736B86" w14:textId="77777777" w:rsidR="00C62279" w:rsidRPr="008D53E5" w:rsidRDefault="00C62279" w:rsidP="00C62279">
      <w:pPr>
        <w:rPr>
          <w:rFonts w:ascii="Arial" w:hAnsi="Arial" w:cs="Arial"/>
        </w:rPr>
      </w:pPr>
    </w:p>
    <w:p w14:paraId="60F0D888" w14:textId="77777777" w:rsidR="00C62279" w:rsidRPr="008D53E5" w:rsidRDefault="00C62279" w:rsidP="00C62279">
      <w:pPr>
        <w:rPr>
          <w:rFonts w:ascii="Arial" w:hAnsi="Arial" w:cs="Arial"/>
        </w:rPr>
      </w:pPr>
      <w:r w:rsidRPr="008D53E5">
        <w:rPr>
          <w:rFonts w:ascii="Arial" w:hAnsi="Arial" w:cs="Arial"/>
        </w:rPr>
        <w:t>Health promotion is based on behavioural change: diet, physical activity and smoking cessation (NICE, 2024). However, there is increasing recognition that traditional health promotion strategies may have limited effectiveness in deprived populations because they rely on individual agency without addressing structural barriers (</w:t>
      </w:r>
      <w:proofErr w:type="spellStart"/>
      <w:r w:rsidRPr="008D53E5">
        <w:rPr>
          <w:rFonts w:ascii="Arial" w:hAnsi="Arial" w:cs="Arial"/>
        </w:rPr>
        <w:t>Bambra</w:t>
      </w:r>
      <w:proofErr w:type="spellEnd"/>
      <w:r w:rsidRPr="008D53E5">
        <w:rPr>
          <w:rFonts w:ascii="Arial" w:hAnsi="Arial" w:cs="Arial"/>
        </w:rPr>
        <w:t>, Smith and Pearce, 2015).</w:t>
      </w:r>
    </w:p>
    <w:p w14:paraId="12AFC5FB" w14:textId="77777777" w:rsidR="00C62279" w:rsidRPr="008D53E5" w:rsidRDefault="00C62279" w:rsidP="00C62279">
      <w:pPr>
        <w:rPr>
          <w:rFonts w:ascii="Arial" w:hAnsi="Arial" w:cs="Arial"/>
        </w:rPr>
      </w:pPr>
    </w:p>
    <w:p w14:paraId="7C4AE939" w14:textId="77777777" w:rsidR="00C62279" w:rsidRPr="008D53E5" w:rsidRDefault="00C62279" w:rsidP="00C62279">
      <w:pPr>
        <w:rPr>
          <w:rFonts w:ascii="Arial" w:hAnsi="Arial" w:cs="Arial"/>
        </w:rPr>
      </w:pPr>
      <w:r w:rsidRPr="008D53E5">
        <w:rPr>
          <w:rFonts w:ascii="Arial" w:hAnsi="Arial" w:cs="Arial"/>
        </w:rPr>
        <w:t xml:space="preserve">Prevention strategies in England are heavily influenced by the NHS Diabetes Prevention Programme (DPP). </w:t>
      </w:r>
      <w:proofErr w:type="spellStart"/>
      <w:r w:rsidRPr="008D53E5">
        <w:rPr>
          <w:rFonts w:ascii="Arial" w:hAnsi="Arial" w:cs="Arial"/>
        </w:rPr>
        <w:t>Valabhji</w:t>
      </w:r>
      <w:proofErr w:type="spellEnd"/>
      <w:r w:rsidRPr="008D53E5">
        <w:rPr>
          <w:rFonts w:ascii="Arial" w:hAnsi="Arial" w:cs="Arial"/>
        </w:rPr>
        <w:t xml:space="preserve"> et al. (2020) found that DPP participation led to reduced weight and HbA1c, implying that T2DM could be reduced. However, real-world studies show that effect sizes are smaller than in controlled trials, revealing the problematic implementation at scale (</w:t>
      </w:r>
      <w:proofErr w:type="spellStart"/>
      <w:r w:rsidRPr="008D53E5">
        <w:rPr>
          <w:rFonts w:ascii="Arial" w:hAnsi="Arial" w:cs="Arial"/>
        </w:rPr>
        <w:t>Ravindrarajah</w:t>
      </w:r>
      <w:proofErr w:type="spellEnd"/>
      <w:r w:rsidRPr="008D53E5">
        <w:rPr>
          <w:rFonts w:ascii="Arial" w:hAnsi="Arial" w:cs="Arial"/>
        </w:rPr>
        <w:t xml:space="preserve"> et al., 2023).</w:t>
      </w:r>
    </w:p>
    <w:p w14:paraId="60E23501" w14:textId="77777777" w:rsidR="00C62279" w:rsidRPr="008D53E5" w:rsidRDefault="00C62279" w:rsidP="00C62279">
      <w:pPr>
        <w:rPr>
          <w:rFonts w:ascii="Arial" w:hAnsi="Arial" w:cs="Arial"/>
        </w:rPr>
      </w:pPr>
    </w:p>
    <w:p w14:paraId="61184698" w14:textId="77777777" w:rsidR="00C62279" w:rsidRPr="008D53E5" w:rsidRDefault="00C62279" w:rsidP="00C62279">
      <w:pPr>
        <w:rPr>
          <w:rFonts w:ascii="Arial" w:hAnsi="Arial" w:cs="Arial"/>
        </w:rPr>
      </w:pPr>
      <w:r w:rsidRPr="008D53E5">
        <w:rPr>
          <w:rFonts w:ascii="Arial" w:hAnsi="Arial" w:cs="Arial"/>
        </w:rPr>
        <w:t>This is part of a larger critique of public health that interventions that are effective in ideal conditions may be less effective in real-world settings because of the uptake rate, adherence and context (</w:t>
      </w:r>
      <w:proofErr w:type="spellStart"/>
      <w:r w:rsidRPr="008D53E5">
        <w:rPr>
          <w:rFonts w:ascii="Arial" w:hAnsi="Arial" w:cs="Arial"/>
        </w:rPr>
        <w:t>Brunton</w:t>
      </w:r>
      <w:proofErr w:type="spellEnd"/>
      <w:r w:rsidRPr="008D53E5">
        <w:rPr>
          <w:rFonts w:ascii="Arial" w:hAnsi="Arial" w:cs="Arial"/>
        </w:rPr>
        <w:t xml:space="preserve">, </w:t>
      </w:r>
      <w:proofErr w:type="spellStart"/>
      <w:r w:rsidRPr="008D53E5">
        <w:rPr>
          <w:rFonts w:ascii="Arial" w:hAnsi="Arial" w:cs="Arial"/>
        </w:rPr>
        <w:t>Soiland-Reyes</w:t>
      </w:r>
      <w:proofErr w:type="spellEnd"/>
      <w:r w:rsidRPr="008D53E5">
        <w:rPr>
          <w:rFonts w:ascii="Arial" w:hAnsi="Arial" w:cs="Arial"/>
        </w:rPr>
        <w:t xml:space="preserve"> and Wilson, 2022).</w:t>
      </w:r>
    </w:p>
    <w:p w14:paraId="7B59303F" w14:textId="77777777" w:rsidR="00C62279" w:rsidRPr="008D53E5" w:rsidRDefault="00C62279" w:rsidP="00C62279">
      <w:pPr>
        <w:rPr>
          <w:rFonts w:ascii="Arial" w:hAnsi="Arial" w:cs="Arial"/>
        </w:rPr>
      </w:pPr>
    </w:p>
    <w:p w14:paraId="279CEAD5" w14:textId="579A20CB" w:rsidR="00C62279" w:rsidRPr="008D53E5" w:rsidRDefault="00C62279" w:rsidP="00C62279">
      <w:pPr>
        <w:rPr>
          <w:rFonts w:ascii="Arial" w:hAnsi="Arial" w:cs="Arial"/>
        </w:rPr>
      </w:pPr>
      <w:r w:rsidRPr="008D53E5">
        <w:rPr>
          <w:rFonts w:ascii="Arial" w:hAnsi="Arial" w:cs="Arial"/>
        </w:rPr>
        <w:t xml:space="preserve">Protection is reducing complications through high-quality clinical management. NICE NG28 </w:t>
      </w:r>
      <w:r w:rsidR="00C675E3" w:rsidRPr="008D53E5">
        <w:rPr>
          <w:rFonts w:ascii="Arial" w:hAnsi="Arial" w:cs="Arial"/>
        </w:rPr>
        <w:t>emphasises</w:t>
      </w:r>
      <w:r w:rsidRPr="008D53E5">
        <w:rPr>
          <w:rFonts w:ascii="Arial" w:hAnsi="Arial" w:cs="Arial"/>
        </w:rPr>
        <w:t xml:space="preserve"> glycaemic control, cardiovascular risk management and monitoring of complications (NICE, 2024). However, achieving these standards consistently remains difficult, particularly in deprived populations (Tahir et al., 2025).</w:t>
      </w:r>
    </w:p>
    <w:p w14:paraId="49E9B04A" w14:textId="77777777" w:rsidR="00C62279" w:rsidRPr="008D53E5" w:rsidRDefault="00C62279" w:rsidP="00C62279">
      <w:pPr>
        <w:rPr>
          <w:rFonts w:ascii="Arial" w:hAnsi="Arial" w:cs="Arial"/>
        </w:rPr>
      </w:pPr>
    </w:p>
    <w:p w14:paraId="251CE897" w14:textId="77777777" w:rsidR="00C62279" w:rsidRPr="008D53E5" w:rsidRDefault="00C62279" w:rsidP="00C62279">
      <w:pPr>
        <w:rPr>
          <w:rFonts w:ascii="Arial" w:hAnsi="Arial" w:cs="Arial"/>
        </w:rPr>
      </w:pPr>
      <w:r w:rsidRPr="008D53E5">
        <w:rPr>
          <w:rFonts w:ascii="Arial" w:hAnsi="Arial" w:cs="Arial"/>
        </w:rPr>
        <w:t>From a critical perspective, this highlights a tension between clinical guidelines and health system capacity, where the presence of evidence-based recommendations does not guarantee equitable implementation (</w:t>
      </w:r>
      <w:proofErr w:type="spellStart"/>
      <w:r w:rsidRPr="008D53E5">
        <w:rPr>
          <w:rFonts w:ascii="Arial" w:hAnsi="Arial" w:cs="Arial"/>
        </w:rPr>
        <w:t>Bednarska</w:t>
      </w:r>
      <w:proofErr w:type="spellEnd"/>
      <w:r w:rsidRPr="008D53E5">
        <w:rPr>
          <w:rFonts w:ascii="Arial" w:hAnsi="Arial" w:cs="Arial"/>
        </w:rPr>
        <w:t>, 2022).</w:t>
      </w:r>
    </w:p>
    <w:p w14:paraId="6113BD4C" w14:textId="77777777" w:rsidR="00C62279" w:rsidRPr="008D53E5" w:rsidRDefault="00C62279" w:rsidP="00C62279">
      <w:pPr>
        <w:rPr>
          <w:rFonts w:ascii="Arial" w:hAnsi="Arial" w:cs="Arial"/>
        </w:rPr>
      </w:pPr>
    </w:p>
    <w:p w14:paraId="4D5201A6" w14:textId="3F892E5D" w:rsidR="00C62279" w:rsidRPr="008D53E5" w:rsidRDefault="00C62279" w:rsidP="00C62279">
      <w:pPr>
        <w:rPr>
          <w:rFonts w:ascii="Arial" w:hAnsi="Arial" w:cs="Arial"/>
        </w:rPr>
      </w:pPr>
    </w:p>
    <w:p w14:paraId="5E160C81" w14:textId="77777777" w:rsidR="00C62279" w:rsidRPr="008D53E5" w:rsidRDefault="00C62279" w:rsidP="00C62279">
      <w:pPr>
        <w:rPr>
          <w:rFonts w:ascii="Arial" w:hAnsi="Arial" w:cs="Arial"/>
        </w:rPr>
      </w:pPr>
    </w:p>
    <w:p w14:paraId="0EEA8A7B" w14:textId="77777777" w:rsidR="00C62279" w:rsidRPr="008D53E5" w:rsidRDefault="00C62279" w:rsidP="00440B90">
      <w:pPr>
        <w:pStyle w:val="Heading2"/>
        <w:rPr>
          <w:rFonts w:ascii="Arial" w:hAnsi="Arial" w:cs="Arial"/>
          <w:sz w:val="24"/>
          <w:szCs w:val="24"/>
        </w:rPr>
      </w:pPr>
      <w:r w:rsidRPr="008D53E5">
        <w:rPr>
          <w:rFonts w:ascii="Arial" w:hAnsi="Arial" w:cs="Arial"/>
          <w:sz w:val="24"/>
          <w:szCs w:val="24"/>
        </w:rPr>
        <w:t>Monitoring and Surveillance</w:t>
      </w:r>
    </w:p>
    <w:p w14:paraId="56CF4D73" w14:textId="77777777" w:rsidR="00C62279" w:rsidRPr="008D53E5" w:rsidRDefault="00C62279" w:rsidP="00C62279">
      <w:pPr>
        <w:rPr>
          <w:rFonts w:ascii="Arial" w:hAnsi="Arial" w:cs="Arial"/>
        </w:rPr>
      </w:pPr>
    </w:p>
    <w:p w14:paraId="69DB1A87" w14:textId="77777777" w:rsidR="00C62279" w:rsidRPr="008D53E5" w:rsidRDefault="00C62279" w:rsidP="00C62279">
      <w:pPr>
        <w:rPr>
          <w:rFonts w:ascii="Arial" w:hAnsi="Arial" w:cs="Arial"/>
        </w:rPr>
      </w:pPr>
      <w:r w:rsidRPr="008D53E5">
        <w:rPr>
          <w:rFonts w:ascii="Arial" w:hAnsi="Arial" w:cs="Arial"/>
        </w:rPr>
        <w:t>The UK has a relatively advanced diabetes surveillance system, with GP records, the National Diabetes Audit (NDA) and OHID datasets (NHS Digital, 2025). These systems support monitoring prevalence, care processes and outcomes, which is evidence-based policy and resource allocation (Office for Health Improvement and Disparities, 2025).</w:t>
      </w:r>
    </w:p>
    <w:p w14:paraId="1595A083" w14:textId="77777777" w:rsidR="00C62279" w:rsidRPr="008D53E5" w:rsidRDefault="00C62279" w:rsidP="00C62279">
      <w:pPr>
        <w:rPr>
          <w:rFonts w:ascii="Arial" w:hAnsi="Arial" w:cs="Arial"/>
        </w:rPr>
      </w:pPr>
    </w:p>
    <w:p w14:paraId="283B718C" w14:textId="77777777" w:rsidR="00C62279" w:rsidRPr="008D53E5" w:rsidRDefault="00C62279" w:rsidP="00C62279">
      <w:pPr>
        <w:rPr>
          <w:rFonts w:ascii="Arial" w:hAnsi="Arial" w:cs="Arial"/>
        </w:rPr>
      </w:pPr>
      <w:r w:rsidRPr="008D53E5">
        <w:rPr>
          <w:rFonts w:ascii="Arial" w:hAnsi="Arial" w:cs="Arial"/>
        </w:rPr>
        <w:t>But surveillance systems are not neutral. They are shaped by the healthcare access, diagnostic practices, and record collection of data, which can lead to systematic bias (Whyte et al., 2019). For example, populations with lower access to healthcare may be underdiagnosed and the true number of diabetes cases is likely to be underestimated (Diabetes UK, 2025).</w:t>
      </w:r>
    </w:p>
    <w:p w14:paraId="0B7FC4EE" w14:textId="77777777" w:rsidR="00C62279" w:rsidRPr="008D53E5" w:rsidRDefault="00C62279" w:rsidP="00C62279">
      <w:pPr>
        <w:rPr>
          <w:rFonts w:ascii="Arial" w:hAnsi="Arial" w:cs="Arial"/>
        </w:rPr>
      </w:pPr>
    </w:p>
    <w:p w14:paraId="3FB2935C" w14:textId="77777777" w:rsidR="00C62279" w:rsidRPr="008D53E5" w:rsidRDefault="00C62279" w:rsidP="00C62279">
      <w:pPr>
        <w:rPr>
          <w:rFonts w:ascii="Arial" w:hAnsi="Arial" w:cs="Arial"/>
        </w:rPr>
      </w:pPr>
      <w:r w:rsidRPr="008D53E5">
        <w:rPr>
          <w:rFonts w:ascii="Arial" w:hAnsi="Arial" w:cs="Arial"/>
        </w:rPr>
        <w:t>This is particularly true in Tower Hamlets, where social and cultural barriers may influence healthcare use (</w:t>
      </w:r>
      <w:proofErr w:type="spellStart"/>
      <w:r w:rsidRPr="008D53E5">
        <w:rPr>
          <w:rFonts w:ascii="Arial" w:hAnsi="Arial" w:cs="Arial"/>
        </w:rPr>
        <w:t>Kayyali</w:t>
      </w:r>
      <w:proofErr w:type="spellEnd"/>
      <w:r w:rsidRPr="008D53E5">
        <w:rPr>
          <w:rFonts w:ascii="Arial" w:hAnsi="Arial" w:cs="Arial"/>
        </w:rPr>
        <w:t xml:space="preserve"> et al., 2019). Thus, epidemiological data should be evaluated critically and the prevalence measured is representative of the disease and system performance.</w:t>
      </w:r>
    </w:p>
    <w:p w14:paraId="40CC1367" w14:textId="77777777" w:rsidR="00C62279" w:rsidRPr="008D53E5" w:rsidRDefault="00C62279" w:rsidP="00C62279">
      <w:pPr>
        <w:rPr>
          <w:rFonts w:ascii="Arial" w:hAnsi="Arial" w:cs="Arial"/>
        </w:rPr>
      </w:pPr>
    </w:p>
    <w:p w14:paraId="70112E3B" w14:textId="1D2C175E" w:rsidR="00C62279" w:rsidRPr="008D53E5" w:rsidRDefault="00C62279" w:rsidP="00C62279">
      <w:pPr>
        <w:rPr>
          <w:rFonts w:ascii="Arial" w:hAnsi="Arial" w:cs="Arial"/>
        </w:rPr>
      </w:pPr>
    </w:p>
    <w:p w14:paraId="5E278924" w14:textId="77777777" w:rsidR="00C62279" w:rsidRPr="008D53E5" w:rsidRDefault="00C62279" w:rsidP="00C62279">
      <w:pPr>
        <w:rPr>
          <w:rFonts w:ascii="Arial" w:hAnsi="Arial" w:cs="Arial"/>
        </w:rPr>
      </w:pPr>
    </w:p>
    <w:p w14:paraId="2DC4FFB9" w14:textId="77777777" w:rsidR="00C62279" w:rsidRPr="008D53E5" w:rsidRDefault="00C62279" w:rsidP="00440B90">
      <w:pPr>
        <w:pStyle w:val="Heading2"/>
        <w:rPr>
          <w:rFonts w:ascii="Arial" w:hAnsi="Arial" w:cs="Arial"/>
          <w:sz w:val="24"/>
          <w:szCs w:val="24"/>
        </w:rPr>
      </w:pPr>
      <w:r w:rsidRPr="008D53E5">
        <w:rPr>
          <w:rFonts w:ascii="Arial" w:hAnsi="Arial" w:cs="Arial"/>
          <w:sz w:val="24"/>
          <w:szCs w:val="24"/>
        </w:rPr>
        <w:t>Public Health Impact</w:t>
      </w:r>
    </w:p>
    <w:p w14:paraId="79932748" w14:textId="77777777" w:rsidR="00C62279" w:rsidRPr="008D53E5" w:rsidRDefault="00C62279" w:rsidP="00C62279">
      <w:pPr>
        <w:rPr>
          <w:rFonts w:ascii="Arial" w:hAnsi="Arial" w:cs="Arial"/>
        </w:rPr>
      </w:pPr>
    </w:p>
    <w:p w14:paraId="1D56F583" w14:textId="7CDD4C9A" w:rsidR="00C62279" w:rsidRPr="008D53E5" w:rsidRDefault="00C62279" w:rsidP="00C62279">
      <w:pPr>
        <w:rPr>
          <w:rFonts w:ascii="Arial" w:hAnsi="Arial" w:cs="Arial"/>
        </w:rPr>
      </w:pPr>
      <w:r w:rsidRPr="008D53E5">
        <w:rPr>
          <w:rFonts w:ascii="Arial" w:hAnsi="Arial" w:cs="Arial"/>
        </w:rPr>
        <w:t xml:space="preserve">T2DM has many psychological, social and economic impacts (World Health </w:t>
      </w:r>
      <w:r w:rsidR="007B55A6" w:rsidRPr="008D53E5">
        <w:rPr>
          <w:rFonts w:ascii="Arial" w:hAnsi="Arial" w:cs="Arial"/>
        </w:rPr>
        <w:t>Organisation</w:t>
      </w:r>
      <w:r w:rsidRPr="008D53E5">
        <w:rPr>
          <w:rFonts w:ascii="Arial" w:hAnsi="Arial" w:cs="Arial"/>
        </w:rPr>
        <w:t xml:space="preserve">, 2024). Arnold et al. (2022) found that microvascular and </w:t>
      </w:r>
      <w:proofErr w:type="spellStart"/>
      <w:r w:rsidRPr="008D53E5">
        <w:rPr>
          <w:rFonts w:ascii="Arial" w:hAnsi="Arial" w:cs="Arial"/>
        </w:rPr>
        <w:t>macrovascular</w:t>
      </w:r>
      <w:proofErr w:type="spellEnd"/>
      <w:r w:rsidRPr="008D53E5">
        <w:rPr>
          <w:rFonts w:ascii="Arial" w:hAnsi="Arial" w:cs="Arial"/>
        </w:rPr>
        <w:t xml:space="preserve"> complications significantly reduce quality of life, highlighting the multidimensional burden of the disease. Mental health is an important but often overlooked aspect. Roy and Lloyd (2012) found a strong association between diabetes and depression and say psychological factors play a significant role in disease outcomes.</w:t>
      </w:r>
    </w:p>
    <w:p w14:paraId="2C155BE9" w14:textId="77777777" w:rsidR="00C62279" w:rsidRPr="008D53E5" w:rsidRDefault="00C62279" w:rsidP="00C62279">
      <w:pPr>
        <w:rPr>
          <w:rFonts w:ascii="Arial" w:hAnsi="Arial" w:cs="Arial"/>
        </w:rPr>
      </w:pPr>
    </w:p>
    <w:p w14:paraId="4A73D1C3" w14:textId="77777777" w:rsidR="00C62279" w:rsidRPr="008D53E5" w:rsidRDefault="00C62279" w:rsidP="00C62279">
      <w:pPr>
        <w:rPr>
          <w:rFonts w:ascii="Arial" w:hAnsi="Arial" w:cs="Arial"/>
        </w:rPr>
      </w:pPr>
      <w:r w:rsidRPr="008D53E5">
        <w:rPr>
          <w:rFonts w:ascii="Arial" w:hAnsi="Arial" w:cs="Arial"/>
        </w:rPr>
        <w:t>From an economic perspective, diabetes is a huge burden on healthcare systems. Hex et al. (2012) stated that diabetes accounts for a significant proportion of NHS expenditure, particularly due to complications and hospital admissions.</w:t>
      </w:r>
    </w:p>
    <w:p w14:paraId="5842F0B1" w14:textId="77777777" w:rsidR="00C62279" w:rsidRPr="008D53E5" w:rsidRDefault="00C62279" w:rsidP="00C62279">
      <w:pPr>
        <w:rPr>
          <w:rFonts w:ascii="Arial" w:hAnsi="Arial" w:cs="Arial"/>
        </w:rPr>
      </w:pPr>
    </w:p>
    <w:p w14:paraId="1B18A1C0" w14:textId="77777777" w:rsidR="00C62279" w:rsidRPr="008D53E5" w:rsidRDefault="00C62279" w:rsidP="00C62279">
      <w:pPr>
        <w:rPr>
          <w:rFonts w:ascii="Arial" w:hAnsi="Arial" w:cs="Arial"/>
        </w:rPr>
      </w:pPr>
      <w:r w:rsidRPr="008D53E5">
        <w:rPr>
          <w:rFonts w:ascii="Arial" w:hAnsi="Arial" w:cs="Arial"/>
        </w:rPr>
        <w:t>At a local level, Tower Hamlets is affected by high prevalence and inequality, and is therefore likely to have a disproportionate burden on diabetes cost compared to population size (Tower Hamlets Council, 2022).</w:t>
      </w:r>
    </w:p>
    <w:p w14:paraId="1B02085C" w14:textId="77777777" w:rsidR="00C62279" w:rsidRPr="008D53E5" w:rsidRDefault="00C62279" w:rsidP="00C62279">
      <w:pPr>
        <w:rPr>
          <w:rFonts w:ascii="Arial" w:hAnsi="Arial" w:cs="Arial"/>
        </w:rPr>
      </w:pPr>
    </w:p>
    <w:p w14:paraId="38078172" w14:textId="58F07E5A" w:rsidR="00C62279" w:rsidRPr="008D53E5" w:rsidRDefault="00C62279" w:rsidP="00C62279">
      <w:pPr>
        <w:rPr>
          <w:rFonts w:ascii="Arial" w:hAnsi="Arial" w:cs="Arial"/>
        </w:rPr>
      </w:pPr>
    </w:p>
    <w:p w14:paraId="12FDCBF5" w14:textId="77777777" w:rsidR="00C62279" w:rsidRPr="008D53E5" w:rsidRDefault="00C62279" w:rsidP="00C62279">
      <w:pPr>
        <w:rPr>
          <w:rFonts w:ascii="Arial" w:hAnsi="Arial" w:cs="Arial"/>
        </w:rPr>
      </w:pPr>
    </w:p>
    <w:p w14:paraId="2D862BCE" w14:textId="77777777" w:rsidR="00C62279" w:rsidRPr="008D53E5" w:rsidRDefault="00C62279" w:rsidP="00440B90">
      <w:pPr>
        <w:pStyle w:val="Heading2"/>
        <w:rPr>
          <w:rFonts w:ascii="Arial" w:hAnsi="Arial" w:cs="Arial"/>
          <w:sz w:val="24"/>
          <w:szCs w:val="24"/>
        </w:rPr>
      </w:pPr>
      <w:r w:rsidRPr="008D53E5">
        <w:rPr>
          <w:rFonts w:ascii="Arial" w:hAnsi="Arial" w:cs="Arial"/>
          <w:sz w:val="24"/>
          <w:szCs w:val="24"/>
        </w:rPr>
        <w:t>Intervention Design and Critical Evaluation</w:t>
      </w:r>
    </w:p>
    <w:p w14:paraId="0F4B415A" w14:textId="77777777" w:rsidR="00C62279" w:rsidRPr="008D53E5" w:rsidRDefault="00C62279" w:rsidP="00C62279">
      <w:pPr>
        <w:rPr>
          <w:rFonts w:ascii="Arial" w:hAnsi="Arial" w:cs="Arial"/>
        </w:rPr>
      </w:pPr>
    </w:p>
    <w:p w14:paraId="5516C00F" w14:textId="77777777" w:rsidR="00C62279" w:rsidRPr="008D53E5" w:rsidRDefault="00C62279" w:rsidP="00C62279">
      <w:pPr>
        <w:rPr>
          <w:rFonts w:ascii="Arial" w:hAnsi="Arial" w:cs="Arial"/>
        </w:rPr>
      </w:pPr>
      <w:r w:rsidRPr="008D53E5">
        <w:rPr>
          <w:rFonts w:ascii="Arial" w:hAnsi="Arial" w:cs="Arial"/>
        </w:rPr>
        <w:t>An effective intervention for Tower Hamlets must address both individual and structural determinants of health. This requires an evolution from passive behaviour to integrated, community-based and culturally tailored strategies (Ansari et al., 2021).</w:t>
      </w:r>
    </w:p>
    <w:p w14:paraId="64D2D949" w14:textId="77777777" w:rsidR="00C62279" w:rsidRPr="008D53E5" w:rsidRDefault="00C62279" w:rsidP="00C62279">
      <w:pPr>
        <w:rPr>
          <w:rFonts w:ascii="Arial" w:hAnsi="Arial" w:cs="Arial"/>
        </w:rPr>
      </w:pPr>
    </w:p>
    <w:p w14:paraId="07E6BD8F" w14:textId="77777777" w:rsidR="00C62279" w:rsidRPr="008D53E5" w:rsidRDefault="00C62279" w:rsidP="00C62279">
      <w:pPr>
        <w:rPr>
          <w:rFonts w:ascii="Arial" w:hAnsi="Arial" w:cs="Arial"/>
        </w:rPr>
      </w:pPr>
      <w:r w:rsidRPr="008D53E5">
        <w:rPr>
          <w:rFonts w:ascii="Arial" w:hAnsi="Arial" w:cs="Arial"/>
        </w:rPr>
        <w:t>The Chronic Care Model is a good model for that, with an emphasis on proactive care, patient empowerment and coordinated healthcare delivery (</w:t>
      </w:r>
      <w:proofErr w:type="spellStart"/>
      <w:r w:rsidRPr="008D53E5">
        <w:rPr>
          <w:rFonts w:ascii="Arial" w:hAnsi="Arial" w:cs="Arial"/>
        </w:rPr>
        <w:t>Bodenheimer</w:t>
      </w:r>
      <w:proofErr w:type="spellEnd"/>
      <w:r w:rsidRPr="008D53E5">
        <w:rPr>
          <w:rFonts w:ascii="Arial" w:hAnsi="Arial" w:cs="Arial"/>
        </w:rPr>
        <w:t xml:space="preserve">, Wagner and </w:t>
      </w:r>
      <w:proofErr w:type="spellStart"/>
      <w:r w:rsidRPr="008D53E5">
        <w:rPr>
          <w:rFonts w:ascii="Arial" w:hAnsi="Arial" w:cs="Arial"/>
        </w:rPr>
        <w:t>Grumbach</w:t>
      </w:r>
      <w:proofErr w:type="spellEnd"/>
      <w:r w:rsidRPr="008D53E5">
        <w:rPr>
          <w:rFonts w:ascii="Arial" w:hAnsi="Arial" w:cs="Arial"/>
        </w:rPr>
        <w:t>, 2002). But its implementation in practice is often inconsistent, due to organisational and resource constraints (Ansari et al., 2021).</w:t>
      </w:r>
    </w:p>
    <w:p w14:paraId="3A02C9FA" w14:textId="77777777" w:rsidR="00C62279" w:rsidRPr="008D53E5" w:rsidRDefault="00C62279" w:rsidP="00C62279">
      <w:pPr>
        <w:rPr>
          <w:rFonts w:ascii="Arial" w:hAnsi="Arial" w:cs="Arial"/>
        </w:rPr>
      </w:pPr>
    </w:p>
    <w:p w14:paraId="180B4A0C" w14:textId="77777777" w:rsidR="00C62279" w:rsidRPr="008D53E5" w:rsidRDefault="00C62279" w:rsidP="00C62279">
      <w:pPr>
        <w:rPr>
          <w:rFonts w:ascii="Arial" w:hAnsi="Arial" w:cs="Arial"/>
        </w:rPr>
      </w:pPr>
      <w:r w:rsidRPr="008D53E5">
        <w:rPr>
          <w:rFonts w:ascii="Arial" w:hAnsi="Arial" w:cs="Arial"/>
        </w:rPr>
        <w:t>Structured education programs such as DESMOND have shown some effectiveness in promoting self-management and lifestyle behaviour (Davies et al., 2008). However, participation rates differ and benefits might not be equally shared across socioeconomic groups, which would raise concerns about equity (</w:t>
      </w:r>
      <w:proofErr w:type="spellStart"/>
      <w:r w:rsidRPr="008D53E5">
        <w:rPr>
          <w:rFonts w:ascii="Arial" w:hAnsi="Arial" w:cs="Arial"/>
        </w:rPr>
        <w:t>Brunton</w:t>
      </w:r>
      <w:proofErr w:type="spellEnd"/>
      <w:r w:rsidRPr="008D53E5">
        <w:rPr>
          <w:rFonts w:ascii="Arial" w:hAnsi="Arial" w:cs="Arial"/>
        </w:rPr>
        <w:t xml:space="preserve">, </w:t>
      </w:r>
      <w:proofErr w:type="spellStart"/>
      <w:r w:rsidRPr="008D53E5">
        <w:rPr>
          <w:rFonts w:ascii="Arial" w:hAnsi="Arial" w:cs="Arial"/>
        </w:rPr>
        <w:t>Soiland-Reyes</w:t>
      </w:r>
      <w:proofErr w:type="spellEnd"/>
      <w:r w:rsidRPr="008D53E5">
        <w:rPr>
          <w:rFonts w:ascii="Arial" w:hAnsi="Arial" w:cs="Arial"/>
        </w:rPr>
        <w:t xml:space="preserve"> and Wilson, 2022).</w:t>
      </w:r>
    </w:p>
    <w:p w14:paraId="04247A1E" w14:textId="77777777" w:rsidR="00C62279" w:rsidRPr="008D53E5" w:rsidRDefault="00C62279" w:rsidP="00C62279">
      <w:pPr>
        <w:rPr>
          <w:rFonts w:ascii="Arial" w:hAnsi="Arial" w:cs="Arial"/>
        </w:rPr>
      </w:pPr>
    </w:p>
    <w:p w14:paraId="066D7684" w14:textId="77777777" w:rsidR="00C62279" w:rsidRPr="008D53E5" w:rsidRDefault="00C62279" w:rsidP="00C62279">
      <w:pPr>
        <w:rPr>
          <w:rFonts w:ascii="Arial" w:hAnsi="Arial" w:cs="Arial"/>
        </w:rPr>
      </w:pPr>
      <w:r w:rsidRPr="008D53E5">
        <w:rPr>
          <w:rFonts w:ascii="Arial" w:hAnsi="Arial" w:cs="Arial"/>
        </w:rPr>
        <w:t>Many interventions focus on individual behaviour and do not address the upstream determinants such as poverty, food systems and urban design (</w:t>
      </w:r>
      <w:proofErr w:type="spellStart"/>
      <w:r w:rsidRPr="008D53E5">
        <w:rPr>
          <w:rFonts w:ascii="Arial" w:hAnsi="Arial" w:cs="Arial"/>
        </w:rPr>
        <w:t>Bambra</w:t>
      </w:r>
      <w:proofErr w:type="spellEnd"/>
      <w:r w:rsidRPr="008D53E5">
        <w:rPr>
          <w:rFonts w:ascii="Arial" w:hAnsi="Arial" w:cs="Arial"/>
        </w:rPr>
        <w:t>, Smith and Pearce, 2015). This suggests population-level interventions (notably changes in food systems and urban planning) are needed to see a meaningful reduction in incidence.</w:t>
      </w:r>
    </w:p>
    <w:p w14:paraId="2F49D67A" w14:textId="4E922DB6" w:rsidR="00C62279" w:rsidRPr="008D53E5" w:rsidRDefault="00C62279" w:rsidP="00C62279">
      <w:pPr>
        <w:rPr>
          <w:rFonts w:ascii="Arial" w:hAnsi="Arial" w:cs="Arial"/>
        </w:rPr>
      </w:pPr>
    </w:p>
    <w:p w14:paraId="3EB5DBF7" w14:textId="77777777" w:rsidR="00C62279" w:rsidRPr="008D53E5" w:rsidRDefault="00C62279" w:rsidP="00C62279">
      <w:pPr>
        <w:rPr>
          <w:rFonts w:ascii="Arial" w:hAnsi="Arial" w:cs="Arial"/>
        </w:rPr>
      </w:pPr>
    </w:p>
    <w:p w14:paraId="61C45DCF" w14:textId="77777777" w:rsidR="00C62279" w:rsidRPr="008D53E5" w:rsidRDefault="00C62279" w:rsidP="005E2033">
      <w:pPr>
        <w:pStyle w:val="Heading2"/>
        <w:rPr>
          <w:rFonts w:ascii="Arial" w:hAnsi="Arial" w:cs="Arial"/>
          <w:sz w:val="24"/>
          <w:szCs w:val="24"/>
        </w:rPr>
      </w:pPr>
      <w:r w:rsidRPr="008D53E5">
        <w:rPr>
          <w:rFonts w:ascii="Arial" w:hAnsi="Arial" w:cs="Arial"/>
          <w:sz w:val="24"/>
          <w:szCs w:val="24"/>
        </w:rPr>
        <w:t>Strengths and Limitations of the Epidemiological Approach</w:t>
      </w:r>
    </w:p>
    <w:p w14:paraId="454FA830" w14:textId="77777777" w:rsidR="00C62279" w:rsidRPr="008D53E5" w:rsidRDefault="00C62279" w:rsidP="00C62279">
      <w:pPr>
        <w:rPr>
          <w:rFonts w:ascii="Arial" w:hAnsi="Arial" w:cs="Arial"/>
        </w:rPr>
      </w:pPr>
    </w:p>
    <w:p w14:paraId="1BF4190C" w14:textId="77777777" w:rsidR="00C62279" w:rsidRPr="008D53E5" w:rsidRDefault="00C62279" w:rsidP="00C62279">
      <w:pPr>
        <w:rPr>
          <w:rFonts w:ascii="Arial" w:hAnsi="Arial" w:cs="Arial"/>
        </w:rPr>
      </w:pPr>
      <w:r w:rsidRPr="008D53E5">
        <w:rPr>
          <w:rFonts w:ascii="Arial" w:hAnsi="Arial" w:cs="Arial"/>
        </w:rPr>
        <w:t xml:space="preserve">The epidemiological approach provides a structured framework for understanding disease patterns, identifying risk factors, and informing interventions (Magliano and </w:t>
      </w:r>
      <w:proofErr w:type="spellStart"/>
      <w:r w:rsidRPr="008D53E5">
        <w:rPr>
          <w:rFonts w:ascii="Arial" w:hAnsi="Arial" w:cs="Arial"/>
        </w:rPr>
        <w:t>Boyko</w:t>
      </w:r>
      <w:proofErr w:type="spellEnd"/>
      <w:r w:rsidRPr="008D53E5">
        <w:rPr>
          <w:rFonts w:ascii="Arial" w:hAnsi="Arial" w:cs="Arial"/>
        </w:rPr>
        <w:t>, 2021). It allows for comparison across populations and supports evidence-based decision-making.</w:t>
      </w:r>
    </w:p>
    <w:p w14:paraId="7E71B281" w14:textId="77777777" w:rsidR="00C62279" w:rsidRPr="008D53E5" w:rsidRDefault="00C62279" w:rsidP="00C62279">
      <w:pPr>
        <w:rPr>
          <w:rFonts w:ascii="Arial" w:hAnsi="Arial" w:cs="Arial"/>
        </w:rPr>
      </w:pPr>
    </w:p>
    <w:p w14:paraId="6AD9F433" w14:textId="77777777" w:rsidR="00C62279" w:rsidRPr="008D53E5" w:rsidRDefault="00C62279" w:rsidP="00C62279">
      <w:pPr>
        <w:rPr>
          <w:rFonts w:ascii="Arial" w:hAnsi="Arial" w:cs="Arial"/>
        </w:rPr>
      </w:pPr>
      <w:r w:rsidRPr="008D53E5">
        <w:rPr>
          <w:rFonts w:ascii="Arial" w:hAnsi="Arial" w:cs="Arial"/>
        </w:rPr>
        <w:t>However, it also has limitations. Epidemiological data mainly use observational studies, which cannot establish causality and may be affected by confounding factors (Whyte et al., 2019). Quantitative data may also fail to capture the lived experience of people with diabetes, particularly in diverse and deprived communities (Moore et al., 2023).</w:t>
      </w:r>
    </w:p>
    <w:p w14:paraId="467A339A" w14:textId="77777777" w:rsidR="00C62279" w:rsidRPr="008D53E5" w:rsidRDefault="00C62279" w:rsidP="00C62279">
      <w:pPr>
        <w:rPr>
          <w:rFonts w:ascii="Arial" w:hAnsi="Arial" w:cs="Arial"/>
        </w:rPr>
      </w:pPr>
    </w:p>
    <w:p w14:paraId="591A6426" w14:textId="77777777" w:rsidR="00C62279" w:rsidRPr="008D53E5" w:rsidRDefault="00C62279" w:rsidP="00C62279">
      <w:pPr>
        <w:rPr>
          <w:rFonts w:ascii="Arial" w:hAnsi="Arial" w:cs="Arial"/>
        </w:rPr>
      </w:pPr>
      <w:r w:rsidRPr="008D53E5">
        <w:rPr>
          <w:rFonts w:ascii="Arial" w:hAnsi="Arial" w:cs="Arial"/>
        </w:rPr>
        <w:t>This shows the need to integrate epidemiological data with qualitative information to understand health and disease in an integrated way.</w:t>
      </w:r>
    </w:p>
    <w:p w14:paraId="6480F166" w14:textId="77777777" w:rsidR="00C62279" w:rsidRPr="008D53E5" w:rsidRDefault="00C62279" w:rsidP="00C62279">
      <w:pPr>
        <w:rPr>
          <w:rFonts w:ascii="Arial" w:hAnsi="Arial" w:cs="Arial"/>
        </w:rPr>
      </w:pPr>
    </w:p>
    <w:p w14:paraId="41B9CFF7" w14:textId="6525FA24" w:rsidR="00C62279" w:rsidRPr="008D53E5" w:rsidRDefault="00C62279" w:rsidP="00C62279">
      <w:pPr>
        <w:rPr>
          <w:rFonts w:ascii="Arial" w:hAnsi="Arial" w:cs="Arial"/>
        </w:rPr>
      </w:pPr>
    </w:p>
    <w:p w14:paraId="23CBF1FD" w14:textId="77777777" w:rsidR="00D669F0" w:rsidRPr="008D53E5" w:rsidRDefault="00D669F0" w:rsidP="00C62279">
      <w:pPr>
        <w:rPr>
          <w:rFonts w:ascii="Arial" w:hAnsi="Arial" w:cs="Arial"/>
        </w:rPr>
      </w:pPr>
    </w:p>
    <w:p w14:paraId="7DFEC56C" w14:textId="77777777" w:rsidR="00D669F0" w:rsidRPr="008D53E5" w:rsidRDefault="00D669F0" w:rsidP="00C62279">
      <w:pPr>
        <w:rPr>
          <w:rFonts w:ascii="Arial" w:hAnsi="Arial" w:cs="Arial"/>
        </w:rPr>
      </w:pPr>
    </w:p>
    <w:p w14:paraId="106BFE84" w14:textId="77777777" w:rsidR="00C62279" w:rsidRPr="008D53E5" w:rsidRDefault="00C62279" w:rsidP="00C62279">
      <w:pPr>
        <w:rPr>
          <w:rFonts w:ascii="Arial" w:hAnsi="Arial" w:cs="Arial"/>
        </w:rPr>
      </w:pPr>
    </w:p>
    <w:p w14:paraId="1A0FC1E2" w14:textId="77777777" w:rsidR="00C62279" w:rsidRPr="008D53E5" w:rsidRDefault="00C62279" w:rsidP="00D418E2">
      <w:pPr>
        <w:pStyle w:val="Heading2"/>
        <w:rPr>
          <w:rFonts w:ascii="Arial" w:hAnsi="Arial" w:cs="Arial"/>
          <w:sz w:val="24"/>
          <w:szCs w:val="24"/>
        </w:rPr>
      </w:pPr>
      <w:r w:rsidRPr="008D53E5">
        <w:rPr>
          <w:rFonts w:ascii="Arial" w:hAnsi="Arial" w:cs="Arial"/>
          <w:sz w:val="24"/>
          <w:szCs w:val="24"/>
        </w:rPr>
        <w:t>Conclusion</w:t>
      </w:r>
    </w:p>
    <w:p w14:paraId="698DA9DB" w14:textId="77777777" w:rsidR="00C62279" w:rsidRPr="008D53E5" w:rsidRDefault="00C62279" w:rsidP="00C62279">
      <w:pPr>
        <w:rPr>
          <w:rFonts w:ascii="Arial" w:hAnsi="Arial" w:cs="Arial"/>
        </w:rPr>
      </w:pPr>
    </w:p>
    <w:p w14:paraId="7ABA1D95" w14:textId="77777777" w:rsidR="00C62279" w:rsidRPr="008D53E5" w:rsidRDefault="00C62279" w:rsidP="00C62279">
      <w:pPr>
        <w:rPr>
          <w:rFonts w:ascii="Arial" w:hAnsi="Arial" w:cs="Arial"/>
        </w:rPr>
      </w:pPr>
      <w:r w:rsidRPr="008D53E5">
        <w:rPr>
          <w:rFonts w:ascii="Arial" w:hAnsi="Arial" w:cs="Arial"/>
        </w:rPr>
        <w:t>T2DM is a complex public health issue on a global, national and local scale. Global trends show increasing prevalence from structural change but in the UK, the inequalities persist despite advanced healthcare systems. Tower Hamlets illustrates the way that inequalities are concentrated at the local level and cause a disproportionately high number of diseases.</w:t>
      </w:r>
    </w:p>
    <w:p w14:paraId="510DD3F7" w14:textId="77777777" w:rsidR="00C62279" w:rsidRPr="008D53E5" w:rsidRDefault="00C62279" w:rsidP="00C62279">
      <w:pPr>
        <w:rPr>
          <w:rFonts w:ascii="Arial" w:hAnsi="Arial" w:cs="Arial"/>
        </w:rPr>
      </w:pPr>
    </w:p>
    <w:p w14:paraId="4AA502B0" w14:textId="1A8987B8" w:rsidR="00666BEF" w:rsidRPr="008D53E5" w:rsidRDefault="00C62279" w:rsidP="00C62279">
      <w:pPr>
        <w:rPr>
          <w:rFonts w:ascii="Arial" w:hAnsi="Arial" w:cs="Arial"/>
        </w:rPr>
      </w:pPr>
      <w:r w:rsidRPr="008D53E5">
        <w:rPr>
          <w:rFonts w:ascii="Arial" w:hAnsi="Arial" w:cs="Arial"/>
        </w:rPr>
        <w:t>A first-class epidemiological analysis demonstrates that effective responses need to go beyond individual-level interventions to address structural determinants, improve equity in healthcare delivery, and critically evaluate existing policies. T2DM needs to be addressed in a coordinated, multi-level manner that integrates prevention, treatment and social policy to reduce disease burden and health inequalities.</w:t>
      </w:r>
    </w:p>
    <w:p w14:paraId="427AFBC6" w14:textId="77777777" w:rsidR="00BC2725" w:rsidRPr="008D53E5" w:rsidRDefault="00BC2725" w:rsidP="00C62279">
      <w:pPr>
        <w:rPr>
          <w:rFonts w:ascii="Arial" w:hAnsi="Arial" w:cs="Arial"/>
        </w:rPr>
      </w:pPr>
    </w:p>
    <w:p w14:paraId="0CD11463" w14:textId="77777777" w:rsidR="00BC2725" w:rsidRPr="008D53E5" w:rsidRDefault="00BC2725" w:rsidP="00C62279">
      <w:pPr>
        <w:rPr>
          <w:rFonts w:ascii="Arial" w:hAnsi="Arial" w:cs="Arial"/>
        </w:rPr>
      </w:pPr>
    </w:p>
    <w:p w14:paraId="64135D30" w14:textId="77777777" w:rsidR="00BC2725" w:rsidRPr="008D53E5" w:rsidRDefault="00BC2725" w:rsidP="00C62279">
      <w:pPr>
        <w:rPr>
          <w:rFonts w:ascii="Arial" w:hAnsi="Arial" w:cs="Arial"/>
        </w:rPr>
      </w:pPr>
    </w:p>
    <w:p w14:paraId="2DA1F0AC" w14:textId="77777777" w:rsidR="00BC2725" w:rsidRPr="008D53E5" w:rsidRDefault="00BC2725" w:rsidP="00C62279">
      <w:pPr>
        <w:rPr>
          <w:rFonts w:ascii="Arial" w:hAnsi="Arial" w:cs="Arial"/>
        </w:rPr>
      </w:pPr>
    </w:p>
    <w:p w14:paraId="12082C98" w14:textId="77777777" w:rsidR="00797B1B" w:rsidRPr="008D53E5" w:rsidRDefault="00797B1B" w:rsidP="00C62279">
      <w:pPr>
        <w:rPr>
          <w:rFonts w:ascii="Arial" w:hAnsi="Arial" w:cs="Arial"/>
        </w:rPr>
      </w:pPr>
    </w:p>
    <w:p w14:paraId="4143CE5E" w14:textId="77777777" w:rsidR="00797B1B" w:rsidRPr="008D53E5" w:rsidRDefault="00797B1B" w:rsidP="00C62279">
      <w:pPr>
        <w:rPr>
          <w:rFonts w:ascii="Arial" w:hAnsi="Arial" w:cs="Arial"/>
        </w:rPr>
      </w:pPr>
    </w:p>
    <w:p w14:paraId="750172F9" w14:textId="77777777" w:rsidR="00797B1B" w:rsidRPr="008D53E5" w:rsidRDefault="00797B1B" w:rsidP="00C62279">
      <w:pPr>
        <w:rPr>
          <w:rFonts w:ascii="Arial" w:hAnsi="Arial" w:cs="Arial"/>
        </w:rPr>
      </w:pPr>
    </w:p>
    <w:p w14:paraId="6FFBC9C3" w14:textId="77777777" w:rsidR="00797B1B" w:rsidRPr="008D53E5" w:rsidRDefault="00797B1B" w:rsidP="00C62279">
      <w:pPr>
        <w:rPr>
          <w:rFonts w:ascii="Arial" w:hAnsi="Arial" w:cs="Arial"/>
        </w:rPr>
      </w:pPr>
    </w:p>
    <w:p w14:paraId="02DD3599" w14:textId="77777777" w:rsidR="00797B1B" w:rsidRPr="008D53E5" w:rsidRDefault="00797B1B" w:rsidP="00C62279">
      <w:pPr>
        <w:rPr>
          <w:rFonts w:ascii="Arial" w:hAnsi="Arial" w:cs="Arial"/>
        </w:rPr>
      </w:pPr>
    </w:p>
    <w:p w14:paraId="5AEA144E" w14:textId="77777777" w:rsidR="00797B1B" w:rsidRPr="008D53E5" w:rsidRDefault="00797B1B" w:rsidP="00C62279">
      <w:pPr>
        <w:rPr>
          <w:rFonts w:ascii="Arial" w:hAnsi="Arial" w:cs="Arial"/>
        </w:rPr>
      </w:pPr>
    </w:p>
    <w:p w14:paraId="246526C7" w14:textId="77777777" w:rsidR="00BC2725" w:rsidRPr="008D53E5" w:rsidRDefault="00BC2725" w:rsidP="00C62279">
      <w:pPr>
        <w:rPr>
          <w:rFonts w:ascii="Arial" w:hAnsi="Arial" w:cs="Arial"/>
        </w:rPr>
      </w:pPr>
    </w:p>
    <w:p w14:paraId="6612645F" w14:textId="3920F030" w:rsidR="00BC2725" w:rsidRPr="008D53E5" w:rsidRDefault="00BC2725" w:rsidP="00BC2725">
      <w:pPr>
        <w:pStyle w:val="Heading2"/>
        <w:rPr>
          <w:rFonts w:ascii="Arial" w:hAnsi="Arial" w:cs="Arial"/>
          <w:sz w:val="24"/>
          <w:szCs w:val="24"/>
        </w:rPr>
      </w:pPr>
      <w:r w:rsidRPr="008D53E5">
        <w:rPr>
          <w:rFonts w:ascii="Arial" w:hAnsi="Arial" w:cs="Arial"/>
          <w:sz w:val="24"/>
          <w:szCs w:val="24"/>
        </w:rPr>
        <w:t xml:space="preserve">References </w:t>
      </w:r>
    </w:p>
    <w:p w14:paraId="25CBF2F4" w14:textId="77777777" w:rsidR="00BC2725" w:rsidRPr="008D53E5" w:rsidRDefault="00BC2725" w:rsidP="00C62279">
      <w:pPr>
        <w:rPr>
          <w:rFonts w:ascii="Arial" w:hAnsi="Arial" w:cs="Arial"/>
        </w:rPr>
      </w:pPr>
    </w:p>
    <w:p w14:paraId="5D913358" w14:textId="77777777" w:rsidR="00BD1ACB" w:rsidRPr="008D53E5" w:rsidRDefault="00BD1ACB">
      <w:pPr>
        <w:pStyle w:val="p1"/>
        <w:rPr>
          <w:rFonts w:ascii="Arial" w:hAnsi="Arial" w:cs="Arial"/>
        </w:rPr>
      </w:pPr>
      <w:r w:rsidRPr="008D53E5">
        <w:rPr>
          <w:rStyle w:val="s1"/>
          <w:rFonts w:ascii="Arial" w:hAnsi="Arial" w:cs="Arial"/>
        </w:rPr>
        <w:t xml:space="preserve">Ansari, R.M., Harris, M.F., </w:t>
      </w:r>
      <w:proofErr w:type="spellStart"/>
      <w:r w:rsidRPr="008D53E5">
        <w:rPr>
          <w:rStyle w:val="s1"/>
          <w:rFonts w:ascii="Arial" w:hAnsi="Arial" w:cs="Arial"/>
        </w:rPr>
        <w:t>Hosseinzadeh</w:t>
      </w:r>
      <w:proofErr w:type="spellEnd"/>
      <w:r w:rsidRPr="008D53E5">
        <w:rPr>
          <w:rStyle w:val="s1"/>
          <w:rFonts w:ascii="Arial" w:hAnsi="Arial" w:cs="Arial"/>
        </w:rPr>
        <w:t xml:space="preserve">, H. and </w:t>
      </w:r>
      <w:proofErr w:type="spellStart"/>
      <w:r w:rsidRPr="008D53E5">
        <w:rPr>
          <w:rStyle w:val="s1"/>
          <w:rFonts w:ascii="Arial" w:hAnsi="Arial" w:cs="Arial"/>
        </w:rPr>
        <w:t>Zwar</w:t>
      </w:r>
      <w:proofErr w:type="spellEnd"/>
      <w:r w:rsidRPr="008D53E5">
        <w:rPr>
          <w:rStyle w:val="s1"/>
          <w:rFonts w:ascii="Arial" w:hAnsi="Arial" w:cs="Arial"/>
        </w:rPr>
        <w:t xml:space="preserve">, N. (2021) ‘Applications of a Chronic Care Model for Self-Management of Type 2 Diabetes: A Qualitative Analysis’, </w:t>
      </w:r>
      <w:r w:rsidRPr="008D53E5">
        <w:rPr>
          <w:rStyle w:val="s2"/>
          <w:rFonts w:ascii="Arial" w:hAnsi="Arial" w:cs="Arial"/>
        </w:rPr>
        <w:t>International Journal of Environmental Research and Public Health</w:t>
      </w:r>
      <w:r w:rsidRPr="008D53E5">
        <w:rPr>
          <w:rStyle w:val="s1"/>
          <w:rFonts w:ascii="Arial" w:hAnsi="Arial" w:cs="Arial"/>
        </w:rPr>
        <w:t>, 18(20), p. 10840. Available at: DOI 10.3390/ijerph182010840.</w:t>
      </w:r>
      <w:r w:rsidRPr="008D53E5">
        <w:rPr>
          <w:rStyle w:val="apple-converted-space"/>
          <w:rFonts w:ascii="Arial" w:hAnsi="Arial" w:cs="Arial"/>
        </w:rPr>
        <w:t xml:space="preserve">  </w:t>
      </w:r>
    </w:p>
    <w:p w14:paraId="266B9B4D" w14:textId="77777777" w:rsidR="00BD1ACB" w:rsidRPr="008D53E5" w:rsidRDefault="00BD1ACB">
      <w:pPr>
        <w:pStyle w:val="p2"/>
        <w:rPr>
          <w:rFonts w:ascii="Arial" w:hAnsi="Arial" w:cs="Arial"/>
        </w:rPr>
      </w:pPr>
    </w:p>
    <w:p w14:paraId="093194C5" w14:textId="77777777" w:rsidR="00BD1ACB" w:rsidRPr="008D53E5" w:rsidRDefault="00BD1ACB">
      <w:pPr>
        <w:pStyle w:val="p1"/>
        <w:rPr>
          <w:rFonts w:ascii="Arial" w:hAnsi="Arial" w:cs="Arial"/>
        </w:rPr>
      </w:pPr>
      <w:r w:rsidRPr="008D53E5">
        <w:rPr>
          <w:rStyle w:val="s1"/>
          <w:rFonts w:ascii="Arial" w:hAnsi="Arial" w:cs="Arial"/>
        </w:rPr>
        <w:t xml:space="preserve">Arnold, S.V., </w:t>
      </w:r>
      <w:proofErr w:type="spellStart"/>
      <w:r w:rsidRPr="008D53E5">
        <w:rPr>
          <w:rStyle w:val="s1"/>
          <w:rFonts w:ascii="Arial" w:hAnsi="Arial" w:cs="Arial"/>
        </w:rPr>
        <w:t>Khunti</w:t>
      </w:r>
      <w:proofErr w:type="spellEnd"/>
      <w:r w:rsidRPr="008D53E5">
        <w:rPr>
          <w:rStyle w:val="s1"/>
          <w:rFonts w:ascii="Arial" w:hAnsi="Arial" w:cs="Arial"/>
        </w:rPr>
        <w:t xml:space="preserve">, K., Tang, F., Chen, H., </w:t>
      </w:r>
      <w:proofErr w:type="spellStart"/>
      <w:r w:rsidRPr="008D53E5">
        <w:rPr>
          <w:rStyle w:val="s1"/>
          <w:rFonts w:ascii="Arial" w:hAnsi="Arial" w:cs="Arial"/>
        </w:rPr>
        <w:t>Nicolucci</w:t>
      </w:r>
      <w:proofErr w:type="spellEnd"/>
      <w:r w:rsidRPr="008D53E5">
        <w:rPr>
          <w:rStyle w:val="s1"/>
          <w:rFonts w:ascii="Arial" w:hAnsi="Arial" w:cs="Arial"/>
        </w:rPr>
        <w:t xml:space="preserve">, A., Gomes, M.B., Ji, L., </w:t>
      </w:r>
      <w:proofErr w:type="spellStart"/>
      <w:r w:rsidRPr="008D53E5">
        <w:rPr>
          <w:rStyle w:val="s1"/>
          <w:rFonts w:ascii="Arial" w:hAnsi="Arial" w:cs="Arial"/>
        </w:rPr>
        <w:t>Shestakova</w:t>
      </w:r>
      <w:proofErr w:type="spellEnd"/>
      <w:r w:rsidRPr="008D53E5">
        <w:rPr>
          <w:rStyle w:val="s1"/>
          <w:rFonts w:ascii="Arial" w:hAnsi="Arial" w:cs="Arial"/>
        </w:rPr>
        <w:t xml:space="preserve">, M.V., </w:t>
      </w:r>
      <w:proofErr w:type="spellStart"/>
      <w:r w:rsidRPr="008D53E5">
        <w:rPr>
          <w:rStyle w:val="s1"/>
          <w:rFonts w:ascii="Arial" w:hAnsi="Arial" w:cs="Arial"/>
        </w:rPr>
        <w:t>Watada</w:t>
      </w:r>
      <w:proofErr w:type="spellEnd"/>
      <w:r w:rsidRPr="008D53E5">
        <w:rPr>
          <w:rStyle w:val="s1"/>
          <w:rFonts w:ascii="Arial" w:hAnsi="Arial" w:cs="Arial"/>
        </w:rPr>
        <w:t xml:space="preserve">, H., Cooper, A., </w:t>
      </w:r>
      <w:proofErr w:type="spellStart"/>
      <w:r w:rsidRPr="008D53E5">
        <w:rPr>
          <w:rStyle w:val="s1"/>
          <w:rFonts w:ascii="Arial" w:hAnsi="Arial" w:cs="Arial"/>
        </w:rPr>
        <w:t>Fenici</w:t>
      </w:r>
      <w:proofErr w:type="spellEnd"/>
      <w:r w:rsidRPr="008D53E5">
        <w:rPr>
          <w:rStyle w:val="s1"/>
          <w:rFonts w:ascii="Arial" w:hAnsi="Arial" w:cs="Arial"/>
        </w:rPr>
        <w:t xml:space="preserve">, P., </w:t>
      </w:r>
      <w:proofErr w:type="spellStart"/>
      <w:r w:rsidRPr="008D53E5">
        <w:rPr>
          <w:rStyle w:val="s1"/>
          <w:rFonts w:ascii="Arial" w:hAnsi="Arial" w:cs="Arial"/>
        </w:rPr>
        <w:t>Hammar</w:t>
      </w:r>
      <w:proofErr w:type="spellEnd"/>
      <w:r w:rsidRPr="008D53E5">
        <w:rPr>
          <w:rStyle w:val="s1"/>
          <w:rFonts w:ascii="Arial" w:hAnsi="Arial" w:cs="Arial"/>
        </w:rPr>
        <w:t xml:space="preserve">, N., Medina, J. and </w:t>
      </w:r>
      <w:proofErr w:type="spellStart"/>
      <w:r w:rsidRPr="008D53E5">
        <w:rPr>
          <w:rStyle w:val="s1"/>
          <w:rFonts w:ascii="Arial" w:hAnsi="Arial" w:cs="Arial"/>
        </w:rPr>
        <w:t>Kosiborod</w:t>
      </w:r>
      <w:proofErr w:type="spellEnd"/>
      <w:r w:rsidRPr="008D53E5">
        <w:rPr>
          <w:rStyle w:val="s1"/>
          <w:rFonts w:ascii="Arial" w:hAnsi="Arial" w:cs="Arial"/>
        </w:rPr>
        <w:t xml:space="preserve">, M. (2022) ‘Impact of micro- and </w:t>
      </w:r>
      <w:proofErr w:type="spellStart"/>
      <w:r w:rsidRPr="008D53E5">
        <w:rPr>
          <w:rStyle w:val="s1"/>
          <w:rFonts w:ascii="Arial" w:hAnsi="Arial" w:cs="Arial"/>
        </w:rPr>
        <w:t>macrovascular</w:t>
      </w:r>
      <w:proofErr w:type="spellEnd"/>
      <w:r w:rsidRPr="008D53E5">
        <w:rPr>
          <w:rStyle w:val="s1"/>
          <w:rFonts w:ascii="Arial" w:hAnsi="Arial" w:cs="Arial"/>
        </w:rPr>
        <w:t xml:space="preserve"> complications of type 2 diabetes on quality of life: Insights from the DISCOVER prospective cohort study’, </w:t>
      </w:r>
      <w:r w:rsidRPr="008D53E5">
        <w:rPr>
          <w:rStyle w:val="s2"/>
          <w:rFonts w:ascii="Arial" w:hAnsi="Arial" w:cs="Arial"/>
        </w:rPr>
        <w:t>Endocrinology, Diabetes &amp; Metabolism</w:t>
      </w:r>
      <w:r w:rsidRPr="008D53E5">
        <w:rPr>
          <w:rStyle w:val="s1"/>
          <w:rFonts w:ascii="Arial" w:hAnsi="Arial" w:cs="Arial"/>
        </w:rPr>
        <w:t>, 5(2). Available at: DOI 10.1002/edm2.321.</w:t>
      </w:r>
      <w:r w:rsidRPr="008D53E5">
        <w:rPr>
          <w:rStyle w:val="apple-converted-space"/>
          <w:rFonts w:ascii="Arial" w:hAnsi="Arial" w:cs="Arial"/>
        </w:rPr>
        <w:t xml:space="preserve">  </w:t>
      </w:r>
    </w:p>
    <w:p w14:paraId="4E24FB18" w14:textId="77777777" w:rsidR="00BD1ACB" w:rsidRPr="008D53E5" w:rsidRDefault="00BD1ACB">
      <w:pPr>
        <w:pStyle w:val="p2"/>
        <w:rPr>
          <w:rFonts w:ascii="Arial" w:hAnsi="Arial" w:cs="Arial"/>
        </w:rPr>
      </w:pPr>
    </w:p>
    <w:p w14:paraId="7BC1A407" w14:textId="77777777" w:rsidR="00BD1ACB" w:rsidRPr="008D53E5" w:rsidRDefault="00BD1ACB">
      <w:pPr>
        <w:pStyle w:val="p1"/>
        <w:rPr>
          <w:rFonts w:ascii="Arial" w:hAnsi="Arial" w:cs="Arial"/>
        </w:rPr>
      </w:pPr>
      <w:proofErr w:type="spellStart"/>
      <w:r w:rsidRPr="008D53E5">
        <w:rPr>
          <w:rStyle w:val="s1"/>
          <w:rFonts w:ascii="Arial" w:hAnsi="Arial" w:cs="Arial"/>
        </w:rPr>
        <w:t>Baig</w:t>
      </w:r>
      <w:proofErr w:type="spellEnd"/>
      <w:r w:rsidRPr="008D53E5">
        <w:rPr>
          <w:rStyle w:val="s1"/>
          <w:rFonts w:ascii="Arial" w:hAnsi="Arial" w:cs="Arial"/>
        </w:rPr>
        <w:t xml:space="preserve">, A.A., Benitez, A., Quinn, M.T. and Burnet, D.L. (2015) ‘Family interventions to improve diabetes outcomes for adults’, </w:t>
      </w:r>
      <w:r w:rsidRPr="008D53E5">
        <w:rPr>
          <w:rStyle w:val="s2"/>
          <w:rFonts w:ascii="Arial" w:hAnsi="Arial" w:cs="Arial"/>
        </w:rPr>
        <w:t>Annals of the New York Academy of Sciences</w:t>
      </w:r>
      <w:r w:rsidRPr="008D53E5">
        <w:rPr>
          <w:rStyle w:val="s1"/>
          <w:rFonts w:ascii="Arial" w:hAnsi="Arial" w:cs="Arial"/>
        </w:rPr>
        <w:t>, 1353(1), pp. 89–112. Available at: DOI 10.1111/nyas.12844.</w:t>
      </w:r>
      <w:r w:rsidRPr="008D53E5">
        <w:rPr>
          <w:rStyle w:val="apple-converted-space"/>
          <w:rFonts w:ascii="Arial" w:hAnsi="Arial" w:cs="Arial"/>
        </w:rPr>
        <w:t xml:space="preserve">  </w:t>
      </w:r>
    </w:p>
    <w:p w14:paraId="4EBE985A" w14:textId="77777777" w:rsidR="00BD1ACB" w:rsidRPr="008D53E5" w:rsidRDefault="00BD1ACB">
      <w:pPr>
        <w:pStyle w:val="p2"/>
        <w:rPr>
          <w:rFonts w:ascii="Arial" w:hAnsi="Arial" w:cs="Arial"/>
        </w:rPr>
      </w:pPr>
    </w:p>
    <w:p w14:paraId="00E79F9F" w14:textId="77777777" w:rsidR="00BD1ACB" w:rsidRPr="008D53E5" w:rsidRDefault="00BD1ACB">
      <w:pPr>
        <w:pStyle w:val="p1"/>
        <w:rPr>
          <w:rFonts w:ascii="Arial" w:hAnsi="Arial" w:cs="Arial"/>
        </w:rPr>
      </w:pPr>
      <w:r w:rsidRPr="008D53E5">
        <w:rPr>
          <w:rStyle w:val="s1"/>
          <w:rFonts w:ascii="Arial" w:hAnsi="Arial" w:cs="Arial"/>
        </w:rPr>
        <w:t xml:space="preserve">Barnett, K., Mercer, S.W., Norbury, M., Watt, G., </w:t>
      </w:r>
      <w:proofErr w:type="spellStart"/>
      <w:r w:rsidRPr="008D53E5">
        <w:rPr>
          <w:rStyle w:val="s1"/>
          <w:rFonts w:ascii="Arial" w:hAnsi="Arial" w:cs="Arial"/>
        </w:rPr>
        <w:t>Wyke</w:t>
      </w:r>
      <w:proofErr w:type="spellEnd"/>
      <w:r w:rsidRPr="008D53E5">
        <w:rPr>
          <w:rStyle w:val="s1"/>
          <w:rFonts w:ascii="Arial" w:hAnsi="Arial" w:cs="Arial"/>
        </w:rPr>
        <w:t xml:space="preserve">, S. and Guthrie, B. (2012) ‘Epidemiology of </w:t>
      </w:r>
      <w:proofErr w:type="spellStart"/>
      <w:r w:rsidRPr="008D53E5">
        <w:rPr>
          <w:rStyle w:val="s1"/>
          <w:rFonts w:ascii="Arial" w:hAnsi="Arial" w:cs="Arial"/>
        </w:rPr>
        <w:t>multimorbidity</w:t>
      </w:r>
      <w:proofErr w:type="spellEnd"/>
      <w:r w:rsidRPr="008D53E5">
        <w:rPr>
          <w:rStyle w:val="s1"/>
          <w:rFonts w:ascii="Arial" w:hAnsi="Arial" w:cs="Arial"/>
        </w:rPr>
        <w:t xml:space="preserve"> and implications for health care, research, and medical education: a cross-sectional study’, </w:t>
      </w:r>
      <w:r w:rsidRPr="008D53E5">
        <w:rPr>
          <w:rStyle w:val="s2"/>
          <w:rFonts w:ascii="Arial" w:hAnsi="Arial" w:cs="Arial"/>
        </w:rPr>
        <w:t>The Lancet</w:t>
      </w:r>
      <w:r w:rsidRPr="008D53E5">
        <w:rPr>
          <w:rStyle w:val="s1"/>
          <w:rFonts w:ascii="Arial" w:hAnsi="Arial" w:cs="Arial"/>
        </w:rPr>
        <w:t>, 380(9836), pp. 37–43. Available at: DOI 10.1016/S0140-6736(12)60240-2.</w:t>
      </w:r>
      <w:r w:rsidRPr="008D53E5">
        <w:rPr>
          <w:rStyle w:val="apple-converted-space"/>
          <w:rFonts w:ascii="Arial" w:hAnsi="Arial" w:cs="Arial"/>
        </w:rPr>
        <w:t xml:space="preserve">  </w:t>
      </w:r>
    </w:p>
    <w:p w14:paraId="50E351F4" w14:textId="77777777" w:rsidR="00BD1ACB" w:rsidRPr="008D53E5" w:rsidRDefault="00BD1ACB">
      <w:pPr>
        <w:pStyle w:val="p2"/>
        <w:rPr>
          <w:rFonts w:ascii="Arial" w:hAnsi="Arial" w:cs="Arial"/>
        </w:rPr>
      </w:pPr>
    </w:p>
    <w:p w14:paraId="3BCBEA83" w14:textId="77777777" w:rsidR="00BD1ACB" w:rsidRPr="008D53E5" w:rsidRDefault="00BD1ACB">
      <w:pPr>
        <w:pStyle w:val="p1"/>
        <w:rPr>
          <w:rFonts w:ascii="Arial" w:hAnsi="Arial" w:cs="Arial"/>
        </w:rPr>
      </w:pPr>
      <w:r w:rsidRPr="008D53E5">
        <w:rPr>
          <w:rStyle w:val="s1"/>
          <w:rFonts w:ascii="Arial" w:hAnsi="Arial" w:cs="Arial"/>
        </w:rPr>
        <w:t xml:space="preserve">Davies, M.J., Heller, S., Skinner, T.C., Campbell, M.J., Carey, M.E., Cradock, S., </w:t>
      </w:r>
      <w:proofErr w:type="spellStart"/>
      <w:r w:rsidRPr="008D53E5">
        <w:rPr>
          <w:rStyle w:val="s1"/>
          <w:rFonts w:ascii="Arial" w:hAnsi="Arial" w:cs="Arial"/>
        </w:rPr>
        <w:t>Dallosso</w:t>
      </w:r>
      <w:proofErr w:type="spellEnd"/>
      <w:r w:rsidRPr="008D53E5">
        <w:rPr>
          <w:rStyle w:val="s1"/>
          <w:rFonts w:ascii="Arial" w:hAnsi="Arial" w:cs="Arial"/>
        </w:rPr>
        <w:t xml:space="preserve">, H.M., Daly, H., Doherty, Y., Eaton, S., Fox, C., Oliver, L., </w:t>
      </w:r>
      <w:proofErr w:type="spellStart"/>
      <w:r w:rsidRPr="008D53E5">
        <w:rPr>
          <w:rStyle w:val="s1"/>
          <w:rFonts w:ascii="Arial" w:hAnsi="Arial" w:cs="Arial"/>
        </w:rPr>
        <w:t>Rantell</w:t>
      </w:r>
      <w:proofErr w:type="spellEnd"/>
      <w:r w:rsidRPr="008D53E5">
        <w:rPr>
          <w:rStyle w:val="s1"/>
          <w:rFonts w:ascii="Arial" w:hAnsi="Arial" w:cs="Arial"/>
        </w:rPr>
        <w:t xml:space="preserve">, K., </w:t>
      </w:r>
      <w:proofErr w:type="spellStart"/>
      <w:r w:rsidRPr="008D53E5">
        <w:rPr>
          <w:rStyle w:val="s1"/>
          <w:rFonts w:ascii="Arial" w:hAnsi="Arial" w:cs="Arial"/>
        </w:rPr>
        <w:t>Rayman</w:t>
      </w:r>
      <w:proofErr w:type="spellEnd"/>
      <w:r w:rsidRPr="008D53E5">
        <w:rPr>
          <w:rStyle w:val="s1"/>
          <w:rFonts w:ascii="Arial" w:hAnsi="Arial" w:cs="Arial"/>
        </w:rPr>
        <w:t xml:space="preserve">, G. and </w:t>
      </w:r>
      <w:proofErr w:type="spellStart"/>
      <w:r w:rsidRPr="008D53E5">
        <w:rPr>
          <w:rStyle w:val="s1"/>
          <w:rFonts w:ascii="Arial" w:hAnsi="Arial" w:cs="Arial"/>
        </w:rPr>
        <w:t>Khunti</w:t>
      </w:r>
      <w:proofErr w:type="spellEnd"/>
      <w:r w:rsidRPr="008D53E5">
        <w:rPr>
          <w:rStyle w:val="s1"/>
          <w:rFonts w:ascii="Arial" w:hAnsi="Arial" w:cs="Arial"/>
        </w:rPr>
        <w:t xml:space="preserve">, K. (2008) ‘Effectiveness of the diabetes education and self-management for ongoing and newly diagnosed (DESMOND) programme’, </w:t>
      </w:r>
      <w:r w:rsidRPr="008D53E5">
        <w:rPr>
          <w:rStyle w:val="s2"/>
          <w:rFonts w:ascii="Arial" w:hAnsi="Arial" w:cs="Arial"/>
        </w:rPr>
        <w:t>BMJ</w:t>
      </w:r>
      <w:r w:rsidRPr="008D53E5">
        <w:rPr>
          <w:rStyle w:val="s1"/>
          <w:rFonts w:ascii="Arial" w:hAnsi="Arial" w:cs="Arial"/>
        </w:rPr>
        <w:t>, 336(7642), pp. 491–495. Available at: DOI 10.1136/bmj.39474.922025.BE.</w:t>
      </w:r>
      <w:r w:rsidRPr="008D53E5">
        <w:rPr>
          <w:rStyle w:val="apple-converted-space"/>
          <w:rFonts w:ascii="Arial" w:hAnsi="Arial" w:cs="Arial"/>
        </w:rPr>
        <w:t xml:space="preserve">  </w:t>
      </w:r>
    </w:p>
    <w:p w14:paraId="18F085F9" w14:textId="77777777" w:rsidR="00BD1ACB" w:rsidRPr="008D53E5" w:rsidRDefault="00BD1ACB">
      <w:pPr>
        <w:pStyle w:val="p2"/>
        <w:rPr>
          <w:rFonts w:ascii="Arial" w:hAnsi="Arial" w:cs="Arial"/>
        </w:rPr>
      </w:pPr>
    </w:p>
    <w:p w14:paraId="5E5067E3" w14:textId="77777777" w:rsidR="00BD1ACB" w:rsidRPr="008D53E5" w:rsidRDefault="00BD1ACB">
      <w:pPr>
        <w:pStyle w:val="p1"/>
        <w:rPr>
          <w:rFonts w:ascii="Arial" w:hAnsi="Arial" w:cs="Arial"/>
        </w:rPr>
      </w:pPr>
      <w:r w:rsidRPr="008D53E5">
        <w:rPr>
          <w:rStyle w:val="s1"/>
          <w:rFonts w:ascii="Arial" w:hAnsi="Arial" w:cs="Arial"/>
        </w:rPr>
        <w:t xml:space="preserve">Diabetes UK (2026) </w:t>
      </w:r>
      <w:r w:rsidRPr="008D53E5">
        <w:rPr>
          <w:rStyle w:val="s2"/>
          <w:rFonts w:ascii="Arial" w:hAnsi="Arial" w:cs="Arial"/>
        </w:rPr>
        <w:t>How many people in the UK have diabetes?</w:t>
      </w:r>
      <w:r w:rsidRPr="008D53E5">
        <w:rPr>
          <w:rStyle w:val="s1"/>
          <w:rFonts w:ascii="Arial" w:hAnsi="Arial" w:cs="Arial"/>
        </w:rPr>
        <w:t xml:space="preserve"> Available at: Diabetes UK website (Accessed: 7 April 2026).</w:t>
      </w:r>
      <w:r w:rsidRPr="008D53E5">
        <w:rPr>
          <w:rStyle w:val="apple-converted-space"/>
          <w:rFonts w:ascii="Arial" w:hAnsi="Arial" w:cs="Arial"/>
        </w:rPr>
        <w:t xml:space="preserve">  </w:t>
      </w:r>
    </w:p>
    <w:p w14:paraId="4DAE65C7" w14:textId="77777777" w:rsidR="00BD1ACB" w:rsidRPr="008D53E5" w:rsidRDefault="00BD1ACB">
      <w:pPr>
        <w:pStyle w:val="p2"/>
        <w:rPr>
          <w:rFonts w:ascii="Arial" w:hAnsi="Arial" w:cs="Arial"/>
        </w:rPr>
      </w:pPr>
    </w:p>
    <w:p w14:paraId="368355DD" w14:textId="77777777" w:rsidR="00BD1ACB" w:rsidRPr="008D53E5" w:rsidRDefault="00BD1ACB">
      <w:pPr>
        <w:pStyle w:val="p1"/>
        <w:rPr>
          <w:rFonts w:ascii="Arial" w:hAnsi="Arial" w:cs="Arial"/>
        </w:rPr>
      </w:pPr>
      <w:r w:rsidRPr="008D53E5">
        <w:rPr>
          <w:rStyle w:val="s1"/>
          <w:rFonts w:ascii="Arial" w:hAnsi="Arial" w:cs="Arial"/>
        </w:rPr>
        <w:t xml:space="preserve">International Diabetes Federation (2025) </w:t>
      </w:r>
      <w:r w:rsidRPr="008D53E5">
        <w:rPr>
          <w:rStyle w:val="s2"/>
          <w:rFonts w:ascii="Arial" w:hAnsi="Arial" w:cs="Arial"/>
        </w:rPr>
        <w:t>Facts &amp; figures</w:t>
      </w:r>
      <w:r w:rsidRPr="008D53E5">
        <w:rPr>
          <w:rStyle w:val="s1"/>
          <w:rFonts w:ascii="Arial" w:hAnsi="Arial" w:cs="Arial"/>
        </w:rPr>
        <w:t>. Available at: IDF website (Accessed: 7 April 2026).</w:t>
      </w:r>
      <w:r w:rsidRPr="008D53E5">
        <w:rPr>
          <w:rStyle w:val="apple-converted-space"/>
          <w:rFonts w:ascii="Arial" w:hAnsi="Arial" w:cs="Arial"/>
        </w:rPr>
        <w:t xml:space="preserve">  </w:t>
      </w:r>
    </w:p>
    <w:p w14:paraId="6781DF91" w14:textId="77777777" w:rsidR="00BD1ACB" w:rsidRPr="008D53E5" w:rsidRDefault="00BD1ACB">
      <w:pPr>
        <w:pStyle w:val="p2"/>
        <w:rPr>
          <w:rFonts w:ascii="Arial" w:hAnsi="Arial" w:cs="Arial"/>
        </w:rPr>
      </w:pPr>
    </w:p>
    <w:p w14:paraId="7C6AA72C" w14:textId="77777777" w:rsidR="00BD1ACB" w:rsidRPr="008D53E5" w:rsidRDefault="00BD1ACB">
      <w:pPr>
        <w:pStyle w:val="p1"/>
        <w:rPr>
          <w:rFonts w:ascii="Arial" w:hAnsi="Arial" w:cs="Arial"/>
        </w:rPr>
      </w:pPr>
      <w:proofErr w:type="spellStart"/>
      <w:r w:rsidRPr="008D53E5">
        <w:rPr>
          <w:rStyle w:val="s1"/>
          <w:rFonts w:ascii="Arial" w:hAnsi="Arial" w:cs="Arial"/>
        </w:rPr>
        <w:t>Mathur</w:t>
      </w:r>
      <w:proofErr w:type="spellEnd"/>
      <w:r w:rsidRPr="008D53E5">
        <w:rPr>
          <w:rStyle w:val="s1"/>
          <w:rFonts w:ascii="Arial" w:hAnsi="Arial" w:cs="Arial"/>
        </w:rPr>
        <w:t xml:space="preserve">, R., Farmer, R.E., Eastwood, S.V., </w:t>
      </w:r>
      <w:proofErr w:type="spellStart"/>
      <w:r w:rsidRPr="008D53E5">
        <w:rPr>
          <w:rStyle w:val="s1"/>
          <w:rFonts w:ascii="Arial" w:hAnsi="Arial" w:cs="Arial"/>
        </w:rPr>
        <w:t>Chaturvedi</w:t>
      </w:r>
      <w:proofErr w:type="spellEnd"/>
      <w:r w:rsidRPr="008D53E5">
        <w:rPr>
          <w:rStyle w:val="s1"/>
          <w:rFonts w:ascii="Arial" w:hAnsi="Arial" w:cs="Arial"/>
        </w:rPr>
        <w:t xml:space="preserve">, N., </w:t>
      </w:r>
      <w:proofErr w:type="spellStart"/>
      <w:r w:rsidRPr="008D53E5">
        <w:rPr>
          <w:rStyle w:val="s1"/>
          <w:rFonts w:ascii="Arial" w:hAnsi="Arial" w:cs="Arial"/>
        </w:rPr>
        <w:t>Sattar</w:t>
      </w:r>
      <w:proofErr w:type="spellEnd"/>
      <w:r w:rsidRPr="008D53E5">
        <w:rPr>
          <w:rStyle w:val="s1"/>
          <w:rFonts w:ascii="Arial" w:hAnsi="Arial" w:cs="Arial"/>
        </w:rPr>
        <w:t xml:space="preserve">, N., Douglas, I. and </w:t>
      </w:r>
      <w:proofErr w:type="spellStart"/>
      <w:r w:rsidRPr="008D53E5">
        <w:rPr>
          <w:rStyle w:val="s1"/>
          <w:rFonts w:ascii="Arial" w:hAnsi="Arial" w:cs="Arial"/>
        </w:rPr>
        <w:t>Khunti</w:t>
      </w:r>
      <w:proofErr w:type="spellEnd"/>
      <w:r w:rsidRPr="008D53E5">
        <w:rPr>
          <w:rStyle w:val="s1"/>
          <w:rFonts w:ascii="Arial" w:hAnsi="Arial" w:cs="Arial"/>
        </w:rPr>
        <w:t xml:space="preserve">, K. (2022) ‘[East London Database real-world study on type 2 diabetes subgroups and ethnicity]’, </w:t>
      </w:r>
      <w:r w:rsidRPr="008D53E5">
        <w:rPr>
          <w:rStyle w:val="s2"/>
          <w:rFonts w:ascii="Arial" w:hAnsi="Arial" w:cs="Arial"/>
        </w:rPr>
        <w:t>British Journal of General Practice</w:t>
      </w:r>
      <w:r w:rsidRPr="008D53E5">
        <w:rPr>
          <w:rStyle w:val="s1"/>
          <w:rFonts w:ascii="Arial" w:hAnsi="Arial" w:cs="Arial"/>
        </w:rPr>
        <w:t>, 72(719), e421–e429. Available at: BJGP / PubMed record (Accessed: 7 April 2026).</w:t>
      </w:r>
      <w:r w:rsidRPr="008D53E5">
        <w:rPr>
          <w:rStyle w:val="apple-converted-space"/>
          <w:rFonts w:ascii="Arial" w:hAnsi="Arial" w:cs="Arial"/>
        </w:rPr>
        <w:t xml:space="preserve">  </w:t>
      </w:r>
    </w:p>
    <w:p w14:paraId="229C3999" w14:textId="77777777" w:rsidR="00BD1ACB" w:rsidRPr="008D53E5" w:rsidRDefault="00BD1ACB">
      <w:pPr>
        <w:pStyle w:val="p2"/>
        <w:rPr>
          <w:rFonts w:ascii="Arial" w:hAnsi="Arial" w:cs="Arial"/>
        </w:rPr>
      </w:pPr>
    </w:p>
    <w:p w14:paraId="5E5A6ABD" w14:textId="77777777" w:rsidR="00BD1ACB" w:rsidRPr="008D53E5" w:rsidRDefault="00BD1ACB">
      <w:pPr>
        <w:pStyle w:val="p1"/>
        <w:rPr>
          <w:rFonts w:ascii="Arial" w:hAnsi="Arial" w:cs="Arial"/>
        </w:rPr>
      </w:pPr>
      <w:proofErr w:type="spellStart"/>
      <w:r w:rsidRPr="008D53E5">
        <w:rPr>
          <w:rStyle w:val="s1"/>
          <w:rFonts w:ascii="Arial" w:hAnsi="Arial" w:cs="Arial"/>
        </w:rPr>
        <w:t>Mathur</w:t>
      </w:r>
      <w:proofErr w:type="spellEnd"/>
      <w:r w:rsidRPr="008D53E5">
        <w:rPr>
          <w:rStyle w:val="s1"/>
          <w:rFonts w:ascii="Arial" w:hAnsi="Arial" w:cs="Arial"/>
        </w:rPr>
        <w:t xml:space="preserve">, R., Noble, D., </w:t>
      </w:r>
      <w:proofErr w:type="spellStart"/>
      <w:r w:rsidRPr="008D53E5">
        <w:rPr>
          <w:rStyle w:val="s1"/>
          <w:rFonts w:ascii="Arial" w:hAnsi="Arial" w:cs="Arial"/>
        </w:rPr>
        <w:t>Tabassum</w:t>
      </w:r>
      <w:proofErr w:type="spellEnd"/>
      <w:r w:rsidRPr="008D53E5">
        <w:rPr>
          <w:rStyle w:val="s1"/>
          <w:rFonts w:ascii="Arial" w:hAnsi="Arial" w:cs="Arial"/>
        </w:rPr>
        <w:t xml:space="preserve">, F., et al. (2012) ‘Quantifying the risk of type 2 diabetes in East London using the QDScore: a cross-sectional analysis’, </w:t>
      </w:r>
      <w:r w:rsidRPr="008D53E5">
        <w:rPr>
          <w:rStyle w:val="s2"/>
          <w:rFonts w:ascii="Arial" w:hAnsi="Arial" w:cs="Arial"/>
        </w:rPr>
        <w:t>British Journal of General Practice</w:t>
      </w:r>
      <w:r w:rsidRPr="008D53E5">
        <w:rPr>
          <w:rStyle w:val="s1"/>
          <w:rFonts w:ascii="Arial" w:hAnsi="Arial" w:cs="Arial"/>
        </w:rPr>
        <w:t>, 62(606). Available at: PubMed record (Accessed: 7 April 2026).</w:t>
      </w:r>
      <w:r w:rsidRPr="008D53E5">
        <w:rPr>
          <w:rStyle w:val="apple-converted-space"/>
          <w:rFonts w:ascii="Arial" w:hAnsi="Arial" w:cs="Arial"/>
        </w:rPr>
        <w:t xml:space="preserve">  </w:t>
      </w:r>
    </w:p>
    <w:p w14:paraId="4DBDAB6D" w14:textId="77777777" w:rsidR="00BD1ACB" w:rsidRPr="008D53E5" w:rsidRDefault="00BD1ACB">
      <w:pPr>
        <w:pStyle w:val="p2"/>
        <w:rPr>
          <w:rFonts w:ascii="Arial" w:hAnsi="Arial" w:cs="Arial"/>
        </w:rPr>
      </w:pPr>
    </w:p>
    <w:p w14:paraId="00665B7A" w14:textId="77777777" w:rsidR="00BD1ACB" w:rsidRPr="008D53E5" w:rsidRDefault="00BD1ACB">
      <w:pPr>
        <w:pStyle w:val="p1"/>
        <w:rPr>
          <w:rFonts w:ascii="Arial" w:hAnsi="Arial" w:cs="Arial"/>
        </w:rPr>
      </w:pPr>
      <w:r w:rsidRPr="008D53E5">
        <w:rPr>
          <w:rStyle w:val="s1"/>
          <w:rFonts w:ascii="Arial" w:hAnsi="Arial" w:cs="Arial"/>
        </w:rPr>
        <w:t xml:space="preserve">Mayberry, L.S. and Osborn, C.Y. (2012) ‘Family support, medication adherence, and glycemic control among adults with type 2 diabetes’, </w:t>
      </w:r>
      <w:r w:rsidRPr="008D53E5">
        <w:rPr>
          <w:rStyle w:val="s2"/>
          <w:rFonts w:ascii="Arial" w:hAnsi="Arial" w:cs="Arial"/>
        </w:rPr>
        <w:t>Diabetes Care</w:t>
      </w:r>
      <w:r w:rsidRPr="008D53E5">
        <w:rPr>
          <w:rStyle w:val="s1"/>
          <w:rFonts w:ascii="Arial" w:hAnsi="Arial" w:cs="Arial"/>
        </w:rPr>
        <w:t>, 35(6), pp. 1239–1245. Available at: DOI 10.2337/dc11-2103.</w:t>
      </w:r>
      <w:r w:rsidRPr="008D53E5">
        <w:rPr>
          <w:rStyle w:val="apple-converted-space"/>
          <w:rFonts w:ascii="Arial" w:hAnsi="Arial" w:cs="Arial"/>
        </w:rPr>
        <w:t xml:space="preserve">  </w:t>
      </w:r>
    </w:p>
    <w:p w14:paraId="71D019DB" w14:textId="77777777" w:rsidR="00BD1ACB" w:rsidRPr="008D53E5" w:rsidRDefault="00BD1ACB">
      <w:pPr>
        <w:pStyle w:val="p2"/>
        <w:rPr>
          <w:rFonts w:ascii="Arial" w:hAnsi="Arial" w:cs="Arial"/>
        </w:rPr>
      </w:pPr>
    </w:p>
    <w:p w14:paraId="577CCBC9" w14:textId="77777777" w:rsidR="00BD1ACB" w:rsidRPr="008D53E5" w:rsidRDefault="00BD1ACB">
      <w:pPr>
        <w:pStyle w:val="p1"/>
        <w:rPr>
          <w:rFonts w:ascii="Arial" w:hAnsi="Arial" w:cs="Arial"/>
        </w:rPr>
      </w:pPr>
      <w:r w:rsidRPr="008D53E5">
        <w:rPr>
          <w:rStyle w:val="s1"/>
          <w:rFonts w:ascii="Arial" w:hAnsi="Arial" w:cs="Arial"/>
        </w:rPr>
        <w:t xml:space="preserve">NHS Digital (2026) </w:t>
      </w:r>
      <w:r w:rsidRPr="008D53E5">
        <w:rPr>
          <w:rStyle w:val="s2"/>
          <w:rFonts w:ascii="Arial" w:hAnsi="Arial" w:cs="Arial"/>
        </w:rPr>
        <w:t>National Diabetes Audit Core Report 1: Care Processes and Treatment Targets 2024–25</w:t>
      </w:r>
      <w:r w:rsidRPr="008D53E5">
        <w:rPr>
          <w:rStyle w:val="s1"/>
          <w:rFonts w:ascii="Arial" w:hAnsi="Arial" w:cs="Arial"/>
        </w:rPr>
        <w:t>. Available at: NHS Digital website (Accessed: 7 April 2026).</w:t>
      </w:r>
      <w:r w:rsidRPr="008D53E5">
        <w:rPr>
          <w:rStyle w:val="apple-converted-space"/>
          <w:rFonts w:ascii="Arial" w:hAnsi="Arial" w:cs="Arial"/>
        </w:rPr>
        <w:t xml:space="preserve">  </w:t>
      </w:r>
    </w:p>
    <w:p w14:paraId="69A2D561" w14:textId="77777777" w:rsidR="00BD1ACB" w:rsidRPr="008D53E5" w:rsidRDefault="00BD1ACB">
      <w:pPr>
        <w:pStyle w:val="p2"/>
        <w:rPr>
          <w:rFonts w:ascii="Arial" w:hAnsi="Arial" w:cs="Arial"/>
        </w:rPr>
      </w:pPr>
    </w:p>
    <w:p w14:paraId="26E0D1A4" w14:textId="77777777" w:rsidR="00BD1ACB" w:rsidRPr="008D53E5" w:rsidRDefault="00BD1ACB">
      <w:pPr>
        <w:pStyle w:val="p1"/>
        <w:rPr>
          <w:rFonts w:ascii="Arial" w:hAnsi="Arial" w:cs="Arial"/>
        </w:rPr>
      </w:pPr>
      <w:r w:rsidRPr="008D53E5">
        <w:rPr>
          <w:rStyle w:val="s1"/>
          <w:rFonts w:ascii="Arial" w:hAnsi="Arial" w:cs="Arial"/>
        </w:rPr>
        <w:t>NHS England (2024) ‘NHS identifies over half a million more people at risk of type 2 diabetes in a year’. Available at: NHS England website (Accessed: 7 April 2026).</w:t>
      </w:r>
      <w:r w:rsidRPr="008D53E5">
        <w:rPr>
          <w:rStyle w:val="apple-converted-space"/>
          <w:rFonts w:ascii="Arial" w:hAnsi="Arial" w:cs="Arial"/>
        </w:rPr>
        <w:t xml:space="preserve">  </w:t>
      </w:r>
    </w:p>
    <w:p w14:paraId="19D74D88" w14:textId="77777777" w:rsidR="00BD1ACB" w:rsidRPr="008D53E5" w:rsidRDefault="00BD1ACB">
      <w:pPr>
        <w:pStyle w:val="p2"/>
        <w:rPr>
          <w:rFonts w:ascii="Arial" w:hAnsi="Arial" w:cs="Arial"/>
        </w:rPr>
      </w:pPr>
    </w:p>
    <w:p w14:paraId="73C622C9" w14:textId="77777777" w:rsidR="00BD1ACB" w:rsidRPr="008D53E5" w:rsidRDefault="00BD1ACB">
      <w:pPr>
        <w:pStyle w:val="p1"/>
        <w:rPr>
          <w:rFonts w:ascii="Arial" w:hAnsi="Arial" w:cs="Arial"/>
        </w:rPr>
      </w:pPr>
      <w:r w:rsidRPr="008D53E5">
        <w:rPr>
          <w:rStyle w:val="s1"/>
          <w:rFonts w:ascii="Arial" w:hAnsi="Arial" w:cs="Arial"/>
        </w:rPr>
        <w:t xml:space="preserve">NICE (2026a) </w:t>
      </w:r>
      <w:r w:rsidRPr="008D53E5">
        <w:rPr>
          <w:rStyle w:val="s2"/>
          <w:rFonts w:ascii="Arial" w:hAnsi="Arial" w:cs="Arial"/>
        </w:rPr>
        <w:t>Type 2 diabetes in adults: management (NG28)</w:t>
      </w:r>
      <w:r w:rsidRPr="008D53E5">
        <w:rPr>
          <w:rStyle w:val="s1"/>
          <w:rFonts w:ascii="Arial" w:hAnsi="Arial" w:cs="Arial"/>
        </w:rPr>
        <w:t>. Available at: NICE website (Accessed: 7 April 2026).</w:t>
      </w:r>
      <w:r w:rsidRPr="008D53E5">
        <w:rPr>
          <w:rStyle w:val="apple-converted-space"/>
          <w:rFonts w:ascii="Arial" w:hAnsi="Arial" w:cs="Arial"/>
        </w:rPr>
        <w:t xml:space="preserve">  </w:t>
      </w:r>
    </w:p>
    <w:p w14:paraId="133164B2" w14:textId="77777777" w:rsidR="00BD1ACB" w:rsidRPr="008D53E5" w:rsidRDefault="00BD1ACB">
      <w:pPr>
        <w:pStyle w:val="p2"/>
        <w:rPr>
          <w:rFonts w:ascii="Arial" w:hAnsi="Arial" w:cs="Arial"/>
        </w:rPr>
      </w:pPr>
    </w:p>
    <w:p w14:paraId="68F0B4E3" w14:textId="77777777" w:rsidR="00BD1ACB" w:rsidRPr="008D53E5" w:rsidRDefault="00BD1ACB">
      <w:pPr>
        <w:pStyle w:val="p1"/>
        <w:rPr>
          <w:rFonts w:ascii="Arial" w:hAnsi="Arial" w:cs="Arial"/>
        </w:rPr>
      </w:pPr>
      <w:r w:rsidRPr="008D53E5">
        <w:rPr>
          <w:rStyle w:val="s1"/>
          <w:rFonts w:ascii="Arial" w:hAnsi="Arial" w:cs="Arial"/>
        </w:rPr>
        <w:t xml:space="preserve">NICE (2026b) </w:t>
      </w:r>
      <w:r w:rsidRPr="008D53E5">
        <w:rPr>
          <w:rStyle w:val="s2"/>
          <w:rFonts w:ascii="Arial" w:hAnsi="Arial" w:cs="Arial"/>
        </w:rPr>
        <w:t>Type 2 diabetes in adults (QS209)</w:t>
      </w:r>
      <w:r w:rsidRPr="008D53E5">
        <w:rPr>
          <w:rStyle w:val="s1"/>
          <w:rFonts w:ascii="Arial" w:hAnsi="Arial" w:cs="Arial"/>
        </w:rPr>
        <w:t>. Available at: NICE website (Accessed: 7 April 2026).</w:t>
      </w:r>
      <w:r w:rsidRPr="008D53E5">
        <w:rPr>
          <w:rStyle w:val="apple-converted-space"/>
          <w:rFonts w:ascii="Arial" w:hAnsi="Arial" w:cs="Arial"/>
        </w:rPr>
        <w:t xml:space="preserve">  </w:t>
      </w:r>
    </w:p>
    <w:p w14:paraId="75585974" w14:textId="77777777" w:rsidR="00BD1ACB" w:rsidRPr="008D53E5" w:rsidRDefault="00BD1ACB">
      <w:pPr>
        <w:pStyle w:val="p2"/>
        <w:rPr>
          <w:rFonts w:ascii="Arial" w:hAnsi="Arial" w:cs="Arial"/>
        </w:rPr>
      </w:pPr>
    </w:p>
    <w:p w14:paraId="596CB40B" w14:textId="77777777" w:rsidR="00BD1ACB" w:rsidRPr="008D53E5" w:rsidRDefault="00BD1ACB">
      <w:pPr>
        <w:pStyle w:val="p1"/>
        <w:rPr>
          <w:rFonts w:ascii="Arial" w:hAnsi="Arial" w:cs="Arial"/>
        </w:rPr>
      </w:pPr>
      <w:r w:rsidRPr="008D53E5">
        <w:rPr>
          <w:rStyle w:val="s1"/>
          <w:rFonts w:ascii="Arial" w:hAnsi="Arial" w:cs="Arial"/>
        </w:rPr>
        <w:t xml:space="preserve">Office for Health Improvement and Disparities (2025) </w:t>
      </w:r>
      <w:r w:rsidRPr="008D53E5">
        <w:rPr>
          <w:rStyle w:val="s2"/>
          <w:rFonts w:ascii="Arial" w:hAnsi="Arial" w:cs="Arial"/>
        </w:rPr>
        <w:t>Diabetes profile: statistical commentary, March 2025</w:t>
      </w:r>
      <w:r w:rsidRPr="008D53E5">
        <w:rPr>
          <w:rStyle w:val="s1"/>
          <w:rFonts w:ascii="Arial" w:hAnsi="Arial" w:cs="Arial"/>
        </w:rPr>
        <w:t>. Available at: GOV.UK (Accessed: 7 April 2026).</w:t>
      </w:r>
      <w:r w:rsidRPr="008D53E5">
        <w:rPr>
          <w:rStyle w:val="apple-converted-space"/>
          <w:rFonts w:ascii="Arial" w:hAnsi="Arial" w:cs="Arial"/>
        </w:rPr>
        <w:t xml:space="preserve">  </w:t>
      </w:r>
    </w:p>
    <w:p w14:paraId="3A440268" w14:textId="77777777" w:rsidR="00BD1ACB" w:rsidRPr="008D53E5" w:rsidRDefault="00BD1ACB">
      <w:pPr>
        <w:pStyle w:val="p2"/>
        <w:rPr>
          <w:rFonts w:ascii="Arial" w:hAnsi="Arial" w:cs="Arial"/>
        </w:rPr>
      </w:pPr>
    </w:p>
    <w:p w14:paraId="5E1D25A6" w14:textId="77777777" w:rsidR="00BD1ACB" w:rsidRPr="008D53E5" w:rsidRDefault="00BD1ACB">
      <w:pPr>
        <w:pStyle w:val="p1"/>
        <w:rPr>
          <w:rFonts w:ascii="Arial" w:hAnsi="Arial" w:cs="Arial"/>
        </w:rPr>
      </w:pPr>
      <w:proofErr w:type="spellStart"/>
      <w:r w:rsidRPr="008D53E5">
        <w:rPr>
          <w:rStyle w:val="s1"/>
          <w:rFonts w:ascii="Arial" w:hAnsi="Arial" w:cs="Arial"/>
        </w:rPr>
        <w:t>Ravindrarajah</w:t>
      </w:r>
      <w:proofErr w:type="spellEnd"/>
      <w:r w:rsidRPr="008D53E5">
        <w:rPr>
          <w:rStyle w:val="s1"/>
          <w:rFonts w:ascii="Arial" w:hAnsi="Arial" w:cs="Arial"/>
        </w:rPr>
        <w:t xml:space="preserve">, R., </w:t>
      </w:r>
      <w:proofErr w:type="spellStart"/>
      <w:r w:rsidRPr="008D53E5">
        <w:rPr>
          <w:rStyle w:val="s1"/>
          <w:rFonts w:ascii="Arial" w:hAnsi="Arial" w:cs="Arial"/>
        </w:rPr>
        <w:t>Bodicoat</w:t>
      </w:r>
      <w:proofErr w:type="spellEnd"/>
      <w:r w:rsidRPr="008D53E5">
        <w:rPr>
          <w:rStyle w:val="s1"/>
          <w:rFonts w:ascii="Arial" w:hAnsi="Arial" w:cs="Arial"/>
        </w:rPr>
        <w:t xml:space="preserve">, D.H., </w:t>
      </w:r>
      <w:proofErr w:type="spellStart"/>
      <w:r w:rsidRPr="008D53E5">
        <w:rPr>
          <w:rStyle w:val="s1"/>
          <w:rFonts w:ascii="Arial" w:hAnsi="Arial" w:cs="Arial"/>
        </w:rPr>
        <w:t>Gray</w:t>
      </w:r>
      <w:proofErr w:type="spellEnd"/>
      <w:r w:rsidRPr="008D53E5">
        <w:rPr>
          <w:rStyle w:val="s1"/>
          <w:rFonts w:ascii="Arial" w:hAnsi="Arial" w:cs="Arial"/>
        </w:rPr>
        <w:t xml:space="preserve">, L.J., et al. (2023) ‘Referral to the NHS Diabetes Prevention Programme and conversion from non-diabetic hyperglycaemia to type 2 diabetes’, </w:t>
      </w:r>
      <w:r w:rsidRPr="008D53E5">
        <w:rPr>
          <w:rStyle w:val="s2"/>
          <w:rFonts w:ascii="Arial" w:hAnsi="Arial" w:cs="Arial"/>
        </w:rPr>
        <w:t>PLOS Medicine</w:t>
      </w:r>
      <w:r w:rsidRPr="008D53E5">
        <w:rPr>
          <w:rStyle w:val="s1"/>
          <w:rFonts w:ascii="Arial" w:hAnsi="Arial" w:cs="Arial"/>
        </w:rPr>
        <w:t>, 20(2). Available at: DOI 10.1371/journal.pmed.1004177.</w:t>
      </w:r>
      <w:r w:rsidRPr="008D53E5">
        <w:rPr>
          <w:rStyle w:val="apple-converted-space"/>
          <w:rFonts w:ascii="Arial" w:hAnsi="Arial" w:cs="Arial"/>
        </w:rPr>
        <w:t xml:space="preserve">  </w:t>
      </w:r>
    </w:p>
    <w:p w14:paraId="1F3A314A" w14:textId="77777777" w:rsidR="00BD1ACB" w:rsidRPr="008D53E5" w:rsidRDefault="00BD1ACB">
      <w:pPr>
        <w:pStyle w:val="p2"/>
        <w:rPr>
          <w:rFonts w:ascii="Arial" w:hAnsi="Arial" w:cs="Arial"/>
        </w:rPr>
      </w:pPr>
    </w:p>
    <w:p w14:paraId="1681B183" w14:textId="77777777" w:rsidR="00BD1ACB" w:rsidRPr="008D53E5" w:rsidRDefault="00BD1ACB">
      <w:pPr>
        <w:pStyle w:val="p1"/>
        <w:rPr>
          <w:rFonts w:ascii="Arial" w:hAnsi="Arial" w:cs="Arial"/>
        </w:rPr>
      </w:pPr>
      <w:r w:rsidRPr="008D53E5">
        <w:rPr>
          <w:rStyle w:val="s1"/>
          <w:rFonts w:ascii="Arial" w:hAnsi="Arial" w:cs="Arial"/>
        </w:rPr>
        <w:t xml:space="preserve">Roy, T. and Lloyd, C.E. (2012) ‘Epidemiology of depression and diabetes: a systematic review’, </w:t>
      </w:r>
      <w:r w:rsidRPr="008D53E5">
        <w:rPr>
          <w:rStyle w:val="s2"/>
          <w:rFonts w:ascii="Arial" w:hAnsi="Arial" w:cs="Arial"/>
        </w:rPr>
        <w:t>Journal of Affective Disorders</w:t>
      </w:r>
      <w:r w:rsidRPr="008D53E5">
        <w:rPr>
          <w:rStyle w:val="s1"/>
          <w:rFonts w:ascii="Arial" w:hAnsi="Arial" w:cs="Arial"/>
        </w:rPr>
        <w:t>, 142(</w:t>
      </w:r>
      <w:proofErr w:type="spellStart"/>
      <w:r w:rsidRPr="008D53E5">
        <w:rPr>
          <w:rStyle w:val="s1"/>
          <w:rFonts w:ascii="Arial" w:hAnsi="Arial" w:cs="Arial"/>
        </w:rPr>
        <w:t>Suppl</w:t>
      </w:r>
      <w:proofErr w:type="spellEnd"/>
      <w:r w:rsidRPr="008D53E5">
        <w:rPr>
          <w:rStyle w:val="s1"/>
          <w:rFonts w:ascii="Arial" w:hAnsi="Arial" w:cs="Arial"/>
        </w:rPr>
        <w:t>), pp. S8–S21. Available at: DOI 10.1016/S0165-0327(12)70004-6.</w:t>
      </w:r>
      <w:r w:rsidRPr="008D53E5">
        <w:rPr>
          <w:rStyle w:val="apple-converted-space"/>
          <w:rFonts w:ascii="Arial" w:hAnsi="Arial" w:cs="Arial"/>
        </w:rPr>
        <w:t xml:space="preserve">  </w:t>
      </w:r>
    </w:p>
    <w:p w14:paraId="0883A8F6" w14:textId="77777777" w:rsidR="00BD1ACB" w:rsidRPr="008D53E5" w:rsidRDefault="00BD1ACB">
      <w:pPr>
        <w:pStyle w:val="p2"/>
        <w:rPr>
          <w:rFonts w:ascii="Arial" w:hAnsi="Arial" w:cs="Arial"/>
        </w:rPr>
      </w:pPr>
    </w:p>
    <w:p w14:paraId="3DF5ABF3" w14:textId="77777777" w:rsidR="00BD1ACB" w:rsidRPr="008D53E5" w:rsidRDefault="00BD1ACB">
      <w:pPr>
        <w:pStyle w:val="p1"/>
        <w:rPr>
          <w:rFonts w:ascii="Arial" w:hAnsi="Arial" w:cs="Arial"/>
        </w:rPr>
      </w:pPr>
      <w:r w:rsidRPr="008D53E5">
        <w:rPr>
          <w:rStyle w:val="s1"/>
          <w:rFonts w:ascii="Arial" w:hAnsi="Arial" w:cs="Arial"/>
        </w:rPr>
        <w:t xml:space="preserve">Tower Hamlets Council (2022) </w:t>
      </w:r>
      <w:r w:rsidRPr="008D53E5">
        <w:rPr>
          <w:rStyle w:val="s2"/>
          <w:rFonts w:ascii="Arial" w:hAnsi="Arial" w:cs="Arial"/>
        </w:rPr>
        <w:t>Tower Hamlets Annual Public Health Report 2022</w:t>
      </w:r>
      <w:r w:rsidRPr="008D53E5">
        <w:rPr>
          <w:rStyle w:val="s1"/>
          <w:rFonts w:ascii="Arial" w:hAnsi="Arial" w:cs="Arial"/>
        </w:rPr>
        <w:t>. Available at: Tower Hamlets Council website (Accessed: 7 April 2026).</w:t>
      </w:r>
      <w:r w:rsidRPr="008D53E5">
        <w:rPr>
          <w:rStyle w:val="apple-converted-space"/>
          <w:rFonts w:ascii="Arial" w:hAnsi="Arial" w:cs="Arial"/>
        </w:rPr>
        <w:t xml:space="preserve">  </w:t>
      </w:r>
    </w:p>
    <w:p w14:paraId="14D2672A" w14:textId="77777777" w:rsidR="00BD1ACB" w:rsidRPr="008D53E5" w:rsidRDefault="00BD1ACB">
      <w:pPr>
        <w:pStyle w:val="p2"/>
        <w:rPr>
          <w:rFonts w:ascii="Arial" w:hAnsi="Arial" w:cs="Arial"/>
        </w:rPr>
      </w:pPr>
    </w:p>
    <w:p w14:paraId="66CC8096" w14:textId="77777777" w:rsidR="00BD1ACB" w:rsidRPr="008D53E5" w:rsidRDefault="00BD1ACB">
      <w:pPr>
        <w:pStyle w:val="p1"/>
        <w:rPr>
          <w:rFonts w:ascii="Arial" w:hAnsi="Arial" w:cs="Arial"/>
        </w:rPr>
      </w:pPr>
      <w:r w:rsidRPr="008D53E5">
        <w:rPr>
          <w:rStyle w:val="s1"/>
          <w:rFonts w:ascii="Arial" w:hAnsi="Arial" w:cs="Arial"/>
        </w:rPr>
        <w:t xml:space="preserve">Tower Hamlets Council (2024a) </w:t>
      </w:r>
      <w:r w:rsidRPr="008D53E5">
        <w:rPr>
          <w:rStyle w:val="s2"/>
          <w:rFonts w:ascii="Arial" w:hAnsi="Arial" w:cs="Arial"/>
        </w:rPr>
        <w:t>Tower Hamlets Borough Profile 2024</w:t>
      </w:r>
      <w:r w:rsidRPr="008D53E5">
        <w:rPr>
          <w:rStyle w:val="s1"/>
          <w:rFonts w:ascii="Arial" w:hAnsi="Arial" w:cs="Arial"/>
        </w:rPr>
        <w:t>. Available at: Tower Hamlets Council website (Accessed: 7 April 2026).</w:t>
      </w:r>
      <w:r w:rsidRPr="008D53E5">
        <w:rPr>
          <w:rStyle w:val="apple-converted-space"/>
          <w:rFonts w:ascii="Arial" w:hAnsi="Arial" w:cs="Arial"/>
        </w:rPr>
        <w:t xml:space="preserve">  </w:t>
      </w:r>
    </w:p>
    <w:p w14:paraId="4E6DDB86" w14:textId="77777777" w:rsidR="00BD1ACB" w:rsidRPr="008D53E5" w:rsidRDefault="00BD1ACB">
      <w:pPr>
        <w:pStyle w:val="p2"/>
        <w:rPr>
          <w:rFonts w:ascii="Arial" w:hAnsi="Arial" w:cs="Arial"/>
        </w:rPr>
      </w:pPr>
    </w:p>
    <w:p w14:paraId="678B8622" w14:textId="77777777" w:rsidR="00BD1ACB" w:rsidRPr="008D53E5" w:rsidRDefault="00BD1ACB">
      <w:pPr>
        <w:pStyle w:val="p1"/>
        <w:rPr>
          <w:rFonts w:ascii="Arial" w:hAnsi="Arial" w:cs="Arial"/>
        </w:rPr>
      </w:pPr>
      <w:r w:rsidRPr="008D53E5">
        <w:rPr>
          <w:rStyle w:val="s1"/>
          <w:rFonts w:ascii="Arial" w:hAnsi="Arial" w:cs="Arial"/>
        </w:rPr>
        <w:t xml:space="preserve">Tower Hamlets Council (2024b) </w:t>
      </w:r>
      <w:r w:rsidRPr="008D53E5">
        <w:rPr>
          <w:rStyle w:val="s2"/>
          <w:rFonts w:ascii="Arial" w:hAnsi="Arial" w:cs="Arial"/>
        </w:rPr>
        <w:t>Tower Hamlets joins national initiative to bring life-saving heart checks to workplaces</w:t>
      </w:r>
      <w:r w:rsidRPr="008D53E5">
        <w:rPr>
          <w:rStyle w:val="s1"/>
          <w:rFonts w:ascii="Arial" w:hAnsi="Arial" w:cs="Arial"/>
        </w:rPr>
        <w:t>. Available at: Tower Hamlets Council website (Accessed: 7 April 2026).</w:t>
      </w:r>
      <w:r w:rsidRPr="008D53E5">
        <w:rPr>
          <w:rStyle w:val="apple-converted-space"/>
          <w:rFonts w:ascii="Arial" w:hAnsi="Arial" w:cs="Arial"/>
        </w:rPr>
        <w:t xml:space="preserve">  </w:t>
      </w:r>
    </w:p>
    <w:p w14:paraId="6EA5BA1D" w14:textId="77777777" w:rsidR="00BD1ACB" w:rsidRPr="008D53E5" w:rsidRDefault="00BD1ACB">
      <w:pPr>
        <w:pStyle w:val="p2"/>
        <w:rPr>
          <w:rFonts w:ascii="Arial" w:hAnsi="Arial" w:cs="Arial"/>
        </w:rPr>
      </w:pPr>
    </w:p>
    <w:p w14:paraId="66E1DCB9" w14:textId="77777777" w:rsidR="00BD1ACB" w:rsidRPr="008D53E5" w:rsidRDefault="00BD1ACB">
      <w:pPr>
        <w:pStyle w:val="p1"/>
        <w:rPr>
          <w:rFonts w:ascii="Arial" w:hAnsi="Arial" w:cs="Arial"/>
        </w:rPr>
      </w:pPr>
      <w:r w:rsidRPr="008D53E5">
        <w:rPr>
          <w:rStyle w:val="s1"/>
          <w:rFonts w:ascii="Arial" w:hAnsi="Arial" w:cs="Arial"/>
        </w:rPr>
        <w:t xml:space="preserve">Tower Hamlets Council (2025) </w:t>
      </w:r>
      <w:r w:rsidRPr="008D53E5">
        <w:rPr>
          <w:rStyle w:val="s2"/>
          <w:rFonts w:ascii="Arial" w:hAnsi="Arial" w:cs="Arial"/>
        </w:rPr>
        <w:t>Tower Hamlets Early Help Strategy 2025–2028</w:t>
      </w:r>
      <w:r w:rsidRPr="008D53E5">
        <w:rPr>
          <w:rStyle w:val="s1"/>
          <w:rFonts w:ascii="Arial" w:hAnsi="Arial" w:cs="Arial"/>
        </w:rPr>
        <w:t>. Available at: Tower Hamlets Council website (Accessed: 7 April 2026).</w:t>
      </w:r>
      <w:r w:rsidRPr="008D53E5">
        <w:rPr>
          <w:rStyle w:val="apple-converted-space"/>
          <w:rFonts w:ascii="Arial" w:hAnsi="Arial" w:cs="Arial"/>
        </w:rPr>
        <w:t xml:space="preserve">  </w:t>
      </w:r>
    </w:p>
    <w:p w14:paraId="01DD9E85" w14:textId="77777777" w:rsidR="00BD1ACB" w:rsidRPr="008D53E5" w:rsidRDefault="00BD1ACB">
      <w:pPr>
        <w:pStyle w:val="p2"/>
        <w:rPr>
          <w:rFonts w:ascii="Arial" w:hAnsi="Arial" w:cs="Arial"/>
        </w:rPr>
      </w:pPr>
    </w:p>
    <w:p w14:paraId="2E170AB7" w14:textId="77777777" w:rsidR="00BD1ACB" w:rsidRPr="008D53E5" w:rsidRDefault="00BD1ACB">
      <w:pPr>
        <w:pStyle w:val="p1"/>
        <w:rPr>
          <w:rFonts w:ascii="Arial" w:hAnsi="Arial" w:cs="Arial"/>
        </w:rPr>
      </w:pPr>
      <w:proofErr w:type="spellStart"/>
      <w:r w:rsidRPr="008D53E5">
        <w:rPr>
          <w:rStyle w:val="s1"/>
          <w:rFonts w:ascii="Arial" w:hAnsi="Arial" w:cs="Arial"/>
        </w:rPr>
        <w:t>Valabhji</w:t>
      </w:r>
      <w:proofErr w:type="spellEnd"/>
      <w:r w:rsidRPr="008D53E5">
        <w:rPr>
          <w:rStyle w:val="s1"/>
          <w:rFonts w:ascii="Arial" w:hAnsi="Arial" w:cs="Arial"/>
        </w:rPr>
        <w:t xml:space="preserve">, J., Barron, E., Bradley, D., </w:t>
      </w:r>
      <w:proofErr w:type="spellStart"/>
      <w:r w:rsidRPr="008D53E5">
        <w:rPr>
          <w:rStyle w:val="s1"/>
          <w:rFonts w:ascii="Arial" w:hAnsi="Arial" w:cs="Arial"/>
        </w:rPr>
        <w:t>Bakhai</w:t>
      </w:r>
      <w:proofErr w:type="spellEnd"/>
      <w:r w:rsidRPr="008D53E5">
        <w:rPr>
          <w:rStyle w:val="s1"/>
          <w:rFonts w:ascii="Arial" w:hAnsi="Arial" w:cs="Arial"/>
        </w:rPr>
        <w:t xml:space="preserve">, C., </w:t>
      </w:r>
      <w:proofErr w:type="spellStart"/>
      <w:r w:rsidRPr="008D53E5">
        <w:rPr>
          <w:rStyle w:val="s1"/>
          <w:rFonts w:ascii="Arial" w:hAnsi="Arial" w:cs="Arial"/>
        </w:rPr>
        <w:t>Fagg</w:t>
      </w:r>
      <w:proofErr w:type="spellEnd"/>
      <w:r w:rsidRPr="008D53E5">
        <w:rPr>
          <w:rStyle w:val="s1"/>
          <w:rFonts w:ascii="Arial" w:hAnsi="Arial" w:cs="Arial"/>
        </w:rPr>
        <w:t xml:space="preserve">, J., O’Neill, S., Young, B., Wareham, N., </w:t>
      </w:r>
      <w:proofErr w:type="spellStart"/>
      <w:r w:rsidRPr="008D53E5">
        <w:rPr>
          <w:rStyle w:val="s1"/>
          <w:rFonts w:ascii="Arial" w:hAnsi="Arial" w:cs="Arial"/>
        </w:rPr>
        <w:t>Khunti</w:t>
      </w:r>
      <w:proofErr w:type="spellEnd"/>
      <w:r w:rsidRPr="008D53E5">
        <w:rPr>
          <w:rStyle w:val="s1"/>
          <w:rFonts w:ascii="Arial" w:hAnsi="Arial" w:cs="Arial"/>
        </w:rPr>
        <w:t xml:space="preserve">, K., </w:t>
      </w:r>
      <w:proofErr w:type="spellStart"/>
      <w:r w:rsidRPr="008D53E5">
        <w:rPr>
          <w:rStyle w:val="s1"/>
          <w:rFonts w:ascii="Arial" w:hAnsi="Arial" w:cs="Arial"/>
        </w:rPr>
        <w:t>Jebb</w:t>
      </w:r>
      <w:proofErr w:type="spellEnd"/>
      <w:r w:rsidRPr="008D53E5">
        <w:rPr>
          <w:rStyle w:val="s1"/>
          <w:rFonts w:ascii="Arial" w:hAnsi="Arial" w:cs="Arial"/>
        </w:rPr>
        <w:t xml:space="preserve">, S. and Smith, J. (2020) ‘Early outcomes from the English National Health Service Diabetes Prevention Programme’, </w:t>
      </w:r>
      <w:r w:rsidRPr="008D53E5">
        <w:rPr>
          <w:rStyle w:val="s2"/>
          <w:rFonts w:ascii="Arial" w:hAnsi="Arial" w:cs="Arial"/>
        </w:rPr>
        <w:t>Diabetes Care</w:t>
      </w:r>
      <w:r w:rsidRPr="008D53E5">
        <w:rPr>
          <w:rStyle w:val="s1"/>
          <w:rFonts w:ascii="Arial" w:hAnsi="Arial" w:cs="Arial"/>
        </w:rPr>
        <w:t>, 43(1), pp. 152–160. Available at: DOI 10.2337/dc19-1425.</w:t>
      </w:r>
      <w:r w:rsidRPr="008D53E5">
        <w:rPr>
          <w:rStyle w:val="apple-converted-space"/>
          <w:rFonts w:ascii="Arial" w:hAnsi="Arial" w:cs="Arial"/>
        </w:rPr>
        <w:t xml:space="preserve">  </w:t>
      </w:r>
    </w:p>
    <w:p w14:paraId="4502E360" w14:textId="77777777" w:rsidR="00BD1ACB" w:rsidRPr="008D53E5" w:rsidRDefault="00BD1ACB">
      <w:pPr>
        <w:pStyle w:val="p2"/>
        <w:rPr>
          <w:rFonts w:ascii="Arial" w:hAnsi="Arial" w:cs="Arial"/>
        </w:rPr>
      </w:pPr>
    </w:p>
    <w:p w14:paraId="1AD9C301" w14:textId="77777777" w:rsidR="00BD1ACB" w:rsidRPr="008D53E5" w:rsidRDefault="00BD1ACB">
      <w:pPr>
        <w:pStyle w:val="p1"/>
        <w:rPr>
          <w:rFonts w:ascii="Arial" w:hAnsi="Arial" w:cs="Arial"/>
        </w:rPr>
      </w:pPr>
      <w:r w:rsidRPr="008D53E5">
        <w:rPr>
          <w:rStyle w:val="s1"/>
          <w:rFonts w:ascii="Arial" w:hAnsi="Arial" w:cs="Arial"/>
        </w:rPr>
        <w:t xml:space="preserve">WHO (2024) </w:t>
      </w:r>
      <w:r w:rsidRPr="008D53E5">
        <w:rPr>
          <w:rStyle w:val="s2"/>
          <w:rFonts w:ascii="Arial" w:hAnsi="Arial" w:cs="Arial"/>
        </w:rPr>
        <w:t>Diabetes</w:t>
      </w:r>
      <w:r w:rsidRPr="008D53E5">
        <w:rPr>
          <w:rStyle w:val="s1"/>
          <w:rFonts w:ascii="Arial" w:hAnsi="Arial" w:cs="Arial"/>
        </w:rPr>
        <w:t>. Available at: World Health Organization website (Accessed: 7 April 2026).</w:t>
      </w:r>
      <w:r w:rsidRPr="008D53E5">
        <w:rPr>
          <w:rStyle w:val="apple-converted-space"/>
          <w:rFonts w:ascii="Arial" w:hAnsi="Arial" w:cs="Arial"/>
        </w:rPr>
        <w:t xml:space="preserve">  </w:t>
      </w:r>
    </w:p>
    <w:p w14:paraId="2F1AAAC5" w14:textId="77777777" w:rsidR="00BD1ACB" w:rsidRPr="008D53E5" w:rsidRDefault="00BD1ACB">
      <w:pPr>
        <w:pStyle w:val="p2"/>
        <w:rPr>
          <w:rFonts w:ascii="Arial" w:hAnsi="Arial" w:cs="Arial"/>
        </w:rPr>
      </w:pPr>
    </w:p>
    <w:p w14:paraId="2D162441" w14:textId="77777777" w:rsidR="00BD1ACB" w:rsidRPr="008D53E5" w:rsidRDefault="00BD1ACB">
      <w:pPr>
        <w:pStyle w:val="p1"/>
        <w:rPr>
          <w:rFonts w:ascii="Arial" w:hAnsi="Arial" w:cs="Arial"/>
        </w:rPr>
      </w:pPr>
      <w:r w:rsidRPr="008D53E5">
        <w:rPr>
          <w:rStyle w:val="s1"/>
          <w:rFonts w:ascii="Arial" w:hAnsi="Arial" w:cs="Arial"/>
        </w:rPr>
        <w:t xml:space="preserve">Whyte, M.B., Hinton, W., McGovern, A., et al. (2019) ‘Disparities in glycaemic control, monitoring, and treatment of type 2 diabetes in England: a retrospective cohort analysis’, </w:t>
      </w:r>
      <w:r w:rsidRPr="008D53E5">
        <w:rPr>
          <w:rStyle w:val="s2"/>
          <w:rFonts w:ascii="Arial" w:hAnsi="Arial" w:cs="Arial"/>
        </w:rPr>
        <w:t>PLoS Medicine</w:t>
      </w:r>
      <w:r w:rsidRPr="008D53E5">
        <w:rPr>
          <w:rStyle w:val="s1"/>
          <w:rFonts w:ascii="Arial" w:hAnsi="Arial" w:cs="Arial"/>
        </w:rPr>
        <w:t>, 16(10). Available at: DOI 10.1371/journal.pmed.1002942.</w:t>
      </w:r>
      <w:r w:rsidRPr="008D53E5">
        <w:rPr>
          <w:rStyle w:val="apple-converted-space"/>
          <w:rFonts w:ascii="Arial" w:hAnsi="Arial" w:cs="Arial"/>
        </w:rPr>
        <w:t xml:space="preserve">  </w:t>
      </w:r>
    </w:p>
    <w:p w14:paraId="45799F8A" w14:textId="77777777" w:rsidR="00BD1ACB" w:rsidRPr="008D53E5" w:rsidRDefault="00BD1ACB">
      <w:pPr>
        <w:pStyle w:val="p2"/>
        <w:rPr>
          <w:rFonts w:ascii="Arial" w:hAnsi="Arial" w:cs="Arial"/>
        </w:rPr>
      </w:pPr>
    </w:p>
    <w:p w14:paraId="65EA4760" w14:textId="77777777" w:rsidR="00BD1ACB" w:rsidRPr="008D53E5" w:rsidRDefault="00BD1ACB">
      <w:pPr>
        <w:pStyle w:val="p1"/>
        <w:rPr>
          <w:rFonts w:ascii="Arial" w:hAnsi="Arial" w:cs="Arial"/>
        </w:rPr>
      </w:pPr>
      <w:proofErr w:type="spellStart"/>
      <w:r w:rsidRPr="008D53E5">
        <w:rPr>
          <w:rStyle w:val="s1"/>
          <w:rFonts w:ascii="Arial" w:hAnsi="Arial" w:cs="Arial"/>
        </w:rPr>
        <w:t>Zelniker</w:t>
      </w:r>
      <w:proofErr w:type="spellEnd"/>
      <w:r w:rsidRPr="008D53E5">
        <w:rPr>
          <w:rStyle w:val="s1"/>
          <w:rFonts w:ascii="Arial" w:hAnsi="Arial" w:cs="Arial"/>
        </w:rPr>
        <w:t xml:space="preserve">, T.A., </w:t>
      </w:r>
      <w:proofErr w:type="spellStart"/>
      <w:r w:rsidRPr="008D53E5">
        <w:rPr>
          <w:rStyle w:val="s1"/>
          <w:rFonts w:ascii="Arial" w:hAnsi="Arial" w:cs="Arial"/>
        </w:rPr>
        <w:t>Wiviott</w:t>
      </w:r>
      <w:proofErr w:type="spellEnd"/>
      <w:r w:rsidRPr="008D53E5">
        <w:rPr>
          <w:rStyle w:val="s1"/>
          <w:rFonts w:ascii="Arial" w:hAnsi="Arial" w:cs="Arial"/>
        </w:rPr>
        <w:t xml:space="preserve">, S.D., </w:t>
      </w:r>
      <w:proofErr w:type="spellStart"/>
      <w:r w:rsidRPr="008D53E5">
        <w:rPr>
          <w:rStyle w:val="s1"/>
          <w:rFonts w:ascii="Arial" w:hAnsi="Arial" w:cs="Arial"/>
        </w:rPr>
        <w:t>Raz</w:t>
      </w:r>
      <w:proofErr w:type="spellEnd"/>
      <w:r w:rsidRPr="008D53E5">
        <w:rPr>
          <w:rStyle w:val="s1"/>
          <w:rFonts w:ascii="Arial" w:hAnsi="Arial" w:cs="Arial"/>
        </w:rPr>
        <w:t xml:space="preserve">, I., Im, K., Goodrich, E.L., </w:t>
      </w:r>
      <w:proofErr w:type="spellStart"/>
      <w:r w:rsidRPr="008D53E5">
        <w:rPr>
          <w:rStyle w:val="s1"/>
          <w:rFonts w:ascii="Arial" w:hAnsi="Arial" w:cs="Arial"/>
        </w:rPr>
        <w:t>Bonaca</w:t>
      </w:r>
      <w:proofErr w:type="spellEnd"/>
      <w:r w:rsidRPr="008D53E5">
        <w:rPr>
          <w:rStyle w:val="s1"/>
          <w:rFonts w:ascii="Arial" w:hAnsi="Arial" w:cs="Arial"/>
        </w:rPr>
        <w:t xml:space="preserve">, M.P., </w:t>
      </w:r>
      <w:proofErr w:type="spellStart"/>
      <w:r w:rsidRPr="008D53E5">
        <w:rPr>
          <w:rStyle w:val="s1"/>
          <w:rFonts w:ascii="Arial" w:hAnsi="Arial" w:cs="Arial"/>
        </w:rPr>
        <w:t>Mosenzon</w:t>
      </w:r>
      <w:proofErr w:type="spellEnd"/>
      <w:r w:rsidRPr="008D53E5">
        <w:rPr>
          <w:rStyle w:val="s1"/>
          <w:rFonts w:ascii="Arial" w:hAnsi="Arial" w:cs="Arial"/>
        </w:rPr>
        <w:t xml:space="preserve">, O., Kato, E.T., Cahn, A., Furtado, R.H.M., Bhatt, D.L., Leiter, L.A., McGuire, D.K., Wilding, J.P.H. and </w:t>
      </w:r>
      <w:proofErr w:type="spellStart"/>
      <w:r w:rsidRPr="008D53E5">
        <w:rPr>
          <w:rStyle w:val="s1"/>
          <w:rFonts w:ascii="Arial" w:hAnsi="Arial" w:cs="Arial"/>
        </w:rPr>
        <w:t>Sabatine</w:t>
      </w:r>
      <w:proofErr w:type="spellEnd"/>
      <w:r w:rsidRPr="008D53E5">
        <w:rPr>
          <w:rStyle w:val="s1"/>
          <w:rFonts w:ascii="Arial" w:hAnsi="Arial" w:cs="Arial"/>
        </w:rPr>
        <w:t xml:space="preserve">, M.S. (2019) ‘SGLT2 inhibitors for primary and secondary prevention of cardiovascular and renal outcomes in type 2 diabetes: a systematic review and meta-analysis of cardiovascular outcome trials’, </w:t>
      </w:r>
      <w:r w:rsidRPr="008D53E5">
        <w:rPr>
          <w:rStyle w:val="s2"/>
          <w:rFonts w:ascii="Arial" w:hAnsi="Arial" w:cs="Arial"/>
        </w:rPr>
        <w:t>The Lancet</w:t>
      </w:r>
      <w:r w:rsidRPr="008D53E5">
        <w:rPr>
          <w:rStyle w:val="s1"/>
          <w:rFonts w:ascii="Arial" w:hAnsi="Arial" w:cs="Arial"/>
        </w:rPr>
        <w:t>, 393(10166), pp. 31–39. Available at: DOI 10.1016/S0140-6736(18)32590-X.</w:t>
      </w:r>
      <w:r w:rsidRPr="008D53E5">
        <w:rPr>
          <w:rStyle w:val="apple-converted-space"/>
          <w:rFonts w:ascii="Arial" w:hAnsi="Arial" w:cs="Arial"/>
        </w:rPr>
        <w:t xml:space="preserve">  </w:t>
      </w:r>
    </w:p>
    <w:p w14:paraId="4997A98A" w14:textId="77777777" w:rsidR="008568DD" w:rsidRPr="008D53E5" w:rsidRDefault="008568DD">
      <w:pPr>
        <w:rPr>
          <w:rFonts w:ascii="Arial" w:hAnsi="Arial" w:cs="Arial"/>
        </w:rPr>
      </w:pPr>
    </w:p>
    <w:sectPr w:rsidR="008568DD" w:rsidRPr="008D53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21485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B9487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1106E1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4555A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221F5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90145785">
    <w:abstractNumId w:val="0"/>
  </w:num>
  <w:num w:numId="2" w16cid:durableId="1592084144">
    <w:abstractNumId w:val="2"/>
  </w:num>
  <w:num w:numId="3" w16cid:durableId="1312364572">
    <w:abstractNumId w:val="3"/>
  </w:num>
  <w:num w:numId="4" w16cid:durableId="1364136565">
    <w:abstractNumId w:val="4"/>
  </w:num>
  <w:num w:numId="5" w16cid:durableId="7118822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C08"/>
    <w:rsid w:val="0003559C"/>
    <w:rsid w:val="00084640"/>
    <w:rsid w:val="001007D8"/>
    <w:rsid w:val="001157B5"/>
    <w:rsid w:val="001347A6"/>
    <w:rsid w:val="00144D33"/>
    <w:rsid w:val="00180EA3"/>
    <w:rsid w:val="001B745E"/>
    <w:rsid w:val="001E309E"/>
    <w:rsid w:val="00220002"/>
    <w:rsid w:val="00240A1D"/>
    <w:rsid w:val="002A7D15"/>
    <w:rsid w:val="002D3C29"/>
    <w:rsid w:val="002D63B4"/>
    <w:rsid w:val="002E0821"/>
    <w:rsid w:val="00304CE9"/>
    <w:rsid w:val="003359A2"/>
    <w:rsid w:val="00361D75"/>
    <w:rsid w:val="00370C0E"/>
    <w:rsid w:val="003B1BB9"/>
    <w:rsid w:val="003D7E19"/>
    <w:rsid w:val="004157FF"/>
    <w:rsid w:val="00440B90"/>
    <w:rsid w:val="005502B3"/>
    <w:rsid w:val="005663D2"/>
    <w:rsid w:val="00576B91"/>
    <w:rsid w:val="005B5472"/>
    <w:rsid w:val="005D34AC"/>
    <w:rsid w:val="005E2033"/>
    <w:rsid w:val="005F5F05"/>
    <w:rsid w:val="006436B0"/>
    <w:rsid w:val="00666BEF"/>
    <w:rsid w:val="006A2947"/>
    <w:rsid w:val="006B7318"/>
    <w:rsid w:val="007416CC"/>
    <w:rsid w:val="007552C7"/>
    <w:rsid w:val="00766BDB"/>
    <w:rsid w:val="00797B1B"/>
    <w:rsid w:val="007A5C67"/>
    <w:rsid w:val="007B2E4A"/>
    <w:rsid w:val="007B55A6"/>
    <w:rsid w:val="007E789D"/>
    <w:rsid w:val="00810517"/>
    <w:rsid w:val="008568DD"/>
    <w:rsid w:val="008D43F3"/>
    <w:rsid w:val="008D4CB1"/>
    <w:rsid w:val="008D53E5"/>
    <w:rsid w:val="008E162F"/>
    <w:rsid w:val="00914620"/>
    <w:rsid w:val="009376BE"/>
    <w:rsid w:val="0095181E"/>
    <w:rsid w:val="0095612E"/>
    <w:rsid w:val="009829D6"/>
    <w:rsid w:val="009A1B0B"/>
    <w:rsid w:val="009B599E"/>
    <w:rsid w:val="009F7D85"/>
    <w:rsid w:val="00A1401D"/>
    <w:rsid w:val="00A22FE1"/>
    <w:rsid w:val="00A33049"/>
    <w:rsid w:val="00AA2CA4"/>
    <w:rsid w:val="00AA70D9"/>
    <w:rsid w:val="00AB70C8"/>
    <w:rsid w:val="00AE26A6"/>
    <w:rsid w:val="00B40CFC"/>
    <w:rsid w:val="00B565A4"/>
    <w:rsid w:val="00B71FE0"/>
    <w:rsid w:val="00B90913"/>
    <w:rsid w:val="00B91BC4"/>
    <w:rsid w:val="00BA21E2"/>
    <w:rsid w:val="00BC2725"/>
    <w:rsid w:val="00BD1ACB"/>
    <w:rsid w:val="00C07F74"/>
    <w:rsid w:val="00C62279"/>
    <w:rsid w:val="00C63BEC"/>
    <w:rsid w:val="00C675E3"/>
    <w:rsid w:val="00CA2FA9"/>
    <w:rsid w:val="00D10DF1"/>
    <w:rsid w:val="00D24ED0"/>
    <w:rsid w:val="00D34E6D"/>
    <w:rsid w:val="00D418E2"/>
    <w:rsid w:val="00D669F0"/>
    <w:rsid w:val="00D86FA9"/>
    <w:rsid w:val="00E1103C"/>
    <w:rsid w:val="00ED7D97"/>
    <w:rsid w:val="00EE7E7A"/>
    <w:rsid w:val="00F23FF0"/>
    <w:rsid w:val="00F62168"/>
    <w:rsid w:val="00F727A4"/>
    <w:rsid w:val="00F76D5B"/>
    <w:rsid w:val="00F9162D"/>
    <w:rsid w:val="00FA2E1A"/>
    <w:rsid w:val="00FD42A3"/>
    <w:rsid w:val="00FF19DE"/>
    <w:rsid w:val="00FF5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FD54C7"/>
  <w15:chartTrackingRefBased/>
  <w15:docId w15:val="{55219D97-5592-A34F-9D74-230EEC3AD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5C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5C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5C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5C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5C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5C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5C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5C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5C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C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5C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5C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5C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5C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5C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5C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5C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5C08"/>
    <w:rPr>
      <w:rFonts w:eastAsiaTheme="majorEastAsia" w:cstheme="majorBidi"/>
      <w:color w:val="272727" w:themeColor="text1" w:themeTint="D8"/>
    </w:rPr>
  </w:style>
  <w:style w:type="paragraph" w:styleId="Title">
    <w:name w:val="Title"/>
    <w:basedOn w:val="Normal"/>
    <w:next w:val="Normal"/>
    <w:link w:val="TitleChar"/>
    <w:uiPriority w:val="10"/>
    <w:qFormat/>
    <w:rsid w:val="00FF5C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5C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5C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5C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5C08"/>
    <w:pPr>
      <w:spacing w:before="160"/>
      <w:jc w:val="center"/>
    </w:pPr>
    <w:rPr>
      <w:i/>
      <w:iCs/>
      <w:color w:val="404040" w:themeColor="text1" w:themeTint="BF"/>
    </w:rPr>
  </w:style>
  <w:style w:type="character" w:customStyle="1" w:styleId="QuoteChar">
    <w:name w:val="Quote Char"/>
    <w:basedOn w:val="DefaultParagraphFont"/>
    <w:link w:val="Quote"/>
    <w:uiPriority w:val="29"/>
    <w:rsid w:val="00FF5C08"/>
    <w:rPr>
      <w:i/>
      <w:iCs/>
      <w:color w:val="404040" w:themeColor="text1" w:themeTint="BF"/>
    </w:rPr>
  </w:style>
  <w:style w:type="paragraph" w:styleId="ListParagraph">
    <w:name w:val="List Paragraph"/>
    <w:basedOn w:val="Normal"/>
    <w:uiPriority w:val="34"/>
    <w:qFormat/>
    <w:rsid w:val="00FF5C08"/>
    <w:pPr>
      <w:ind w:left="720"/>
      <w:contextualSpacing/>
    </w:pPr>
  </w:style>
  <w:style w:type="character" w:styleId="IntenseEmphasis">
    <w:name w:val="Intense Emphasis"/>
    <w:basedOn w:val="DefaultParagraphFont"/>
    <w:uiPriority w:val="21"/>
    <w:qFormat/>
    <w:rsid w:val="00FF5C08"/>
    <w:rPr>
      <w:i/>
      <w:iCs/>
      <w:color w:val="0F4761" w:themeColor="accent1" w:themeShade="BF"/>
    </w:rPr>
  </w:style>
  <w:style w:type="paragraph" w:styleId="IntenseQuote">
    <w:name w:val="Intense Quote"/>
    <w:basedOn w:val="Normal"/>
    <w:next w:val="Normal"/>
    <w:link w:val="IntenseQuoteChar"/>
    <w:uiPriority w:val="30"/>
    <w:qFormat/>
    <w:rsid w:val="00FF5C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5C08"/>
    <w:rPr>
      <w:i/>
      <w:iCs/>
      <w:color w:val="0F4761" w:themeColor="accent1" w:themeShade="BF"/>
    </w:rPr>
  </w:style>
  <w:style w:type="character" w:styleId="IntenseReference">
    <w:name w:val="Intense Reference"/>
    <w:basedOn w:val="DefaultParagraphFont"/>
    <w:uiPriority w:val="32"/>
    <w:qFormat/>
    <w:rsid w:val="00FF5C08"/>
    <w:rPr>
      <w:b/>
      <w:bCs/>
      <w:smallCaps/>
      <w:color w:val="0F4761" w:themeColor="accent1" w:themeShade="BF"/>
      <w:spacing w:val="5"/>
    </w:rPr>
  </w:style>
  <w:style w:type="paragraph" w:customStyle="1" w:styleId="w7sjnrxzl6krnffuzhqe">
    <w:name w:val="w7sjnrxzl6krnffuzhqe"/>
    <w:basedOn w:val="Normal"/>
    <w:rsid w:val="005D34AC"/>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C07F74"/>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C07F74"/>
  </w:style>
  <w:style w:type="character" w:customStyle="1" w:styleId="s2">
    <w:name w:val="s2"/>
    <w:basedOn w:val="DefaultParagraphFont"/>
    <w:rsid w:val="00C07F74"/>
  </w:style>
  <w:style w:type="character" w:customStyle="1" w:styleId="apple-converted-space">
    <w:name w:val="apple-converted-space"/>
    <w:basedOn w:val="DefaultParagraphFont"/>
    <w:rsid w:val="00C07F74"/>
  </w:style>
  <w:style w:type="paragraph" w:customStyle="1" w:styleId="p2">
    <w:name w:val="p2"/>
    <w:basedOn w:val="Normal"/>
    <w:rsid w:val="00C07F74"/>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C07F74"/>
    <w:rPr>
      <w:color w:val="467886" w:themeColor="hyperlink"/>
      <w:u w:val="single"/>
    </w:rPr>
  </w:style>
  <w:style w:type="character" w:styleId="UnresolvedMention">
    <w:name w:val="Unresolved Mention"/>
    <w:basedOn w:val="DefaultParagraphFont"/>
    <w:uiPriority w:val="99"/>
    <w:semiHidden/>
    <w:unhideWhenUsed/>
    <w:rsid w:val="00C07F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4824</Words>
  <Characters>27500</Characters>
  <Application>Microsoft Office Word</Application>
  <DocSecurity>0</DocSecurity>
  <Lines>229</Lines>
  <Paragraphs>64</Paragraphs>
  <ScaleCrop>false</ScaleCrop>
  <Company/>
  <LinksUpToDate>false</LinksUpToDate>
  <CharactersWithSpaces>32260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Patience Edo (2220883)</dc:creator>
  <cp:keywords/>
  <dc:description/>
  <cp:lastModifiedBy>Patience Edo (2220883)</cp:lastModifiedBy>
  <cp:revision>2</cp:revision>
  <dcterms:created xsi:type="dcterms:W3CDTF">2026-04-09T16:33:00Z</dcterms:created>
  <dcterms:modified xsi:type="dcterms:W3CDTF">2026-04-09T16:33:00Z</dcterms:modified>
</cp:coreProperties>
</file>