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90103" w14:textId="4F758277" w:rsidR="002A138F" w:rsidRDefault="002A138F">
      <w:r>
        <w:rPr>
          <w:noProof/>
        </w:rPr>
        <w:drawing>
          <wp:inline distT="0" distB="0" distL="0" distR="0" wp14:anchorId="21AA14B6" wp14:editId="0C592631">
            <wp:extent cx="3615070" cy="1870710"/>
            <wp:effectExtent l="0" t="0" r="444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728294" cy="1929301"/>
                    </a:xfrm>
                    <a:prstGeom prst="rect">
                      <a:avLst/>
                    </a:prstGeom>
                  </pic:spPr>
                </pic:pic>
              </a:graphicData>
            </a:graphic>
          </wp:inline>
        </w:drawing>
      </w:r>
    </w:p>
    <w:p w14:paraId="6A1AE253" w14:textId="246974DA" w:rsidR="002A138F" w:rsidRDefault="002A138F"/>
    <w:p w14:paraId="7CB49BD8" w14:textId="37CBA6B4" w:rsidR="002A138F" w:rsidRDefault="002A138F"/>
    <w:p w14:paraId="1AC71D56" w14:textId="63BD2CD4" w:rsidR="002A138F" w:rsidRDefault="002A138F"/>
    <w:p w14:paraId="6B6DB0E2" w14:textId="6A27AF35" w:rsidR="002A138F" w:rsidRDefault="002A138F"/>
    <w:p w14:paraId="0F796DAE" w14:textId="4071757E" w:rsidR="002A138F" w:rsidRDefault="002A138F"/>
    <w:p w14:paraId="5BB52EF9" w14:textId="50D7FC3E" w:rsidR="002A138F" w:rsidRDefault="002A138F"/>
    <w:p w14:paraId="08F4C50C" w14:textId="3B3CA0E5" w:rsidR="002A138F" w:rsidRDefault="002A138F"/>
    <w:p w14:paraId="1FF53A66" w14:textId="659A57BF" w:rsidR="002A138F" w:rsidRPr="002A138F" w:rsidRDefault="002A138F">
      <w:pPr>
        <w:rPr>
          <w:sz w:val="72"/>
          <w:szCs w:val="72"/>
        </w:rPr>
      </w:pPr>
      <w:r>
        <w:t xml:space="preserve">                                  </w:t>
      </w:r>
      <w:proofErr w:type="gramStart"/>
      <w:r w:rsidRPr="002A138F">
        <w:rPr>
          <w:sz w:val="72"/>
          <w:szCs w:val="72"/>
        </w:rPr>
        <w:t>ACADEMIC  SKILLS</w:t>
      </w:r>
      <w:proofErr w:type="gramEnd"/>
    </w:p>
    <w:p w14:paraId="07B98A6E" w14:textId="740065BD" w:rsidR="002A138F" w:rsidRDefault="002A138F"/>
    <w:p w14:paraId="4E4C0450" w14:textId="554E4641" w:rsidR="002A138F" w:rsidRDefault="002A138F"/>
    <w:p w14:paraId="36EA199C" w14:textId="4DE54206" w:rsidR="002A138F" w:rsidRDefault="002A138F"/>
    <w:p w14:paraId="6F22BD8A" w14:textId="22CE3D69" w:rsidR="002A138F" w:rsidRDefault="002A138F"/>
    <w:p w14:paraId="5D16BCBC" w14:textId="0FE75863" w:rsidR="002A138F" w:rsidRDefault="002A138F"/>
    <w:p w14:paraId="393692F9" w14:textId="7DB13F75" w:rsidR="002A138F" w:rsidRDefault="002A138F"/>
    <w:p w14:paraId="13DC6604" w14:textId="09425A55" w:rsidR="002A138F" w:rsidRDefault="002A138F"/>
    <w:p w14:paraId="51902F2B" w14:textId="236E589E" w:rsidR="002A138F" w:rsidRDefault="002A138F"/>
    <w:p w14:paraId="5B4A70A0" w14:textId="51CF920D" w:rsidR="002A138F" w:rsidRDefault="002A138F"/>
    <w:p w14:paraId="2322D417" w14:textId="0A2F4841" w:rsidR="002A138F" w:rsidRDefault="002A138F"/>
    <w:p w14:paraId="52F3AD8B" w14:textId="695595B8" w:rsidR="002A138F" w:rsidRDefault="002A138F"/>
    <w:p w14:paraId="135DA716" w14:textId="0ADFB868" w:rsidR="002A138F" w:rsidRDefault="002A138F"/>
    <w:p w14:paraId="43B23736" w14:textId="26FCECC2" w:rsidR="002A138F" w:rsidRDefault="002A138F"/>
    <w:p w14:paraId="501395A8" w14:textId="1A613D4D" w:rsidR="002A138F" w:rsidRDefault="002A138F"/>
    <w:p w14:paraId="1F7982B3" w14:textId="1397CAB2" w:rsidR="002A138F" w:rsidRDefault="002A138F"/>
    <w:p w14:paraId="4147D4F2" w14:textId="7BC13049" w:rsidR="002A138F" w:rsidRDefault="002A138F"/>
    <w:p w14:paraId="3D6661B2" w14:textId="1BBEC933" w:rsidR="002A138F" w:rsidRDefault="002A138F"/>
    <w:p w14:paraId="013973B6" w14:textId="77777777" w:rsidR="002A138F" w:rsidRDefault="002A138F"/>
    <w:p w14:paraId="35742404" w14:textId="43967070" w:rsidR="002A138F" w:rsidRDefault="002A138F"/>
    <w:p w14:paraId="7D64615C" w14:textId="0EF7FD1D" w:rsidR="002A138F" w:rsidRDefault="002A138F"/>
    <w:p w14:paraId="4E74D8B7" w14:textId="2C9A533C" w:rsidR="002A138F" w:rsidRPr="00515A6F" w:rsidRDefault="00515A6F">
      <w:pPr>
        <w:rPr>
          <w:sz w:val="32"/>
          <w:szCs w:val="32"/>
        </w:rPr>
      </w:pPr>
      <w:r>
        <w:rPr>
          <w:sz w:val="32"/>
          <w:szCs w:val="32"/>
        </w:rPr>
        <w:t>Subject: Individual report 1</w:t>
      </w:r>
    </w:p>
    <w:p w14:paraId="1864B603" w14:textId="4AD1A287" w:rsidR="002A138F" w:rsidRPr="00515A6F" w:rsidRDefault="002A138F">
      <w:pPr>
        <w:rPr>
          <w:sz w:val="32"/>
          <w:szCs w:val="32"/>
        </w:rPr>
      </w:pPr>
      <w:r w:rsidRPr="00515A6F">
        <w:rPr>
          <w:sz w:val="32"/>
          <w:szCs w:val="32"/>
        </w:rPr>
        <w:t>Module code:</w:t>
      </w:r>
      <w:r w:rsidR="00515A6F">
        <w:rPr>
          <w:sz w:val="32"/>
          <w:szCs w:val="32"/>
        </w:rPr>
        <w:t xml:space="preserve"> (LCBB4006)</w:t>
      </w:r>
    </w:p>
    <w:p w14:paraId="640E93BD" w14:textId="712C8B6E" w:rsidR="002A138F" w:rsidRPr="00515A6F" w:rsidRDefault="002A138F">
      <w:pPr>
        <w:rPr>
          <w:sz w:val="32"/>
          <w:szCs w:val="32"/>
        </w:rPr>
      </w:pPr>
      <w:r w:rsidRPr="00515A6F">
        <w:rPr>
          <w:sz w:val="32"/>
          <w:szCs w:val="32"/>
        </w:rPr>
        <w:t xml:space="preserve">Student name: Mihaela </w:t>
      </w:r>
      <w:proofErr w:type="spellStart"/>
      <w:r w:rsidRPr="00515A6F">
        <w:rPr>
          <w:sz w:val="32"/>
          <w:szCs w:val="32"/>
        </w:rPr>
        <w:t>Moraru</w:t>
      </w:r>
      <w:proofErr w:type="spellEnd"/>
    </w:p>
    <w:p w14:paraId="54EDF1A5" w14:textId="6B8D9DCC" w:rsidR="002A138F" w:rsidRPr="00515A6F" w:rsidRDefault="002A138F">
      <w:pPr>
        <w:rPr>
          <w:sz w:val="32"/>
          <w:szCs w:val="32"/>
        </w:rPr>
      </w:pPr>
      <w:r w:rsidRPr="00515A6F">
        <w:rPr>
          <w:sz w:val="32"/>
          <w:szCs w:val="32"/>
        </w:rPr>
        <w:t>Student ID: 2113340</w:t>
      </w:r>
    </w:p>
    <w:p w14:paraId="32EB9C36" w14:textId="4C43F7FF" w:rsidR="002A138F" w:rsidRPr="00515A6F" w:rsidRDefault="002A138F" w:rsidP="006E7505">
      <w:pPr>
        <w:spacing w:before="30" w:after="30"/>
        <w:jc w:val="both"/>
        <w:rPr>
          <w:sz w:val="32"/>
          <w:szCs w:val="32"/>
        </w:rPr>
      </w:pPr>
      <w:r w:rsidRPr="00515A6F">
        <w:rPr>
          <w:sz w:val="32"/>
          <w:szCs w:val="32"/>
        </w:rPr>
        <w:t xml:space="preserve">Lecturer name: </w:t>
      </w:r>
      <w:proofErr w:type="spellStart"/>
      <w:r w:rsidRPr="00515A6F">
        <w:rPr>
          <w:sz w:val="32"/>
          <w:szCs w:val="32"/>
        </w:rPr>
        <w:t>Lizeta</w:t>
      </w:r>
      <w:proofErr w:type="spellEnd"/>
      <w:r w:rsidRPr="00515A6F">
        <w:rPr>
          <w:sz w:val="32"/>
          <w:szCs w:val="32"/>
        </w:rPr>
        <w:t xml:space="preserve"> D</w:t>
      </w:r>
      <w:r w:rsidR="00515A6F" w:rsidRPr="00515A6F">
        <w:rPr>
          <w:sz w:val="32"/>
          <w:szCs w:val="32"/>
        </w:rPr>
        <w:t>e</w:t>
      </w:r>
      <w:r w:rsidRPr="00515A6F">
        <w:rPr>
          <w:sz w:val="32"/>
          <w:szCs w:val="32"/>
        </w:rPr>
        <w:t>m</w:t>
      </w:r>
      <w:r w:rsidR="00515A6F" w:rsidRPr="00515A6F">
        <w:rPr>
          <w:sz w:val="32"/>
          <w:szCs w:val="32"/>
        </w:rPr>
        <w:t>e</w:t>
      </w:r>
      <w:r w:rsidRPr="00515A6F">
        <w:rPr>
          <w:sz w:val="32"/>
          <w:szCs w:val="32"/>
        </w:rPr>
        <w:t>triou</w:t>
      </w:r>
    </w:p>
    <w:p w14:paraId="45E41FF2" w14:textId="5BAA57C3" w:rsidR="002A138F" w:rsidRDefault="002A138F" w:rsidP="006E7505">
      <w:pPr>
        <w:spacing w:before="30" w:after="30"/>
        <w:jc w:val="both"/>
      </w:pPr>
    </w:p>
    <w:p w14:paraId="7B654F09" w14:textId="59A560C1" w:rsidR="002A138F" w:rsidRPr="00D157EF" w:rsidRDefault="00611C95" w:rsidP="006E7505">
      <w:pPr>
        <w:spacing w:before="30" w:after="30"/>
        <w:jc w:val="both"/>
        <w:rPr>
          <w:b/>
          <w:bCs/>
        </w:rPr>
      </w:pPr>
      <w:r w:rsidRPr="00D157EF">
        <w:rPr>
          <w:b/>
          <w:bCs/>
        </w:rPr>
        <w:t xml:space="preserve">INTRODUCTION </w:t>
      </w:r>
    </w:p>
    <w:p w14:paraId="09AC35A4" w14:textId="77777777" w:rsidR="00611C95" w:rsidRDefault="00611C95" w:rsidP="006E7505">
      <w:pPr>
        <w:spacing w:before="30" w:after="30"/>
        <w:jc w:val="both"/>
      </w:pPr>
      <w:r>
        <w:t>To think critically, one must objectively and methodically evaluate evidence or arguments in order to arrive at a sound judgement or conclusion. It comprises assessing the credibility of sources, acknowledging presumptions and biases, assessing the strength of the evidence, and considering alternative opinions or solutions.</w:t>
      </w:r>
    </w:p>
    <w:p w14:paraId="2E929252" w14:textId="77777777" w:rsidR="00611C95" w:rsidRDefault="00611C95" w:rsidP="006E7505">
      <w:pPr>
        <w:spacing w:before="30" w:after="30"/>
        <w:jc w:val="both"/>
      </w:pPr>
      <w:r>
        <w:t xml:space="preserve">To think critically, one must be open to fresh perspectives, eager to challenge preconceptions, and prepared to pose doubts about beliefs. For this, </w:t>
      </w:r>
      <w:proofErr w:type="gramStart"/>
      <w:r>
        <w:t>a number of</w:t>
      </w:r>
      <w:proofErr w:type="gramEnd"/>
      <w:r>
        <w:t xml:space="preserve"> skills, such as observation, analysis, interpretation, evaluation, and inference, are required.</w:t>
      </w:r>
    </w:p>
    <w:p w14:paraId="387DAD12" w14:textId="5A938908" w:rsidR="00611C95" w:rsidRDefault="00611C95" w:rsidP="006E7505">
      <w:pPr>
        <w:spacing w:before="30" w:after="30"/>
        <w:jc w:val="both"/>
      </w:pPr>
      <w:r>
        <w:t>In a range of situations, such as business, science, education, and daily decision-making, the capacity for critical thought is helpful. This report will examinate how critical thinking is an important skill in our life day by day, student life and how it is help us to take important decisions.</w:t>
      </w:r>
    </w:p>
    <w:p w14:paraId="31F3A57D" w14:textId="6B207144" w:rsidR="00611C95" w:rsidRDefault="00611C95" w:rsidP="006E7505">
      <w:pPr>
        <w:spacing w:before="30" w:after="30"/>
        <w:jc w:val="both"/>
      </w:pPr>
    </w:p>
    <w:p w14:paraId="56A63B22" w14:textId="423763E3" w:rsidR="00611C95" w:rsidRPr="00D157EF" w:rsidRDefault="00611C95" w:rsidP="006E7505">
      <w:pPr>
        <w:spacing w:before="30" w:after="30"/>
        <w:jc w:val="both"/>
        <w:rPr>
          <w:b/>
          <w:bCs/>
        </w:rPr>
      </w:pPr>
    </w:p>
    <w:p w14:paraId="61FFE1D1" w14:textId="7713FF5C" w:rsidR="00611C95" w:rsidRPr="00D157EF" w:rsidRDefault="00611C95" w:rsidP="006E7505">
      <w:pPr>
        <w:spacing w:before="30" w:after="30"/>
        <w:jc w:val="both"/>
        <w:rPr>
          <w:b/>
          <w:bCs/>
        </w:rPr>
      </w:pPr>
      <w:r w:rsidRPr="00D157EF">
        <w:rPr>
          <w:b/>
          <w:bCs/>
        </w:rPr>
        <w:t xml:space="preserve">CRITICAL THINKING </w:t>
      </w:r>
    </w:p>
    <w:p w14:paraId="0E38468E" w14:textId="77777777" w:rsidR="00611C95" w:rsidRDefault="00611C95" w:rsidP="006E7505">
      <w:pPr>
        <w:spacing w:before="30" w:after="30"/>
        <w:jc w:val="both"/>
      </w:pPr>
      <w:r>
        <w:t>Critical thinking is a highly valued academic skill in higher education.</w:t>
      </w:r>
    </w:p>
    <w:p w14:paraId="1FF77A26" w14:textId="77777777" w:rsidR="00611C95" w:rsidRDefault="00611C95" w:rsidP="006E7505">
      <w:pPr>
        <w:spacing w:before="30" w:after="30"/>
        <w:jc w:val="both"/>
      </w:pPr>
      <w:r>
        <w:t>Students' capacity to engage in critical thought about the material given in class, evaluate the validity of information sources, and draw well-informed judgements about complex issues is essential for academic achievement. Additionally, it gives students the ability to clearly express their own ideas and opinions in both written and oral presentations.</w:t>
      </w:r>
    </w:p>
    <w:p w14:paraId="553862E2" w14:textId="3EB4EC5D" w:rsidR="00611C95" w:rsidRDefault="00611C95" w:rsidP="006E7505">
      <w:pPr>
        <w:spacing w:before="30" w:after="30"/>
        <w:jc w:val="both"/>
      </w:pPr>
      <w:r>
        <w:t>In order to develop my critical thinking skills in an academic context, I am usually expected to engage in activities like assessing and evaluating arguments, taking part in discussions and debates, conducting research, and producing essays and research papers. These activities help me to develop into effective communicators, critical thinkers, and evidence-based decision-makers.</w:t>
      </w:r>
    </w:p>
    <w:p w14:paraId="3DDC8EEA" w14:textId="51638CC2" w:rsidR="00FD5C7A" w:rsidRDefault="00FD5C7A" w:rsidP="006E7505">
      <w:pPr>
        <w:spacing w:before="30" w:after="30"/>
        <w:jc w:val="both"/>
      </w:pPr>
    </w:p>
    <w:p w14:paraId="0FB7B0DF" w14:textId="77777777" w:rsidR="00FD5C7A" w:rsidRPr="009D2A07" w:rsidRDefault="00FD5C7A" w:rsidP="006E7505">
      <w:pPr>
        <w:spacing w:before="30" w:after="30"/>
        <w:jc w:val="both"/>
        <w:rPr>
          <w:b/>
          <w:bCs/>
          <w:sz w:val="32"/>
          <w:szCs w:val="32"/>
        </w:rPr>
      </w:pPr>
      <w:r w:rsidRPr="009D2A07">
        <w:rPr>
          <w:b/>
          <w:bCs/>
          <w:sz w:val="32"/>
          <w:szCs w:val="32"/>
        </w:rPr>
        <w:t xml:space="preserve">Critical thinking and note-taking according to Cottrell ‘’The study skills </w:t>
      </w:r>
      <w:proofErr w:type="gramStart"/>
      <w:r w:rsidRPr="009D2A07">
        <w:rPr>
          <w:b/>
          <w:bCs/>
          <w:sz w:val="32"/>
          <w:szCs w:val="32"/>
        </w:rPr>
        <w:t>handbook’’</w:t>
      </w:r>
      <w:proofErr w:type="gramEnd"/>
    </w:p>
    <w:p w14:paraId="731BE1F0" w14:textId="2A7D66D2" w:rsidR="00FD5C7A" w:rsidRDefault="00FD5C7A" w:rsidP="006E7505">
      <w:pPr>
        <w:spacing w:before="30" w:after="30"/>
        <w:jc w:val="both"/>
      </w:pPr>
      <w:r w:rsidRPr="00FD5C7A">
        <w:t>Critical thinking is thoroughly introduced in Stella Cottrell's Study Skills Handbook, a well-known guide for students on how to improve their academic performance. According to Cottrell, critical thinking requires:</w:t>
      </w:r>
    </w:p>
    <w:p w14:paraId="27DE3F29" w14:textId="2A1D52EC" w:rsidR="00FD5C7A" w:rsidRDefault="00FD5C7A" w:rsidP="006E7505">
      <w:pPr>
        <w:spacing w:before="30" w:after="30"/>
        <w:jc w:val="both"/>
      </w:pPr>
      <w:r w:rsidRPr="00FD5C7A">
        <w:t>Analysing and evaluating information:</w:t>
      </w:r>
      <w:r>
        <w:t xml:space="preserve"> </w:t>
      </w:r>
      <w:r w:rsidRPr="00FD5C7A">
        <w:t>This involves understanding how to examine and assess information, including identifying assumptions and biases and asking insightful questions to assess the reliability and authority of sources.</w:t>
      </w:r>
    </w:p>
    <w:p w14:paraId="4202FEBA" w14:textId="18E703D3" w:rsidR="00FD5C7A" w:rsidRDefault="00FD5C7A" w:rsidP="006E7505">
      <w:pPr>
        <w:spacing w:before="30" w:after="30"/>
        <w:jc w:val="both"/>
      </w:pPr>
      <w:r w:rsidRPr="00FD5C7A">
        <w:t>Understanding and recognising arguments:</w:t>
      </w:r>
      <w:r>
        <w:t xml:space="preserve"> </w:t>
      </w:r>
      <w:r w:rsidRPr="00FD5C7A">
        <w:t>This calls for the ability to understand and evaluate arguments, as well as to pinpoint their key components and weigh the relative merits of alternative arguments.</w:t>
      </w:r>
    </w:p>
    <w:p w14:paraId="718A7125" w14:textId="09A96205" w:rsidR="00FD5C7A" w:rsidRDefault="00FD5C7A" w:rsidP="006E7505">
      <w:pPr>
        <w:spacing w:before="30" w:after="30"/>
        <w:jc w:val="both"/>
      </w:pPr>
      <w:r w:rsidRPr="00FD5C7A">
        <w:t xml:space="preserve">Applying </w:t>
      </w:r>
      <w:proofErr w:type="gramStart"/>
      <w:r w:rsidRPr="00FD5C7A">
        <w:t>reasoning:</w:t>
      </w:r>
      <w:proofErr w:type="gramEnd"/>
      <w:r>
        <w:t xml:space="preserve"> </w:t>
      </w:r>
      <w:r w:rsidRPr="00FD5C7A">
        <w:t>is the ability to use logic and reasoning to resolve problems, come to conclusions, and evaluate arguments.</w:t>
      </w:r>
    </w:p>
    <w:p w14:paraId="42220413" w14:textId="637D31F2" w:rsidR="00FD5C7A" w:rsidRDefault="00FD5C7A" w:rsidP="006E7505">
      <w:pPr>
        <w:spacing w:before="30" w:after="30"/>
        <w:jc w:val="both"/>
      </w:pPr>
      <w:r w:rsidRPr="00FD5C7A">
        <w:t>The development of a reflective and independent approach includes the capacity to examine one's own mental processes, identify biases or areas of weakness, and foster an independent and critical attitude towards learning.</w:t>
      </w:r>
    </w:p>
    <w:p w14:paraId="54F1F1A5" w14:textId="60D033E3" w:rsidR="00FD5C7A" w:rsidRDefault="00FD5C7A" w:rsidP="006E7505">
      <w:pPr>
        <w:spacing w:before="30" w:after="30"/>
        <w:jc w:val="both"/>
      </w:pPr>
    </w:p>
    <w:p w14:paraId="12E3782E" w14:textId="77777777" w:rsidR="00FD5C7A" w:rsidRDefault="00FD5C7A" w:rsidP="006E7505">
      <w:pPr>
        <w:spacing w:before="30" w:after="30"/>
        <w:jc w:val="both"/>
      </w:pPr>
      <w:r>
        <w:lastRenderedPageBreak/>
        <w:t>Cottrell emphasises the importance of critical thinking for academic success and provides tips and exercises to help me, as a student, improve these skills. She also underlines the need of having a growth attitude and being willing to accept criticism and advise in order to continually improve one's critical thinking abilities.</w:t>
      </w:r>
    </w:p>
    <w:p w14:paraId="3B8627DF" w14:textId="77777777" w:rsidR="00FD5C7A" w:rsidRDefault="00FD5C7A" w:rsidP="006E7505">
      <w:pPr>
        <w:spacing w:before="30" w:after="30"/>
      </w:pPr>
      <w:r>
        <w:t xml:space="preserve">Effective reading and note-taking are two more crucial academic abilities I discovered in Cottrell's book. </w:t>
      </w:r>
    </w:p>
    <w:p w14:paraId="2E63695A" w14:textId="370BE8B3" w:rsidR="00FD5C7A" w:rsidRDefault="00FD5C7A" w:rsidP="006E7505">
      <w:pPr>
        <w:spacing w:before="30" w:after="30"/>
      </w:pPr>
      <w:r>
        <w:t xml:space="preserve">Two academic skills that are crucial for success in higher education are the capacity for reading comprehension and the capacity for good </w:t>
      </w:r>
      <w:proofErr w:type="gramStart"/>
      <w:r>
        <w:t>note-taking</w:t>
      </w:r>
      <w:proofErr w:type="gramEnd"/>
      <w:r>
        <w:t>. Effective reading requires the capacity to understand, retain, and apply knowledge from written material. Some elements that are necessary for good reading include:</w:t>
      </w:r>
    </w:p>
    <w:p w14:paraId="5EEAE607" w14:textId="00032559" w:rsidR="00FD5C7A" w:rsidRDefault="00C64854" w:rsidP="006E7505">
      <w:pPr>
        <w:spacing w:before="30" w:after="30"/>
      </w:pPr>
      <w:r w:rsidRPr="00C64854">
        <w:t>Before you start reading, take a moment to skim the headers, subheadings, and any visuals like graphs or diagrams. This will make it easier for you to comprehend the text's arrangement and main ideas.</w:t>
      </w:r>
    </w:p>
    <w:p w14:paraId="13BC6D53" w14:textId="163137F3" w:rsidR="00D157EF" w:rsidRDefault="00D157EF" w:rsidP="006E7505">
      <w:pPr>
        <w:spacing w:before="30" w:after="30"/>
      </w:pPr>
      <w:r w:rsidRPr="00D157EF">
        <w:t>Make a target: Decide on your reading objectives and overall reading objectives. You'll find it simpler to focus and enjoy your reading as a result.</w:t>
      </w:r>
    </w:p>
    <w:p w14:paraId="793C2A22" w14:textId="17F1EE28" w:rsidR="00D157EF" w:rsidRDefault="00D157EF" w:rsidP="006E7505">
      <w:pPr>
        <w:spacing w:before="30" w:after="30"/>
      </w:pPr>
      <w:r w:rsidRPr="00D157EF">
        <w:t>Active reading involves asking questions, making connections to prior information, and underlining key passages to demonstrate that you are paying attention to what you are reading. Make notes as you read to help you remember important concepts.</w:t>
      </w:r>
    </w:p>
    <w:p w14:paraId="4629F4CD" w14:textId="77777777" w:rsidR="00D157EF" w:rsidRDefault="00D157EF" w:rsidP="006E7505">
      <w:pPr>
        <w:spacing w:before="30" w:after="30"/>
      </w:pPr>
      <w:r>
        <w:t>Take breaks: By pausing for a moment or two, I might be able to keep my focus and retain more information. After completing a predetermined amount of reading, take a pause to digest the information.</w:t>
      </w:r>
    </w:p>
    <w:p w14:paraId="374A2CA7" w14:textId="0FE6AA22" w:rsidR="00D157EF" w:rsidRDefault="00D157EF" w:rsidP="006E7505">
      <w:pPr>
        <w:spacing w:before="30" w:after="30"/>
      </w:pPr>
      <w:r>
        <w:t>Writing down important information from lectures, books, or other sources in a way that will improve memory and understanding is the act of taking notes. When taking notes, keep in mind the following significant concepts:</w:t>
      </w:r>
    </w:p>
    <w:p w14:paraId="057FCDE7" w14:textId="77777777" w:rsidR="00D157EF" w:rsidRDefault="00D157EF" w:rsidP="006E7505">
      <w:pPr>
        <w:spacing w:before="30" w:after="30"/>
      </w:pPr>
      <w:r>
        <w:t>While taking notes during a lecture or conversation, you should actively listen to the speaker in order to discover the key ideas and points.</w:t>
      </w:r>
    </w:p>
    <w:p w14:paraId="1F19A056" w14:textId="1EBBA51C" w:rsidR="00D157EF" w:rsidRDefault="00D157EF" w:rsidP="006E7505">
      <w:pPr>
        <w:spacing w:before="30" w:after="30"/>
      </w:pPr>
      <w:r w:rsidRPr="00D157EF">
        <w:t>Symbols and abbreviations:</w:t>
      </w:r>
      <w:r>
        <w:t xml:space="preserve"> Establish an effective strategy for using symbols and abbreviations. By doing this, you'll be able to take notes more quickly and effectively.</w:t>
      </w:r>
    </w:p>
    <w:p w14:paraId="433D9FA9" w14:textId="77777777" w:rsidR="00D157EF" w:rsidRDefault="00D157EF" w:rsidP="006E7505">
      <w:pPr>
        <w:spacing w:before="30" w:after="30"/>
      </w:pPr>
      <w:r w:rsidRPr="00D157EF">
        <w:t>Organizational structure:</w:t>
      </w:r>
      <w:r>
        <w:t xml:space="preserve"> Use an organising strategy that suits you, such mind mapping or outlining. This will help you keep your notes organised and make it easier for you to review them afterwards.</w:t>
      </w:r>
    </w:p>
    <w:p w14:paraId="1FB9DFA4" w14:textId="6EA3EC2F" w:rsidR="00D157EF" w:rsidRDefault="00D157EF" w:rsidP="006E7505">
      <w:pPr>
        <w:spacing w:before="30" w:after="30"/>
      </w:pPr>
      <w:r>
        <w:t xml:space="preserve">Underlining and highlighting are only sometimes effective ways to draw attention to crucial words and phrases. A heavy reliance on highlighting might prevent you from paying attention to the text. </w:t>
      </w:r>
      <w:sdt>
        <w:sdtPr>
          <w:id w:val="-623465686"/>
          <w:citation/>
        </w:sdtPr>
        <w:sdtContent>
          <w:r>
            <w:fldChar w:fldCharType="begin"/>
          </w:r>
          <w:r>
            <w:instrText xml:space="preserve"> CITATION Ste19 \l 2057 </w:instrText>
          </w:r>
          <w:r>
            <w:fldChar w:fldCharType="separate"/>
          </w:r>
          <w:r w:rsidRPr="00D157EF">
            <w:rPr>
              <w:noProof/>
            </w:rPr>
            <w:t>(cottrell, 2019)</w:t>
          </w:r>
          <w:r>
            <w:fldChar w:fldCharType="end"/>
          </w:r>
        </w:sdtContent>
      </w:sdt>
    </w:p>
    <w:p w14:paraId="7EA23DD2" w14:textId="4CFAA6B6" w:rsidR="00D157EF" w:rsidRDefault="00D157EF" w:rsidP="006E7505">
      <w:pPr>
        <w:spacing w:before="30" w:after="30"/>
      </w:pPr>
    </w:p>
    <w:p w14:paraId="46DA83FC" w14:textId="2179BDA4" w:rsidR="00D157EF" w:rsidRPr="00D157EF" w:rsidRDefault="00D157EF" w:rsidP="006E7505">
      <w:pPr>
        <w:spacing w:before="30" w:after="30"/>
        <w:rPr>
          <w:b/>
          <w:bCs/>
        </w:rPr>
      </w:pPr>
      <w:r w:rsidRPr="00D157EF">
        <w:rPr>
          <w:b/>
          <w:bCs/>
        </w:rPr>
        <w:t xml:space="preserve">Conclusion </w:t>
      </w:r>
    </w:p>
    <w:p w14:paraId="566CFFCA" w14:textId="7BED1C0E" w:rsidR="00D157EF" w:rsidRDefault="00D157EF" w:rsidP="006E7505">
      <w:pPr>
        <w:spacing w:before="30" w:after="30"/>
      </w:pPr>
      <w:r w:rsidRPr="00D157EF">
        <w:t xml:space="preserve">In conclusion, having strong reading and note-taking skills would undoubtedly help me in my academic aspirations. By developing these skills, I will be able to comprehend the course content more fully, retain important details, and be prepared for examinations and assignments. Effective reading involves skimming the book, highlighting the key points, paying attention to the text, managing time, and reviewing and reflecting on the information. Effective </w:t>
      </w:r>
      <w:proofErr w:type="gramStart"/>
      <w:r w:rsidRPr="00D157EF">
        <w:t>note-taking</w:t>
      </w:r>
      <w:proofErr w:type="gramEnd"/>
      <w:r w:rsidRPr="00D157EF">
        <w:t xml:space="preserve"> includes actively listening, organising your notes, using symbols and abbreviations, underlining and highlighting only when appropriate, and frequently reviewing and editing your notes. As a student, I can read more effectively and take notes that are easy to understand, which will improve my academic performance and success.</w:t>
      </w:r>
    </w:p>
    <w:p w14:paraId="434EB0DB" w14:textId="46C33342" w:rsidR="00611C95" w:rsidRDefault="00611C95" w:rsidP="00611C95"/>
    <w:p w14:paraId="49924ABC" w14:textId="0C49ED62" w:rsidR="00D157EF" w:rsidRDefault="00D157EF" w:rsidP="00611C95"/>
    <w:p w14:paraId="0B248F56" w14:textId="149B9BB4" w:rsidR="00D157EF" w:rsidRDefault="00D157EF" w:rsidP="00611C95"/>
    <w:p w14:paraId="30B10A7B" w14:textId="77777777" w:rsidR="00D157EF" w:rsidRDefault="00D157EF" w:rsidP="00611C95"/>
    <w:p w14:paraId="04B05401" w14:textId="21A8AA82" w:rsidR="00611C95" w:rsidRDefault="00D157EF" w:rsidP="00611C95">
      <w:pPr>
        <w:rPr>
          <w:b/>
          <w:bCs/>
          <w:sz w:val="36"/>
          <w:szCs w:val="36"/>
        </w:rPr>
      </w:pPr>
      <w:r w:rsidRPr="00D157EF">
        <w:rPr>
          <w:b/>
          <w:bCs/>
          <w:sz w:val="36"/>
          <w:szCs w:val="36"/>
        </w:rPr>
        <w:t>References</w:t>
      </w:r>
    </w:p>
    <w:sdt>
      <w:sdtPr>
        <w:rPr>
          <w:rFonts w:asciiTheme="minorHAnsi" w:eastAsiaTheme="minorHAnsi" w:hAnsiTheme="minorHAnsi" w:cstheme="minorBidi"/>
          <w:color w:val="auto"/>
          <w:sz w:val="24"/>
          <w:szCs w:val="24"/>
        </w:rPr>
        <w:id w:val="1695425308"/>
        <w:docPartObj>
          <w:docPartGallery w:val="Bibliographies"/>
          <w:docPartUnique/>
        </w:docPartObj>
      </w:sdtPr>
      <w:sdtContent>
        <w:p w14:paraId="4A03B613" w14:textId="16BB826E" w:rsidR="00D157EF" w:rsidRDefault="00D157EF">
          <w:pPr>
            <w:pStyle w:val="Heading1"/>
          </w:pPr>
          <w:r>
            <w:t>Bibliography</w:t>
          </w:r>
        </w:p>
        <w:sdt>
          <w:sdtPr>
            <w:id w:val="111145805"/>
            <w:bibliography/>
          </w:sdtPr>
          <w:sdtContent>
            <w:p w14:paraId="3FAD4AAB" w14:textId="77777777" w:rsidR="00D157EF" w:rsidRDefault="00D157EF" w:rsidP="00D157EF">
              <w:pPr>
                <w:pStyle w:val="Bibliography"/>
                <w:rPr>
                  <w:noProof/>
                </w:rPr>
              </w:pPr>
              <w:r>
                <w:fldChar w:fldCharType="begin"/>
              </w:r>
              <w:r>
                <w:instrText xml:space="preserve"> BIBLIOGRAPHY </w:instrText>
              </w:r>
              <w:r>
                <w:fldChar w:fldCharType="separate"/>
              </w:r>
              <w:r>
                <w:rPr>
                  <w:noProof/>
                </w:rPr>
                <w:t xml:space="preserve">cottrell, S., 2019. The study skills handbook. In: </w:t>
              </w:r>
              <w:r>
                <w:rPr>
                  <w:i/>
                  <w:iCs/>
                  <w:noProof/>
                </w:rPr>
                <w:t xml:space="preserve">The study skills handbook. </w:t>
              </w:r>
              <w:r>
                <w:rPr>
                  <w:noProof/>
                </w:rPr>
                <w:t>london : Red Globe Press, pp. 253-254.</w:t>
              </w:r>
            </w:p>
            <w:p w14:paraId="0B6CD4F1" w14:textId="7A4DD399" w:rsidR="00D157EF" w:rsidRDefault="00D157EF" w:rsidP="00D157EF">
              <w:r>
                <w:rPr>
                  <w:b/>
                  <w:bCs/>
                  <w:noProof/>
                </w:rPr>
                <w:fldChar w:fldCharType="end"/>
              </w:r>
            </w:p>
          </w:sdtContent>
        </w:sdt>
      </w:sdtContent>
    </w:sdt>
    <w:p w14:paraId="5EA1F233" w14:textId="77777777" w:rsidR="00D157EF" w:rsidRDefault="00D157EF" w:rsidP="00611C95">
      <w:pPr>
        <w:rPr>
          <w:b/>
          <w:bCs/>
          <w:sz w:val="36"/>
          <w:szCs w:val="36"/>
        </w:rPr>
      </w:pPr>
    </w:p>
    <w:p w14:paraId="696E5CFC" w14:textId="757FF536" w:rsidR="00D157EF" w:rsidRPr="00D157EF" w:rsidRDefault="00D157EF" w:rsidP="00611C95">
      <w:pPr>
        <w:rPr>
          <w:sz w:val="36"/>
          <w:szCs w:val="36"/>
        </w:rPr>
      </w:pPr>
      <w:r>
        <w:rPr>
          <w:sz w:val="36"/>
          <w:szCs w:val="36"/>
        </w:rPr>
        <w:t xml:space="preserve"> </w:t>
      </w:r>
    </w:p>
    <w:sectPr w:rsidR="00D157EF" w:rsidRPr="00D157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38F"/>
    <w:rsid w:val="002A138F"/>
    <w:rsid w:val="00515A6F"/>
    <w:rsid w:val="00611C95"/>
    <w:rsid w:val="006E7505"/>
    <w:rsid w:val="00710341"/>
    <w:rsid w:val="00C64854"/>
    <w:rsid w:val="00D157EF"/>
    <w:rsid w:val="00FD5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F7DC6"/>
  <w15:chartTrackingRefBased/>
  <w15:docId w15:val="{670D2CE5-CF16-CF44-9050-932834FD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7E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7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57EF"/>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D157EF"/>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D157EF"/>
    <w:rPr>
      <w:rFonts w:cstheme="minorHAnsi"/>
      <w:b/>
      <w:bCs/>
      <w:smallCaps/>
      <w:sz w:val="22"/>
      <w:szCs w:val="22"/>
    </w:rPr>
  </w:style>
  <w:style w:type="paragraph" w:styleId="TOC3">
    <w:name w:val="toc 3"/>
    <w:basedOn w:val="Normal"/>
    <w:next w:val="Normal"/>
    <w:autoRedefine/>
    <w:uiPriority w:val="39"/>
    <w:semiHidden/>
    <w:unhideWhenUsed/>
    <w:rsid w:val="00D157EF"/>
    <w:rPr>
      <w:rFonts w:cstheme="minorHAnsi"/>
      <w:smallCaps/>
      <w:sz w:val="22"/>
      <w:szCs w:val="22"/>
    </w:rPr>
  </w:style>
  <w:style w:type="paragraph" w:styleId="TOC4">
    <w:name w:val="toc 4"/>
    <w:basedOn w:val="Normal"/>
    <w:next w:val="Normal"/>
    <w:autoRedefine/>
    <w:uiPriority w:val="39"/>
    <w:semiHidden/>
    <w:unhideWhenUsed/>
    <w:rsid w:val="00D157EF"/>
    <w:rPr>
      <w:rFonts w:cstheme="minorHAnsi"/>
      <w:sz w:val="22"/>
      <w:szCs w:val="22"/>
    </w:rPr>
  </w:style>
  <w:style w:type="paragraph" w:styleId="TOC5">
    <w:name w:val="toc 5"/>
    <w:basedOn w:val="Normal"/>
    <w:next w:val="Normal"/>
    <w:autoRedefine/>
    <w:uiPriority w:val="39"/>
    <w:semiHidden/>
    <w:unhideWhenUsed/>
    <w:rsid w:val="00D157EF"/>
    <w:rPr>
      <w:rFonts w:cstheme="minorHAnsi"/>
      <w:sz w:val="22"/>
      <w:szCs w:val="22"/>
    </w:rPr>
  </w:style>
  <w:style w:type="paragraph" w:styleId="TOC6">
    <w:name w:val="toc 6"/>
    <w:basedOn w:val="Normal"/>
    <w:next w:val="Normal"/>
    <w:autoRedefine/>
    <w:uiPriority w:val="39"/>
    <w:semiHidden/>
    <w:unhideWhenUsed/>
    <w:rsid w:val="00D157EF"/>
    <w:rPr>
      <w:rFonts w:cstheme="minorHAnsi"/>
      <w:sz w:val="22"/>
      <w:szCs w:val="22"/>
    </w:rPr>
  </w:style>
  <w:style w:type="paragraph" w:styleId="TOC7">
    <w:name w:val="toc 7"/>
    <w:basedOn w:val="Normal"/>
    <w:next w:val="Normal"/>
    <w:autoRedefine/>
    <w:uiPriority w:val="39"/>
    <w:semiHidden/>
    <w:unhideWhenUsed/>
    <w:rsid w:val="00D157EF"/>
    <w:rPr>
      <w:rFonts w:cstheme="minorHAnsi"/>
      <w:sz w:val="22"/>
      <w:szCs w:val="22"/>
    </w:rPr>
  </w:style>
  <w:style w:type="paragraph" w:styleId="TOC8">
    <w:name w:val="toc 8"/>
    <w:basedOn w:val="Normal"/>
    <w:next w:val="Normal"/>
    <w:autoRedefine/>
    <w:uiPriority w:val="39"/>
    <w:semiHidden/>
    <w:unhideWhenUsed/>
    <w:rsid w:val="00D157EF"/>
    <w:rPr>
      <w:rFonts w:cstheme="minorHAnsi"/>
      <w:sz w:val="22"/>
      <w:szCs w:val="22"/>
    </w:rPr>
  </w:style>
  <w:style w:type="paragraph" w:styleId="TOC9">
    <w:name w:val="toc 9"/>
    <w:basedOn w:val="Normal"/>
    <w:next w:val="Normal"/>
    <w:autoRedefine/>
    <w:uiPriority w:val="39"/>
    <w:semiHidden/>
    <w:unhideWhenUsed/>
    <w:rsid w:val="00D157EF"/>
    <w:rPr>
      <w:rFonts w:cstheme="minorHAnsi"/>
      <w:sz w:val="22"/>
      <w:szCs w:val="22"/>
    </w:rPr>
  </w:style>
  <w:style w:type="paragraph" w:styleId="Bibliography">
    <w:name w:val="Bibliography"/>
    <w:basedOn w:val="Normal"/>
    <w:next w:val="Normal"/>
    <w:uiPriority w:val="37"/>
    <w:unhideWhenUsed/>
    <w:rsid w:val="00D15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352940">
      <w:bodyDiv w:val="1"/>
      <w:marLeft w:val="0"/>
      <w:marRight w:val="0"/>
      <w:marTop w:val="0"/>
      <w:marBottom w:val="0"/>
      <w:divBdr>
        <w:top w:val="none" w:sz="0" w:space="0" w:color="auto"/>
        <w:left w:val="none" w:sz="0" w:space="0" w:color="auto"/>
        <w:bottom w:val="none" w:sz="0" w:space="0" w:color="auto"/>
        <w:right w:val="none" w:sz="0" w:space="0" w:color="auto"/>
      </w:divBdr>
    </w:div>
    <w:div w:id="176483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BookSection</b:SourceType>
    <b:Guid>{8801A34C-94FB-BE40-9588-ACE17FCB79EC}</b:Guid>
    <b:Title>The study skills handbook</b:Title>
    <b:Year>2019</b:Year>
    <b:City>london </b:City>
    <b:Publisher>Red Globe Press</b:Publisher>
    <b:Author>
      <b:Author>
        <b:NameList>
          <b:Person>
            <b:Last>cottrell</b:Last>
            <b:First>Stella</b:First>
          </b:Person>
        </b:NameList>
      </b:Author>
    </b:Author>
    <b:BookTitle>The study skills handbook</b:BookTitle>
    <b:Pages>253-254</b:Pages>
    <b:RefOrder>1</b:RefOrder>
  </b:Source>
</b:Sources>
</file>

<file path=customXml/itemProps1.xml><?xml version="1.0" encoding="utf-8"?>
<ds:datastoreItem xmlns:ds="http://schemas.openxmlformats.org/officeDocument/2006/customXml" ds:itemID="{C0683A06-8F71-E54A-A40E-071B0178B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Moraru (2113340)</dc:creator>
  <cp:keywords/>
  <dc:description/>
  <cp:lastModifiedBy>Mihaela Moraru (2113340)</cp:lastModifiedBy>
  <cp:revision>3</cp:revision>
  <dcterms:created xsi:type="dcterms:W3CDTF">2023-03-29T09:56:00Z</dcterms:created>
  <dcterms:modified xsi:type="dcterms:W3CDTF">2023-03-29T11:22:00Z</dcterms:modified>
</cp:coreProperties>
</file>