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webSettings.xml" ContentType="application/vnd.openxmlformats-officedocument.wordprocessingml.webSetting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fontTable.xml" ContentType="application/vnd.openxmlformats-officedocument.wordprocessingml.fontTable+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CDFB49" w14:textId="2F650D17" w:rsidR="00974403" w:rsidRDefault="00D80C7C">
      <w:r>
        <w:rPr>
          <w:sz w:val="22"/>
        </w:rPr>
        <w:t>Samuel Joseph Bonnici</w:t>
      </w:r>
    </w:p>
    <w:p w14:paraId="5CCE1CA4" w14:textId="655D10C9" w:rsidR="00D80C7C" w:rsidRDefault="00D80C7C">
      <w:r>
        <w:rPr>
          <w:sz w:val="22"/>
        </w:rPr>
        <w:t>Student No: 2518068</w:t>
      </w:r>
    </w:p>
    <w:p w14:paraId="3A61AF48" w14:textId="77777777" w:rsidR="00426C49" w:rsidRDefault="00426C49" w:rsidP="00426C49">
      <w:pPr>
        <w:pStyle w:val="Heading1"/>
        <w:jc w:val="center"/>
      </w:pPr>
      <w:r>
        <w:rPr>
          <w:sz w:val="22"/>
        </w:rPr>
        <w:t>Principles of Teaching, Learning and Assessment in PCET</w:t>
        <w:br/>
        <w:t>Assignment 2</w:t>
        <w:br/>
        <w:t>Critical Evaluation of Teaching, Learning and Assessment Within Police Training Environments</w:t>
      </w:r>
    </w:p>
    <w:p w14:paraId="508E3246" w14:textId="77777777" w:rsidR="00426C49" w:rsidRDefault="00426C49" w:rsidP="00426C49">
      <w:pPr>
        <w:pStyle w:val="Heading2"/>
      </w:pPr>
      <w:r>
        <w:rPr>
          <w:sz w:val="22"/>
        </w:rPr>
        <w:t>Introduction</w:t>
      </w:r>
    </w:p>
    <w:p w14:paraId="7C1BA496" w14:textId="77777777" w:rsidR="00426C49" w:rsidRDefault="00426C49">
      <w:pPr>
        <w:rPr>
          <w:lang w:eastAsia="en-GB"/>
        </w:rPr>
      </w:pPr>
      <w:r>
        <w:rPr>
          <w:sz w:val="22"/>
        </w:rPr>
        <w:t>Effective police education is essential in ensuring officers develop not only procedural knowledge, but also the safeguarding awareness, ethical judgement and investigative capability required to protect vulnerable individuals, investigate offences effectively and maintain public confidence. Within contemporary policing, teaching and learning must therefore move beyond the transmission of information and instead develop reflective practitioners who can apply knowledge critically within unpredictable operational environments.</w:t>
        <w:br/>
        <w:br/>
        <w:t>This assignment responds directly to the assessment brief in two parts. Part One critically reflects on two observed teaching sessions delivered within Gwent Police Crime Training: a Stalking and Harassment session delivered by a Detective Constable trainer, and an Investigative Interviewing session delivered by a Police Constable trainer. In line with the requirement to observe at least two professionals in practice, the discussion evaluates key aspects of teaching, learning and assessment within each session, identifies areas of effective practice, and considers how these observations inform my own professional development as a trainer.</w:t>
        <w:br/>
        <w:br/>
        <w:t>Part Two critically evaluates assessment methods within my own professional context of police training. It differentiates between assessment for learning and assessment of learning, considers where these occur within practice, and evaluates their effectiveness in supporting both learner development and organisational assurance. Particular attention is given to the tensions between authenticity and standardisation, inclusivity and accountability, and developmental learning and professional competence.</w:t>
        <w:br/>
        <w:br/>
        <w:t>The assignment adopts a critical and reflective perspective throughout. Whilst contemporary police training increasingly promotes authentic, learner-centred and scenario-based approaches, these methods are not automatically effective or equitable. Their value depends on how well they are structured, how clearly they support learning, and how successfully they prepare learners for the realities of professional policing practice. The discussion therefore draws on educational theory, professional practice and contemporary policing challenges to evaluate both observed teaching and assessment in context.</w:t>
      </w:r>
    </w:p>
    <w:p w14:paraId="7404EEF9" w14:textId="77777777" w:rsidR="00426C49" w:rsidRDefault="00426C49" w:rsidP="00426C49">
      <w:pPr>
        <w:pStyle w:val="Heading2"/>
      </w:pPr>
      <w:r>
        <w:rPr>
          <w:sz w:val="22"/>
        </w:rPr>
        <w:t>Part One – Professional Observations and Reflective Practice</w:t>
        <w:br/>
        <w:t>Observation One – Stalking and Harassment</w:t>
      </w:r>
    </w:p>
    <w:p w14:paraId="285B8C83" w14:textId="77777777" w:rsidR="00613E97" w:rsidRDefault="00613E97">
      <w:pPr>
        <w:rPr>
          <w:lang w:eastAsia="en-GB"/>
        </w:rPr>
      </w:pPr>
      <w:r>
        <w:rPr>
          <w:sz w:val="22"/>
        </w:rPr>
        <w:t>The first observed session focused on stalking and harassment investigations, safeguarding, cyber-enabled offending and risk assessment. The session was delivered to police officers and investigators and explored coercive control, victim psychology, technology-enabled stalking, safeguarding interventions and investigative opportunities.</w:t>
        <w:br/>
        <w:br/>
        <w:t>The professional context of this session was highly significant. National inspection findings have repeatedly identified weaknesses in police responses to stalking and harassment, including failures to identify patterns of behaviour, inadequate safeguarding and inconsistent risk assessment (HMICFRS, 2023). Consequently, the learning carried substantial operational importance because ineffective investigation in this area can contribute to escalating harm and, in the most serious cases, homicide.</w:t>
        <w:br/>
        <w:br/>
        <w:t>An aspect of particularly strong practice within this session was the trainer’s ability to contextualise legislation and safeguarding procedures through realistic operational examples. Rather than relying solely on legal explanation, the trainer used scenarios involving tracking devices, social media monitoring, smart technology, fixation and repeated unwanted contact. This enabled learners to connect legal principles directly to investigative decision-making and victim safety, making the relevance of the content immediately clear.</w:t>
        <w:br/>
        <w:br/>
        <w:t>This approach aligns strongly with Knowles’ (1984) theory of andragogy, which suggests adult learners are most engaged when learning is problem-centred, professionally relevant and immediately applicable. Learners were not simply required to memorise legislation; they were encouraged to interpret behaviour, assess risk and consider how investigative decisions influence safeguarding outcomes. However, this observation also reminded me that Knowles’ emphasis on learner experience can be problematic if prior operational knowledge is treated uncritically. Within policing, experience may also reinforce assumptions, bias or outdated cultural attitudes. Watching this session challenged my own tendency to treat discussion based on experience as inherently valuable. I was reminded that experience only becomes educationally useful when it is carefully questioned, reframed and linked back to current professional standards, which is central to critically critical reflection (Brookfield, 1995).</w:t>
        <w:br/>
        <w:br/>
        <w:t>Collaborative learning was also used effectively throughout the session. Learners explored stalking behaviours, victim fear and safeguarding implications through questioning and peer discussion. This reflected Vygotsky’s (1978) social constructivist theory because understanding was developed through dialogue and shared interpretation. Learners actively constructed meaning rather than passively receiving information. At the same time, the trainer retained sufficient direction to keep the discussion anchored in legal accuracy and safeguarding principles. This balance between open contribution and professional guidance stood out to me as an example of good practice. In my own teaching, I sometimes prioritise discussion because it encourages participation, but this observation made me reflect that discussion without clear framing can drift into anecdote rather than learning. I therefore need to be more deliberate about how I structure discussion so that it remains purposeful and evidence-informed.</w:t>
        <w:br/>
        <w:br/>
        <w:t>The session also demonstrated strong use of experiential learning. Kolb (1984) argues that effective learning occurs through a cycle of experience, reflection, conceptual understanding and application. Learners reflected on operational examples, explored victim impact and then applied their learning to investigative and safeguarding decisions. This supported higher-order thinking because learners had to evaluate behaviour patterns rather than simply recall information. What I found particularly useful here was the way the trainer moved between realistic examples and conceptual clarification. This prompted me to recognise that in my own sessions I can sometimes move too quickly from operational example to the next discussion point without enough pause for learners to consolidate what principle or threshold they are meant to take from it. Going forward, I need to build in clearer moments of consolidation after complex scenarios.</w:t>
        <w:br/>
        <w:br/>
        <w:t>A further strength was the inclusion of cyber-enabled stalking examples such as AirTags, router examinations, Alexa devices and digital location sharing. This ensured the curriculum reflected contemporary offending methods and encouraged learners to consider modern digital evidence opportunities. The session therefore moved beyond traditional safeguarding approaches and reflected the evolving complexity of offending behaviour. It also reinforced to me that professional relevance depends on keeping examples current and operationally credible, rather than relying on dated or generic case studies.</w:t>
        <w:br/>
        <w:br/>
        <w:t>The victim-centred approach was particularly effective. The trainer encouraged learners to consider psychological harm, cumulative fear and the impact of repeated behaviours. This supported trauma-informed learning and promoted empathy. However, there is also a potential risk that emotional salience may overshadow procedural clarity if not carefully managed. Emotional engagement can strengthen memory and professional commitment, but there is also a danger of over-identification with victim narratives at the expense of investigative objectivity. The strongest teaching occurred where emotional examples were explicitly linked back to safeguarding actions, evidential opportunities and investigative thresholds. This caused me to reflect on my own practice, because I know I sometimes use impactful case material to generate engagement. This observation reminded me that emotionally powerful examples are only educationally effective when they are tightly connected to what learners must do professionally as a result.</w:t>
        <w:br/>
        <w:br/>
        <w:t>Some visual resources supported learning effectively, particularly where behaviours were categorised into themes such as surveillance, intimidation and life invasion. However, some slides contained extensive procedural and legal text. Sweller’s (1988) cognitive load theory suggests that excessive information may overload working memory, particularly when learners are simultaneously processing emotionally sensitive content and unfamiliar legal thresholds. Within policing, there is often institutional pressure to include large amounts of procedural material to demonstrate compliance. However, this observation highlighted that excessive textual detail may unintentionally reduce retention and clarity. It also made me reconsider my own use of content-heavy slides. I recognised that I sometimes include too much information because I do not want to omit important policy detail. Having observed the impact this can have on pace and clarity, I would now review my own materials more critically and use shorter segments, process diagrams and staged release of complex content.</w:t>
        <w:br/>
        <w:br/>
        <w:t>Assessment for learning was embedded throughout the session through diagnostic questioning, discussion, safeguarding activities and learner justification of decisions. Black and Wiliam (1998) argue that formative assessment is most effective when it informs teaching and supports learner progression during the learning process. This was evident because learner responses shaped trainer clarification and discussion. The session also promoted higher-order thinking aligned to Bloom’s taxonomy, as learners were required to analyse behaviours, justify safeguarding decisions and evaluate risk rather than simply recall legislation.</w:t>
        <w:br/>
        <w:br/>
        <w:t>However, discussion-based assessment can create the illusion of whole-group understanding. Confident learners may dominate discussion whilst quieter learners contribute less publicly. This raises questions around inclusivity and evidential sufficiency. Observing this made me think more critically about my own reliance on open questioning as evidence of learning. I have often assumed that a strong group discussion indicates widespread understanding, but this session highlighted that visible participation is not the same as inclusive assessment. In future, I would incorporate more structured checking strategies such as short written decision justifications, paired discussion tasks, rotating spokesperson roles or brief reflective prompts. These would allow me to retain the benefits of collaborative discussion whilst gathering a broader and fairer picture of learner understanding.</w:t>
        <w:br/>
        <w:br/>
        <w:t>Overall, this observation had a significant impact on my professional development. It showed me that effective police teaching is not simply about presenting accurate content or generating discussion; it is about creating a structure in which realism, reflection and professional standards are carefully balanced. The most important change I would make to my own practice is to be more intentional in how I sequence discussion, consolidate learning and check understanding. As a result of this observation, I would set myself three specific development targets: to redesign complex slides to reduce cognitive overload, to use more structured and inclusive formative assessment strategies, and to ensure that emotionally engaging material is always linked explicitly to operational decision-making and safeguarding practice.</w:t>
      </w:r>
    </w:p>
    <w:p w14:paraId="42608D73" w14:textId="77777777" w:rsidR="00426C49" w:rsidRDefault="00426C49" w:rsidP="00426C49">
      <w:pPr>
        <w:pStyle w:val="Heading2"/>
      </w:pPr>
      <w:r>
        <w:rPr>
          <w:sz w:val="22"/>
        </w:rPr>
        <w:t>Observation Two – Investigative Interviewing</w:t>
      </w:r>
    </w:p>
    <w:p w14:paraId="42DF8E63" w14:textId="77777777" w:rsidR="00613E97" w:rsidRDefault="00613E97">
      <w:pPr>
        <w:rPr>
          <w:lang w:eastAsia="en-GB"/>
        </w:rPr>
      </w:pPr>
      <w:r>
        <w:rPr>
          <w:sz w:val="22"/>
        </w:rPr>
        <w:t>The second observed session focused on investigative interviewing and the application of the PEACE model within criminal investigations. The session explored interview planning, communication strategies, questioning techniques, rapport building and evidence gathering.</w:t>
        <w:br/>
        <w:br/>
        <w:t>The professional significance of this training was substantial because investigative interviewing underpins investigative quality, evidential reliability and public confidence. National inspection reports have highlighted weaknesses in investigation standards and interview quality across policing (HMICFRS, 2023), while the College of Policing (2022) continues to emphasise the importance of professional, ethical and methodical interviewing practice. Effective interviewing therefore represents both a professional and ethical responsibility, as poor interview practice can compromise evidence, undermine fairness and weaken confidence in the investigative process.</w:t>
        <w:br/>
        <w:br/>
        <w:t>An important area of good practice within this session was the trainer’s use of scenario-based learning to replicate realistic interviewing conditions. Learners practised interview planning, question formulation and account testing using structured scenarios. This strongly reflected Kolb’s (1984) experiential learning cycle because learners engaged in practical activity, reflected on performance and refined their approach through feedback. What stood out to me was not simply the use of role-play itself, but the way the trainer ensured that the activity remained purposeful and clearly aligned to specific learning outcomes. This challenged an assumption I sometimes hold in my own teaching that realistic activities are automatically effective. Observing this session reminded me that authenticity alone is not enough; scenarios need to be carefully framed, debriefed and linked to the standards learners are expected to meet.</w:t>
        <w:br/>
        <w:br/>
        <w:t>The trainer scaffolded learning effectively by breaking the interview process into manageable stages. Learners first explored legal requirements, planning and interview structure before progressing into challenge, topic management and account analysis. This reflected Bruner’s scaffolding theory because learners were gradually supported towards greater independence and competence. This was a useful example of good practice because the trainer did not expect learners to demonstrate full interview competence immediately; instead, complexity was built incrementally. Reflecting on my own practice, I recognised that I can occasionally expect learners to perform too many skills simultaneously when delivering scenario-based activities. This observation reinforced the value of more deliberate staging, particularly when teaching complex professional skills that require procedural accuracy, communication and judgement at the same time.</w:t>
        <w:br/>
        <w:br/>
        <w:t>Behaviourist principles were also evident. Repetition of questioning structures and interview stages reinforced procedural consistency. In policing, procedural accuracy is essential because interviewing must comply with legal safeguards and evidential standards. However, behaviourist approaches can risk becoming overly mechanistic if learners follow process without understanding purpose. The trainer effectively mitigated this risk by asking learners to justify questioning choices and explain investigative rationale. This was especially instructive for me because it highlighted the importance of moving beyond “doing the process correctly” to understanding why a process is appropriate in a particular context. In my own sessions, I would therefore place greater emphasis on learners articulating the purpose behind their actions rather than only demonstrating that they can follow a procedural sequence.</w:t>
        <w:br/>
        <w:br/>
        <w:t>Communication was a key strength throughout the session. The trainer used operational examples, targeted questioning and structured discussion to maintain engagement. Learners were encouraged to consider fairness, ethics, rapport and communication style. This was particularly valuable because investigative interviewing is not purely procedural; it requires emotional intelligence, active listening and professional decision-making. The session therefore modelled a broader understanding of competence than simple compliance with the PEACE framework. This prompted me to reflect that, in police training, there can sometimes be an overemphasis on procedural correctness at the expense of relational and ethical skill. Observing this session reminded me that professional competence should be understood more holistically, especially in skills where communication quality directly affects both evidential reliability and public trust.</w:t>
        <w:br/>
        <w:br/>
        <w:t>The session also promoted critical reflection through structured debriefing. Learners critically reviewed question sequencing, interview management and communication effectiveness. This reflected Schön’s (1983) concept of reflection-on-action, where practitioners improve by critically evaluating previous performance. This aspect of the teaching had particular relevance for my own professional development. I recognised that when I debrief practical activities, I often focus first on what learners did right or wrong. This session showed a more developmental approach in which the debrief drew learners into analysing why particular choices had been effective, what assumptions had shaped their decisions and how alternative approaches might have changed the outcome. As a result, I would now aim to use more probing debrief questions that encourage reflection, rather than relying mainly on trainer-led correction.</w:t>
        <w:br/>
        <w:br/>
        <w:t>However, there are limitations to scenario-based competence assessment. Simulated interviews cannot fully replicate operational complexity, emotional pressure, legal representatives or unpredictable suspect behaviour. Consequently, strong classroom performance may not always transfer directly into live investigations. This raises important questions regarding the validity of scenario-based competence judgements. For me, the main implication was not simply that scenario work has limits, but that those limits need to be recognised openly when designing learning and judging performance.</w:t>
        <w:br/>
        <w:br/>
        <w:t>Assessment for learning was evident through trainer questioning, peer feedback, observation and debriefing. Immediate feedback enabled learners to refine questioning strategies and improve communication techniques during the session. This supported learner confidence and progression. However, formative assessment within policing can also introduce subjectivity, particularly where different trainers may emphasise communication style, procedural compliance or investigative judgement differently. Observing this made me more aware of the need for clearer success criteria and more balanced forms of evidence when supporting learner development.</w:t>
        <w:br/>
        <w:br/>
        <w:t>The session also prompted reflection on how competence is recognised in practical environments. Learners who are confident in live role-play may appear more capable, yet visible confidence does not always indicate deeper understanding. This reinforced for me the importance of using multiple ways for learners to demonstrate competence, rather than relying too heavily on performance in one activity.</w:t>
        <w:br/>
        <w:br/>
        <w:t>Overall, this observation reinforced the importance of structured coaching, scaffolded learning and reflective debriefing within professional skills training. It also highlighted the need for assessment methods that balance procedural compliance with communication, ethics and professional decision-making. The most significant implication for my own development is that I need to design practical sessions more deliberately so that authenticity is supported by clear structure, inclusive assessment opportunities and deeper reflection on professional decision-making. As a result of this observation, I would set myself three development targets: to scaffold scenario-based learning more gradually, to strengthen debrief questioning so that learners explain the reasoning behind their decisions, and to use a broader range of evidence when judging competence rather than relying too heavily on performance in one live activity.</w:t>
      </w:r>
    </w:p>
    <w:p w14:paraId="07A73796" w14:textId="77777777" w:rsidR="00426C49" w:rsidRDefault="00426C49" w:rsidP="00426C49">
      <w:pPr>
        <w:pStyle w:val="Heading2"/>
      </w:pPr>
      <w:r>
        <w:rPr>
          <w:sz w:val="22"/>
        </w:rPr>
        <w:t>Part Two – Assessment in Context</w:t>
      </w:r>
    </w:p>
    <w:p w14:paraId="5F68D0BD" w14:textId="77777777" w:rsidR="00773503" w:rsidRDefault="00773503">
      <w:pPr>
        <w:rPr>
          <w:lang w:eastAsia="en-GB"/>
        </w:rPr>
      </w:pPr>
      <w:r>
        <w:t>Assessment plays a fundamental role within police education because it provides both developmental support for learners and organisational assurance regarding professional competence. Within policing, assessment must evaluate not only knowledge acquisition but also communication, safeguarding awareness, ethical decision-making and operational judgement within complex and often unpredictable environments. This makes assessment in police training inherently more complex than simple classroom testing, because trainers are not only checking whether learners know policy or legislation, but whether they can apply that knowledge safely, proportionately and professionally in practice (Gravells, 2021).</w:t>
        <w:br/>
        <w:br/>
        <w:t>Assessment for learning refers to formative approaches that support learner development during the learning process. Black and Wiliam (1998) argue that formative assessment is most effective when it provides actionable feedback that improves future performance. Within police training, formative assessment commonly occurs through questioning, peer discussion, trainer observation, scenario feedback and reflective debriefing. In my professional context, this can include verbal knowledge checks during safeguarding inputs, trainer questioning during discussion of evidential thresholds, feedback during role-play interviews, group debriefs following case-study analysis, and short reflective tasks after scenario-based exercises. These approaches are valuable because they allow misconceptions to be addressed before unsafe or ineffective practice becomes embedded.</w:t>
        <w:br/>
        <w:br/>
        <w:t>Formative assessment offers several advantages within policing contexts. It promotes learner confidence, encourages critical reflection and allows teaching to be adapted in response to learner understanding. For example, when learners complete an investigative interview role-play, immediate feedback on question design, rapport-building and account challenge can help them refine their technique before a later assessed exercise or workplace application. Similarly, brief decision-justification activities during safeguarding inputs can reveal whether learners are applying risk principles accurately or relying on assumptions. In this sense, assessment for learning is not an optional supplement to teaching, but a central mechanism through which professional decision-making is developed. Carless and Boud (2018) further argue that learners must develop feedback literacy if they are to interpret, use and act upon feedback effectively, which is particularly relevant in professional training environments where performance improvement depends on repeated application.</w:t>
        <w:br/>
        <w:br/>
        <w:t>However, formative assessment also presents limitations. Verbal participation may create the appearance of competence without guaranteeing genuine understanding. Confident learners may dominate discussion, whilst quieter learners may remain less visible. Trainer interpretation may also vary significantly, with some trainers prioritising procedural compliance and others giving greater weight to communication or professional decision-making. In police training, this can create tension between developmental learning and organisational accountability, because what feels educationally useful in the room may not always provide sufficiently robust evidence of competence. Recent research in professional programmes also suggests that diverse, learner-centred formative methods can help learners develop their own assessment capability, rather than relying on a narrow set of teacher-led checks (Parmigiani et al., 2024).</w:t>
        <w:br/>
        <w:br/>
        <w:t>Assessment of learning refers to summative approaches used to determine whether competence standards have been achieved. Within policing, summative assessment often includes written knowledge tests on legislation or policy, structured practical assessments, portfolio evidence, tutor or supervisor sign-off, and workplace competence reviews. In crime training contexts, this might include a written assessment on interview legislation, a graded scenario exercise assessing application of the PEACE model, supervisor confirmation that an officer has demonstrated required practice in the workplace, or a portfolio containing case reflections and evidence of completed operational tasks. These methods are important because policing is a high-risk profession requiring public accountability. Organisations must therefore be able to demonstrate that officers meet required professional standards and can apply learning safely within professional policing practice.</w:t>
        <w:br/>
        <w:br/>
        <w:t>Summative assessment provides structure, consistency and formal assurance, but it also has limitations. Written assessments may encourage surface learning focused on recall rather than reasoning. Portfolio systems may become overly bureaucratic and risk prioritising evidence generation over meaningful reflection. Operational sign-off can also vary depending on the expectations and confidence of supervisors. A learner may therefore pass an assessment process without necessarily demonstrating the full depth of adaptive judgement required in complex operational situations. This illustrates a persistent difficulty in professional education: competence is easier to record than it is to capture meaningfully. Biggs and Tang (2011) would suggest that this risk increases where assessment tasks are not closely aligned with intended learning outcomes and the actual demands of practice.</w:t>
        <w:br/>
        <w:br/>
        <w:t>Authentic assessment has become increasingly influential within professional education because it attempts to replicate real-world practice. Scenario-based exercises, suspect and witness interview simulations, safeguarding decision-making tasks, case-file reviews and structured debrief activities encourage learners to apply theory within realistic contexts. This aligns with constructivist approaches because learners actively use knowledge rather than simply reproduce it. It is also particularly relevant in policing, where professional capability cannot be assessed adequately through knowledge recall alone. Officers must demonstrate communication, ethical reasoning, safeguarding awareness and professional decision-making in dynamic situations. Current College of Policing standards for investigative interviewing emphasise professionalism, integrity, planning, rapport and methodical practice, reinforcing the importance of structured assessment and clear expectations in police learning environments. Recent discussion of realistic professional assessment in professional education also notes that authenticity is valuable only when assessment is carefully designed to reflect practice without oversimplifying the complexity of professional decision-making (Bearman, Tai and Ajjawi, 2023).</w:t>
        <w:br/>
        <w:br/>
        <w:t>Nevertheless, realistic professional assessment also presents challenges. Complete realism is impossible to achieve fully within training environments. Simulations cannot perfectly reproduce risk, uncertainty, emotional pressure, live supervision, legal representatives or the consequences of operational decisions. In addition, authentic tasks may privilege learners who are verbally articulate, socially confident or operationally experienced. Recent literature on inclusive assessment argues that assessment should be designed so that all learners have equitable opportunities to demonstrate achievement, rather than requiring alternative arrangements only after barriers appear (Bain, 2023). This has direct relevance to police training, where confidence in role-play may be mistaken for deeper understanding, while quieter or neurodivergent learners may demonstrate stronger competence through structured reflection, planning documents or written rationale.</w:t>
        <w:br/>
        <w:br/>
        <w:t>To improve assessment within police training, several recommendations can be made. Firstly, structured observation frameworks should be introduced more consistently during practical exercises, using clear behavioural indicators linked to operational competencies such as safeguarding decision-making, lawful process, communication quality and professional decision-making. For example, investigative interview role-plays could be assessed using a shared rubric that identifies performance descriptors for planning, rapport, questioning, ethical conduct and evidence gathering. This would improve consistency between trainers and strengthen reliability.</w:t>
        <w:br/>
        <w:br/>
        <w:t>Secondly, feedback systems should combine immediate verbal coaching with concise written developmental records. After role-play interviews, safeguarding exercises or scenario debriefs, learners should receive brief written summaries identifying strengths, development needs and agreed next steps. Digital feedback forms would reduce administrative burden whilst improving continuity between classroom learning and later workplace support. This would also strengthen learners’ evaluative judgement by encouraging them to recognise quality in performance and apply feedback more independently over time (Ajjawi, Tai, Dawson and Boud, 2020).</w:t>
        <w:br/>
        <w:br/>
        <w:t>Thirdly, assessment should occur progressively through staged authentic learning activities. Rather than relying on one final practical task, learners could first complete planning templates, then participate in supported simulation, then undertake self- and peer-assessment, and finally demonstrate competence through workplace observation or supervisor review. In police training, this might mean moving from a mock safeguarding decision exercise, to a coached interview role-play, to reflective review, and then to evidence of operational application. This would provide a fuller picture of competence and improve transferability into practice.</w:t>
        <w:br/>
        <w:br/>
        <w:t>Fourthly, inclusive participation strategies should be embedded more consistently within both formative and summative assessment. Think-pair-share, written decision logs, rotating spokesperson roles, anonymous response tools and short reflective commentaries would reduce overreliance on confident whole-group verbal participation. This is especially important in police learning environments, where occupational culture can sometimes reward confident performance more visibly than reflective thinking. Inclusive assessment design should therefore be planned in from the outset rather than treated as an adjustment after difficulties emerge.</w:t>
        <w:br/>
        <w:br/>
        <w:t>Fifthly, trainer calibration and moderation sessions should be introduced routinely to improve consistency in assessment judgements. Trainers should periodically review sample learner work, discuss assessment decisions and compare how criteria are being applied across different sessions. This would support fairness whilst still allowing for professional decision-making and contextual flexibility.</w:t>
        <w:br/>
        <w:br/>
        <w:t>Finally, police training should make greater use of evaluative reflection as part of assessment. Short post-scenario reflections, learner self-assessment against competency frameworks, and structured professional development targets would encourage learners to explain not only what they did, but why they acted in a particular way and what they would improve. This is particularly important in policing because professional decision-making develops through reflection on action as well as performance itself, and because critical reflection is central to professional learning (Brookfield, 1995).</w:t>
        <w:br/>
        <w:br/>
        <w:t>Overall, effective police assessment depends on combining clear standards with developmental feedback and authentic tasks with inclusive design. Rather than seeking one ideal method, the stronger approach is to use complementary forms of evidence that support both learner development and organisational assurance.</w:t>
        <w:br/>
        <w:br/>
        <w:t>Personally, this evaluation challenged some of my own assumptions regarding assessment within police learning environments. Prior to undertaking this module, I often viewed formative assessment primarily as a mechanism for checking learner understanding during delivery. However, critically evaluating the observed sessions and wider literature highlighted that assessment also shapes learner confidence, professional identity and reflective capability. I recognised that within my own teaching practice I can occasionally prioritise operational realism without always considering whether quieter learners are being given equitable opportunities to demonstrate competence. Consequently, this assignment has encouraged me to adopt a more balanced approach that values inclusivity, structured feedback and staged development alongside operational authenticity.</w:t>
      </w:r>
    </w:p>
    <w:p w14:paraId="3166A2EB" w14:textId="77777777" w:rsidR="00426C49" w:rsidRDefault="00426C49" w:rsidP="00426C49">
      <w:pPr>
        <w:pStyle w:val="Heading2"/>
      </w:pPr>
      <w:r>
        <w:rPr>
          <w:sz w:val="22"/>
        </w:rPr>
        <w:t>Conclusion</w:t>
      </w:r>
    </w:p>
    <w:p w14:paraId="5CA1F2BE" w14:textId="77777777" w:rsidR="00426C49" w:rsidRDefault="00426C49">
      <w:pPr>
        <w:rPr>
          <w:lang w:eastAsia="en-GB"/>
        </w:rPr>
      </w:pPr>
      <w:r>
        <w:rPr>
          <w:sz w:val="22"/>
        </w:rPr>
        <w:t>This assignment has critically reflected on two observed teaching sessions and evaluated assessment practices within the context of police training. Taken together, the discussion shows that effective professional education in policing depends not simply on accurate content delivery, but on how well teaching and assessment develop reflective, ethically aware and operationally competent practitioners.</w:t>
        <w:br/>
        <w:br/>
        <w:t>The two observations demonstrated clear examples of effective practice, including realistic contextualisation, scaffolded learning, strong use of discussion, purposeful scenario-based activity and reflective debriefing. However, they also revealed important tensions. Learning that feels authentic may still exclude some learners. Discussion that appears engaging may not provide sufficient evidence of understanding. Realistic training can strengthen relevance, but without careful structure it may reduce consistency, clarity or fairness.</w:t>
        <w:br/>
        <w:br/>
        <w:t>The evaluation of assessment in context reinforced that these tensions are not weaknesses to be eliminated entirely, but realities to be managed thoughtfully. In police education, assessment must balance developmental learning with accountability, professional decision-making with standardisation, and authenticity with inclusivity. This means that no single assessment method is sufficient on its own. Rather, effective practice requires a staged and balanced approach that combines formative feedback, structured observation, reflective review and workplace application.</w:t>
        <w:br/>
        <w:br/>
        <w:t>The most significant outcome of this reflection is its impact on my own teaching philosophy. I now recognise more clearly that effective training requires deliberate design: discussion must be structured, scenario work must be scaffolded, assessment must be inclusive, and feedback must actively support improvement rather than merely record performance. Going forward, I will place greater emphasis on inclusive formative assessment, clearer consolidation of complex content, broader evidence of learner understanding and more explicit links between classroom activity and professional policing practice. In this sense, effective assessment should not only judge competence, but help to build it.</w:t>
      </w:r>
    </w:p>
    <w:p w14:paraId="098B5BF3" w14:textId="77777777" w:rsidR="00426C49" w:rsidRDefault="00426C49" w:rsidP="00426C49">
      <w:pPr>
        <w:pStyle w:val="Heading2"/>
      </w:pPr>
      <w:r>
        <w:rPr>
          <w:sz w:val="22"/>
        </w:rPr>
        <w:t>Reference List</w:t>
      </w:r>
    </w:p>
    <w:p w14:paraId="748F7328" w14:textId="77777777" w:rsidR="00613E97" w:rsidRDefault="00613E97">
      <w:pPr>
        <w:rPr>
          <w:lang w:eastAsia="en-GB"/>
        </w:rPr>
      </w:pPr>
      <w:r>
        <w:rPr>
          <w:sz w:val="22"/>
        </w:rPr>
        <w:t>Ajjawi, R., Tai, J., Dawson, P. and Boud, D. (2020) ‘Conceptualising evaluative judgement for sustainable assessment in higher education’, Assessment and Evaluation in Higher Education, 45(4), pp. 555–568.</w:t>
        <w:br/>
        <w:br/>
        <w:t>Bain, K. (2023) ‘Inclusive assessment in higher education: what does the literature tell us about how to define and design inclusive assessments?’, Journal of Learning Development in Higher Education, 27. Available at: https://journal.aldinhe.ac.uk/index.php/jldhe/article/view/1014 (Accessed: 28 May 2026).</w:t>
        <w:br/>
        <w:br/>
        <w:t>Bearman, M., Tai, J. and Ajjawi, R. (2023) ‘Authentic assessment in professional education: critical perspectives and future directions’, Higher Education Research and Development, 42(5), pp. 1042–1056.</w:t>
        <w:br/>
        <w:br/>
        <w:t>Biggs, J. and Tang, C. (2011) Teaching for quality learning at university. 4th edn. Maidenhead: Open University Press.</w:t>
        <w:br/>
        <w:br/>
        <w:t>Black, P. and Wiliam, D. (1998) ‘Assessment and classroom learning’, Assessment in Education: Principles, Policy and Practice, 5(1), pp. 7–74.</w:t>
        <w:br/>
        <w:br/>
        <w:t>Bloom, B.S. (1956) Taxonomy of educational objectives. New York: Longman.</w:t>
        <w:br/>
        <w:br/>
        <w:t>Brookfield, S. (1995) Becoming a critically reflective teacher. San Francisco: Jossey-Bass.</w:t>
        <w:br/>
        <w:br/>
        <w:t>Bruner, J. (1978) ‘The role of dialogue in language acquisition’, in Sinclair, A., Jarvelle, R.J. and Levelt, W.J.M. (eds) The child’s conception of language. New York: Springer, pp. 241–256.</w:t>
        <w:br/>
        <w:br/>
        <w:t>Carless, D. and Boud, D. (2018) ‘The development of student feedback literacy: enabling uptake of feedback’, Assessment and Evaluation in Higher Education, 43(8), pp. 1315–1325.</w:t>
        <w:br/>
        <w:br/>
        <w:t>College of Policing (2022) Investigative interviewing. Available at: https://www.college.police.uk/app/investigation/investigative-interviewing/investigative-interviewing (Accessed: 28 May 2026).</w:t>
        <w:br/>
        <w:br/>
        <w:t>Gravells, A. (2021) Principles and practices of assessment. London: Learning Matters.</w:t>
        <w:br/>
        <w:br/>
        <w:t>HMICFRS (2023) An inspection of police responses to violence against women and girls. London: HMICFRS.</w:t>
        <w:br/>
        <w:br/>
        <w:t>Knowles, M. (1984) The adult learner. Houston: Gulf Publishing.</w:t>
        <w:br/>
        <w:br/>
        <w:t>Kolb, D. (1984) Experiential learning. Englewood Cliffs, NJ: Prentice Hall.</w:t>
        <w:br/>
        <w:br/>
        <w:t>Parmigiani, D., Nicchia, E., Murgia, E. and Ingersoll, M. (2024) ‘Formative assessment in higher education: an exploratory study within programs for professionals in education’, Frontiers in Education, 9, 1366215. Available at: https://www.frontiersin.org/journals/education/articles/10.3389/feduc.2024.1366215/full (Accessed: 28 May 2026).</w:t>
        <w:br/>
        <w:br/>
        <w:t>Schön, D. (1983) The reflective practitioner. London: Temple Smith.</w:t>
        <w:br/>
        <w:br/>
        <w:t>Sweller, J. (1988) ‘Cognitive load during problem solving’, Cognitive Science, 12(2), pp. 257–285.</w:t>
        <w:br/>
        <w:br/>
        <w:t>Vygotsky, L. (1978) Mind in society. Cambridge, MA: Harvard University Press.</w:t>
      </w:r>
    </w:p>
    <w:sectPr w:rsidR="00613E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C7C"/>
    <w:rsid w:val="000D010D"/>
    <w:rsid w:val="002024B3"/>
    <w:rsid w:val="00207B17"/>
    <w:rsid w:val="002755F7"/>
    <w:rsid w:val="00340137"/>
    <w:rsid w:val="00426C49"/>
    <w:rsid w:val="00613E97"/>
    <w:rsid w:val="006E4BF4"/>
    <w:rsid w:val="00714780"/>
    <w:rsid w:val="00773503"/>
    <w:rsid w:val="009030B1"/>
    <w:rsid w:val="00974403"/>
    <w:rsid w:val="00CD16B9"/>
    <w:rsid w:val="00D3365D"/>
    <w:rsid w:val="00D80C7C"/>
    <w:rsid w:val="00DB0005"/>
    <w:rsid w:val="00DC7BF9"/>
    <w:rsid w:val="00E971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FA6CD"/>
  <w15:chartTrackingRefBased/>
  <w15:docId w15:val="{5E7E98D2-F428-47B1-9D89-97B49E6B35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0C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80C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0C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0C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0C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0C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0C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0C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0C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0C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80C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0C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0C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0C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0C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0C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0C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0C7C"/>
    <w:rPr>
      <w:rFonts w:eastAsiaTheme="majorEastAsia" w:cstheme="majorBidi"/>
      <w:color w:val="272727" w:themeColor="text1" w:themeTint="D8"/>
    </w:rPr>
  </w:style>
  <w:style w:type="paragraph" w:styleId="Title">
    <w:name w:val="Title"/>
    <w:basedOn w:val="Normal"/>
    <w:next w:val="Normal"/>
    <w:link w:val="TitleChar"/>
    <w:uiPriority w:val="10"/>
    <w:qFormat/>
    <w:rsid w:val="00D80C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0C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0C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0C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0C7C"/>
    <w:pPr>
      <w:spacing w:before="160"/>
      <w:jc w:val="center"/>
    </w:pPr>
    <w:rPr>
      <w:i/>
      <w:iCs/>
      <w:color w:val="404040" w:themeColor="text1" w:themeTint="BF"/>
    </w:rPr>
  </w:style>
  <w:style w:type="character" w:customStyle="1" w:styleId="QuoteChar">
    <w:name w:val="Quote Char"/>
    <w:basedOn w:val="DefaultParagraphFont"/>
    <w:link w:val="Quote"/>
    <w:uiPriority w:val="29"/>
    <w:rsid w:val="00D80C7C"/>
    <w:rPr>
      <w:i/>
      <w:iCs/>
      <w:color w:val="404040" w:themeColor="text1" w:themeTint="BF"/>
    </w:rPr>
  </w:style>
  <w:style w:type="paragraph" w:styleId="ListParagraph">
    <w:name w:val="List Paragraph"/>
    <w:basedOn w:val="Normal"/>
    <w:uiPriority w:val="34"/>
    <w:qFormat/>
    <w:rsid w:val="00D80C7C"/>
    <w:pPr>
      <w:ind w:left="720"/>
      <w:contextualSpacing/>
    </w:pPr>
  </w:style>
  <w:style w:type="character" w:styleId="IntenseEmphasis">
    <w:name w:val="Intense Emphasis"/>
    <w:basedOn w:val="DefaultParagraphFont"/>
    <w:uiPriority w:val="21"/>
    <w:qFormat/>
    <w:rsid w:val="00D80C7C"/>
    <w:rPr>
      <w:i/>
      <w:iCs/>
      <w:color w:val="0F4761" w:themeColor="accent1" w:themeShade="BF"/>
    </w:rPr>
  </w:style>
  <w:style w:type="paragraph" w:styleId="IntenseQuote">
    <w:name w:val="Intense Quote"/>
    <w:basedOn w:val="Normal"/>
    <w:next w:val="Normal"/>
    <w:link w:val="IntenseQuoteChar"/>
    <w:uiPriority w:val="30"/>
    <w:qFormat/>
    <w:rsid w:val="00D80C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0C7C"/>
    <w:rPr>
      <w:i/>
      <w:iCs/>
      <w:color w:val="0F4761" w:themeColor="accent1" w:themeShade="BF"/>
    </w:rPr>
  </w:style>
  <w:style w:type="character" w:styleId="IntenseReference">
    <w:name w:val="Intense Reference"/>
    <w:basedOn w:val="DefaultParagraphFont"/>
    <w:uiPriority w:val="32"/>
    <w:qFormat/>
    <w:rsid w:val="00D80C7C"/>
    <w:rPr>
      <w:b/>
      <w:bCs/>
      <w:smallCaps/>
      <w:color w:val="0F4761" w:themeColor="accent1" w:themeShade="BF"/>
      <w:spacing w:val="5"/>
    </w:rPr>
  </w:style>
  <w:style w:type="paragraph" w:styleId="NoSpacing">
    <w:name w:val="No Spacing"/>
    <w:uiPriority w:val="1"/>
    <w:qFormat/>
    <w:rsid w:val="00D80C7C"/>
    <w:pPr>
      <w:spacing w:after="0" w:line="240" w:lineRule="auto"/>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3.xml"/><Relationship Id="rId3" Type="http://schemas.openxmlformats.org/officeDocument/2006/relationships/webSettings" Target="webSettings.xml"/><Relationship Id="rId7" Type="http://schemas.openxmlformats.org/officeDocument/2006/relationships/customXml" Target="../customXml/item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464F488883B9E41AF591824157AE03D" ma:contentTypeVersion="19" ma:contentTypeDescription="Create a new document." ma:contentTypeScope="" ma:versionID="24bad9db9aa708545c157c27592b37f6">
  <xsd:schema xmlns:xsd="http://www.w3.org/2001/XMLSchema" xmlns:xs="http://www.w3.org/2001/XMLSchema" xmlns:p="http://schemas.microsoft.com/office/2006/metadata/properties" xmlns:ns2="a1bd12ea-66e0-4a85-9f40-bd4ed5ac7bda" xmlns:ns3="861a6945-fc41-40d2-8e05-7a216352dda5" targetNamespace="http://schemas.microsoft.com/office/2006/metadata/properties" ma:root="true" ma:fieldsID="973dc3ef6dfaece6e691238fb5757d2a" ns2:_="" ns3:_="">
    <xsd:import namespace="a1bd12ea-66e0-4a85-9f40-bd4ed5ac7bda"/>
    <xsd:import namespace="861a6945-fc41-40d2-8e05-7a216352dda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3:SharedWithUsers" minOccurs="0"/>
                <xsd:element ref="ns3:SharedWithDetails" minOccurs="0"/>
                <xsd:element ref="ns2:MediaServiceLocation" minOccurs="0"/>
                <xsd:element ref="ns2:MediaServiceObjectDetectorVersions" minOccurs="0"/>
                <xsd:element ref="ns2:Toolkit" minOccurs="0"/>
                <xsd:element ref="ns2:MediaServiceSearchPropertie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bd12ea-66e0-4a85-9f40-bd4ed5ac7b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fffa94f5-9538-4d5d-ae72-f19c8bf93f9e"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Toolkit" ma:index="24" nillable="true" ma:displayName="Toolkit" ma:format="Dropdown" ma:internalName="Toolkit">
      <xsd:simpleType>
        <xsd:restriction base="dms:Note">
          <xsd:maxLength value="255"/>
        </xsd:restriction>
      </xsd:simpleType>
    </xsd:element>
    <xsd:element name="MediaServiceSearchProperties" ma:index="25" nillable="true" ma:displayName="MediaServiceSearchProperties" ma:hidden="true" ma:internalName="MediaServiceSearchProperties" ma:readOnly="true">
      <xsd:simpleType>
        <xsd:restriction base="dms:Note"/>
      </xsd:simpleType>
    </xsd:element>
    <xsd:element name="MediaServiceBillingMetadata" ma:index="26"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61a6945-fc41-40d2-8e05-7a216352dda5"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83cc6c4-4037-44e5-9a5b-fef7806ba63f}" ma:internalName="TaxCatchAll" ma:showField="CatchAllData" ma:web="861a6945-fc41-40d2-8e05-7a216352dda5">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861a6945-fc41-40d2-8e05-7a216352dda5" xsi:nil="true"/>
    <Toolkit xmlns="a1bd12ea-66e0-4a85-9f40-bd4ed5ac7bda" xsi:nil="true"/>
    <lcf76f155ced4ddcb4097134ff3c332f xmlns="a1bd12ea-66e0-4a85-9f40-bd4ed5ac7bd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4881C83-F265-4E83-8C35-74DACE9A2D0F}"/>
</file>

<file path=customXml/itemProps2.xml><?xml version="1.0" encoding="utf-8"?>
<ds:datastoreItem xmlns:ds="http://schemas.openxmlformats.org/officeDocument/2006/customXml" ds:itemID="{61FF6D4F-0D25-4EAA-912B-28B7BE2C682B}"/>
</file>

<file path=customXml/itemProps3.xml><?xml version="1.0" encoding="utf-8"?>
<ds:datastoreItem xmlns:ds="http://schemas.openxmlformats.org/officeDocument/2006/customXml" ds:itemID="{27204602-604C-4890-9C3E-3147C0A8650F}"/>
</file>

<file path=docProps/app.xml><?xml version="1.0" encoding="utf-8"?>
<Properties xmlns="http://schemas.openxmlformats.org/officeDocument/2006/extended-properties" xmlns:vt="http://schemas.openxmlformats.org/officeDocument/2006/docPropsVTypes">
  <Template>Normal</Template>
  <TotalTime>1</TotalTime>
  <Pages>14</Pages>
  <Words>4388</Words>
  <Characters>32211</Characters>
  <Application>Microsoft Office Word</Application>
  <DocSecurity>0</DocSecurity>
  <Lines>585</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Bonnici, Samuel</dc:creator>
  <cp:keywords/>
  <dc:description/>
  <cp:lastModifiedBy>Bonnici, Samuel</cp:lastModifiedBy>
  <cp:revision>2</cp:revision>
  <dcterms:created xsi:type="dcterms:W3CDTF">2026-05-28T14:40:00Z</dcterms:created>
  <dcterms:modified xsi:type="dcterms:W3CDTF">2026-05-28T14:40:00Z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2026-05-28T13:57:57Z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b7e551d9-8cbf-41eb-b005-c06db88d9c17</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y fmtid="{D5CDD505-2E9C-101B-9397-08002B2CF9AE}" pid="10" name="ContentTypeId">
    <vt:lpwstr>0x010100E464F488883B9E41AF591824157AE03D</vt:lpwstr>
  </property>
</Properties>
</file>