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7AAB" w:rsidRDefault="00FE7AAB" w:rsidP="00FE7AAB">
      <w:pPr>
        <w:pStyle w:val="normal0"/>
        <w:spacing w:line="360" w:lineRule="auto"/>
        <w:jc w:val="both"/>
        <w:rPr>
          <w:rFonts w:ascii="Times New Roman" w:eastAsia="Times New Roman" w:hAnsi="Times New Roman" w:cs="Times New Roman"/>
          <w:b/>
          <w:sz w:val="24"/>
          <w:szCs w:val="24"/>
        </w:rPr>
      </w:pPr>
    </w:p>
    <w:p w:rsidR="00FE7AAB" w:rsidRDefault="00FE7AAB" w:rsidP="00FE7AAB">
      <w:pPr>
        <w:pStyle w:val="normal0"/>
        <w:spacing w:line="360" w:lineRule="auto"/>
        <w:jc w:val="both"/>
        <w:rPr>
          <w:rFonts w:ascii="Times New Roman" w:eastAsia="Times New Roman" w:hAnsi="Times New Roman" w:cs="Times New Roman"/>
          <w:b/>
          <w:sz w:val="24"/>
          <w:szCs w:val="24"/>
        </w:rPr>
      </w:pPr>
    </w:p>
    <w:p w:rsidR="00FE7AAB" w:rsidRDefault="00FE7AAB" w:rsidP="00FE7AAB">
      <w:pPr>
        <w:pStyle w:val="normal0"/>
        <w:spacing w:line="360" w:lineRule="auto"/>
        <w:jc w:val="both"/>
        <w:rPr>
          <w:rFonts w:ascii="Times New Roman" w:eastAsia="Times New Roman" w:hAnsi="Times New Roman" w:cs="Times New Roman"/>
          <w:b/>
          <w:sz w:val="24"/>
          <w:szCs w:val="24"/>
        </w:rPr>
      </w:pPr>
    </w:p>
    <w:p w:rsidR="00FE7AAB" w:rsidRDefault="00FE7AAB" w:rsidP="00FE7AAB">
      <w:pPr>
        <w:pStyle w:val="normal0"/>
        <w:spacing w:line="360" w:lineRule="auto"/>
        <w:jc w:val="center"/>
        <w:rPr>
          <w:rFonts w:ascii="Times New Roman" w:eastAsia="Times New Roman" w:hAnsi="Times New Roman" w:cs="Times New Roman"/>
          <w:b/>
          <w:sz w:val="24"/>
          <w:szCs w:val="24"/>
        </w:rPr>
      </w:pPr>
    </w:p>
    <w:p w:rsidR="00B32B03" w:rsidRDefault="00B32B03" w:rsidP="00B32B03">
      <w:pPr>
        <w:pStyle w:val="normal0"/>
        <w:spacing w:line="360" w:lineRule="auto"/>
        <w:rPr>
          <w:rFonts w:ascii="Times New Roman" w:eastAsia="Times New Roman" w:hAnsi="Times New Roman" w:cs="Times New Roman"/>
          <w:b/>
          <w:sz w:val="24"/>
          <w:szCs w:val="24"/>
        </w:rPr>
      </w:pPr>
    </w:p>
    <w:p w:rsidR="00B32B03" w:rsidRDefault="00B32B03" w:rsidP="00B32B03">
      <w:pPr>
        <w:pStyle w:val="normal0"/>
        <w:spacing w:line="360" w:lineRule="auto"/>
        <w:rPr>
          <w:rFonts w:ascii="Times New Roman" w:eastAsia="Times New Roman" w:hAnsi="Times New Roman" w:cs="Times New Roman"/>
          <w:b/>
          <w:sz w:val="24"/>
          <w:szCs w:val="24"/>
        </w:rPr>
      </w:pPr>
    </w:p>
    <w:p w:rsidR="00FE7AAB" w:rsidRDefault="00FE7AAB" w:rsidP="00B32B03">
      <w:pPr>
        <w:pStyle w:val="norm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Title: International Meetings Management for the Hotel Industry</w:t>
      </w:r>
      <w:r w:rsidR="00B32B03">
        <w:rPr>
          <w:rFonts w:ascii="Times New Roman" w:eastAsia="Times New Roman" w:hAnsi="Times New Roman" w:cs="Times New Roman"/>
          <w:b/>
          <w:sz w:val="24"/>
          <w:szCs w:val="24"/>
        </w:rPr>
        <w:t xml:space="preserve"> BMIH6007</w:t>
      </w:r>
    </w:p>
    <w:p w:rsidR="00B32B03" w:rsidRDefault="00B32B03" w:rsidP="00B32B03">
      <w:pPr>
        <w:pStyle w:val="normal0"/>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sz w:val="24"/>
          <w:szCs w:val="24"/>
        </w:rPr>
        <w:t>Assignment Title: “Strategic Planning and Delivery for 'The Welsh Table' at Visit Wales' Year of Croeso”</w:t>
      </w:r>
    </w:p>
    <w:p w:rsidR="00FE7AAB" w:rsidRPr="00B32B03" w:rsidRDefault="00B32B03" w:rsidP="00B32B03">
      <w:pPr>
        <w:pStyle w:val="norm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FE7AAB">
        <w:rPr>
          <w:rFonts w:ascii="Times New Roman" w:eastAsia="Times New Roman" w:hAnsi="Times New Roman" w:cs="Times New Roman"/>
          <w:b/>
          <w:sz w:val="24"/>
          <w:szCs w:val="24"/>
        </w:rPr>
        <w:t>Module Lead: Kathryn Flynn</w:t>
      </w:r>
    </w:p>
    <w:p w:rsidR="00FE7AAB" w:rsidRDefault="00B32B03" w:rsidP="00FE7AAB">
      <w:pPr>
        <w:pStyle w:val="normal0"/>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              </w:t>
      </w:r>
      <w:r w:rsidR="00FE7AAB">
        <w:rPr>
          <w:rFonts w:ascii="Times New Roman" w:eastAsia="Times New Roman" w:hAnsi="Times New Roman" w:cs="Times New Roman"/>
          <w:b/>
          <w:color w:val="000000"/>
          <w:sz w:val="24"/>
          <w:szCs w:val="24"/>
          <w:highlight w:val="white"/>
        </w:rPr>
        <w:t>Student Name:</w:t>
      </w:r>
      <w:r w:rsidR="009120DD">
        <w:rPr>
          <w:rFonts w:ascii="Times New Roman" w:eastAsia="Times New Roman" w:hAnsi="Times New Roman" w:cs="Times New Roman"/>
          <w:b/>
          <w:color w:val="000000"/>
          <w:sz w:val="24"/>
          <w:szCs w:val="24"/>
          <w:highlight w:val="white"/>
        </w:rPr>
        <w:t xml:space="preserve"> Iulian Vasile Girtu</w:t>
      </w:r>
    </w:p>
    <w:p w:rsidR="00FE7AAB" w:rsidRDefault="00B32B03" w:rsidP="00FE7AAB">
      <w:pPr>
        <w:pStyle w:val="normal0"/>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      </w:t>
      </w:r>
      <w:r w:rsidR="00FE7AAB">
        <w:rPr>
          <w:rFonts w:ascii="Times New Roman" w:eastAsia="Times New Roman" w:hAnsi="Times New Roman" w:cs="Times New Roman"/>
          <w:b/>
          <w:color w:val="000000"/>
          <w:sz w:val="24"/>
          <w:szCs w:val="24"/>
          <w:highlight w:val="white"/>
        </w:rPr>
        <w:t>Student ID Number:</w:t>
      </w:r>
      <w:r w:rsidR="009120DD">
        <w:rPr>
          <w:rFonts w:ascii="Times New Roman" w:eastAsia="Times New Roman" w:hAnsi="Times New Roman" w:cs="Times New Roman"/>
          <w:b/>
          <w:color w:val="000000"/>
          <w:sz w:val="24"/>
          <w:szCs w:val="24"/>
          <w:highlight w:val="white"/>
        </w:rPr>
        <w:t xml:space="preserve"> 2133038</w:t>
      </w:r>
    </w:p>
    <w:p w:rsidR="00FE7AAB" w:rsidRDefault="00FE7AAB" w:rsidP="00FE7AAB">
      <w:pPr>
        <w:pStyle w:val="normal0"/>
        <w:spacing w:line="360" w:lineRule="auto"/>
        <w:jc w:val="center"/>
        <w:rPr>
          <w:rFonts w:ascii="Times New Roman" w:eastAsia="Times New Roman" w:hAnsi="Times New Roman" w:cs="Times New Roman"/>
          <w:b/>
          <w:color w:val="000000"/>
          <w:sz w:val="24"/>
          <w:szCs w:val="24"/>
          <w:highlight w:val="white"/>
        </w:rPr>
      </w:pPr>
      <w:bookmarkStart w:id="0" w:name="_9ktcb5n8vdxj" w:colFirst="0" w:colLast="0"/>
      <w:bookmarkEnd w:id="0"/>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5943600" cy="1562204"/>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1562204"/>
                    </a:xfrm>
                    <a:prstGeom prst="rect">
                      <a:avLst/>
                    </a:prstGeom>
                    <a:ln/>
                  </pic:spPr>
                </pic:pic>
              </a:graphicData>
            </a:graphic>
          </wp:inline>
        </w:drawing>
      </w: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keepNext/>
        <w:keepLines/>
        <w:pBdr>
          <w:top w:val="nil"/>
          <w:left w:val="nil"/>
          <w:bottom w:val="nil"/>
          <w:right w:val="nil"/>
          <w:between w:val="nil"/>
        </w:pBdr>
        <w:spacing w:before="240" w:after="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sdt>
      <w:sdtPr>
        <w:id w:val="1297617189"/>
        <w:docPartObj>
          <w:docPartGallery w:val="Table of Contents"/>
          <w:docPartUnique/>
        </w:docPartObj>
      </w:sdtPr>
      <w:sdtContent>
        <w:p w:rsidR="00FE7AAB" w:rsidRDefault="004F0965" w:rsidP="00FE7AAB">
          <w:pPr>
            <w:pStyle w:val="normal0"/>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r>
            <w:fldChar w:fldCharType="begin"/>
          </w:r>
          <w:r w:rsidR="00FE7AAB">
            <w:instrText xml:space="preserve"> TOC \h \u \z \t "Heading 1,1,Heading 2,2,Heading 3,3,"</w:instrText>
          </w:r>
          <w:r>
            <w:fldChar w:fldCharType="separate"/>
          </w:r>
          <w:hyperlink w:anchor="_smliood8mdkc">
            <w:r w:rsidR="00FE7AAB">
              <w:rPr>
                <w:rFonts w:ascii="Times New Roman" w:eastAsia="Times New Roman" w:hAnsi="Times New Roman" w:cs="Times New Roman"/>
                <w:color w:val="000000"/>
                <w:sz w:val="24"/>
                <w:szCs w:val="24"/>
              </w:rPr>
              <w:t>1.</w:t>
            </w:r>
            <w:r w:rsidR="00FE7AAB">
              <w:rPr>
                <w:rFonts w:ascii="Times New Roman" w:eastAsia="Times New Roman" w:hAnsi="Times New Roman" w:cs="Times New Roman"/>
                <w:color w:val="000000"/>
                <w:sz w:val="24"/>
                <w:szCs w:val="24"/>
              </w:rPr>
              <w:tab/>
              <w:t>Introduction</w:t>
            </w:r>
            <w:r w:rsidR="00FE7AAB">
              <w:rPr>
                <w:rFonts w:ascii="Times New Roman" w:eastAsia="Times New Roman" w:hAnsi="Times New Roman" w:cs="Times New Roman"/>
                <w:color w:val="000000"/>
                <w:sz w:val="24"/>
                <w:szCs w:val="24"/>
              </w:rPr>
              <w:tab/>
              <w:t>1</w:t>
            </w:r>
          </w:hyperlink>
        </w:p>
        <w:p w:rsidR="00FE7AAB" w:rsidRDefault="004F0965" w:rsidP="00FE7AAB">
          <w:pPr>
            <w:pStyle w:val="normal0"/>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ql1d1amxgwf5">
            <w:r w:rsidR="00FE7AAB">
              <w:rPr>
                <w:rFonts w:ascii="Times New Roman" w:eastAsia="Times New Roman" w:hAnsi="Times New Roman" w:cs="Times New Roman"/>
                <w:color w:val="000000"/>
                <w:sz w:val="24"/>
                <w:szCs w:val="24"/>
              </w:rPr>
              <w:t>2.</w:t>
            </w:r>
            <w:r w:rsidR="00FE7AAB">
              <w:rPr>
                <w:rFonts w:ascii="Times New Roman" w:eastAsia="Times New Roman" w:hAnsi="Times New Roman" w:cs="Times New Roman"/>
                <w:color w:val="000000"/>
                <w:sz w:val="24"/>
                <w:szCs w:val="24"/>
              </w:rPr>
              <w:tab/>
              <w:t>The Event Cycle</w:t>
            </w:r>
            <w:r w:rsidR="00FE7AAB">
              <w:rPr>
                <w:rFonts w:ascii="Times New Roman" w:eastAsia="Times New Roman" w:hAnsi="Times New Roman" w:cs="Times New Roman"/>
                <w:color w:val="000000"/>
                <w:sz w:val="24"/>
                <w:szCs w:val="24"/>
              </w:rPr>
              <w:tab/>
              <w:t>1</w:t>
            </w:r>
          </w:hyperlink>
        </w:p>
        <w:p w:rsidR="00FE7AAB" w:rsidRDefault="004F0965" w:rsidP="00FE7AAB">
          <w:pPr>
            <w:pStyle w:val="normal0"/>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lz1x60rgxnk3">
            <w:r w:rsidR="00FE7AAB">
              <w:rPr>
                <w:rFonts w:ascii="Times New Roman" w:eastAsia="Times New Roman" w:hAnsi="Times New Roman" w:cs="Times New Roman"/>
                <w:color w:val="000000"/>
                <w:sz w:val="24"/>
                <w:szCs w:val="24"/>
              </w:rPr>
              <w:t>3.</w:t>
            </w:r>
            <w:r w:rsidR="00FE7AAB">
              <w:rPr>
                <w:rFonts w:ascii="Times New Roman" w:eastAsia="Times New Roman" w:hAnsi="Times New Roman" w:cs="Times New Roman"/>
                <w:color w:val="000000"/>
                <w:sz w:val="24"/>
                <w:szCs w:val="24"/>
              </w:rPr>
              <w:tab/>
              <w:t>Event Concept</w:t>
            </w:r>
            <w:r w:rsidR="00FE7AAB">
              <w:rPr>
                <w:rFonts w:ascii="Times New Roman" w:eastAsia="Times New Roman" w:hAnsi="Times New Roman" w:cs="Times New Roman"/>
                <w:color w:val="000000"/>
                <w:sz w:val="24"/>
                <w:szCs w:val="24"/>
              </w:rPr>
              <w:tab/>
              <w:t>2</w:t>
            </w:r>
          </w:hyperlink>
        </w:p>
        <w:p w:rsidR="00FE7AAB" w:rsidRDefault="004F0965" w:rsidP="00FE7AAB">
          <w:pPr>
            <w:pStyle w:val="normal0"/>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n2yvlk63tpys">
            <w:r w:rsidR="00FE7AAB">
              <w:rPr>
                <w:rFonts w:ascii="Times New Roman" w:eastAsia="Times New Roman" w:hAnsi="Times New Roman" w:cs="Times New Roman"/>
                <w:color w:val="000000"/>
                <w:sz w:val="24"/>
                <w:szCs w:val="24"/>
              </w:rPr>
              <w:t>4.</w:t>
            </w:r>
            <w:r w:rsidR="00FE7AAB">
              <w:rPr>
                <w:rFonts w:ascii="Times New Roman" w:eastAsia="Times New Roman" w:hAnsi="Times New Roman" w:cs="Times New Roman"/>
                <w:color w:val="000000"/>
                <w:sz w:val="24"/>
                <w:szCs w:val="24"/>
              </w:rPr>
              <w:tab/>
              <w:t>Aims and SMART Objectives</w:t>
            </w:r>
            <w:r w:rsidR="00FE7AAB">
              <w:rPr>
                <w:rFonts w:ascii="Times New Roman" w:eastAsia="Times New Roman" w:hAnsi="Times New Roman" w:cs="Times New Roman"/>
                <w:color w:val="000000"/>
                <w:sz w:val="24"/>
                <w:szCs w:val="24"/>
              </w:rPr>
              <w:tab/>
              <w:t>3</w:t>
            </w:r>
          </w:hyperlink>
        </w:p>
        <w:p w:rsidR="00FE7AAB" w:rsidRDefault="004F0965" w:rsidP="00FE7AAB">
          <w:pPr>
            <w:pStyle w:val="normal0"/>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f71o1x5m1ckj">
            <w:r w:rsidR="00FE7AAB">
              <w:rPr>
                <w:rFonts w:ascii="Times New Roman" w:eastAsia="Times New Roman" w:hAnsi="Times New Roman" w:cs="Times New Roman"/>
                <w:color w:val="000000"/>
                <w:sz w:val="24"/>
                <w:szCs w:val="24"/>
              </w:rPr>
              <w:t>5.</w:t>
            </w:r>
            <w:r w:rsidR="00FE7AAB">
              <w:rPr>
                <w:rFonts w:ascii="Times New Roman" w:eastAsia="Times New Roman" w:hAnsi="Times New Roman" w:cs="Times New Roman"/>
                <w:color w:val="000000"/>
                <w:sz w:val="24"/>
                <w:szCs w:val="24"/>
              </w:rPr>
              <w:tab/>
              <w:t>Event Management</w:t>
            </w:r>
            <w:r w:rsidR="00FE7AAB">
              <w:rPr>
                <w:rFonts w:ascii="Times New Roman" w:eastAsia="Times New Roman" w:hAnsi="Times New Roman" w:cs="Times New Roman"/>
                <w:color w:val="000000"/>
                <w:sz w:val="24"/>
                <w:szCs w:val="24"/>
              </w:rPr>
              <w:tab/>
              <w:t>4</w:t>
            </w:r>
          </w:hyperlink>
        </w:p>
        <w:p w:rsidR="00FE7AAB" w:rsidRDefault="004F0965" w:rsidP="00FE7AAB">
          <w:pPr>
            <w:pStyle w:val="normal0"/>
            <w:pBdr>
              <w:top w:val="nil"/>
              <w:left w:val="nil"/>
              <w:bottom w:val="nil"/>
              <w:right w:val="nil"/>
              <w:between w:val="nil"/>
            </w:pBdr>
            <w:tabs>
              <w:tab w:val="left" w:pos="880"/>
              <w:tab w:val="right" w:leader="dot" w:pos="9350"/>
            </w:tabs>
            <w:spacing w:after="100" w:line="360" w:lineRule="auto"/>
            <w:ind w:left="220"/>
            <w:rPr>
              <w:rFonts w:ascii="Times New Roman" w:eastAsia="Times New Roman" w:hAnsi="Times New Roman" w:cs="Times New Roman"/>
              <w:color w:val="000000"/>
              <w:sz w:val="24"/>
              <w:szCs w:val="24"/>
            </w:rPr>
          </w:pPr>
          <w:hyperlink w:anchor="_yebk0mvf3x3b">
            <w:r w:rsidR="00FE7AAB">
              <w:rPr>
                <w:rFonts w:ascii="Times New Roman" w:eastAsia="Times New Roman" w:hAnsi="Times New Roman" w:cs="Times New Roman"/>
                <w:color w:val="000000"/>
                <w:sz w:val="24"/>
                <w:szCs w:val="24"/>
              </w:rPr>
              <w:t>5.1</w:t>
            </w:r>
            <w:r w:rsidR="00FE7AAB">
              <w:rPr>
                <w:rFonts w:ascii="Times New Roman" w:eastAsia="Times New Roman" w:hAnsi="Times New Roman" w:cs="Times New Roman"/>
                <w:color w:val="000000"/>
                <w:sz w:val="24"/>
                <w:szCs w:val="24"/>
              </w:rPr>
              <w:tab/>
              <w:t>Team Structure and Skill Requirements</w:t>
            </w:r>
            <w:r w:rsidR="00FE7AAB">
              <w:rPr>
                <w:rFonts w:ascii="Times New Roman" w:eastAsia="Times New Roman" w:hAnsi="Times New Roman" w:cs="Times New Roman"/>
                <w:color w:val="000000"/>
                <w:sz w:val="24"/>
                <w:szCs w:val="24"/>
              </w:rPr>
              <w:tab/>
              <w:t>4</w:t>
            </w:r>
          </w:hyperlink>
        </w:p>
        <w:p w:rsidR="00FE7AAB" w:rsidRDefault="004F0965" w:rsidP="00FE7AAB">
          <w:pPr>
            <w:pStyle w:val="normal0"/>
            <w:pBdr>
              <w:top w:val="nil"/>
              <w:left w:val="nil"/>
              <w:bottom w:val="nil"/>
              <w:right w:val="nil"/>
              <w:between w:val="nil"/>
            </w:pBdr>
            <w:tabs>
              <w:tab w:val="left" w:pos="880"/>
              <w:tab w:val="right" w:leader="dot" w:pos="9350"/>
            </w:tabs>
            <w:spacing w:after="100" w:line="360" w:lineRule="auto"/>
            <w:ind w:left="220"/>
            <w:rPr>
              <w:rFonts w:ascii="Times New Roman" w:eastAsia="Times New Roman" w:hAnsi="Times New Roman" w:cs="Times New Roman"/>
              <w:color w:val="000000"/>
              <w:sz w:val="24"/>
              <w:szCs w:val="24"/>
            </w:rPr>
          </w:pPr>
          <w:hyperlink w:anchor="_b95mh7mqqboh">
            <w:r w:rsidR="00FE7AAB">
              <w:rPr>
                <w:rFonts w:ascii="Times New Roman" w:eastAsia="Times New Roman" w:hAnsi="Times New Roman" w:cs="Times New Roman"/>
                <w:color w:val="000000"/>
                <w:sz w:val="24"/>
                <w:szCs w:val="24"/>
              </w:rPr>
              <w:t>5.2</w:t>
            </w:r>
            <w:r w:rsidR="00FE7AAB">
              <w:rPr>
                <w:rFonts w:ascii="Times New Roman" w:eastAsia="Times New Roman" w:hAnsi="Times New Roman" w:cs="Times New Roman"/>
                <w:color w:val="000000"/>
                <w:sz w:val="24"/>
                <w:szCs w:val="24"/>
              </w:rPr>
              <w:tab/>
              <w:t>Operational Planning and Logistics</w:t>
            </w:r>
            <w:r w:rsidR="00FE7AAB">
              <w:rPr>
                <w:rFonts w:ascii="Times New Roman" w:eastAsia="Times New Roman" w:hAnsi="Times New Roman" w:cs="Times New Roman"/>
                <w:color w:val="000000"/>
                <w:sz w:val="24"/>
                <w:szCs w:val="24"/>
              </w:rPr>
              <w:tab/>
              <w:t>4</w:t>
            </w:r>
          </w:hyperlink>
        </w:p>
        <w:p w:rsidR="00FE7AAB" w:rsidRDefault="004F0965" w:rsidP="00FE7AAB">
          <w:pPr>
            <w:pStyle w:val="normal0"/>
            <w:pBdr>
              <w:top w:val="nil"/>
              <w:left w:val="nil"/>
              <w:bottom w:val="nil"/>
              <w:right w:val="nil"/>
              <w:between w:val="nil"/>
            </w:pBdr>
            <w:tabs>
              <w:tab w:val="left" w:pos="880"/>
              <w:tab w:val="right" w:leader="dot" w:pos="9350"/>
            </w:tabs>
            <w:spacing w:after="100" w:line="360" w:lineRule="auto"/>
            <w:ind w:left="220"/>
            <w:rPr>
              <w:rFonts w:ascii="Times New Roman" w:eastAsia="Times New Roman" w:hAnsi="Times New Roman" w:cs="Times New Roman"/>
              <w:color w:val="000000"/>
              <w:sz w:val="24"/>
              <w:szCs w:val="24"/>
            </w:rPr>
          </w:pPr>
          <w:hyperlink w:anchor="_i6yh96pzclrm">
            <w:r w:rsidR="00FE7AAB">
              <w:rPr>
                <w:rFonts w:ascii="Times New Roman" w:eastAsia="Times New Roman" w:hAnsi="Times New Roman" w:cs="Times New Roman"/>
                <w:color w:val="000000"/>
                <w:sz w:val="24"/>
                <w:szCs w:val="24"/>
              </w:rPr>
              <w:t>5.3</w:t>
            </w:r>
            <w:r w:rsidR="00FE7AAB">
              <w:rPr>
                <w:rFonts w:ascii="Times New Roman" w:eastAsia="Times New Roman" w:hAnsi="Times New Roman" w:cs="Times New Roman"/>
                <w:color w:val="000000"/>
                <w:sz w:val="24"/>
                <w:szCs w:val="24"/>
              </w:rPr>
              <w:tab/>
              <w:t>Technology and Event Infrastructure</w:t>
            </w:r>
            <w:r w:rsidR="00FE7AAB">
              <w:rPr>
                <w:rFonts w:ascii="Times New Roman" w:eastAsia="Times New Roman" w:hAnsi="Times New Roman" w:cs="Times New Roman"/>
                <w:color w:val="000000"/>
                <w:sz w:val="24"/>
                <w:szCs w:val="24"/>
              </w:rPr>
              <w:tab/>
              <w:t>4</w:t>
            </w:r>
          </w:hyperlink>
        </w:p>
        <w:p w:rsidR="00FE7AAB" w:rsidRDefault="004F0965" w:rsidP="00FE7AAB">
          <w:pPr>
            <w:pStyle w:val="normal0"/>
            <w:pBdr>
              <w:top w:val="nil"/>
              <w:left w:val="nil"/>
              <w:bottom w:val="nil"/>
              <w:right w:val="nil"/>
              <w:between w:val="nil"/>
            </w:pBdr>
            <w:tabs>
              <w:tab w:val="left" w:pos="880"/>
              <w:tab w:val="right" w:leader="dot" w:pos="9350"/>
            </w:tabs>
            <w:spacing w:after="100" w:line="360" w:lineRule="auto"/>
            <w:ind w:left="220"/>
            <w:rPr>
              <w:rFonts w:ascii="Times New Roman" w:eastAsia="Times New Roman" w:hAnsi="Times New Roman" w:cs="Times New Roman"/>
              <w:color w:val="000000"/>
              <w:sz w:val="24"/>
              <w:szCs w:val="24"/>
            </w:rPr>
          </w:pPr>
          <w:hyperlink w:anchor="_32ii3sbgkvcm">
            <w:r w:rsidR="00FE7AAB">
              <w:rPr>
                <w:rFonts w:ascii="Times New Roman" w:eastAsia="Times New Roman" w:hAnsi="Times New Roman" w:cs="Times New Roman"/>
                <w:color w:val="000000"/>
                <w:sz w:val="24"/>
                <w:szCs w:val="24"/>
              </w:rPr>
              <w:t>5.4</w:t>
            </w:r>
            <w:r w:rsidR="00FE7AAB">
              <w:rPr>
                <w:rFonts w:ascii="Times New Roman" w:eastAsia="Times New Roman" w:hAnsi="Times New Roman" w:cs="Times New Roman"/>
                <w:color w:val="000000"/>
                <w:sz w:val="24"/>
                <w:szCs w:val="24"/>
              </w:rPr>
              <w:tab/>
              <w:t>Marketing and Promotion Strategies</w:t>
            </w:r>
            <w:r w:rsidR="00FE7AAB">
              <w:rPr>
                <w:rFonts w:ascii="Times New Roman" w:eastAsia="Times New Roman" w:hAnsi="Times New Roman" w:cs="Times New Roman"/>
                <w:color w:val="000000"/>
                <w:sz w:val="24"/>
                <w:szCs w:val="24"/>
              </w:rPr>
              <w:tab/>
              <w:t>4</w:t>
            </w:r>
          </w:hyperlink>
        </w:p>
        <w:p w:rsidR="00FE7AAB" w:rsidRDefault="004F0965" w:rsidP="00FE7AAB">
          <w:pPr>
            <w:pStyle w:val="normal0"/>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44wyd2g7jldr">
            <w:r w:rsidR="00FE7AAB">
              <w:rPr>
                <w:rFonts w:ascii="Times New Roman" w:eastAsia="Times New Roman" w:hAnsi="Times New Roman" w:cs="Times New Roman"/>
                <w:color w:val="000000"/>
                <w:sz w:val="24"/>
                <w:szCs w:val="24"/>
              </w:rPr>
              <w:t>6.</w:t>
            </w:r>
            <w:r w:rsidR="00FE7AAB">
              <w:rPr>
                <w:rFonts w:ascii="Times New Roman" w:eastAsia="Times New Roman" w:hAnsi="Times New Roman" w:cs="Times New Roman"/>
                <w:color w:val="000000"/>
                <w:sz w:val="24"/>
                <w:szCs w:val="24"/>
              </w:rPr>
              <w:tab/>
              <w:t>Event Budget</w:t>
            </w:r>
            <w:r w:rsidR="00FE7AAB">
              <w:rPr>
                <w:rFonts w:ascii="Times New Roman" w:eastAsia="Times New Roman" w:hAnsi="Times New Roman" w:cs="Times New Roman"/>
                <w:color w:val="000000"/>
                <w:sz w:val="24"/>
                <w:szCs w:val="24"/>
              </w:rPr>
              <w:tab/>
              <w:t>5</w:t>
            </w:r>
          </w:hyperlink>
        </w:p>
        <w:p w:rsidR="00FE7AAB" w:rsidRDefault="004F0965" w:rsidP="00FE7AAB">
          <w:pPr>
            <w:pStyle w:val="normal0"/>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vgc777d5kot4">
            <w:r w:rsidR="00FE7AAB">
              <w:rPr>
                <w:rFonts w:ascii="Times New Roman" w:eastAsia="Times New Roman" w:hAnsi="Times New Roman" w:cs="Times New Roman"/>
                <w:color w:val="000000"/>
                <w:sz w:val="24"/>
                <w:szCs w:val="24"/>
              </w:rPr>
              <w:t>7.</w:t>
            </w:r>
            <w:r w:rsidR="00FE7AAB">
              <w:rPr>
                <w:rFonts w:ascii="Times New Roman" w:eastAsia="Times New Roman" w:hAnsi="Times New Roman" w:cs="Times New Roman"/>
                <w:color w:val="000000"/>
                <w:sz w:val="24"/>
                <w:szCs w:val="24"/>
              </w:rPr>
              <w:tab/>
              <w:t>Industry Trends, Issues and Impacts</w:t>
            </w:r>
            <w:r w:rsidR="00FE7AAB">
              <w:rPr>
                <w:rFonts w:ascii="Times New Roman" w:eastAsia="Times New Roman" w:hAnsi="Times New Roman" w:cs="Times New Roman"/>
                <w:color w:val="000000"/>
                <w:sz w:val="24"/>
                <w:szCs w:val="24"/>
              </w:rPr>
              <w:tab/>
              <w:t>6</w:t>
            </w:r>
          </w:hyperlink>
        </w:p>
        <w:p w:rsidR="00FE7AAB" w:rsidRDefault="004F0965" w:rsidP="00FE7AAB">
          <w:pPr>
            <w:pStyle w:val="normal0"/>
            <w:pBdr>
              <w:top w:val="nil"/>
              <w:left w:val="nil"/>
              <w:bottom w:val="nil"/>
              <w:right w:val="nil"/>
              <w:between w:val="nil"/>
            </w:pBdr>
            <w:tabs>
              <w:tab w:val="left" w:pos="880"/>
              <w:tab w:val="right" w:leader="dot" w:pos="9350"/>
            </w:tabs>
            <w:spacing w:after="100" w:line="360" w:lineRule="auto"/>
            <w:ind w:left="220"/>
            <w:rPr>
              <w:rFonts w:ascii="Times New Roman" w:eastAsia="Times New Roman" w:hAnsi="Times New Roman" w:cs="Times New Roman"/>
              <w:color w:val="000000"/>
              <w:sz w:val="24"/>
              <w:szCs w:val="24"/>
            </w:rPr>
          </w:pPr>
          <w:hyperlink w:anchor="_2phjommjwnd">
            <w:r w:rsidR="00FE7AAB">
              <w:rPr>
                <w:rFonts w:ascii="Times New Roman" w:eastAsia="Times New Roman" w:hAnsi="Times New Roman" w:cs="Times New Roman"/>
                <w:color w:val="000000"/>
                <w:sz w:val="24"/>
                <w:szCs w:val="24"/>
              </w:rPr>
              <w:t>7.1</w:t>
            </w:r>
            <w:r w:rsidR="00FE7AAB">
              <w:rPr>
                <w:rFonts w:ascii="Times New Roman" w:eastAsia="Times New Roman" w:hAnsi="Times New Roman" w:cs="Times New Roman"/>
                <w:color w:val="000000"/>
                <w:sz w:val="24"/>
                <w:szCs w:val="24"/>
              </w:rPr>
              <w:tab/>
              <w:t>Sustainability and Localism in Hospitality</w:t>
            </w:r>
            <w:r w:rsidR="00FE7AAB">
              <w:rPr>
                <w:rFonts w:ascii="Times New Roman" w:eastAsia="Times New Roman" w:hAnsi="Times New Roman" w:cs="Times New Roman"/>
                <w:color w:val="000000"/>
                <w:sz w:val="24"/>
                <w:szCs w:val="24"/>
              </w:rPr>
              <w:tab/>
              <w:t>6</w:t>
            </w:r>
          </w:hyperlink>
        </w:p>
        <w:p w:rsidR="00FE7AAB" w:rsidRDefault="004F0965" w:rsidP="00FE7AAB">
          <w:pPr>
            <w:pStyle w:val="normal0"/>
            <w:pBdr>
              <w:top w:val="nil"/>
              <w:left w:val="nil"/>
              <w:bottom w:val="nil"/>
              <w:right w:val="nil"/>
              <w:between w:val="nil"/>
            </w:pBdr>
            <w:tabs>
              <w:tab w:val="left" w:pos="880"/>
              <w:tab w:val="right" w:leader="dot" w:pos="9350"/>
            </w:tabs>
            <w:spacing w:after="100" w:line="360" w:lineRule="auto"/>
            <w:ind w:left="220"/>
            <w:rPr>
              <w:rFonts w:ascii="Times New Roman" w:eastAsia="Times New Roman" w:hAnsi="Times New Roman" w:cs="Times New Roman"/>
              <w:color w:val="000000"/>
              <w:sz w:val="24"/>
              <w:szCs w:val="24"/>
            </w:rPr>
          </w:pPr>
          <w:hyperlink w:anchor="_6fl909ykgofp">
            <w:r w:rsidR="00FE7AAB">
              <w:rPr>
                <w:rFonts w:ascii="Times New Roman" w:eastAsia="Times New Roman" w:hAnsi="Times New Roman" w:cs="Times New Roman"/>
                <w:color w:val="000000"/>
                <w:sz w:val="24"/>
                <w:szCs w:val="24"/>
              </w:rPr>
              <w:t>7.2</w:t>
            </w:r>
            <w:r w:rsidR="00FE7AAB">
              <w:rPr>
                <w:rFonts w:ascii="Times New Roman" w:eastAsia="Times New Roman" w:hAnsi="Times New Roman" w:cs="Times New Roman"/>
                <w:color w:val="000000"/>
                <w:sz w:val="24"/>
                <w:szCs w:val="24"/>
              </w:rPr>
              <w:tab/>
              <w:t>Post-COVID Recovery and Experience Trends</w:t>
            </w:r>
            <w:r w:rsidR="00FE7AAB">
              <w:rPr>
                <w:rFonts w:ascii="Times New Roman" w:eastAsia="Times New Roman" w:hAnsi="Times New Roman" w:cs="Times New Roman"/>
                <w:color w:val="000000"/>
                <w:sz w:val="24"/>
                <w:szCs w:val="24"/>
              </w:rPr>
              <w:tab/>
              <w:t>6</w:t>
            </w:r>
          </w:hyperlink>
        </w:p>
        <w:p w:rsidR="00FE7AAB" w:rsidRDefault="004F0965" w:rsidP="00FE7AAB">
          <w:pPr>
            <w:pStyle w:val="normal0"/>
            <w:pBdr>
              <w:top w:val="nil"/>
              <w:left w:val="nil"/>
              <w:bottom w:val="nil"/>
              <w:right w:val="nil"/>
              <w:between w:val="nil"/>
            </w:pBdr>
            <w:tabs>
              <w:tab w:val="left" w:pos="880"/>
              <w:tab w:val="right" w:leader="dot" w:pos="9350"/>
            </w:tabs>
            <w:spacing w:after="100" w:line="360" w:lineRule="auto"/>
            <w:ind w:left="220"/>
            <w:rPr>
              <w:rFonts w:ascii="Times New Roman" w:eastAsia="Times New Roman" w:hAnsi="Times New Roman" w:cs="Times New Roman"/>
              <w:color w:val="000000"/>
              <w:sz w:val="24"/>
              <w:szCs w:val="24"/>
            </w:rPr>
          </w:pPr>
          <w:hyperlink w:anchor="_22s9d2pmibir">
            <w:r w:rsidR="00FE7AAB">
              <w:rPr>
                <w:rFonts w:ascii="Times New Roman" w:eastAsia="Times New Roman" w:hAnsi="Times New Roman" w:cs="Times New Roman"/>
                <w:color w:val="000000"/>
                <w:sz w:val="24"/>
                <w:szCs w:val="24"/>
              </w:rPr>
              <w:t>7.3</w:t>
            </w:r>
            <w:r w:rsidR="00FE7AAB">
              <w:rPr>
                <w:rFonts w:ascii="Times New Roman" w:eastAsia="Times New Roman" w:hAnsi="Times New Roman" w:cs="Times New Roman"/>
                <w:color w:val="000000"/>
                <w:sz w:val="24"/>
                <w:szCs w:val="24"/>
              </w:rPr>
              <w:tab/>
              <w:t>Hybrid Events and Digital Integration</w:t>
            </w:r>
            <w:r w:rsidR="00FE7AAB">
              <w:rPr>
                <w:rFonts w:ascii="Times New Roman" w:eastAsia="Times New Roman" w:hAnsi="Times New Roman" w:cs="Times New Roman"/>
                <w:color w:val="000000"/>
                <w:sz w:val="24"/>
                <w:szCs w:val="24"/>
              </w:rPr>
              <w:tab/>
              <w:t>7</w:t>
            </w:r>
          </w:hyperlink>
        </w:p>
        <w:p w:rsidR="00FE7AAB" w:rsidRDefault="004F0965" w:rsidP="00FE7AAB">
          <w:pPr>
            <w:pStyle w:val="normal0"/>
            <w:pBdr>
              <w:top w:val="nil"/>
              <w:left w:val="nil"/>
              <w:bottom w:val="nil"/>
              <w:right w:val="nil"/>
              <w:between w:val="nil"/>
            </w:pBdr>
            <w:tabs>
              <w:tab w:val="left" w:pos="880"/>
              <w:tab w:val="right" w:leader="dot" w:pos="9350"/>
            </w:tabs>
            <w:spacing w:after="100" w:line="360" w:lineRule="auto"/>
            <w:ind w:left="220"/>
            <w:rPr>
              <w:rFonts w:ascii="Times New Roman" w:eastAsia="Times New Roman" w:hAnsi="Times New Roman" w:cs="Times New Roman"/>
              <w:color w:val="000000"/>
              <w:sz w:val="24"/>
              <w:szCs w:val="24"/>
            </w:rPr>
          </w:pPr>
          <w:hyperlink w:anchor="_bgb1fx4yh3od">
            <w:r w:rsidR="00FE7AAB">
              <w:rPr>
                <w:rFonts w:ascii="Times New Roman" w:eastAsia="Times New Roman" w:hAnsi="Times New Roman" w:cs="Times New Roman"/>
                <w:color w:val="000000"/>
                <w:sz w:val="24"/>
                <w:szCs w:val="24"/>
              </w:rPr>
              <w:t>7.4</w:t>
            </w:r>
            <w:r w:rsidR="00FE7AAB">
              <w:rPr>
                <w:rFonts w:ascii="Times New Roman" w:eastAsia="Times New Roman" w:hAnsi="Times New Roman" w:cs="Times New Roman"/>
                <w:color w:val="000000"/>
                <w:sz w:val="24"/>
                <w:szCs w:val="24"/>
              </w:rPr>
              <w:tab/>
              <w:t>Challenges and Risks in the MICE Sector</w:t>
            </w:r>
            <w:r w:rsidR="00FE7AAB">
              <w:rPr>
                <w:rFonts w:ascii="Times New Roman" w:eastAsia="Times New Roman" w:hAnsi="Times New Roman" w:cs="Times New Roman"/>
                <w:color w:val="000000"/>
                <w:sz w:val="24"/>
                <w:szCs w:val="24"/>
              </w:rPr>
              <w:tab/>
              <w:t>7</w:t>
            </w:r>
          </w:hyperlink>
        </w:p>
        <w:p w:rsidR="00FE7AAB" w:rsidRDefault="004F0965" w:rsidP="00FE7AAB">
          <w:pPr>
            <w:pStyle w:val="normal0"/>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12g577p38v1p">
            <w:r w:rsidR="00FE7AAB">
              <w:rPr>
                <w:rFonts w:ascii="Times New Roman" w:eastAsia="Times New Roman" w:hAnsi="Times New Roman" w:cs="Times New Roman"/>
                <w:color w:val="000000"/>
                <w:sz w:val="24"/>
                <w:szCs w:val="24"/>
              </w:rPr>
              <w:t>8.</w:t>
            </w:r>
            <w:r w:rsidR="00FE7AAB">
              <w:rPr>
                <w:rFonts w:ascii="Times New Roman" w:eastAsia="Times New Roman" w:hAnsi="Times New Roman" w:cs="Times New Roman"/>
                <w:color w:val="000000"/>
                <w:sz w:val="24"/>
                <w:szCs w:val="24"/>
              </w:rPr>
              <w:tab/>
              <w:t>Situational and Cultural Considerations</w:t>
            </w:r>
            <w:r w:rsidR="00FE7AAB">
              <w:rPr>
                <w:rFonts w:ascii="Times New Roman" w:eastAsia="Times New Roman" w:hAnsi="Times New Roman" w:cs="Times New Roman"/>
                <w:color w:val="000000"/>
                <w:sz w:val="24"/>
                <w:szCs w:val="24"/>
              </w:rPr>
              <w:tab/>
              <w:t>7</w:t>
            </w:r>
          </w:hyperlink>
        </w:p>
        <w:p w:rsidR="00FE7AAB" w:rsidRDefault="004F0965" w:rsidP="00FE7AAB">
          <w:pPr>
            <w:pStyle w:val="normal0"/>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bbkib6k0crsl">
            <w:r w:rsidR="00FE7AAB">
              <w:rPr>
                <w:rFonts w:ascii="Times New Roman" w:eastAsia="Times New Roman" w:hAnsi="Times New Roman" w:cs="Times New Roman"/>
                <w:color w:val="000000"/>
                <w:sz w:val="24"/>
                <w:szCs w:val="24"/>
              </w:rPr>
              <w:t>9.</w:t>
            </w:r>
            <w:r w:rsidR="00FE7AAB">
              <w:rPr>
                <w:rFonts w:ascii="Times New Roman" w:eastAsia="Times New Roman" w:hAnsi="Times New Roman" w:cs="Times New Roman"/>
                <w:color w:val="000000"/>
                <w:sz w:val="24"/>
                <w:szCs w:val="24"/>
              </w:rPr>
              <w:tab/>
              <w:t>Recommendations</w:t>
            </w:r>
            <w:r w:rsidR="00FE7AAB">
              <w:rPr>
                <w:rFonts w:ascii="Times New Roman" w:eastAsia="Times New Roman" w:hAnsi="Times New Roman" w:cs="Times New Roman"/>
                <w:color w:val="000000"/>
                <w:sz w:val="24"/>
                <w:szCs w:val="24"/>
              </w:rPr>
              <w:tab/>
              <w:t>9</w:t>
            </w:r>
          </w:hyperlink>
        </w:p>
        <w:p w:rsidR="00FE7AAB" w:rsidRDefault="004F0965" w:rsidP="00FE7AAB">
          <w:pPr>
            <w:pStyle w:val="normal0"/>
            <w:pBdr>
              <w:top w:val="nil"/>
              <w:left w:val="nil"/>
              <w:bottom w:val="nil"/>
              <w:right w:val="nil"/>
              <w:between w:val="nil"/>
            </w:pBdr>
            <w:tabs>
              <w:tab w:val="left" w:pos="660"/>
              <w:tab w:val="right" w:leader="dot" w:pos="9350"/>
            </w:tabs>
            <w:spacing w:after="100" w:line="360" w:lineRule="auto"/>
            <w:rPr>
              <w:rFonts w:ascii="Times New Roman" w:eastAsia="Times New Roman" w:hAnsi="Times New Roman" w:cs="Times New Roman"/>
              <w:color w:val="000000"/>
              <w:sz w:val="24"/>
              <w:szCs w:val="24"/>
            </w:rPr>
          </w:pPr>
          <w:hyperlink w:anchor="_e3a8injnjpug">
            <w:r w:rsidR="00FE7AAB">
              <w:rPr>
                <w:rFonts w:ascii="Times New Roman" w:eastAsia="Times New Roman" w:hAnsi="Times New Roman" w:cs="Times New Roman"/>
                <w:color w:val="000000"/>
                <w:sz w:val="24"/>
                <w:szCs w:val="24"/>
              </w:rPr>
              <w:t>10.</w:t>
            </w:r>
            <w:r w:rsidR="00FE7AAB">
              <w:rPr>
                <w:rFonts w:ascii="Times New Roman" w:eastAsia="Times New Roman" w:hAnsi="Times New Roman" w:cs="Times New Roman"/>
                <w:color w:val="000000"/>
                <w:sz w:val="24"/>
                <w:szCs w:val="24"/>
              </w:rPr>
              <w:tab/>
              <w:t>Conclusion</w:t>
            </w:r>
            <w:r w:rsidR="00FE7AAB">
              <w:rPr>
                <w:rFonts w:ascii="Times New Roman" w:eastAsia="Times New Roman" w:hAnsi="Times New Roman" w:cs="Times New Roman"/>
                <w:color w:val="000000"/>
                <w:sz w:val="24"/>
                <w:szCs w:val="24"/>
              </w:rPr>
              <w:tab/>
              <w:t>9</w:t>
            </w:r>
          </w:hyperlink>
        </w:p>
        <w:p w:rsidR="00FE7AAB" w:rsidRDefault="004F0965" w:rsidP="00FE7AAB">
          <w:pPr>
            <w:pStyle w:val="normal0"/>
            <w:pBdr>
              <w:top w:val="nil"/>
              <w:left w:val="nil"/>
              <w:bottom w:val="nil"/>
              <w:right w:val="nil"/>
              <w:between w:val="nil"/>
            </w:pBdr>
            <w:tabs>
              <w:tab w:val="left" w:pos="660"/>
              <w:tab w:val="right" w:leader="dot" w:pos="9350"/>
            </w:tabs>
            <w:spacing w:after="100" w:line="360" w:lineRule="auto"/>
            <w:rPr>
              <w:rFonts w:ascii="Times New Roman" w:eastAsia="Times New Roman" w:hAnsi="Times New Roman" w:cs="Times New Roman"/>
              <w:color w:val="000000"/>
              <w:sz w:val="24"/>
              <w:szCs w:val="24"/>
            </w:rPr>
          </w:pPr>
          <w:hyperlink w:anchor="_xvx23r7rmvvw">
            <w:r w:rsidR="00FE7AAB">
              <w:rPr>
                <w:rFonts w:ascii="Times New Roman" w:eastAsia="Times New Roman" w:hAnsi="Times New Roman" w:cs="Times New Roman"/>
                <w:color w:val="000000"/>
                <w:sz w:val="24"/>
                <w:szCs w:val="24"/>
              </w:rPr>
              <w:t>11.</w:t>
            </w:r>
            <w:r w:rsidR="00FE7AAB">
              <w:rPr>
                <w:rFonts w:ascii="Times New Roman" w:eastAsia="Times New Roman" w:hAnsi="Times New Roman" w:cs="Times New Roman"/>
                <w:color w:val="000000"/>
                <w:sz w:val="24"/>
                <w:szCs w:val="24"/>
              </w:rPr>
              <w:tab/>
              <w:t>References</w:t>
            </w:r>
            <w:r w:rsidR="00FE7AAB">
              <w:rPr>
                <w:rFonts w:ascii="Times New Roman" w:eastAsia="Times New Roman" w:hAnsi="Times New Roman" w:cs="Times New Roman"/>
                <w:color w:val="000000"/>
                <w:sz w:val="24"/>
                <w:szCs w:val="24"/>
              </w:rPr>
              <w:tab/>
              <w:t>10</w:t>
            </w:r>
          </w:hyperlink>
        </w:p>
        <w:p w:rsidR="00FE7AAB" w:rsidRDefault="004F0965" w:rsidP="00FE7AAB">
          <w:pPr>
            <w:pStyle w:val="normal0"/>
            <w:spacing w:line="360" w:lineRule="auto"/>
            <w:rPr>
              <w:rFonts w:ascii="Times New Roman" w:eastAsia="Times New Roman" w:hAnsi="Times New Roman" w:cs="Times New Roman"/>
              <w:sz w:val="24"/>
              <w:szCs w:val="24"/>
            </w:rPr>
          </w:pPr>
          <w:r>
            <w:fldChar w:fldCharType="end"/>
          </w:r>
        </w:p>
      </w:sdtContent>
    </w:sdt>
    <w:p w:rsidR="00FE7AAB" w:rsidRDefault="00FE7AAB" w:rsidP="00FE7AAB">
      <w:pPr>
        <w:pStyle w:val="Heading1"/>
        <w:spacing w:line="360" w:lineRule="auto"/>
        <w:ind w:left="720" w:hanging="360"/>
        <w:jc w:val="both"/>
        <w:rPr>
          <w:rFonts w:ascii="Times New Roman" w:eastAsia="Times New Roman" w:hAnsi="Times New Roman" w:cs="Times New Roman"/>
          <w:b/>
          <w:color w:val="000000"/>
          <w:sz w:val="24"/>
          <w:szCs w:val="24"/>
        </w:rPr>
        <w:sectPr w:rsidR="00FE7AA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pPr>
    </w:p>
    <w:p w:rsidR="00FE7AAB" w:rsidRDefault="00FE7AAB" w:rsidP="00FE7AAB">
      <w:pPr>
        <w:pStyle w:val="Heading1"/>
        <w:numPr>
          <w:ilvl w:val="0"/>
          <w:numId w:val="1"/>
        </w:numPr>
        <w:spacing w:line="360" w:lineRule="auto"/>
        <w:jc w:val="both"/>
        <w:rPr>
          <w:rFonts w:ascii="Times New Roman" w:eastAsia="Times New Roman" w:hAnsi="Times New Roman" w:cs="Times New Roman"/>
          <w:b/>
          <w:color w:val="000000"/>
          <w:sz w:val="24"/>
          <w:szCs w:val="24"/>
        </w:rPr>
      </w:pPr>
      <w:bookmarkStart w:id="1" w:name="_smliood8mdkc" w:colFirst="0" w:colLast="0"/>
      <w:bookmarkEnd w:id="1"/>
      <w:r>
        <w:rPr>
          <w:rFonts w:ascii="Times New Roman" w:eastAsia="Times New Roman" w:hAnsi="Times New Roman" w:cs="Times New Roman"/>
          <w:b/>
          <w:color w:val="000000"/>
          <w:sz w:val="24"/>
          <w:szCs w:val="24"/>
        </w:rPr>
        <w:t>Introduction</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provides a plan for developing and executing The Welsh Table, a B2B hospitality symposium, as part of the "Year of Croeso" initiative organised by Visit Wales. The Hay-on-Wye event is all about celebrating how Welsh traditions and sustainability influence Welsh restaurant practices, attracting people involved in catering, food, and tourism. Using the results from Assignment 1, this report addresses key planning points and factors necessary for the successful delivery of the project. It examines the logistics required to run an event, designs the programme, creates a budget, engages stakeholders, and tracks emerging trends to ensure the event's long-term success.</w:t>
      </w:r>
    </w:p>
    <w:p w:rsidR="00FE7AAB" w:rsidRDefault="00FE7AAB" w:rsidP="00FE7AAB">
      <w:pPr>
        <w:pStyle w:val="Heading1"/>
        <w:numPr>
          <w:ilvl w:val="0"/>
          <w:numId w:val="1"/>
        </w:numPr>
        <w:spacing w:line="360" w:lineRule="auto"/>
        <w:jc w:val="both"/>
        <w:rPr>
          <w:rFonts w:ascii="Times New Roman" w:eastAsia="Times New Roman" w:hAnsi="Times New Roman" w:cs="Times New Roman"/>
          <w:b/>
          <w:color w:val="000000"/>
          <w:sz w:val="24"/>
          <w:szCs w:val="24"/>
        </w:rPr>
      </w:pPr>
      <w:bookmarkStart w:id="2" w:name="_ql1d1amxgwf5" w:colFirst="0" w:colLast="0"/>
      <w:bookmarkEnd w:id="2"/>
      <w:r>
        <w:rPr>
          <w:rFonts w:ascii="Times New Roman" w:eastAsia="Times New Roman" w:hAnsi="Times New Roman" w:cs="Times New Roman"/>
          <w:b/>
          <w:color w:val="000000"/>
          <w:sz w:val="24"/>
          <w:szCs w:val="24"/>
        </w:rPr>
        <w:t>The Event Cycle</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event cycle shows the organised steps an event takes from its inception to finishing. Because of this strategy, each step of the process, initiation, planning, implementation, and closure — ties in with the "Year of Croeso" and other objectives to boost agri-tourism, sustainability, and Welsh traditional foods. </w:t>
      </w:r>
      <w:r>
        <w:rPr>
          <w:rFonts w:ascii="Times New Roman" w:eastAsia="Times New Roman" w:hAnsi="Times New Roman" w:cs="Times New Roman"/>
          <w:color w:val="222222"/>
          <w:sz w:val="24"/>
          <w:szCs w:val="24"/>
          <w:highlight w:val="white"/>
        </w:rPr>
        <w:t>Thomas and Stephens (2022</w:t>
      </w:r>
      <w:r>
        <w:rPr>
          <w:rFonts w:ascii="Times New Roman" w:eastAsia="Times New Roman" w:hAnsi="Times New Roman" w:cs="Times New Roman"/>
          <w:sz w:val="24"/>
          <w:szCs w:val="24"/>
        </w:rPr>
        <w:t xml:space="preserve">) state that the Event Management Body of Knowledge (EMBOK) uses a framework structured around five domains: Administration, Design, Marketing, Operations and Risk. </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Initiation</w:t>
      </w:r>
      <w:r>
        <w:rPr>
          <w:rFonts w:ascii="Times New Roman" w:eastAsia="Times New Roman" w:hAnsi="Times New Roman" w:cs="Times New Roman"/>
          <w:sz w:val="24"/>
          <w:szCs w:val="24"/>
        </w:rPr>
        <w:t>: During the initiation phase, a feasibility analysis was conducted (as outlined in Assignment 1), the event concept was established, and it was determined whether the proposed venue would meet the requirements and whether market trends aligned with the event. Both having a strategic fit with the "Year of Croeso" and interest from stakeholders (chefs, farmers, influencers) were confirmed.</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Planning</w:t>
      </w:r>
      <w:r>
        <w:rPr>
          <w:rFonts w:ascii="Times New Roman" w:eastAsia="Times New Roman" w:hAnsi="Times New Roman" w:cs="Times New Roman"/>
          <w:sz w:val="24"/>
          <w:szCs w:val="24"/>
        </w:rPr>
        <w:t>: At the planning stage, organisers set up logistics, recruit staff, develop marketing strategies, establish a budget, and assess potential risks (</w:t>
      </w:r>
      <w:r>
        <w:rPr>
          <w:rFonts w:ascii="Times New Roman" w:eastAsia="Times New Roman" w:hAnsi="Times New Roman" w:cs="Times New Roman"/>
          <w:color w:val="222222"/>
          <w:sz w:val="24"/>
          <w:szCs w:val="24"/>
          <w:highlight w:val="white"/>
        </w:rPr>
        <w:t>Bladen et al., 2022</w:t>
      </w:r>
      <w:r>
        <w:rPr>
          <w:rFonts w:ascii="Times New Roman" w:eastAsia="Times New Roman" w:hAnsi="Times New Roman" w:cs="Times New Roman"/>
          <w:sz w:val="24"/>
          <w:szCs w:val="24"/>
        </w:rPr>
        <w:t>). Budgeting, finance and procurement planning come under Administration in EMBOK. Through marketing, they target the people they want to attend, and the design keeps the theme closely tied to Welsh culture and eco-friendly values.</w:t>
      </w:r>
    </w:p>
    <w:p w:rsidR="00FE7AAB" w:rsidRDefault="00FE7AAB" w:rsidP="00FE7AAB">
      <w:pPr>
        <w:pStyle w:val="normal0"/>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Implementation</w:t>
      </w:r>
      <w:r>
        <w:rPr>
          <w:rFonts w:ascii="Times New Roman" w:eastAsia="Times New Roman" w:hAnsi="Times New Roman" w:cs="Times New Roman"/>
          <w:sz w:val="24"/>
          <w:szCs w:val="24"/>
        </w:rPr>
        <w:t>: Implementation refers to hosting the symposium live, conducting cooking demonstrations, visiting farms, and organising networking opportunities (</w:t>
      </w:r>
      <w:r>
        <w:rPr>
          <w:rFonts w:ascii="Times New Roman" w:eastAsia="Times New Roman" w:hAnsi="Times New Roman" w:cs="Times New Roman"/>
          <w:color w:val="222222"/>
          <w:sz w:val="24"/>
          <w:szCs w:val="24"/>
          <w:highlight w:val="white"/>
        </w:rPr>
        <w:t>Adamsone-Fiskovica et al., 2021</w:t>
      </w:r>
      <w:r>
        <w:rPr>
          <w:rFonts w:ascii="Times New Roman" w:eastAsia="Times New Roman" w:hAnsi="Times New Roman" w:cs="Times New Roman"/>
          <w:sz w:val="24"/>
          <w:szCs w:val="24"/>
        </w:rPr>
        <w:t>). Executing tasks is overseen in the operations domain, and risk management focuses on preserving health, safety, and readiness when things do not go as planned.</w:t>
      </w:r>
    </w:p>
    <w:p w:rsidR="00FE7AAB" w:rsidRDefault="00FE7AAB" w:rsidP="00FE7AAB">
      <w:pPr>
        <w:pStyle w:val="normal0"/>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Closure</w:t>
      </w:r>
      <w:r>
        <w:rPr>
          <w:rFonts w:ascii="Times New Roman" w:eastAsia="Times New Roman" w:hAnsi="Times New Roman" w:cs="Times New Roman"/>
          <w:sz w:val="24"/>
          <w:szCs w:val="24"/>
        </w:rPr>
        <w:t>: After the event, evaluate the feedback from delegates, measure the success of partnerships against set KPIs and record media results to inform the following steps (</w:t>
      </w:r>
      <w:r>
        <w:rPr>
          <w:rFonts w:ascii="Times New Roman" w:eastAsia="Times New Roman" w:hAnsi="Times New Roman" w:cs="Times New Roman"/>
          <w:color w:val="222222"/>
          <w:sz w:val="24"/>
          <w:szCs w:val="24"/>
          <w:highlight w:val="white"/>
        </w:rPr>
        <w:t>Angelakoglou et al., 2023</w:t>
      </w:r>
      <w:r>
        <w:rPr>
          <w:rFonts w:ascii="Times New Roman" w:eastAsia="Times New Roman" w:hAnsi="Times New Roman" w:cs="Times New Roman"/>
          <w:sz w:val="24"/>
          <w:szCs w:val="24"/>
        </w:rPr>
        <w:t>). Using the methodology suggested in EMBOK, The Welsh Table ensures that efficiency, creativity and stakeholder value are maintained throughout the entire event cycle.</w:t>
      </w:r>
    </w:p>
    <w:p w:rsidR="00FE7AAB" w:rsidRDefault="00FE7AAB" w:rsidP="00FE7AAB">
      <w:pPr>
        <w:pStyle w:val="normal0"/>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3079823" cy="2919909"/>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3079823" cy="2919909"/>
                    </a:xfrm>
                    <a:prstGeom prst="rect">
                      <a:avLst/>
                    </a:prstGeom>
                    <a:ln/>
                  </pic:spPr>
                </pic:pic>
              </a:graphicData>
            </a:graphic>
          </wp:inline>
        </w:drawing>
      </w:r>
    </w:p>
    <w:p w:rsidR="00FE7AAB" w:rsidRDefault="00FE7AAB" w:rsidP="00FE7AAB">
      <w:pPr>
        <w:pStyle w:val="normal0"/>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(Author)</w:t>
      </w:r>
    </w:p>
    <w:p w:rsidR="00FE7AAB" w:rsidRDefault="00FE7AAB" w:rsidP="00FE7AAB">
      <w:pPr>
        <w:pStyle w:val="Heading1"/>
        <w:numPr>
          <w:ilvl w:val="0"/>
          <w:numId w:val="1"/>
        </w:numPr>
        <w:spacing w:line="360" w:lineRule="auto"/>
        <w:jc w:val="both"/>
        <w:rPr>
          <w:rFonts w:ascii="Times New Roman" w:eastAsia="Times New Roman" w:hAnsi="Times New Roman" w:cs="Times New Roman"/>
          <w:b/>
          <w:color w:val="000000"/>
          <w:sz w:val="24"/>
          <w:szCs w:val="24"/>
        </w:rPr>
      </w:pPr>
      <w:bookmarkStart w:id="3" w:name="_lz1x60rgxnk3" w:colFirst="0" w:colLast="0"/>
      <w:bookmarkEnd w:id="3"/>
      <w:r>
        <w:rPr>
          <w:rFonts w:ascii="Times New Roman" w:eastAsia="Times New Roman" w:hAnsi="Times New Roman" w:cs="Times New Roman"/>
          <w:b/>
          <w:color w:val="000000"/>
          <w:sz w:val="24"/>
          <w:szCs w:val="24"/>
        </w:rPr>
        <w:t xml:space="preserve">Event Concept </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Welsh Table is a three-day business event that allows guests to explore Welsh hospitality, food sustainability, and agri-tourism. It combines skill development, cooking lessons, and learning about other cultures, all fitting in with the 'Year of Croeso' because it honours Welsh traditions and utilises local food products.</w:t>
      </w:r>
    </w:p>
    <w:p w:rsidR="00FE7AAB" w:rsidRDefault="00FE7AAB" w:rsidP="00FE7AAB">
      <w:pPr>
        <w:pStyle w:val="normal0"/>
        <w:pBdr>
          <w:top w:val="nil"/>
          <w:left w:val="nil"/>
          <w:bottom w:val="nil"/>
          <w:right w:val="nil"/>
          <w:between w:val="nil"/>
        </w:pBdr>
        <w:spacing w:before="280" w:after="28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Day 1 – Welcome and Thought Leadership</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first day, a Michelin-starred chef will deliver a keynote speech on how to make the hospitality industry more sustainable. This is then followed by discussions on the supply chain, from the farm to the dinner table, and developments in sourcing new products. There are sessions designed for participants to consider rural entrepreneurship, food policy and how Welsh produce can be branded.</w:t>
      </w:r>
    </w:p>
    <w:p w:rsidR="00FE7AAB" w:rsidRDefault="00FE7AAB" w:rsidP="00FE7AAB">
      <w:pPr>
        <w:pStyle w:val="normal0"/>
        <w:pBdr>
          <w:top w:val="nil"/>
          <w:left w:val="nil"/>
          <w:bottom w:val="nil"/>
          <w:right w:val="nil"/>
          <w:between w:val="nil"/>
        </w:pBdr>
        <w:spacing w:before="280" w:after="28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Day 2 – Farm Immersion Experiences</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Visiting local farms enables delegates to observe how sustainable practices are implemented (</w:t>
      </w:r>
      <w:r>
        <w:rPr>
          <w:rFonts w:ascii="Times New Roman" w:eastAsia="Times New Roman" w:hAnsi="Times New Roman" w:cs="Times New Roman"/>
          <w:color w:val="222222"/>
          <w:sz w:val="24"/>
          <w:szCs w:val="24"/>
          <w:highlight w:val="white"/>
        </w:rPr>
        <w:t>Pehin Dato Musa et al., 2022</w:t>
      </w:r>
      <w:r>
        <w:rPr>
          <w:rFonts w:ascii="Times New Roman" w:eastAsia="Times New Roman" w:hAnsi="Times New Roman" w:cs="Times New Roman"/>
          <w:sz w:val="24"/>
          <w:szCs w:val="24"/>
        </w:rPr>
        <w:t>). Tours here involve the responsibility for animals, the method of growing crops and how organic methods are applied. Cooking demonstrations with freshly sourced ingredients allow guests to participate actively. Fresh farm produce is included in outdoor lunches. The night continues with a hosted networking dinner, live music, stores and special dishes handled by the guest chef.</w:t>
      </w:r>
    </w:p>
    <w:p w:rsidR="00FE7AAB" w:rsidRDefault="00FE7AAB" w:rsidP="00FE7AAB">
      <w:pPr>
        <w:pStyle w:val="normal0"/>
        <w:pBdr>
          <w:top w:val="nil"/>
          <w:left w:val="nil"/>
          <w:bottom w:val="nil"/>
          <w:right w:val="nil"/>
          <w:between w:val="nil"/>
        </w:pBdr>
        <w:spacing w:before="280" w:after="28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Day 3 – Strategic Collaboration and Showcases</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last day, the Market Hall offers workshops covering collaboration between suppliers and retailers, modern tools used in agri-tourism, and what's trending in food marketing. International buyers can see Welsh products in a vendor showcase. The event concludes with a "Taste of Wales" reception that recognises the welcoming spirit and the relationships formed.</w:t>
      </w:r>
    </w:p>
    <w:p w:rsidR="00FE7AAB" w:rsidRDefault="00FE7AAB" w:rsidP="00FE7AAB">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2860535" cy="2697644"/>
            <wp:effectExtent l="0" t="0" r="0" b="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2860535" cy="2697644"/>
                    </a:xfrm>
                    <a:prstGeom prst="rect">
                      <a:avLst/>
                    </a:prstGeom>
                    <a:ln/>
                  </pic:spPr>
                </pic:pic>
              </a:graphicData>
            </a:graphic>
          </wp:inline>
        </w:drawing>
      </w:r>
    </w:p>
    <w:p w:rsidR="00FE7AAB" w:rsidRDefault="00FE7AAB" w:rsidP="00FE7AAB">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(Author)</w:t>
      </w:r>
    </w:p>
    <w:p w:rsidR="00FE7AAB" w:rsidRDefault="00FE7AAB" w:rsidP="00FE7AAB">
      <w:pPr>
        <w:pStyle w:val="Heading1"/>
        <w:numPr>
          <w:ilvl w:val="0"/>
          <w:numId w:val="1"/>
        </w:numPr>
        <w:spacing w:line="360" w:lineRule="auto"/>
        <w:jc w:val="both"/>
        <w:rPr>
          <w:rFonts w:ascii="Times New Roman" w:eastAsia="Times New Roman" w:hAnsi="Times New Roman" w:cs="Times New Roman"/>
          <w:b/>
          <w:color w:val="000000"/>
          <w:sz w:val="24"/>
          <w:szCs w:val="24"/>
        </w:rPr>
      </w:pPr>
      <w:bookmarkStart w:id="4" w:name="_n2yvlk63tpys" w:colFirst="0" w:colLast="0"/>
      <w:bookmarkEnd w:id="4"/>
      <w:r>
        <w:rPr>
          <w:rFonts w:ascii="Times New Roman" w:eastAsia="Times New Roman" w:hAnsi="Times New Roman" w:cs="Times New Roman"/>
          <w:b/>
          <w:color w:val="000000"/>
          <w:sz w:val="24"/>
          <w:szCs w:val="24"/>
        </w:rPr>
        <w:t>Aims and SMART Objectives</w:t>
      </w:r>
    </w:p>
    <w:p w:rsidR="00FE7AAB" w:rsidRDefault="00FE7AAB" w:rsidP="00FE7AAB">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w:t>
      </w:r>
    </w:p>
    <w:p w:rsidR="00FE7AAB" w:rsidRDefault="00FE7AAB" w:rsidP="00FE7AAB">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purpose of </w:t>
      </w:r>
      <w:r>
        <w:rPr>
          <w:rFonts w:ascii="Times New Roman" w:eastAsia="Times New Roman" w:hAnsi="Times New Roman" w:cs="Times New Roman"/>
          <w:sz w:val="24"/>
          <w:szCs w:val="24"/>
        </w:rPr>
        <w:t>The Welsh Table is to encourage international hospitality workers to team up with Welsh producers by showcasing environmentally friendly farming and dining practices. The event helps rural Wales develop, supports agri-tourism and helps build Wales' name around the world as a culinary destination.</w:t>
      </w:r>
    </w:p>
    <w:p w:rsidR="00FE7AAB" w:rsidRDefault="00FE7AAB" w:rsidP="00FE7AAB">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SMART Objectives</w:t>
      </w:r>
    </w:p>
    <w:tbl>
      <w:tblPr>
        <w:tblW w:w="10396" w:type="dxa"/>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Layout w:type="fixed"/>
        <w:tblLook w:val="04A0"/>
      </w:tblPr>
      <w:tblGrid>
        <w:gridCol w:w="1413"/>
        <w:gridCol w:w="2158"/>
        <w:gridCol w:w="1834"/>
        <w:gridCol w:w="1829"/>
        <w:gridCol w:w="1536"/>
        <w:gridCol w:w="1626"/>
      </w:tblGrid>
      <w:tr w:rsidR="00FE7AAB" w:rsidTr="005804CB">
        <w:trPr>
          <w:cantSplit/>
          <w:trHeight w:val="549"/>
          <w:tblHeader/>
        </w:trPr>
        <w:tc>
          <w:tcPr>
            <w:tcW w:w="1413"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SMART Objective</w:t>
            </w:r>
          </w:p>
        </w:tc>
        <w:tc>
          <w:tcPr>
            <w:tcW w:w="2158"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Specific</w:t>
            </w:r>
          </w:p>
        </w:tc>
        <w:tc>
          <w:tcPr>
            <w:tcW w:w="1834"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Measurable</w:t>
            </w:r>
          </w:p>
        </w:tc>
        <w:tc>
          <w:tcPr>
            <w:tcW w:w="182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Achievable</w:t>
            </w:r>
          </w:p>
        </w:tc>
        <w:tc>
          <w:tcPr>
            <w:tcW w:w="153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w:t>
            </w:r>
          </w:p>
        </w:tc>
        <w:tc>
          <w:tcPr>
            <w:tcW w:w="162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Time-bound</w:t>
            </w:r>
          </w:p>
        </w:tc>
      </w:tr>
      <w:tr w:rsidR="00FE7AAB" w:rsidTr="005804CB">
        <w:trPr>
          <w:cantSplit/>
          <w:trHeight w:val="1693"/>
          <w:tblHeader/>
        </w:trPr>
        <w:tc>
          <w:tcPr>
            <w:tcW w:w="1413"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 1</w:t>
            </w:r>
          </w:p>
        </w:tc>
        <w:tc>
          <w:tcPr>
            <w:tcW w:w="2158"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professional partnerships between Welsh producers and international buyers.</w:t>
            </w:r>
          </w:p>
        </w:tc>
        <w:tc>
          <w:tcPr>
            <w:tcW w:w="1834"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Target at least 15 B2B connections formed</w:t>
            </w:r>
          </w:p>
        </w:tc>
        <w:tc>
          <w:tcPr>
            <w:tcW w:w="182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Partner sign-ups during and post-event</w:t>
            </w:r>
          </w:p>
        </w:tc>
        <w:tc>
          <w:tcPr>
            <w:tcW w:w="153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Supports local sourcing and business growth</w:t>
            </w:r>
          </w:p>
        </w:tc>
        <w:tc>
          <w:tcPr>
            <w:tcW w:w="162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1 month post-event</w:t>
            </w:r>
          </w:p>
        </w:tc>
      </w:tr>
      <w:tr w:rsidR="00FE7AAB" w:rsidTr="005804CB">
        <w:trPr>
          <w:cantSplit/>
          <w:trHeight w:val="1403"/>
          <w:tblHeader/>
        </w:trPr>
        <w:tc>
          <w:tcPr>
            <w:tcW w:w="1413"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 2</w:t>
            </w:r>
          </w:p>
        </w:tc>
        <w:tc>
          <w:tcPr>
            <w:tcW w:w="2158"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Ensure high delegate satisfaction</w:t>
            </w:r>
          </w:p>
        </w:tc>
        <w:tc>
          <w:tcPr>
            <w:tcW w:w="1834"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Achieve 90% positive feedback from attendees</w:t>
            </w:r>
          </w:p>
        </w:tc>
        <w:tc>
          <w:tcPr>
            <w:tcW w:w="182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Via digital survey forms after each day</w:t>
            </w:r>
          </w:p>
        </w:tc>
        <w:tc>
          <w:tcPr>
            <w:tcW w:w="153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Improves event quality and future delivery</w:t>
            </w:r>
          </w:p>
        </w:tc>
        <w:tc>
          <w:tcPr>
            <w:tcW w:w="162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Survey completed within 5 days post-event</w:t>
            </w:r>
          </w:p>
        </w:tc>
      </w:tr>
      <w:tr w:rsidR="00FE7AAB" w:rsidTr="005804CB">
        <w:trPr>
          <w:cantSplit/>
          <w:trHeight w:val="1388"/>
          <w:tblHeader/>
        </w:trPr>
        <w:tc>
          <w:tcPr>
            <w:tcW w:w="1413"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 3</w:t>
            </w:r>
          </w:p>
        </w:tc>
        <w:tc>
          <w:tcPr>
            <w:tcW w:w="2158"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Gain media exposure for Welsh food tourism</w:t>
            </w:r>
          </w:p>
        </w:tc>
        <w:tc>
          <w:tcPr>
            <w:tcW w:w="1834"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Secure 10+ features from influencers and media</w:t>
            </w:r>
          </w:p>
        </w:tc>
        <w:tc>
          <w:tcPr>
            <w:tcW w:w="182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Measured via social media, blogs, and press mentions</w:t>
            </w:r>
          </w:p>
        </w:tc>
        <w:tc>
          <w:tcPr>
            <w:tcW w:w="153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Enhances visibility of Welsh agri-tourism</w:t>
            </w:r>
          </w:p>
        </w:tc>
        <w:tc>
          <w:tcPr>
            <w:tcW w:w="162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2 weeks of the event conclusion</w:t>
            </w:r>
          </w:p>
        </w:tc>
      </w:tr>
    </w:tbl>
    <w:p w:rsidR="00FE7AAB" w:rsidRDefault="00FE7AAB" w:rsidP="00FE7AAB">
      <w:pPr>
        <w:pStyle w:val="normal0"/>
        <w:spacing w:line="360" w:lineRule="auto"/>
        <w:jc w:val="both"/>
        <w:rPr>
          <w:rFonts w:ascii="Times New Roman" w:eastAsia="Times New Roman" w:hAnsi="Times New Roman" w:cs="Times New Roman"/>
          <w:b/>
          <w:sz w:val="24"/>
          <w:szCs w:val="24"/>
        </w:rPr>
      </w:pPr>
    </w:p>
    <w:p w:rsidR="00FE7AAB" w:rsidRDefault="00FE7AAB" w:rsidP="00FE7AAB">
      <w:pPr>
        <w:pStyle w:val="Heading1"/>
        <w:numPr>
          <w:ilvl w:val="0"/>
          <w:numId w:val="1"/>
        </w:numPr>
        <w:spacing w:line="360" w:lineRule="auto"/>
        <w:jc w:val="both"/>
        <w:rPr>
          <w:rFonts w:ascii="Times New Roman" w:eastAsia="Times New Roman" w:hAnsi="Times New Roman" w:cs="Times New Roman"/>
          <w:b/>
          <w:color w:val="000000"/>
          <w:sz w:val="24"/>
          <w:szCs w:val="24"/>
        </w:rPr>
      </w:pPr>
      <w:bookmarkStart w:id="5" w:name="_f71o1x5m1ckj" w:colFirst="0" w:colLast="0"/>
      <w:bookmarkEnd w:id="5"/>
      <w:r>
        <w:rPr>
          <w:rFonts w:ascii="Times New Roman" w:eastAsia="Times New Roman" w:hAnsi="Times New Roman" w:cs="Times New Roman"/>
          <w:b/>
          <w:color w:val="000000"/>
          <w:sz w:val="24"/>
          <w:szCs w:val="24"/>
        </w:rPr>
        <w:t>Event Management</w:t>
      </w:r>
      <w:r>
        <w:rPr>
          <w:rFonts w:ascii="Times New Roman" w:eastAsia="Times New Roman" w:hAnsi="Times New Roman" w:cs="Times New Roman"/>
          <w:b/>
          <w:color w:val="000000"/>
          <w:sz w:val="24"/>
          <w:szCs w:val="24"/>
        </w:rPr>
        <w:tab/>
      </w:r>
    </w:p>
    <w:p w:rsidR="00FE7AAB" w:rsidRDefault="00FE7AAB" w:rsidP="00FE7AAB">
      <w:pPr>
        <w:pStyle w:val="Heading2"/>
        <w:numPr>
          <w:ilvl w:val="1"/>
          <w:numId w:val="1"/>
        </w:numPr>
        <w:spacing w:before="40" w:after="0" w:line="360" w:lineRule="auto"/>
        <w:jc w:val="both"/>
        <w:rPr>
          <w:rFonts w:ascii="Times New Roman" w:eastAsia="Times New Roman" w:hAnsi="Times New Roman" w:cs="Times New Roman"/>
          <w:b w:val="0"/>
          <w:color w:val="000000"/>
          <w:sz w:val="24"/>
          <w:szCs w:val="24"/>
        </w:rPr>
      </w:pPr>
      <w:bookmarkStart w:id="6" w:name="_yebk0mvf3x3b" w:colFirst="0" w:colLast="0"/>
      <w:bookmarkEnd w:id="6"/>
      <w:r>
        <w:rPr>
          <w:rFonts w:ascii="Times New Roman" w:eastAsia="Times New Roman" w:hAnsi="Times New Roman" w:cs="Times New Roman"/>
          <w:color w:val="000000"/>
          <w:sz w:val="24"/>
          <w:szCs w:val="24"/>
        </w:rPr>
        <w:t>Team Structure and Skill Requirements</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take a team made up of different experts to organise the event properly. The team handling event planning will organise logistics, arrange with vendors and establish the event schedules (Bowdin et al., 2023). Many culinary experts will demonstrate step-by-step how to prepare dishes, highlighting the importance of sustainability and forward-thinking approaches (</w:t>
      </w:r>
      <w:r>
        <w:rPr>
          <w:rFonts w:ascii="Times New Roman" w:eastAsia="Times New Roman" w:hAnsi="Times New Roman" w:cs="Times New Roman"/>
          <w:color w:val="222222"/>
          <w:sz w:val="24"/>
          <w:szCs w:val="24"/>
          <w:highlight w:val="white"/>
        </w:rPr>
        <w:t>Ingrassia et al., 2022</w:t>
      </w:r>
      <w:r>
        <w:rPr>
          <w:rFonts w:ascii="Times New Roman" w:eastAsia="Times New Roman" w:hAnsi="Times New Roman" w:cs="Times New Roman"/>
          <w:sz w:val="24"/>
          <w:szCs w:val="24"/>
        </w:rPr>
        <w:t>). The delegates will receive explanations of agricultural techniques from experts who will be available to assist them. Personnel in charge of technology will oversee registration, live streaming and microphones and sound for the event (</w:t>
      </w:r>
      <w:r>
        <w:rPr>
          <w:rFonts w:ascii="Times New Roman" w:eastAsia="Times New Roman" w:hAnsi="Times New Roman" w:cs="Times New Roman"/>
          <w:color w:val="222222"/>
          <w:sz w:val="24"/>
          <w:szCs w:val="24"/>
          <w:highlight w:val="white"/>
        </w:rPr>
        <w:t>Wu, 2025</w:t>
      </w:r>
      <w:r>
        <w:rPr>
          <w:rFonts w:ascii="Times New Roman" w:eastAsia="Times New Roman" w:hAnsi="Times New Roman" w:cs="Times New Roman"/>
          <w:sz w:val="24"/>
          <w:szCs w:val="24"/>
        </w:rPr>
        <w:t xml:space="preserve">). </w:t>
      </w:r>
    </w:p>
    <w:p w:rsidR="00FE7AAB" w:rsidRDefault="00FE7AAB" w:rsidP="00FE7AAB">
      <w:pPr>
        <w:pStyle w:val="Heading2"/>
        <w:numPr>
          <w:ilvl w:val="1"/>
          <w:numId w:val="1"/>
        </w:numPr>
        <w:spacing w:before="40" w:after="0" w:line="360" w:lineRule="auto"/>
        <w:jc w:val="both"/>
        <w:rPr>
          <w:rFonts w:ascii="Times New Roman" w:eastAsia="Times New Roman" w:hAnsi="Times New Roman" w:cs="Times New Roman"/>
          <w:b w:val="0"/>
          <w:color w:val="000000"/>
          <w:sz w:val="24"/>
          <w:szCs w:val="24"/>
        </w:rPr>
      </w:pPr>
      <w:bookmarkStart w:id="7" w:name="_b95mh7mqqboh" w:colFirst="0" w:colLast="0"/>
      <w:bookmarkEnd w:id="7"/>
      <w:r>
        <w:rPr>
          <w:rFonts w:ascii="Times New Roman" w:eastAsia="Times New Roman" w:hAnsi="Times New Roman" w:cs="Times New Roman"/>
          <w:color w:val="000000"/>
          <w:sz w:val="24"/>
          <w:szCs w:val="24"/>
        </w:rPr>
        <w:t>Operational Planning and Logistics</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Welsh Table will have table-based events in the Hay-on-Wye Market Hall and nearby farms. Operating plans involve identifying locations, arranging for the movement of people between sites, making food and beverage arrangements, and assessing risks in detail (</w:t>
      </w:r>
      <w:r>
        <w:rPr>
          <w:rFonts w:ascii="Times New Roman" w:eastAsia="Times New Roman" w:hAnsi="Times New Roman" w:cs="Times New Roman"/>
          <w:color w:val="222222"/>
          <w:sz w:val="24"/>
          <w:szCs w:val="24"/>
          <w:highlight w:val="white"/>
        </w:rPr>
        <w:t>Walker, 2021</w:t>
      </w:r>
      <w:r>
        <w:rPr>
          <w:rFonts w:ascii="Times New Roman" w:eastAsia="Times New Roman" w:hAnsi="Times New Roman" w:cs="Times New Roman"/>
          <w:sz w:val="24"/>
          <w:szCs w:val="24"/>
        </w:rPr>
        <w:t>). Mobile cooking stations are utilised, seating areas are set up outside, and signs guide guests to make the event efficient (Hammon and Goralnik, 2025). Organising events helps avoid disruptions during switches from panel sessions to immersive activities. It is essential to meet health and safety, public liability insurance, and food hygiene rules, especially for live cooking and tours that take place outdoors (Fortin, 2022).</w:t>
      </w:r>
    </w:p>
    <w:p w:rsidR="00FE7AAB" w:rsidRDefault="00FE7AAB" w:rsidP="00FE7AAB">
      <w:pPr>
        <w:pStyle w:val="Heading2"/>
        <w:numPr>
          <w:ilvl w:val="1"/>
          <w:numId w:val="1"/>
        </w:numPr>
        <w:spacing w:before="40" w:after="0" w:line="360" w:lineRule="auto"/>
        <w:jc w:val="both"/>
        <w:rPr>
          <w:rFonts w:ascii="Times New Roman" w:eastAsia="Times New Roman" w:hAnsi="Times New Roman" w:cs="Times New Roman"/>
          <w:b w:val="0"/>
          <w:color w:val="000000"/>
          <w:sz w:val="24"/>
          <w:szCs w:val="24"/>
        </w:rPr>
      </w:pPr>
      <w:bookmarkStart w:id="8" w:name="_i6yh96pzclrm" w:colFirst="0" w:colLast="0"/>
      <w:bookmarkEnd w:id="8"/>
      <w:r>
        <w:rPr>
          <w:rFonts w:ascii="Times New Roman" w:eastAsia="Times New Roman" w:hAnsi="Times New Roman" w:cs="Times New Roman"/>
          <w:color w:val="000000"/>
          <w:sz w:val="24"/>
          <w:szCs w:val="24"/>
        </w:rPr>
        <w:t>Technology and Event Infrastructure</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significant portion of the event's management will involve utilising various digital tools. An online platform will manage the ticketing system, provide programme information, and make updates (</w:t>
      </w:r>
      <w:r>
        <w:rPr>
          <w:rFonts w:ascii="Times New Roman" w:eastAsia="Times New Roman" w:hAnsi="Times New Roman" w:cs="Times New Roman"/>
          <w:color w:val="222222"/>
          <w:sz w:val="24"/>
          <w:szCs w:val="24"/>
          <w:highlight w:val="white"/>
        </w:rPr>
        <w:t>Feliza et al., 2024</w:t>
      </w:r>
      <w:r>
        <w:rPr>
          <w:rFonts w:ascii="Times New Roman" w:eastAsia="Times New Roman" w:hAnsi="Times New Roman" w:cs="Times New Roman"/>
          <w:sz w:val="24"/>
          <w:szCs w:val="24"/>
        </w:rPr>
        <w:t>). Hybrid access will be possible due to the live streaming of the keynote sessions. QR codes will display different aspects of the farms to visitors. To preserve event value, all materials will be stored on the web in archives and photo galleries after the event concludes (</w:t>
      </w:r>
      <w:r>
        <w:rPr>
          <w:rFonts w:ascii="Times New Roman" w:eastAsia="Times New Roman" w:hAnsi="Times New Roman" w:cs="Times New Roman"/>
          <w:color w:val="222222"/>
          <w:sz w:val="24"/>
          <w:szCs w:val="24"/>
          <w:highlight w:val="white"/>
        </w:rPr>
        <w:t>Daga et al., 2022</w:t>
      </w:r>
      <w:r>
        <w:rPr>
          <w:rFonts w:ascii="Times New Roman" w:eastAsia="Times New Roman" w:hAnsi="Times New Roman" w:cs="Times New Roman"/>
          <w:sz w:val="24"/>
          <w:szCs w:val="24"/>
        </w:rPr>
        <w:t>). The infrastructure enables delegates to move smoothly through the event, making it more accessible and attractive for professionals (Getz and Page, 2024).</w:t>
      </w:r>
    </w:p>
    <w:p w:rsidR="00FE7AAB" w:rsidRDefault="00FE7AAB" w:rsidP="00FE7AAB">
      <w:pPr>
        <w:pStyle w:val="Heading2"/>
        <w:numPr>
          <w:ilvl w:val="1"/>
          <w:numId w:val="1"/>
        </w:numPr>
        <w:spacing w:before="40" w:after="0" w:line="360" w:lineRule="auto"/>
        <w:jc w:val="both"/>
        <w:rPr>
          <w:rFonts w:ascii="Times New Roman" w:eastAsia="Times New Roman" w:hAnsi="Times New Roman" w:cs="Times New Roman"/>
          <w:b w:val="0"/>
          <w:color w:val="000000"/>
          <w:sz w:val="24"/>
          <w:szCs w:val="24"/>
        </w:rPr>
      </w:pPr>
      <w:bookmarkStart w:id="9" w:name="_32ii3sbgkvcm" w:colFirst="0" w:colLast="0"/>
      <w:bookmarkEnd w:id="9"/>
      <w:r>
        <w:rPr>
          <w:rFonts w:ascii="Times New Roman" w:eastAsia="Times New Roman" w:hAnsi="Times New Roman" w:cs="Times New Roman"/>
          <w:color w:val="000000"/>
          <w:sz w:val="24"/>
          <w:szCs w:val="24"/>
        </w:rPr>
        <w:t>Marketing and Promotion Strategies</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Marketers will connect with Welsh farmers as well as with international caterers and chefs. Social media campaigns (on LinkedIn and Instagram), placing ads on social channels, utilising influencers, and email marketing are among these tactics (</w:t>
      </w:r>
      <w:r>
        <w:rPr>
          <w:rFonts w:ascii="Times New Roman" w:eastAsia="Times New Roman" w:hAnsi="Times New Roman" w:cs="Times New Roman"/>
          <w:color w:val="222222"/>
          <w:sz w:val="24"/>
          <w:szCs w:val="24"/>
          <w:highlight w:val="white"/>
        </w:rPr>
        <w:t>Hammon and Goralnik, 2025</w:t>
      </w:r>
      <w:r>
        <w:rPr>
          <w:rFonts w:ascii="Times New Roman" w:eastAsia="Times New Roman" w:hAnsi="Times New Roman" w:cs="Times New Roman"/>
          <w:sz w:val="24"/>
          <w:szCs w:val="24"/>
        </w:rPr>
        <w:t>). It will emphasise Wales’ commitment to sustainability and its “Croeso” values. Promoting the business through hospitality channels and Visit Wales will help expand its visibility (Otopah et al., 2024). All the messaging emphasises the event’s key point: an authentic on-farm experience for high-level business networking.</w:t>
      </w:r>
    </w:p>
    <w:p w:rsidR="00FE7AAB" w:rsidRDefault="00FE7AAB" w:rsidP="00FE7AAB">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2661875" cy="2613155"/>
            <wp:effectExtent l="0" t="0" r="0" b="0"/>
            <wp:docPr id="1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2661875" cy="2613155"/>
                    </a:xfrm>
                    <a:prstGeom prst="rect">
                      <a:avLst/>
                    </a:prstGeom>
                    <a:ln/>
                  </pic:spPr>
                </pic:pic>
              </a:graphicData>
            </a:graphic>
          </wp:inline>
        </w:drawing>
      </w:r>
    </w:p>
    <w:p w:rsidR="00FE7AAB" w:rsidRDefault="00FE7AAB" w:rsidP="00FE7AAB">
      <w:pPr>
        <w:pStyle w:val="Heading1"/>
        <w:numPr>
          <w:ilvl w:val="0"/>
          <w:numId w:val="1"/>
        </w:numPr>
        <w:spacing w:line="360" w:lineRule="auto"/>
        <w:jc w:val="both"/>
        <w:rPr>
          <w:rFonts w:ascii="Times New Roman" w:eastAsia="Times New Roman" w:hAnsi="Times New Roman" w:cs="Times New Roman"/>
          <w:b/>
          <w:color w:val="000000"/>
          <w:sz w:val="24"/>
          <w:szCs w:val="24"/>
        </w:rPr>
      </w:pPr>
      <w:bookmarkStart w:id="10" w:name="_44wyd2g7jldr" w:colFirst="0" w:colLast="0"/>
      <w:bookmarkEnd w:id="10"/>
      <w:r>
        <w:rPr>
          <w:rFonts w:ascii="Times New Roman" w:eastAsia="Times New Roman" w:hAnsi="Times New Roman" w:cs="Times New Roman"/>
          <w:b/>
          <w:color w:val="000000"/>
          <w:sz w:val="24"/>
          <w:szCs w:val="24"/>
        </w:rPr>
        <w:t>Event Budget</w:t>
      </w:r>
    </w:p>
    <w:p w:rsidR="00FE7AAB" w:rsidRDefault="00FE7AAB" w:rsidP="00FE7AAB">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Income and Expenditure Breakdown</w:t>
      </w:r>
    </w:p>
    <w:tbl>
      <w:tblPr>
        <w:tblW w:w="9672" w:type="dxa"/>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Layout w:type="fixed"/>
        <w:tblLook w:val="04A0"/>
      </w:tblPr>
      <w:tblGrid>
        <w:gridCol w:w="3337"/>
        <w:gridCol w:w="3696"/>
        <w:gridCol w:w="2639"/>
      </w:tblGrid>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Category</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Details</w:t>
            </w: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Estimated Amount (£)</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Expenditure</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Venue Hire</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Hall &amp; local farms</w:t>
            </w: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Catering</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suppliers + food demos</w:t>
            </w: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Technical Equipment</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 live stream, mobile kitchens</w:t>
            </w: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1,800</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Staffing</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Event team, chefs, technical crew</w:t>
            </w: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2,500</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&amp; Promotion</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campaigns, print materials</w:t>
            </w: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FE7AAB" w:rsidTr="005804CB">
        <w:trPr>
          <w:cantSplit/>
          <w:trHeight w:val="295"/>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Transportation</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Shuttles between farms &amp; venue</w:t>
            </w: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800</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 &amp; Safety Compliance</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aid, insurance, hygiene</w:t>
            </w: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780</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Contingency</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 buffer for unforeseen issues</w:t>
            </w: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900</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Expenditure</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£10,780</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Income</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Ticket Sales (200 x £40)</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Hospitality professionals</w:t>
            </w: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Sponsorship</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Tourism boards, local brands</w:t>
            </w: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Vendor Fees</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Farm exhibitors and product stalls</w:t>
            </w: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Income</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£13,000</w:t>
            </w:r>
          </w:p>
        </w:tc>
      </w:tr>
      <w:tr w:rsidR="00FE7AAB" w:rsidTr="005804CB">
        <w:trPr>
          <w:cantSplit/>
          <w:trHeight w:val="280"/>
          <w:tblHeader/>
        </w:trPr>
        <w:tc>
          <w:tcPr>
            <w:tcW w:w="333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Projected Profit</w:t>
            </w:r>
          </w:p>
        </w:tc>
        <w:tc>
          <w:tcPr>
            <w:tcW w:w="3696" w:type="dxa"/>
          </w:tcPr>
          <w:p w:rsidR="00FE7AAB" w:rsidRDefault="00FE7AAB" w:rsidP="005804CB">
            <w:pPr>
              <w:pStyle w:val="normal0"/>
              <w:spacing w:line="360" w:lineRule="auto"/>
              <w:jc w:val="both"/>
              <w:rPr>
                <w:rFonts w:ascii="Times New Roman" w:eastAsia="Times New Roman" w:hAnsi="Times New Roman" w:cs="Times New Roman"/>
                <w:sz w:val="24"/>
                <w:szCs w:val="24"/>
              </w:rPr>
            </w:pPr>
          </w:p>
        </w:tc>
        <w:tc>
          <w:tcPr>
            <w:tcW w:w="263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£2,220</w:t>
            </w:r>
          </w:p>
        </w:tc>
      </w:tr>
    </w:tbl>
    <w:p w:rsidR="00FE7AAB" w:rsidRDefault="00FE7AAB" w:rsidP="00FE7AAB">
      <w:pPr>
        <w:pStyle w:val="normal0"/>
        <w:spacing w:line="360" w:lineRule="auto"/>
        <w:jc w:val="both"/>
        <w:rPr>
          <w:rFonts w:ascii="Times New Roman" w:eastAsia="Times New Roman" w:hAnsi="Times New Roman" w:cs="Times New Roman"/>
          <w:b/>
          <w:sz w:val="24"/>
          <w:szCs w:val="24"/>
        </w:rPr>
      </w:pPr>
    </w:p>
    <w:p w:rsidR="00FE7AAB" w:rsidRDefault="00FE7AAB" w:rsidP="00FE7AAB">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Funding Sources and Income Generation</w:t>
      </w:r>
    </w:p>
    <w:tbl>
      <w:tblPr>
        <w:tblW w:w="9813" w:type="dxa"/>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Layout w:type="fixed"/>
        <w:tblLook w:val="04A0"/>
      </w:tblPr>
      <w:tblGrid>
        <w:gridCol w:w="2989"/>
        <w:gridCol w:w="1927"/>
        <w:gridCol w:w="4897"/>
      </w:tblGrid>
      <w:tr w:rsidR="00FE7AAB" w:rsidTr="005804CB">
        <w:trPr>
          <w:cantSplit/>
          <w:trHeight w:val="351"/>
          <w:tblHeader/>
        </w:trPr>
        <w:tc>
          <w:tcPr>
            <w:tcW w:w="298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Funding Source</w:t>
            </w:r>
          </w:p>
        </w:tc>
        <w:tc>
          <w:tcPr>
            <w:tcW w:w="192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Type</w:t>
            </w:r>
          </w:p>
        </w:tc>
        <w:tc>
          <w:tcPr>
            <w:tcW w:w="489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Purpose</w:t>
            </w:r>
          </w:p>
        </w:tc>
      </w:tr>
      <w:tr w:rsidR="00FE7AAB" w:rsidTr="005804CB">
        <w:trPr>
          <w:cantSplit/>
          <w:trHeight w:val="351"/>
          <w:tblHeader/>
        </w:trPr>
        <w:tc>
          <w:tcPr>
            <w:tcW w:w="298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Ticket Sales</w:t>
            </w:r>
          </w:p>
        </w:tc>
        <w:tc>
          <w:tcPr>
            <w:tcW w:w="192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 Revenue</w:t>
            </w:r>
          </w:p>
        </w:tc>
        <w:tc>
          <w:tcPr>
            <w:tcW w:w="489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income from attending delegates</w:t>
            </w:r>
          </w:p>
        </w:tc>
      </w:tr>
      <w:tr w:rsidR="00FE7AAB" w:rsidTr="005804CB">
        <w:trPr>
          <w:cantSplit/>
          <w:trHeight w:val="723"/>
          <w:tblHeader/>
        </w:trPr>
        <w:tc>
          <w:tcPr>
            <w:tcW w:w="298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Sponsorship (Visit Wales)</w:t>
            </w:r>
          </w:p>
        </w:tc>
        <w:tc>
          <w:tcPr>
            <w:tcW w:w="192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External Support</w:t>
            </w:r>
          </w:p>
        </w:tc>
        <w:tc>
          <w:tcPr>
            <w:tcW w:w="489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Branding, speaker costs, promotional support</w:t>
            </w:r>
          </w:p>
        </w:tc>
      </w:tr>
      <w:tr w:rsidR="00FE7AAB" w:rsidTr="005804CB">
        <w:trPr>
          <w:cantSplit/>
          <w:trHeight w:val="703"/>
          <w:tblHeader/>
        </w:trPr>
        <w:tc>
          <w:tcPr>
            <w:tcW w:w="298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Vendor Fees</w:t>
            </w:r>
          </w:p>
        </w:tc>
        <w:tc>
          <w:tcPr>
            <w:tcW w:w="192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 Revenue</w:t>
            </w:r>
          </w:p>
        </w:tc>
        <w:tc>
          <w:tcPr>
            <w:tcW w:w="489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Access to showcase and network opportunities</w:t>
            </w:r>
          </w:p>
        </w:tc>
      </w:tr>
      <w:tr w:rsidR="00FE7AAB" w:rsidTr="005804CB">
        <w:trPr>
          <w:cantSplit/>
          <w:trHeight w:val="351"/>
          <w:tblHeader/>
        </w:trPr>
        <w:tc>
          <w:tcPr>
            <w:tcW w:w="2989"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In-Kind Contributions</w:t>
            </w:r>
          </w:p>
        </w:tc>
        <w:tc>
          <w:tcPr>
            <w:tcW w:w="192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Reduction</w:t>
            </w:r>
          </w:p>
        </w:tc>
        <w:tc>
          <w:tcPr>
            <w:tcW w:w="4897" w:type="dxa"/>
          </w:tcPr>
          <w:p w:rsidR="00FE7AAB" w:rsidRDefault="00FE7AAB" w:rsidP="005804C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Free venue access, produce, staff time</w:t>
            </w:r>
          </w:p>
        </w:tc>
      </w:tr>
    </w:tbl>
    <w:p w:rsidR="00FE7AAB" w:rsidRDefault="00FE7AAB" w:rsidP="00FE7AAB">
      <w:pPr>
        <w:pStyle w:val="normal0"/>
        <w:spacing w:line="360" w:lineRule="auto"/>
        <w:jc w:val="both"/>
        <w:rPr>
          <w:rFonts w:ascii="Times New Roman" w:eastAsia="Times New Roman" w:hAnsi="Times New Roman" w:cs="Times New Roman"/>
          <w:sz w:val="24"/>
          <w:szCs w:val="24"/>
        </w:rPr>
      </w:pP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budget analysis shows that The Welsh Table can turn a profit of £2,220. The most significant costs are dedicated to staff, providing food and building the necessary technology, which makes the event unique. Ticket sales, sponsorships and vendor fees help the league spread its income, so no single source makes up a significant share. Having in-kind contributions enables organisations to run more efficiently and enhances stakeholder involvement. A 10% contingency fund is included to prepare for unforeseen events. </w:t>
      </w:r>
    </w:p>
    <w:p w:rsidR="00FE7AAB" w:rsidRDefault="00FE7AAB" w:rsidP="00FE7AAB">
      <w:pPr>
        <w:pStyle w:val="Heading1"/>
        <w:numPr>
          <w:ilvl w:val="0"/>
          <w:numId w:val="1"/>
        </w:numPr>
        <w:spacing w:line="360" w:lineRule="auto"/>
        <w:jc w:val="both"/>
        <w:rPr>
          <w:rFonts w:ascii="Times New Roman" w:eastAsia="Times New Roman" w:hAnsi="Times New Roman" w:cs="Times New Roman"/>
          <w:b/>
          <w:color w:val="000000"/>
          <w:sz w:val="24"/>
          <w:szCs w:val="24"/>
        </w:rPr>
      </w:pPr>
      <w:bookmarkStart w:id="11" w:name="_vgc777d5kot4" w:colFirst="0" w:colLast="0"/>
      <w:bookmarkEnd w:id="11"/>
      <w:r>
        <w:rPr>
          <w:rFonts w:ascii="Times New Roman" w:eastAsia="Times New Roman" w:hAnsi="Times New Roman" w:cs="Times New Roman"/>
          <w:b/>
          <w:color w:val="000000"/>
          <w:sz w:val="24"/>
          <w:szCs w:val="24"/>
        </w:rPr>
        <w:t>Industry Trends, Issues and Impacts</w:t>
      </w:r>
    </w:p>
    <w:p w:rsidR="00FE7AAB" w:rsidRDefault="00FE7AAB" w:rsidP="00FE7AAB">
      <w:pPr>
        <w:pStyle w:val="Heading2"/>
        <w:numPr>
          <w:ilvl w:val="1"/>
          <w:numId w:val="1"/>
        </w:numPr>
        <w:spacing w:before="40" w:after="0" w:line="360" w:lineRule="auto"/>
        <w:jc w:val="both"/>
        <w:rPr>
          <w:rFonts w:ascii="Times New Roman" w:eastAsia="Times New Roman" w:hAnsi="Times New Roman" w:cs="Times New Roman"/>
          <w:b w:val="0"/>
          <w:color w:val="000000"/>
          <w:sz w:val="24"/>
          <w:szCs w:val="24"/>
        </w:rPr>
      </w:pPr>
      <w:bookmarkStart w:id="12" w:name="_2phjommjwnd" w:colFirst="0" w:colLast="0"/>
      <w:bookmarkEnd w:id="12"/>
      <w:r>
        <w:rPr>
          <w:rFonts w:ascii="Times New Roman" w:eastAsia="Times New Roman" w:hAnsi="Times New Roman" w:cs="Times New Roman"/>
          <w:color w:val="000000"/>
          <w:sz w:val="24"/>
          <w:szCs w:val="24"/>
        </w:rPr>
        <w:t>Sustainability and Localism in Hospitality</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hospitality and events business worldwide is emphasising sustainability and utilising local resources more frequently. Attendees now expect events to be environmentally responsible, and before choosing an event, they expect information about the food and other practices used (</w:t>
      </w:r>
      <w:r>
        <w:rPr>
          <w:rFonts w:ascii="Times New Roman" w:eastAsia="Times New Roman" w:hAnsi="Times New Roman" w:cs="Times New Roman"/>
          <w:color w:val="222222"/>
          <w:sz w:val="24"/>
          <w:szCs w:val="24"/>
          <w:highlight w:val="white"/>
        </w:rPr>
        <w:t>Cavallin Toscani et al., 2022</w:t>
      </w:r>
      <w:r>
        <w:rPr>
          <w:rFonts w:ascii="Times New Roman" w:eastAsia="Times New Roman" w:hAnsi="Times New Roman" w:cs="Times New Roman"/>
          <w:sz w:val="24"/>
          <w:szCs w:val="24"/>
        </w:rPr>
        <w:t>). This new trend influenced the creation of The Welsh Table, ensuring that it emphasises local Welsh producers and the farm-to-fork approach. Serving foods produced nearby and in season saves on miles covered for shipping and thus supports an eco-friendly approach. Besides that, practices like digital ticket sales, local transit options, and eco-friendly food reduce the event's overall emissions and align with the industry's focus on minimising impacts (</w:t>
      </w:r>
      <w:r>
        <w:rPr>
          <w:rFonts w:ascii="Times New Roman" w:eastAsia="Times New Roman" w:hAnsi="Times New Roman" w:cs="Times New Roman"/>
          <w:color w:val="222222"/>
          <w:sz w:val="24"/>
          <w:szCs w:val="24"/>
          <w:highlight w:val="white"/>
        </w:rPr>
        <w:t>Tiwari, 2024</w:t>
      </w:r>
      <w:r>
        <w:rPr>
          <w:rFonts w:ascii="Times New Roman" w:eastAsia="Times New Roman" w:hAnsi="Times New Roman" w:cs="Times New Roman"/>
          <w:sz w:val="24"/>
          <w:szCs w:val="24"/>
        </w:rPr>
        <w:t>).</w:t>
      </w:r>
    </w:p>
    <w:p w:rsidR="00FE7AAB" w:rsidRDefault="00FE7AAB" w:rsidP="00FE7AAB">
      <w:pPr>
        <w:pStyle w:val="Heading2"/>
        <w:numPr>
          <w:ilvl w:val="1"/>
          <w:numId w:val="1"/>
        </w:numPr>
        <w:spacing w:before="40" w:after="0" w:line="360" w:lineRule="auto"/>
        <w:jc w:val="both"/>
        <w:rPr>
          <w:rFonts w:ascii="Times New Roman" w:eastAsia="Times New Roman" w:hAnsi="Times New Roman" w:cs="Times New Roman"/>
          <w:b w:val="0"/>
          <w:color w:val="000000"/>
          <w:sz w:val="24"/>
          <w:szCs w:val="24"/>
        </w:rPr>
      </w:pPr>
      <w:bookmarkStart w:id="13" w:name="_6fl909ykgofp" w:colFirst="0" w:colLast="0"/>
      <w:bookmarkEnd w:id="13"/>
      <w:r>
        <w:rPr>
          <w:rFonts w:ascii="Times New Roman" w:eastAsia="Times New Roman" w:hAnsi="Times New Roman" w:cs="Times New Roman"/>
          <w:color w:val="000000"/>
          <w:sz w:val="24"/>
          <w:szCs w:val="24"/>
        </w:rPr>
        <w:t>Post-COVID Recovery and Experience Trends</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COVID-19 significantly changed the way delegates expect meetings to be organised. Now, people prefer activities that allow them to explore the outdoors in large groups and build genuine connections (Hammon and Goralnik, 2025). As a way to answer these challenges, The Welsh Table organises outdoor farm viewing, open cafés and enjoyable cooking lessons. They also offer authentic, unique experiences where people are. Like many new trends in dining, there is now a greater demand for intimate gatherings that prioritise health and meaning, which aligns with what The Welsh Table offers (</w:t>
      </w:r>
      <w:r>
        <w:rPr>
          <w:rFonts w:ascii="Times New Roman" w:eastAsia="Times New Roman" w:hAnsi="Times New Roman" w:cs="Times New Roman"/>
          <w:color w:val="222222"/>
          <w:sz w:val="24"/>
          <w:szCs w:val="24"/>
          <w:highlight w:val="white"/>
        </w:rPr>
        <w:t>Srinivasan and Sherkar, 2024</w:t>
      </w:r>
      <w:r>
        <w:rPr>
          <w:rFonts w:ascii="Times New Roman" w:eastAsia="Times New Roman" w:hAnsi="Times New Roman" w:cs="Times New Roman"/>
          <w:sz w:val="24"/>
          <w:szCs w:val="24"/>
        </w:rPr>
        <w:t>).</w:t>
      </w:r>
    </w:p>
    <w:p w:rsidR="00FE7AAB" w:rsidRDefault="00FE7AAB" w:rsidP="00FE7AAB">
      <w:pPr>
        <w:pStyle w:val="Heading2"/>
        <w:numPr>
          <w:ilvl w:val="1"/>
          <w:numId w:val="1"/>
        </w:numPr>
        <w:spacing w:before="40" w:after="0" w:line="360" w:lineRule="auto"/>
        <w:jc w:val="both"/>
        <w:rPr>
          <w:rFonts w:ascii="Times New Roman" w:eastAsia="Times New Roman" w:hAnsi="Times New Roman" w:cs="Times New Roman"/>
          <w:b w:val="0"/>
          <w:color w:val="000000"/>
          <w:sz w:val="24"/>
          <w:szCs w:val="24"/>
        </w:rPr>
      </w:pPr>
      <w:bookmarkStart w:id="14" w:name="_22s9d2pmibir" w:colFirst="0" w:colLast="0"/>
      <w:bookmarkEnd w:id="14"/>
      <w:r>
        <w:rPr>
          <w:rFonts w:ascii="Times New Roman" w:eastAsia="Times New Roman" w:hAnsi="Times New Roman" w:cs="Times New Roman"/>
          <w:color w:val="000000"/>
          <w:sz w:val="24"/>
          <w:szCs w:val="24"/>
        </w:rPr>
        <w:t>Hybrid Events and Digital Integration</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rapid shift to digital events in the MICE sector, hybrid events are now the norm and offer additional benefits, including increased accessibility, lower environmental costs, and extended content availability (</w:t>
      </w:r>
      <w:r>
        <w:rPr>
          <w:rFonts w:ascii="Times New Roman" w:eastAsia="Times New Roman" w:hAnsi="Times New Roman" w:cs="Times New Roman"/>
          <w:color w:val="222222"/>
          <w:sz w:val="24"/>
          <w:szCs w:val="24"/>
          <w:highlight w:val="white"/>
        </w:rPr>
        <w:t>Singh and Deri, 2024</w:t>
      </w:r>
      <w:r>
        <w:rPr>
          <w:rFonts w:ascii="Times New Roman" w:eastAsia="Times New Roman" w:hAnsi="Times New Roman" w:cs="Times New Roman"/>
          <w:sz w:val="24"/>
          <w:szCs w:val="24"/>
        </w:rPr>
        <w:t>). Through live keynote sessions, on-demand videos and QR-coded tours, the Welsh Table uses these elements. Thanks to digital integration, global delegates who cannot attend in person, as well as sponsors and stakeholders, all benefit from increased inclusion and a better return on investment (Otopah et al., 2024). The event can compete and adjust when delegates' preferences or travel issues change by integrating remote and live options.</w:t>
      </w:r>
    </w:p>
    <w:p w:rsidR="00FE7AAB" w:rsidRDefault="00FE7AAB" w:rsidP="00FE7AAB">
      <w:pPr>
        <w:pStyle w:val="Heading2"/>
        <w:numPr>
          <w:ilvl w:val="1"/>
          <w:numId w:val="1"/>
        </w:numPr>
        <w:spacing w:before="40" w:after="0" w:line="360" w:lineRule="auto"/>
        <w:jc w:val="both"/>
        <w:rPr>
          <w:rFonts w:ascii="Times New Roman" w:eastAsia="Times New Roman" w:hAnsi="Times New Roman" w:cs="Times New Roman"/>
          <w:b w:val="0"/>
          <w:color w:val="000000"/>
          <w:sz w:val="24"/>
          <w:szCs w:val="24"/>
        </w:rPr>
      </w:pPr>
      <w:bookmarkStart w:id="15" w:name="_bgb1fx4yh3od" w:colFirst="0" w:colLast="0"/>
      <w:bookmarkEnd w:id="15"/>
      <w:r>
        <w:rPr>
          <w:rFonts w:ascii="Times New Roman" w:eastAsia="Times New Roman" w:hAnsi="Times New Roman" w:cs="Times New Roman"/>
          <w:color w:val="000000"/>
          <w:sz w:val="24"/>
          <w:szCs w:val="24"/>
        </w:rPr>
        <w:t>Challenges and Risks in the MICE Sector</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 MICE (Meetings, Incentives, Conferences, and Exhibitions) industry is growing, it still encounters risks (</w:t>
      </w:r>
      <w:r>
        <w:rPr>
          <w:rFonts w:ascii="Times New Roman" w:eastAsia="Times New Roman" w:hAnsi="Times New Roman" w:cs="Times New Roman"/>
          <w:color w:val="222222"/>
          <w:sz w:val="24"/>
          <w:szCs w:val="24"/>
          <w:highlight w:val="white"/>
        </w:rPr>
        <w:t>Getz and Page, 2024</w:t>
      </w:r>
      <w:r>
        <w:rPr>
          <w:rFonts w:ascii="Times New Roman" w:eastAsia="Times New Roman" w:hAnsi="Times New Roman" w:cs="Times New Roman"/>
          <w:sz w:val="24"/>
          <w:szCs w:val="24"/>
        </w:rPr>
        <w:t>). Both economic fluctuations and increasing prices (inflation) may prevent organisations from investing in conferences and stop people from participating (Weber and Lugosi, 2021). Weather variations can make it hard to organise and ensure safety for parts of an event that take place outside (</w:t>
      </w:r>
      <w:r>
        <w:rPr>
          <w:rFonts w:ascii="Times New Roman" w:eastAsia="Times New Roman" w:hAnsi="Times New Roman" w:cs="Times New Roman"/>
          <w:color w:val="222222"/>
          <w:sz w:val="24"/>
          <w:szCs w:val="24"/>
          <w:highlight w:val="white"/>
        </w:rPr>
        <w:t>Gonçalves et al., 2024</w:t>
      </w:r>
      <w:r>
        <w:rPr>
          <w:rFonts w:ascii="Times New Roman" w:eastAsia="Times New Roman" w:hAnsi="Times New Roman" w:cs="Times New Roman"/>
          <w:sz w:val="24"/>
          <w:szCs w:val="24"/>
        </w:rPr>
        <w:t>). These challenges are addressed in Wales thanks to additional planning (especially for events inside), the use of multiple financial sources, and making the venues scalable. The Welsh Table demonstrates strategy in its adherence to new laws and incorporates flexibility into its organisation, enabling adaptation to the constant challenges in the MICE field (Fortin, 2022).</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Welsh Table stays current with industry trends and collaborates closely with leaders to address pressing issues, making it a strong, enduring, and culturally relevant event in the global business meetings space.</w:t>
      </w:r>
    </w:p>
    <w:p w:rsidR="00FE7AAB" w:rsidRDefault="00FE7AAB" w:rsidP="00FE7AAB">
      <w:pPr>
        <w:pStyle w:val="Heading1"/>
        <w:numPr>
          <w:ilvl w:val="0"/>
          <w:numId w:val="1"/>
        </w:numPr>
        <w:spacing w:line="360" w:lineRule="auto"/>
        <w:jc w:val="both"/>
        <w:rPr>
          <w:rFonts w:ascii="Times New Roman" w:eastAsia="Times New Roman" w:hAnsi="Times New Roman" w:cs="Times New Roman"/>
          <w:b/>
          <w:color w:val="000000"/>
          <w:sz w:val="24"/>
          <w:szCs w:val="24"/>
        </w:rPr>
      </w:pPr>
      <w:bookmarkStart w:id="16" w:name="_12g577p38v1p" w:colFirst="0" w:colLast="0"/>
      <w:bookmarkEnd w:id="16"/>
      <w:r>
        <w:rPr>
          <w:rFonts w:ascii="Times New Roman" w:eastAsia="Times New Roman" w:hAnsi="Times New Roman" w:cs="Times New Roman"/>
          <w:b/>
          <w:color w:val="000000"/>
          <w:sz w:val="24"/>
          <w:szCs w:val="24"/>
        </w:rPr>
        <w:t>Situational and Cultural Considerations</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aware of the context and culture of The Welsh Table helps ensure that everyone feels welcome, the event makes a difference, and it is suited to its location. By conducting a SOAR analysis, one examines the strengths, opportunities, goals, and outcomes present in the culture and operations of the event.</w:t>
      </w:r>
    </w:p>
    <w:p w:rsidR="00FE7AAB" w:rsidRDefault="00FE7AAB" w:rsidP="00FE7AAB">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part of the "Year of Croeso" campaign gives the Welsh Table its main strength by highlighting local hospitality, sustainability and identity. The occasion highlights Wales' culinary heritage and diverse range of agricultural produce through farm-to-fork dining. Using two languages, regional sites and endorsing traditional music and stories reflects culture and involves delegates better (</w:t>
      </w:r>
      <w:r>
        <w:rPr>
          <w:rFonts w:ascii="Times New Roman" w:eastAsia="Times New Roman" w:hAnsi="Times New Roman" w:cs="Times New Roman"/>
          <w:color w:val="222222"/>
          <w:sz w:val="24"/>
          <w:szCs w:val="24"/>
          <w:highlight w:val="white"/>
        </w:rPr>
        <w:t>Bladen et al., 2022</w:t>
      </w:r>
      <w:r>
        <w:rPr>
          <w:rFonts w:ascii="Times New Roman" w:eastAsia="Times New Roman" w:hAnsi="Times New Roman" w:cs="Times New Roman"/>
          <w:sz w:val="24"/>
          <w:szCs w:val="24"/>
        </w:rPr>
        <w:t>). Community members, including producers, hospitality staff, and tourism organisations, care about the region's progress and are eager to help promote it.</w:t>
      </w:r>
    </w:p>
    <w:p w:rsidR="00283C68" w:rsidRDefault="00283C68" w:rsidP="00FE7AAB">
      <w:pPr>
        <w:pStyle w:val="normal0"/>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p>
    <w:p w:rsidR="00283C68" w:rsidRDefault="00283C68" w:rsidP="00FE7AAB">
      <w:pPr>
        <w:pStyle w:val="normal0"/>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p>
    <w:p w:rsidR="00283C68" w:rsidRDefault="00283C68" w:rsidP="00FE7AAB">
      <w:pPr>
        <w:pStyle w:val="normal0"/>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p>
    <w:p w:rsidR="00283C68" w:rsidRDefault="00283C68" w:rsidP="00FE7AAB">
      <w:pPr>
        <w:pStyle w:val="normal0"/>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p>
    <w:p w:rsidR="00FE7AAB" w:rsidRDefault="00FE7AAB" w:rsidP="00FE7AAB">
      <w:pPr>
        <w:pStyle w:val="normal0"/>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Opportunities</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Tourism based on cultural experiences and focusing on sustainability can be supported more widely. Since more people are interested in responsible and meaningful trips and meals, Welsh offerings are set to impress. Helping producers gain more exposure and allowing them to sell directly to customers can help revitalise struggling rural communities (</w:t>
      </w:r>
      <w:r>
        <w:rPr>
          <w:rFonts w:ascii="Times New Roman" w:eastAsia="Times New Roman" w:hAnsi="Times New Roman" w:cs="Times New Roman"/>
          <w:color w:val="222222"/>
          <w:sz w:val="24"/>
          <w:szCs w:val="24"/>
          <w:highlight w:val="white"/>
        </w:rPr>
        <w:t>Adamsone-Fiskovica et al., 2021</w:t>
      </w:r>
      <w:r>
        <w:rPr>
          <w:rFonts w:ascii="Times New Roman" w:eastAsia="Times New Roman" w:hAnsi="Times New Roman" w:cs="Times New Roman"/>
          <w:sz w:val="24"/>
          <w:szCs w:val="24"/>
        </w:rPr>
        <w:t xml:space="preserve">). </w:t>
      </w:r>
    </w:p>
    <w:p w:rsidR="00FE7AAB" w:rsidRDefault="00FE7AAB" w:rsidP="00FE7AAB">
      <w:pPr>
        <w:pStyle w:val="normal0"/>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Aspirations</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organisers hope to set a good example for how businesses can engage sustainably and respect culture in B2B activities. It aims to connect suppliers and buyers for years, boost the local economy, and incorporate cultural appreciation into business transactions (</w:t>
      </w:r>
      <w:r>
        <w:rPr>
          <w:rFonts w:ascii="Times New Roman" w:eastAsia="Times New Roman" w:hAnsi="Times New Roman" w:cs="Times New Roman"/>
          <w:color w:val="222222"/>
          <w:sz w:val="24"/>
          <w:szCs w:val="24"/>
          <w:highlight w:val="white"/>
        </w:rPr>
        <w:t>Angelakoglou et al., 2023</w:t>
      </w:r>
      <w:r>
        <w:rPr>
          <w:rFonts w:ascii="Times New Roman" w:eastAsia="Times New Roman" w:hAnsi="Times New Roman" w:cs="Times New Roman"/>
          <w:sz w:val="24"/>
          <w:szCs w:val="24"/>
        </w:rPr>
        <w:t>). It includes influencing purchasing practices in the hotel industry to choose local, traceable options.</w:t>
      </w:r>
    </w:p>
    <w:p w:rsidR="00FE7AAB" w:rsidRDefault="00FE7AAB" w:rsidP="00FE7AAB">
      <w:pPr>
        <w:pStyle w:val="normal0"/>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Results</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anticipated outcomes include more connections between Welsh producers and overseas buyers, stronger economic growth in rural areas, and greater international attention paid to Welsh food and tourism. Evaluating the event will consider key performance indicators (KPIs) such as participant ratings, media attention, economic benefits, and potential follow-up cooperation (</w:t>
      </w:r>
      <w:r>
        <w:rPr>
          <w:rFonts w:ascii="Times New Roman" w:eastAsia="Times New Roman" w:hAnsi="Times New Roman" w:cs="Times New Roman"/>
          <w:color w:val="222222"/>
          <w:sz w:val="24"/>
          <w:szCs w:val="24"/>
          <w:highlight w:val="white"/>
        </w:rPr>
        <w:t>Thomas and Stephens, 2022</w:t>
      </w:r>
      <w:r>
        <w:rPr>
          <w:rFonts w:ascii="Times New Roman" w:eastAsia="Times New Roman" w:hAnsi="Times New Roman" w:cs="Times New Roman"/>
          <w:sz w:val="24"/>
          <w:szCs w:val="24"/>
        </w:rPr>
        <w:t>).</w:t>
      </w:r>
    </w:p>
    <w:p w:rsidR="00FE7AAB" w:rsidRDefault="00FE7AAB" w:rsidP="00FE7AAB">
      <w:pPr>
        <w:pStyle w:val="Heading1"/>
        <w:numPr>
          <w:ilvl w:val="0"/>
          <w:numId w:val="1"/>
        </w:numPr>
        <w:spacing w:line="360" w:lineRule="auto"/>
        <w:jc w:val="both"/>
        <w:rPr>
          <w:rFonts w:ascii="Times New Roman" w:eastAsia="Times New Roman" w:hAnsi="Times New Roman" w:cs="Times New Roman"/>
          <w:b/>
          <w:color w:val="000000"/>
          <w:sz w:val="24"/>
          <w:szCs w:val="24"/>
        </w:rPr>
      </w:pPr>
      <w:bookmarkStart w:id="17" w:name="_bbkib6k0crsl" w:colFirst="0" w:colLast="0"/>
      <w:bookmarkEnd w:id="17"/>
      <w:r>
        <w:rPr>
          <w:rFonts w:ascii="Times New Roman" w:eastAsia="Times New Roman" w:hAnsi="Times New Roman" w:cs="Times New Roman"/>
          <w:b/>
          <w:color w:val="000000"/>
          <w:sz w:val="24"/>
          <w:szCs w:val="24"/>
        </w:rPr>
        <w:t>Recommendations</w:t>
      </w:r>
    </w:p>
    <w:p w:rsidR="00FE7AAB" w:rsidRDefault="00FE7AAB" w:rsidP="00FE7AA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great results for The Welsh Table in the long run, the following recommendations are suggested:</w:t>
      </w:r>
    </w:p>
    <w:p w:rsidR="00FE7AAB" w:rsidRDefault="00FE7AAB" w:rsidP="00FE7AAB">
      <w:pPr>
        <w:pStyle w:val="normal0"/>
        <w:numPr>
          <w:ilvl w:val="0"/>
          <w:numId w:val="2"/>
        </w:numPr>
        <w:spacing w:before="280" w:after="0" w:line="360" w:lineRule="auto"/>
        <w:jc w:val="both"/>
        <w:rPr>
          <w:sz w:val="24"/>
          <w:szCs w:val="24"/>
        </w:rPr>
      </w:pPr>
      <w:r>
        <w:rPr>
          <w:rFonts w:ascii="Times New Roman" w:eastAsia="Times New Roman" w:hAnsi="Times New Roman" w:cs="Times New Roman"/>
          <w:b/>
          <w:sz w:val="24"/>
          <w:szCs w:val="24"/>
        </w:rPr>
        <w:t>Develop a Legacy Strategy</w:t>
      </w:r>
      <w:r>
        <w:rPr>
          <w:rFonts w:ascii="Times New Roman" w:eastAsia="Times New Roman" w:hAnsi="Times New Roman" w:cs="Times New Roman"/>
          <w:sz w:val="24"/>
          <w:szCs w:val="24"/>
        </w:rPr>
        <w:t>: Establish post-event follow-up initiatives, such as digital forums or newsletters, to maintain connections between delegates, producers, and partners (</w:t>
      </w:r>
      <w:r>
        <w:rPr>
          <w:rFonts w:ascii="Times New Roman" w:eastAsia="Times New Roman" w:hAnsi="Times New Roman" w:cs="Times New Roman"/>
          <w:color w:val="222222"/>
          <w:sz w:val="24"/>
          <w:szCs w:val="24"/>
          <w:highlight w:val="white"/>
        </w:rPr>
        <w:t>Walker, 2021</w:t>
      </w:r>
      <w:r>
        <w:rPr>
          <w:rFonts w:ascii="Times New Roman" w:eastAsia="Times New Roman" w:hAnsi="Times New Roman" w:cs="Times New Roman"/>
          <w:sz w:val="24"/>
          <w:szCs w:val="24"/>
        </w:rPr>
        <w:t>).</w:t>
      </w:r>
    </w:p>
    <w:p w:rsidR="00FE7AAB" w:rsidRDefault="00FE7AAB" w:rsidP="00FE7AAB">
      <w:pPr>
        <w:pStyle w:val="normal0"/>
        <w:numPr>
          <w:ilvl w:val="0"/>
          <w:numId w:val="2"/>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Multi-Year Financial Support: Pursue long-term sponsorship or government financing associated with Visit Wales so the event can continue and grow smoothly (Cavallin Toscani et al., 2022).</w:t>
      </w:r>
    </w:p>
    <w:p w:rsidR="00FE7AAB" w:rsidRDefault="00FE7AAB" w:rsidP="00FE7AAB">
      <w:pPr>
        <w:pStyle w:val="normal0"/>
        <w:numPr>
          <w:ilvl w:val="0"/>
          <w:numId w:val="2"/>
        </w:numPr>
        <w:spacing w:after="0" w:line="360" w:lineRule="auto"/>
        <w:jc w:val="both"/>
        <w:rPr>
          <w:sz w:val="24"/>
          <w:szCs w:val="24"/>
        </w:rPr>
      </w:pPr>
      <w:r>
        <w:rPr>
          <w:rFonts w:ascii="Times New Roman" w:eastAsia="Times New Roman" w:hAnsi="Times New Roman" w:cs="Times New Roman"/>
          <w:b/>
          <w:sz w:val="24"/>
          <w:szCs w:val="24"/>
        </w:rPr>
        <w:t>Strengthen Digital Engagement</w:t>
      </w:r>
      <w:r>
        <w:rPr>
          <w:rFonts w:ascii="Times New Roman" w:eastAsia="Times New Roman" w:hAnsi="Times New Roman" w:cs="Times New Roman"/>
          <w:sz w:val="24"/>
          <w:szCs w:val="24"/>
        </w:rPr>
        <w:t>: Expand hybrid features such as recorded workshops and social media storytelling to engage broader international audiences and extend the event's reach.</w:t>
      </w:r>
    </w:p>
    <w:p w:rsidR="00FE7AAB" w:rsidRDefault="00FE7AAB" w:rsidP="00FE7AAB">
      <w:pPr>
        <w:pStyle w:val="normal0"/>
        <w:numPr>
          <w:ilvl w:val="0"/>
          <w:numId w:val="2"/>
        </w:numPr>
        <w:spacing w:after="0" w:line="360" w:lineRule="auto"/>
        <w:jc w:val="both"/>
        <w:rPr>
          <w:sz w:val="24"/>
          <w:szCs w:val="24"/>
        </w:rPr>
      </w:pPr>
      <w:r>
        <w:rPr>
          <w:rFonts w:ascii="Times New Roman" w:eastAsia="Times New Roman" w:hAnsi="Times New Roman" w:cs="Times New Roman"/>
          <w:b/>
          <w:sz w:val="24"/>
          <w:szCs w:val="24"/>
        </w:rPr>
        <w:t>Enhance Cultural Representation</w:t>
      </w:r>
      <w:r>
        <w:rPr>
          <w:rFonts w:ascii="Times New Roman" w:eastAsia="Times New Roman" w:hAnsi="Times New Roman" w:cs="Times New Roman"/>
          <w:sz w:val="24"/>
          <w:szCs w:val="24"/>
        </w:rPr>
        <w:t>: Continue incorporating bilingual signage, Welsh music, and storytelling to enrich cultural immersion and inclusivity for all participants (</w:t>
      </w:r>
      <w:r>
        <w:rPr>
          <w:rFonts w:ascii="Times New Roman" w:eastAsia="Times New Roman" w:hAnsi="Times New Roman" w:cs="Times New Roman"/>
          <w:color w:val="222222"/>
          <w:sz w:val="24"/>
          <w:szCs w:val="24"/>
          <w:highlight w:val="white"/>
        </w:rPr>
        <w:t>Ingrassia et al., 2022</w:t>
      </w:r>
      <w:r>
        <w:rPr>
          <w:rFonts w:ascii="Times New Roman" w:eastAsia="Times New Roman" w:hAnsi="Times New Roman" w:cs="Times New Roman"/>
          <w:sz w:val="24"/>
          <w:szCs w:val="24"/>
        </w:rPr>
        <w:t>).</w:t>
      </w:r>
    </w:p>
    <w:p w:rsidR="00FE7AAB" w:rsidRDefault="00FE7AAB" w:rsidP="00FE7AAB">
      <w:pPr>
        <w:pStyle w:val="normal0"/>
        <w:numPr>
          <w:ilvl w:val="0"/>
          <w:numId w:val="2"/>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b/>
          <w:color w:val="000000"/>
          <w:sz w:val="24"/>
          <w:szCs w:val="24"/>
        </w:rPr>
        <w:t>Implement Impact Measurement Tools</w:t>
      </w:r>
      <w:r>
        <w:rPr>
          <w:rFonts w:ascii="Times New Roman" w:eastAsia="Times New Roman" w:hAnsi="Times New Roman" w:cs="Times New Roman"/>
          <w:color w:val="000000"/>
          <w:sz w:val="24"/>
          <w:szCs w:val="24"/>
        </w:rPr>
        <w:t>: Set up methods to assess the event’s impact by measuring key factors (such as partnership establishment, coverage by the media, local sales growth) and apply the results to improve future events (based on Daga et al., 2022).</w:t>
      </w:r>
    </w:p>
    <w:p w:rsidR="00FE7AAB" w:rsidRDefault="00FE7AAB" w:rsidP="00FE7AAB">
      <w:pPr>
        <w:pStyle w:val="Heading1"/>
        <w:numPr>
          <w:ilvl w:val="0"/>
          <w:numId w:val="1"/>
        </w:numPr>
        <w:spacing w:line="360" w:lineRule="auto"/>
        <w:jc w:val="both"/>
        <w:rPr>
          <w:rFonts w:ascii="Times New Roman" w:eastAsia="Times New Roman" w:hAnsi="Times New Roman" w:cs="Times New Roman"/>
          <w:b/>
          <w:color w:val="000000"/>
          <w:sz w:val="24"/>
          <w:szCs w:val="24"/>
        </w:rPr>
      </w:pPr>
      <w:bookmarkStart w:id="18" w:name="_e3a8injnjpug" w:colFirst="0" w:colLast="0"/>
      <w:bookmarkEnd w:id="18"/>
      <w:r>
        <w:rPr>
          <w:rFonts w:ascii="Times New Roman" w:eastAsia="Times New Roman" w:hAnsi="Times New Roman" w:cs="Times New Roman"/>
          <w:b/>
          <w:color w:val="000000"/>
          <w:sz w:val="24"/>
          <w:szCs w:val="24"/>
        </w:rPr>
        <w:t>Conclusion</w:t>
      </w:r>
    </w:p>
    <w:p w:rsidR="00FE7AAB" w:rsidRDefault="00FE7AAB" w:rsidP="00FE7AAB">
      <w:pPr>
        <w:pStyle w:val="normal0"/>
        <w:spacing w:line="360" w:lineRule="auto"/>
        <w:jc w:val="both"/>
        <w:rPr>
          <w:rFonts w:ascii="Times New Roman" w:eastAsia="Times New Roman" w:hAnsi="Times New Roman" w:cs="Times New Roman"/>
          <w:sz w:val="24"/>
          <w:szCs w:val="24"/>
        </w:rPr>
      </w:pPr>
      <w:bookmarkStart w:id="19" w:name="_xvx23r7rmvvw" w:colFirst="0" w:colLast="0"/>
      <w:bookmarkEnd w:id="19"/>
      <w:r>
        <w:rPr>
          <w:rFonts w:ascii="Times New Roman" w:eastAsia="Times New Roman" w:hAnsi="Times New Roman" w:cs="Times New Roman"/>
          <w:sz w:val="24"/>
          <w:szCs w:val="24"/>
        </w:rPr>
        <w:t>In conclusion, a specially planned business conference is organised by Welsh Table which highlights the culture and traditions of Wales as part of Visit Wales’ "Year of Croeso." Using EMBOK standards, reviewing outcome and appraising outcomes and applying industry expertise, this event reveals its operations are sound, it matters in the industry and it delivers benefits to interested parties. Since the company offers farm-to-fork meals, order both online and in person and supports sustainability, it is considered important and novel. Emphasising trends from the post-pandemic years, retaining its Welsh traditions and planning for future progress in rural Wales, The Welsh Table provides a model for world hospitality events.</w:t>
      </w:r>
    </w:p>
    <w:p w:rsidR="00FE7AAB" w:rsidRDefault="00FE7AAB" w:rsidP="00FE7AAB">
      <w:pPr>
        <w:pStyle w:val="Heading1"/>
        <w:numPr>
          <w:ilvl w:val="0"/>
          <w:numId w:val="1"/>
        </w:num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References</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Adamsone-Fiskovica, A., Grivins, M., Burton, R. J., Elzen, B., Flanigan, S., Frick, R., and Hardy, C. (2021). Disentangling critical success factors and principles of on-farm agricultural demonstration events. </w:t>
      </w:r>
      <w:r>
        <w:rPr>
          <w:rFonts w:ascii="Times New Roman" w:eastAsia="Times New Roman" w:hAnsi="Times New Roman" w:cs="Times New Roman"/>
          <w:i/>
          <w:color w:val="222222"/>
          <w:sz w:val="24"/>
          <w:szCs w:val="24"/>
          <w:highlight w:val="white"/>
        </w:rPr>
        <w:t>The Journal of Agricultural Education and Extension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(5), 639-656.</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Angelakoglou, K., Chatzigeorgiou, E., Lampropoulos, I., Giourka, P., Martinopoulos, G., and Nikolopoulos, N. (2023). Monitoring the sustainability of building renovation projects—A tailored key performance indicator repository. </w:t>
      </w:r>
      <w:r>
        <w:rPr>
          <w:rFonts w:ascii="Times New Roman" w:eastAsia="Times New Roman" w:hAnsi="Times New Roman" w:cs="Times New Roman"/>
          <w:i/>
          <w:color w:val="222222"/>
          <w:sz w:val="24"/>
          <w:szCs w:val="24"/>
          <w:highlight w:val="white"/>
        </w:rPr>
        <w:t>Buildings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(8), 2046.</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Bladen, C., Kennell, J., Abson, E., and Wilde, N. (2022). </w:t>
      </w:r>
      <w:r>
        <w:rPr>
          <w:rFonts w:ascii="Times New Roman" w:eastAsia="Times New Roman" w:hAnsi="Times New Roman" w:cs="Times New Roman"/>
          <w:i/>
          <w:color w:val="222222"/>
          <w:sz w:val="24"/>
          <w:szCs w:val="24"/>
          <w:highlight w:val="white"/>
        </w:rPr>
        <w:t>Events management: An introduction</w:t>
      </w:r>
      <w:r>
        <w:rPr>
          <w:rFonts w:ascii="Times New Roman" w:eastAsia="Times New Roman" w:hAnsi="Times New Roman" w:cs="Times New Roman"/>
          <w:color w:val="222222"/>
          <w:sz w:val="24"/>
          <w:szCs w:val="24"/>
          <w:highlight w:val="white"/>
        </w:rPr>
        <w:t>. Routledge.</w:t>
      </w:r>
    </w:p>
    <w:p w:rsidR="00FE7AAB" w:rsidRDefault="00FE7AAB" w:rsidP="00FE7AAB">
      <w:pPr>
        <w:pStyle w:val="normal0"/>
        <w:spacing w:line="360" w:lineRule="auto"/>
        <w:ind w:left="720" w:hanging="720"/>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Bowdin, G. A., Allen, J., Harris, R., Jago, L., O'toole, W., and McDonnell, I. (2023). </w:t>
      </w:r>
      <w:r>
        <w:rPr>
          <w:rFonts w:ascii="Times New Roman" w:eastAsia="Times New Roman" w:hAnsi="Times New Roman" w:cs="Times New Roman"/>
          <w:i/>
          <w:color w:val="222222"/>
          <w:sz w:val="24"/>
          <w:szCs w:val="24"/>
          <w:highlight w:val="white"/>
        </w:rPr>
        <w:t>Events management</w:t>
      </w:r>
      <w:r>
        <w:rPr>
          <w:rFonts w:ascii="Times New Roman" w:eastAsia="Times New Roman" w:hAnsi="Times New Roman" w:cs="Times New Roman"/>
          <w:color w:val="222222"/>
          <w:sz w:val="24"/>
          <w:szCs w:val="24"/>
          <w:highlight w:val="white"/>
        </w:rPr>
        <w:t>. Routledge.</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Cavallin Toscani, A., Macchion, L., Stoppato, A., and Vinelli, A. (2022). How to assess events’ environmental impacts: A uniform life cycle approach.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(1), 240-257.</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Daga, E., Asprino, L., Damiano, R., Daquino, M., Agudo, B. D., Gangemi, A., and Wecker, A. (2022). Integrating citizen experiences in cultural heritage archives: requirements, state of the art, and challenges. </w:t>
      </w:r>
      <w:r>
        <w:rPr>
          <w:rFonts w:ascii="Times New Roman" w:eastAsia="Times New Roman" w:hAnsi="Times New Roman" w:cs="Times New Roman"/>
          <w:i/>
          <w:color w:val="222222"/>
          <w:sz w:val="24"/>
          <w:szCs w:val="24"/>
          <w:highlight w:val="white"/>
        </w:rPr>
        <w:t>ACM Journal on Computing and Cultural Heritage (JOCCH)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(1), 1-35.</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Feliza, D. S. P., Ammadienta, M., and Ginasta, N. G. (2024). Innovative Event Management Platform Design with Integrated Ticketing and Networking Features. </w:t>
      </w:r>
      <w:r>
        <w:rPr>
          <w:rFonts w:ascii="Times New Roman" w:eastAsia="Times New Roman" w:hAnsi="Times New Roman" w:cs="Times New Roman"/>
          <w:i/>
          <w:color w:val="222222"/>
          <w:sz w:val="24"/>
          <w:szCs w:val="24"/>
          <w:highlight w:val="white"/>
        </w:rPr>
        <w:t>Journal of Digital Business and Innovation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Fortin, N. D. (2022). </w:t>
      </w:r>
      <w:r>
        <w:rPr>
          <w:rFonts w:ascii="Times New Roman" w:eastAsia="Times New Roman" w:hAnsi="Times New Roman" w:cs="Times New Roman"/>
          <w:i/>
          <w:color w:val="222222"/>
          <w:sz w:val="24"/>
          <w:szCs w:val="24"/>
          <w:highlight w:val="white"/>
        </w:rPr>
        <w:t>Food regulation: law, science, policy, and practice</w:t>
      </w:r>
      <w:r>
        <w:rPr>
          <w:rFonts w:ascii="Times New Roman" w:eastAsia="Times New Roman" w:hAnsi="Times New Roman" w:cs="Times New Roman"/>
          <w:color w:val="222222"/>
          <w:sz w:val="24"/>
          <w:szCs w:val="24"/>
          <w:highlight w:val="white"/>
        </w:rPr>
        <w:t>. John Wiley &amp; Sons.</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Getz, D., and Page, S. J. (2024). </w:t>
      </w:r>
      <w:r>
        <w:rPr>
          <w:rFonts w:ascii="Times New Roman" w:eastAsia="Times New Roman" w:hAnsi="Times New Roman" w:cs="Times New Roman"/>
          <w:i/>
          <w:color w:val="222222"/>
          <w:sz w:val="24"/>
          <w:szCs w:val="24"/>
          <w:highlight w:val="white"/>
        </w:rPr>
        <w:t>Event studies: Theory and management for planned events</w:t>
      </w:r>
      <w:r>
        <w:rPr>
          <w:rFonts w:ascii="Times New Roman" w:eastAsia="Times New Roman" w:hAnsi="Times New Roman" w:cs="Times New Roman"/>
          <w:color w:val="222222"/>
          <w:sz w:val="24"/>
          <w:szCs w:val="24"/>
          <w:highlight w:val="white"/>
        </w:rPr>
        <w:t>. Taylor &amp; Francis.</w:t>
      </w:r>
    </w:p>
    <w:p w:rsidR="00FE7AAB" w:rsidRDefault="00FE7AAB" w:rsidP="00FE7AAB">
      <w:pPr>
        <w:pStyle w:val="normal0"/>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Gonçalves, A. C., Costoya, X., Nieto, R., and Liberato, M. L. (2024). Extreme weather events on energy systems: a comprehensive review on impacts, mitigation, and adaptation measures. </w:t>
      </w:r>
      <w:r>
        <w:rPr>
          <w:rFonts w:ascii="Times New Roman" w:eastAsia="Times New Roman" w:hAnsi="Times New Roman" w:cs="Times New Roman"/>
          <w:i/>
          <w:color w:val="222222"/>
          <w:sz w:val="24"/>
          <w:szCs w:val="24"/>
          <w:highlight w:val="white"/>
        </w:rPr>
        <w:t>Sustainable Energy Research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 4.</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Hammon, A., and Goralnik, L. (2025). Barriers and bridges: contributions of mobile farmers markets to fresh food access for low-income and minority consumers. </w:t>
      </w:r>
      <w:r>
        <w:rPr>
          <w:rFonts w:ascii="Times New Roman" w:eastAsia="Times New Roman" w:hAnsi="Times New Roman" w:cs="Times New Roman"/>
          <w:i/>
          <w:color w:val="222222"/>
          <w:sz w:val="24"/>
          <w:szCs w:val="24"/>
          <w:highlight w:val="white"/>
        </w:rPr>
        <w:t>Local Environment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(4), 447-462.</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Ingrassia, M., Altamore, L., Bellia, C., Grasso, G. L., Silva, P., Bacarella, S. and Chironi, S. (2022). Visitor’s motivational framework and wine routes’ contribution to sustainable agriculture and tourism.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(19), 12082.</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Otopah, A. A., Dogbe, C. S. K., Amofah, O., and Ahlijah, B. (2024). Digital marketing and purchase intention of bank services: the role of trust and engagement. </w:t>
      </w:r>
      <w:r>
        <w:rPr>
          <w:rFonts w:ascii="Times New Roman" w:eastAsia="Times New Roman" w:hAnsi="Times New Roman" w:cs="Times New Roman"/>
          <w:i/>
          <w:color w:val="222222"/>
          <w:sz w:val="24"/>
          <w:szCs w:val="24"/>
          <w:highlight w:val="white"/>
        </w:rPr>
        <w:t>International Journal of Bank Marketing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42</w:t>
      </w:r>
      <w:r>
        <w:rPr>
          <w:rFonts w:ascii="Times New Roman" w:eastAsia="Times New Roman" w:hAnsi="Times New Roman" w:cs="Times New Roman"/>
          <w:color w:val="222222"/>
          <w:sz w:val="24"/>
          <w:szCs w:val="24"/>
          <w:highlight w:val="white"/>
        </w:rPr>
        <w:t>(7), 1920-1945.</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Pehin Dato Musa, S. F., and Chin, W. L. (2022). The role of farm-to-table activities in agritourism towards sustainable development. </w:t>
      </w:r>
      <w:r>
        <w:rPr>
          <w:rFonts w:ascii="Times New Roman" w:eastAsia="Times New Roman" w:hAnsi="Times New Roman" w:cs="Times New Roman"/>
          <w:i/>
          <w:color w:val="222222"/>
          <w:sz w:val="24"/>
          <w:szCs w:val="24"/>
          <w:highlight w:val="white"/>
        </w:rPr>
        <w:t>Tourism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77</w:t>
      </w:r>
      <w:r>
        <w:rPr>
          <w:rFonts w:ascii="Times New Roman" w:eastAsia="Times New Roman" w:hAnsi="Times New Roman" w:cs="Times New Roman"/>
          <w:color w:val="222222"/>
          <w:sz w:val="24"/>
          <w:szCs w:val="24"/>
          <w:highlight w:val="white"/>
        </w:rPr>
        <w:t>(2), 659-671.</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Singh, A., and Deri, M. N. (2024). Exploring the Use of Virtual and Hybrid Events for MICE Sector: Trends and Opportunities. In </w:t>
      </w:r>
      <w:r>
        <w:rPr>
          <w:rFonts w:ascii="Times New Roman" w:eastAsia="Times New Roman" w:hAnsi="Times New Roman" w:cs="Times New Roman"/>
          <w:i/>
          <w:color w:val="222222"/>
          <w:sz w:val="24"/>
          <w:szCs w:val="24"/>
          <w:highlight w:val="white"/>
        </w:rPr>
        <w:t>New Technologies in Virtual and Hybrid Events</w:t>
      </w:r>
      <w:r>
        <w:rPr>
          <w:rFonts w:ascii="Times New Roman" w:eastAsia="Times New Roman" w:hAnsi="Times New Roman" w:cs="Times New Roman"/>
          <w:color w:val="222222"/>
          <w:sz w:val="24"/>
          <w:szCs w:val="24"/>
          <w:highlight w:val="white"/>
        </w:rPr>
        <w:t> (pp. 47-70). IGI Global.</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Srinivasan, S., and Sherkar, A. (2024). Trends and Innovations in Convenience Food Usage in Fine Dining. </w:t>
      </w:r>
      <w:r>
        <w:rPr>
          <w:rFonts w:ascii="Times New Roman" w:eastAsia="Times New Roman" w:hAnsi="Times New Roman" w:cs="Times New Roman"/>
          <w:i/>
          <w:color w:val="222222"/>
          <w:sz w:val="24"/>
          <w:szCs w:val="24"/>
          <w:highlight w:val="white"/>
        </w:rPr>
        <w:t>ATITHYA: A Journal of Hospitality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w:t>
      </w:r>
    </w:p>
    <w:p w:rsidR="00FE7AAB" w:rsidRDefault="00FE7AAB" w:rsidP="00FE7AAB">
      <w:pPr>
        <w:pStyle w:val="normal0"/>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Thomas, K., and Stephens, S. (2022). Understanding the Management Theory in Event Management: A Conceptual Framework. </w:t>
      </w:r>
      <w:r>
        <w:rPr>
          <w:rFonts w:ascii="Times New Roman" w:eastAsia="Times New Roman" w:hAnsi="Times New Roman" w:cs="Times New Roman"/>
          <w:i/>
          <w:color w:val="222222"/>
          <w:sz w:val="24"/>
          <w:szCs w:val="24"/>
          <w:highlight w:val="white"/>
        </w:rPr>
        <w:t>Available at SSRN 4051469</w:t>
      </w:r>
      <w:r>
        <w:rPr>
          <w:rFonts w:ascii="Times New Roman" w:eastAsia="Times New Roman" w:hAnsi="Times New Roman" w:cs="Times New Roman"/>
          <w:color w:val="222222"/>
          <w:sz w:val="24"/>
          <w:szCs w:val="24"/>
          <w:highlight w:val="white"/>
        </w:rPr>
        <w:t>.</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Tiwari, G. N. (2024). </w:t>
      </w:r>
      <w:r>
        <w:rPr>
          <w:rFonts w:ascii="Times New Roman" w:eastAsia="Times New Roman" w:hAnsi="Times New Roman" w:cs="Times New Roman"/>
          <w:i/>
          <w:color w:val="222222"/>
          <w:sz w:val="24"/>
          <w:szCs w:val="24"/>
          <w:highlight w:val="white"/>
        </w:rPr>
        <w:t>Energy, Ecology and Environment: A Sustainable Nature</w:t>
      </w:r>
      <w:r>
        <w:rPr>
          <w:rFonts w:ascii="Times New Roman" w:eastAsia="Times New Roman" w:hAnsi="Times New Roman" w:cs="Times New Roman"/>
          <w:color w:val="222222"/>
          <w:sz w:val="24"/>
          <w:szCs w:val="24"/>
          <w:highlight w:val="white"/>
        </w:rPr>
        <w:t>. Springer Nature.</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Walker, J. R. (2021). </w:t>
      </w:r>
      <w:r>
        <w:rPr>
          <w:rFonts w:ascii="Times New Roman" w:eastAsia="Times New Roman" w:hAnsi="Times New Roman" w:cs="Times New Roman"/>
          <w:i/>
          <w:color w:val="222222"/>
          <w:sz w:val="24"/>
          <w:szCs w:val="24"/>
          <w:highlight w:val="white"/>
        </w:rPr>
        <w:t>The restaurant: from concept to operation</w:t>
      </w:r>
      <w:r>
        <w:rPr>
          <w:rFonts w:ascii="Times New Roman" w:eastAsia="Times New Roman" w:hAnsi="Times New Roman" w:cs="Times New Roman"/>
          <w:color w:val="222222"/>
          <w:sz w:val="24"/>
          <w:szCs w:val="24"/>
          <w:highlight w:val="white"/>
        </w:rPr>
        <w:t>. John Wiley &amp; Sons.</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Weber, L., and Lugosi, P. (2021). The event experiences of attendees with food allergies, intolerances and coeliac disease: risk loaded value-creation/destruction. </w:t>
      </w:r>
      <w:r>
        <w:rPr>
          <w:rFonts w:ascii="Times New Roman" w:eastAsia="Times New Roman" w:hAnsi="Times New Roman" w:cs="Times New Roman"/>
          <w:i/>
          <w:color w:val="222222"/>
          <w:sz w:val="24"/>
          <w:szCs w:val="24"/>
          <w:highlight w:val="white"/>
        </w:rPr>
        <w:t>International Journal of Event and Festival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 184-202.</w:t>
      </w:r>
    </w:p>
    <w:p w:rsidR="00FE7AAB" w:rsidRDefault="00FE7AAB" w:rsidP="00FE7AAB">
      <w:pPr>
        <w:pStyle w:val="normal0"/>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Wu, J. C. (2025, March). Empowering Musicians: Innovating Virtual Ensemble Concert Music with Networked Audio Technology. In </w:t>
      </w:r>
      <w:r>
        <w:rPr>
          <w:rFonts w:ascii="Times New Roman" w:eastAsia="Times New Roman" w:hAnsi="Times New Roman" w:cs="Times New Roman"/>
          <w:i/>
          <w:color w:val="222222"/>
          <w:sz w:val="24"/>
          <w:szCs w:val="24"/>
          <w:highlight w:val="white"/>
        </w:rPr>
        <w:t>Virtual Worlds</w:t>
      </w:r>
      <w:r>
        <w:rPr>
          <w:rFonts w:ascii="Times New Roman" w:eastAsia="Times New Roman" w:hAnsi="Times New Roman" w:cs="Times New Roman"/>
          <w:color w:val="222222"/>
          <w:sz w:val="24"/>
          <w:szCs w:val="24"/>
          <w:highlight w:val="white"/>
        </w:rPr>
        <w:t> (Vol. 4, No. 1, p. 9). MDPI.</w:t>
      </w:r>
    </w:p>
    <w:p w:rsidR="00FE7AAB" w:rsidRDefault="00FE7AAB" w:rsidP="00FE7AAB">
      <w:pPr>
        <w:pStyle w:val="normal0"/>
      </w:pPr>
    </w:p>
    <w:p w:rsidR="00FE7AAB" w:rsidRDefault="00FE7AAB" w:rsidP="00FE7AAB">
      <w:pPr>
        <w:pStyle w:val="normal0"/>
      </w:pPr>
    </w:p>
    <w:p w:rsidR="00EB54AD" w:rsidRPr="00FE7AAB" w:rsidRDefault="00EB54AD" w:rsidP="00FE7AAB">
      <w:pPr>
        <w:rPr>
          <w:szCs w:val="24"/>
        </w:rPr>
      </w:pPr>
    </w:p>
    <w:sectPr w:rsidR="00EB54AD" w:rsidRPr="00FE7AAB" w:rsidSect="00EB54AD">
      <w:footerReference w:type="default" r:id="rId1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876A9" w:rsidRDefault="006876A9" w:rsidP="00EB54AD">
      <w:pPr>
        <w:spacing w:after="0" w:line="240" w:lineRule="auto"/>
      </w:pPr>
      <w:r>
        <w:separator/>
      </w:r>
    </w:p>
  </w:endnote>
  <w:endnote w:type="continuationSeparator" w:id="1">
    <w:p w:rsidR="006876A9" w:rsidRDefault="006876A9" w:rsidP="00EB54A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7AAB" w:rsidRDefault="00FE7AAB">
    <w:pPr>
      <w:pStyle w:val="normal0"/>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7AAB" w:rsidRDefault="00FE7AAB">
    <w:pPr>
      <w:pStyle w:val="normal0"/>
      <w:pBdr>
        <w:top w:val="nil"/>
        <w:left w:val="nil"/>
        <w:bottom w:val="nil"/>
        <w:right w:val="nil"/>
        <w:between w:val="nil"/>
      </w:pBdr>
      <w:tabs>
        <w:tab w:val="center" w:pos="4680"/>
        <w:tab w:val="right" w:pos="9360"/>
      </w:tabs>
      <w:spacing w:after="0" w:line="240" w:lineRule="auto"/>
      <w:jc w:val="right"/>
      <w:rPr>
        <w:color w:val="000000"/>
      </w:rPr>
    </w:pPr>
  </w:p>
  <w:p w:rsidR="00FE7AAB" w:rsidRDefault="00FE7AAB">
    <w:pPr>
      <w:pStyle w:val="normal0"/>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7AAB" w:rsidRDefault="00FE7AAB">
    <w:pPr>
      <w:pStyle w:val="normal0"/>
      <w:pBdr>
        <w:top w:val="nil"/>
        <w:left w:val="nil"/>
        <w:bottom w:val="nil"/>
        <w:right w:val="nil"/>
        <w:between w:val="nil"/>
      </w:pBdr>
      <w:tabs>
        <w:tab w:val="center" w:pos="4680"/>
        <w:tab w:val="right" w:pos="9360"/>
      </w:tabs>
      <w:spacing w:after="0" w:line="240" w:lineRule="auto"/>
      <w:rPr>
        <w:color w:val="000000"/>
      </w:rP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54AD" w:rsidRDefault="004F0965">
    <w:pPr>
      <w:pStyle w:val="normal0"/>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C01A90">
      <w:rPr>
        <w:color w:val="000000"/>
      </w:rPr>
      <w:instrText>PAGE</w:instrText>
    </w:r>
    <w:r>
      <w:rPr>
        <w:color w:val="000000"/>
      </w:rPr>
      <w:fldChar w:fldCharType="separate"/>
    </w:r>
    <w:r w:rsidR="00283C68">
      <w:rPr>
        <w:noProof/>
        <w:color w:val="000000"/>
      </w:rPr>
      <w:t>1</w:t>
    </w:r>
    <w:r>
      <w:rPr>
        <w:color w:val="000000"/>
      </w:rPr>
      <w:fldChar w:fldCharType="end"/>
    </w:r>
  </w:p>
  <w:p w:rsidR="00EB54AD" w:rsidRDefault="00EB54AD">
    <w:pPr>
      <w:pStyle w:val="normal0"/>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876A9" w:rsidRDefault="006876A9" w:rsidP="00EB54AD">
      <w:pPr>
        <w:spacing w:after="0" w:line="240" w:lineRule="auto"/>
      </w:pPr>
      <w:r>
        <w:separator/>
      </w:r>
    </w:p>
  </w:footnote>
  <w:footnote w:type="continuationSeparator" w:id="1">
    <w:p w:rsidR="006876A9" w:rsidRDefault="006876A9" w:rsidP="00EB54A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7AAB" w:rsidRDefault="00FE7AAB">
    <w:pPr>
      <w:pStyle w:val="normal0"/>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7AAB" w:rsidRDefault="00FE7AAB">
    <w:pPr>
      <w:pStyle w:val="normal0"/>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7AAB" w:rsidRDefault="00FE7AAB">
    <w:pPr>
      <w:pStyle w:val="normal0"/>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A8B17F4"/>
    <w:multiLevelType w:val="multilevel"/>
    <w:tmpl w:val="984E9474"/>
    <w:lvl w:ilvl="0">
      <w:start w:val="1"/>
      <w:numFmt w:val="decimal"/>
      <w:lvlText w:val="%1."/>
      <w:lvlJc w:val="left"/>
      <w:pPr>
        <w:ind w:left="720" w:hanging="360"/>
      </w:pPr>
    </w:lvl>
    <w:lvl w:ilvl="1">
      <w:start w:val="1"/>
      <w:numFmt w:val="decimal"/>
      <w:lvlText w:val="%1.%2"/>
      <w:lvlJc w:val="left"/>
      <w:pPr>
        <w:ind w:left="750" w:hanging="39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1">
    <w:nsid w:val="50D54CBD"/>
    <w:multiLevelType w:val="multilevel"/>
    <w:tmpl w:val="54A23184"/>
    <w:lvl w:ilvl="0">
      <w:start w:val="1"/>
      <w:numFmt w:val="bullet"/>
      <w:lvlText w:val="●"/>
      <w:lvlJc w:val="left"/>
      <w:pPr>
        <w:ind w:left="720" w:hanging="360"/>
      </w:pPr>
      <w:rPr>
        <w:rFonts w:ascii="Noto Sans Symbols" w:eastAsia="Noto Sans Symbols" w:hAnsi="Noto Sans Symbols" w:cs="Noto Sans Symbols"/>
        <w:b/>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0"/>
    <w:footnote w:id="1"/>
  </w:footnotePr>
  <w:endnotePr>
    <w:endnote w:id="0"/>
    <w:endnote w:id="1"/>
  </w:endnotePr>
  <w:compat/>
  <w:rsids>
    <w:rsidRoot w:val="00EB54AD"/>
    <w:rsid w:val="001620F7"/>
    <w:rsid w:val="00283C68"/>
    <w:rsid w:val="004F0965"/>
    <w:rsid w:val="006621CA"/>
    <w:rsid w:val="006876A9"/>
    <w:rsid w:val="009120DD"/>
    <w:rsid w:val="00B32B03"/>
    <w:rsid w:val="00C01A90"/>
    <w:rsid w:val="00EB54AD"/>
    <w:rsid w:val="00FE7AA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21CA"/>
  </w:style>
  <w:style w:type="paragraph" w:styleId="Heading1">
    <w:name w:val="heading 1"/>
    <w:basedOn w:val="normal0"/>
    <w:next w:val="normal0"/>
    <w:rsid w:val="00EB54AD"/>
    <w:pPr>
      <w:keepNext/>
      <w:keepLines/>
      <w:spacing w:before="240" w:after="0"/>
      <w:outlineLvl w:val="0"/>
    </w:pPr>
    <w:rPr>
      <w:color w:val="2E75B5"/>
      <w:sz w:val="32"/>
      <w:szCs w:val="32"/>
    </w:rPr>
  </w:style>
  <w:style w:type="paragraph" w:styleId="Heading2">
    <w:name w:val="heading 2"/>
    <w:basedOn w:val="normal0"/>
    <w:next w:val="normal0"/>
    <w:rsid w:val="00EB54AD"/>
    <w:pPr>
      <w:keepNext/>
      <w:keepLines/>
      <w:spacing w:before="360" w:after="80"/>
      <w:outlineLvl w:val="1"/>
    </w:pPr>
    <w:rPr>
      <w:b/>
      <w:sz w:val="36"/>
      <w:szCs w:val="36"/>
    </w:rPr>
  </w:style>
  <w:style w:type="paragraph" w:styleId="Heading3">
    <w:name w:val="heading 3"/>
    <w:basedOn w:val="normal0"/>
    <w:next w:val="normal0"/>
    <w:rsid w:val="00EB54AD"/>
    <w:pPr>
      <w:keepNext/>
      <w:keepLines/>
      <w:spacing w:before="280" w:after="80"/>
      <w:outlineLvl w:val="2"/>
    </w:pPr>
    <w:rPr>
      <w:b/>
      <w:sz w:val="28"/>
      <w:szCs w:val="28"/>
    </w:rPr>
  </w:style>
  <w:style w:type="paragraph" w:styleId="Heading4">
    <w:name w:val="heading 4"/>
    <w:basedOn w:val="normal0"/>
    <w:next w:val="normal0"/>
    <w:rsid w:val="00EB54AD"/>
    <w:pPr>
      <w:keepNext/>
      <w:keepLines/>
      <w:spacing w:before="240" w:after="40"/>
      <w:outlineLvl w:val="3"/>
    </w:pPr>
    <w:rPr>
      <w:b/>
      <w:sz w:val="24"/>
      <w:szCs w:val="24"/>
    </w:rPr>
  </w:style>
  <w:style w:type="paragraph" w:styleId="Heading5">
    <w:name w:val="heading 5"/>
    <w:basedOn w:val="normal0"/>
    <w:next w:val="normal0"/>
    <w:rsid w:val="00EB54AD"/>
    <w:pPr>
      <w:keepNext/>
      <w:keepLines/>
      <w:spacing w:before="220" w:after="40"/>
      <w:outlineLvl w:val="4"/>
    </w:pPr>
    <w:rPr>
      <w:b/>
    </w:rPr>
  </w:style>
  <w:style w:type="paragraph" w:styleId="Heading6">
    <w:name w:val="heading 6"/>
    <w:basedOn w:val="normal0"/>
    <w:next w:val="normal0"/>
    <w:rsid w:val="00EB54AD"/>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EB54AD"/>
  </w:style>
  <w:style w:type="paragraph" w:styleId="Title">
    <w:name w:val="Title"/>
    <w:basedOn w:val="normal0"/>
    <w:next w:val="normal0"/>
    <w:rsid w:val="00EB54AD"/>
    <w:pPr>
      <w:keepNext/>
      <w:keepLines/>
      <w:spacing w:before="480" w:after="120"/>
    </w:pPr>
    <w:rPr>
      <w:b/>
      <w:sz w:val="72"/>
      <w:szCs w:val="72"/>
    </w:rPr>
  </w:style>
  <w:style w:type="paragraph" w:styleId="Subtitle">
    <w:name w:val="Subtitle"/>
    <w:basedOn w:val="normal0"/>
    <w:next w:val="normal0"/>
    <w:rsid w:val="00EB54AD"/>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FE7A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7AA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16</Pages>
  <Words>3431</Words>
  <Characters>19560</Characters>
  <Application>Microsoft Office Word</Application>
  <DocSecurity>0</DocSecurity>
  <Lines>163</Lines>
  <Paragraphs>45</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
      <vt:lpstr>Introduction</vt:lpstr>
      <vt:lpstr>The Event Cycle</vt:lpstr>
      <vt:lpstr>Event Concept </vt:lpstr>
      <vt:lpstr>Aims and SMART Objectives</vt:lpstr>
      <vt:lpstr>Event Management	</vt:lpstr>
      <vt:lpstr>    Team Structure and Skill Requirements</vt:lpstr>
      <vt:lpstr>    Operational Planning and Logistics</vt:lpstr>
      <vt:lpstr>    Technology and Event Infrastructure</vt:lpstr>
      <vt:lpstr>    Marketing and Promotion Strategies</vt:lpstr>
      <vt:lpstr>Event Budget</vt:lpstr>
      <vt:lpstr>Industry Trends, Issues and Impacts</vt:lpstr>
      <vt:lpstr>    Sustainability and Localism in Hospitality</vt:lpstr>
      <vt:lpstr>    Post-COVID Recovery and Experience Trends</vt:lpstr>
      <vt:lpstr>    Hybrid Events and Digital Integration</vt:lpstr>
      <vt:lpstr>    Challenges and Risks in the MICE Sector</vt:lpstr>
      <vt:lpstr>Situational and Cultural Considerations</vt:lpstr>
      <vt:lpstr>Recommendations</vt:lpstr>
      <vt:lpstr>Conclusion</vt:lpstr>
      <vt:lpstr>References</vt:lpstr>
    </vt:vector>
  </TitlesOfParts>
  <Company>Grizli777</Company>
  <LinksUpToDate>false</LinksUpToDate>
  <CharactersWithSpaces>22946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4</cp:revision>
  <dcterms:created xsi:type="dcterms:W3CDTF">2025-06-08T19:46:00Z</dcterms:created>
  <dcterms:modified xsi:type="dcterms:W3CDTF">2025-06-11T19:08:00Z</dcterms:modified>
</cp:coreProperties>
</file>