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7BF60" w14:textId="7BD64667" w:rsidR="00DC61C5" w:rsidRPr="00284A92" w:rsidRDefault="00DC61C5" w:rsidP="00284A92">
      <w:pPr>
        <w:spacing w:line="360" w:lineRule="auto"/>
        <w:jc w:val="center"/>
        <w:rPr>
          <w:rFonts w:ascii="Arial" w:hAnsi="Arial" w:cs="Arial"/>
        </w:rPr>
      </w:pPr>
      <w:r w:rsidRPr="00284A92">
        <w:rPr>
          <w:rFonts w:ascii="Arial" w:hAnsi="Arial" w:cs="Arial"/>
          <w:noProof/>
        </w:rPr>
        <w:drawing>
          <wp:inline distT="0" distB="0" distL="0" distR="0" wp14:anchorId="52F34074" wp14:editId="5DF42133">
            <wp:extent cx="2857893" cy="1587581"/>
            <wp:effectExtent l="0" t="0" r="0" b="6350"/>
            <wp:docPr id="1416979084" name="Picture 1" descr="university-of-wales-trinity-saint-david-logo-vector | ESRC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857893" cy="1587581"/>
                    </a:xfrm>
                    <a:prstGeom prst="rect">
                      <a:avLst/>
                    </a:prstGeom>
                    <a:noFill/>
                    <a:ln>
                      <a:noFill/>
                      <a:prstDash/>
                    </a:ln>
                  </pic:spPr>
                </pic:pic>
              </a:graphicData>
            </a:graphic>
          </wp:inline>
        </w:drawing>
      </w:r>
    </w:p>
    <w:p w14:paraId="4975ACD4" w14:textId="77777777" w:rsidR="00DC61C5" w:rsidRPr="00284A92" w:rsidRDefault="00DC61C5" w:rsidP="00284A92">
      <w:pPr>
        <w:spacing w:line="360" w:lineRule="auto"/>
        <w:jc w:val="both"/>
        <w:rPr>
          <w:rFonts w:ascii="Arial" w:hAnsi="Arial" w:cs="Arial"/>
        </w:rPr>
      </w:pPr>
    </w:p>
    <w:p w14:paraId="09F142C4" w14:textId="77777777" w:rsidR="009E6408" w:rsidRPr="00284A92" w:rsidRDefault="009E6408" w:rsidP="00284A92">
      <w:pPr>
        <w:spacing w:line="360" w:lineRule="auto"/>
        <w:jc w:val="both"/>
        <w:rPr>
          <w:rFonts w:ascii="Arial" w:hAnsi="Arial" w:cs="Arial"/>
          <w:b/>
          <w:bCs/>
        </w:rPr>
      </w:pPr>
    </w:p>
    <w:p w14:paraId="42740A85" w14:textId="3201CBB9" w:rsidR="00DC61C5" w:rsidRPr="00284A92" w:rsidRDefault="00DC61C5" w:rsidP="00284A92">
      <w:pPr>
        <w:spacing w:line="360" w:lineRule="auto"/>
        <w:jc w:val="both"/>
        <w:rPr>
          <w:rFonts w:ascii="Arial" w:hAnsi="Arial" w:cs="Arial"/>
        </w:rPr>
      </w:pPr>
      <w:r w:rsidRPr="00284A92">
        <w:rPr>
          <w:rFonts w:ascii="Arial" w:hAnsi="Arial" w:cs="Arial"/>
          <w:b/>
          <w:bCs/>
        </w:rPr>
        <w:t xml:space="preserve">Module Name: </w:t>
      </w:r>
      <w:r w:rsidR="00CA0E37" w:rsidRPr="00284A92">
        <w:rPr>
          <w:rFonts w:ascii="Arial" w:hAnsi="Arial" w:cs="Arial"/>
        </w:rPr>
        <w:t>Problem Solving and Innovation</w:t>
      </w:r>
    </w:p>
    <w:p w14:paraId="78C4716C" w14:textId="00C127B1" w:rsidR="00DC61C5" w:rsidRPr="00284A92" w:rsidRDefault="00DC61C5" w:rsidP="00284A92">
      <w:pPr>
        <w:spacing w:line="360" w:lineRule="auto"/>
        <w:jc w:val="both"/>
        <w:rPr>
          <w:rFonts w:ascii="Arial" w:hAnsi="Arial" w:cs="Arial"/>
          <w:b/>
          <w:bCs/>
        </w:rPr>
      </w:pPr>
      <w:r w:rsidRPr="00284A92">
        <w:rPr>
          <w:rFonts w:ascii="Arial" w:hAnsi="Arial" w:cs="Arial"/>
          <w:b/>
          <w:bCs/>
        </w:rPr>
        <w:t>Module Code:</w:t>
      </w:r>
      <w:r w:rsidR="00CA0E37" w:rsidRPr="00284A92">
        <w:rPr>
          <w:rFonts w:ascii="Arial" w:hAnsi="Arial" w:cs="Arial"/>
          <w:b/>
          <w:bCs/>
        </w:rPr>
        <w:t xml:space="preserve"> </w:t>
      </w:r>
      <w:r w:rsidR="00CA0E37" w:rsidRPr="00284A92">
        <w:rPr>
          <w:rFonts w:ascii="Arial" w:hAnsi="Arial" w:cs="Arial"/>
        </w:rPr>
        <w:t>BMSW4014</w:t>
      </w:r>
    </w:p>
    <w:p w14:paraId="234025A9" w14:textId="4A27EDCE" w:rsidR="00DC61C5" w:rsidRPr="00284A92" w:rsidRDefault="00DC61C5" w:rsidP="00284A92">
      <w:pPr>
        <w:spacing w:line="360" w:lineRule="auto"/>
        <w:jc w:val="both"/>
        <w:rPr>
          <w:rFonts w:ascii="Arial" w:hAnsi="Arial" w:cs="Arial"/>
        </w:rPr>
      </w:pPr>
      <w:r w:rsidRPr="00284A92">
        <w:rPr>
          <w:rFonts w:ascii="Arial" w:hAnsi="Arial" w:cs="Arial"/>
          <w:b/>
          <w:bCs/>
        </w:rPr>
        <w:t>Assignment Name:</w:t>
      </w:r>
      <w:r w:rsidR="00CA0E37" w:rsidRPr="00284A92">
        <w:rPr>
          <w:rFonts w:ascii="Arial" w:hAnsi="Arial" w:cs="Arial"/>
          <w:b/>
          <w:bCs/>
        </w:rPr>
        <w:t xml:space="preserve"> </w:t>
      </w:r>
      <w:r w:rsidR="00BE0AD0" w:rsidRPr="00284A92">
        <w:rPr>
          <w:rFonts w:ascii="Arial" w:hAnsi="Arial" w:cs="Arial"/>
        </w:rPr>
        <w:t>Understanding the Business Environment of the UK EV Industry</w:t>
      </w:r>
    </w:p>
    <w:p w14:paraId="6EF18DBF" w14:textId="0A56661E" w:rsidR="00DC61C5" w:rsidRPr="00284A92" w:rsidRDefault="00DC61C5" w:rsidP="00284A92">
      <w:pPr>
        <w:spacing w:line="360" w:lineRule="auto"/>
        <w:jc w:val="both"/>
        <w:rPr>
          <w:rFonts w:ascii="Arial" w:hAnsi="Arial" w:cs="Arial"/>
        </w:rPr>
      </w:pPr>
      <w:r w:rsidRPr="00284A92">
        <w:rPr>
          <w:rFonts w:ascii="Arial" w:hAnsi="Arial" w:cs="Arial"/>
          <w:b/>
          <w:bCs/>
        </w:rPr>
        <w:t>Student Name:</w:t>
      </w:r>
      <w:r w:rsidR="00BE0AD0" w:rsidRPr="00284A92">
        <w:rPr>
          <w:rFonts w:ascii="Arial" w:hAnsi="Arial" w:cs="Arial"/>
          <w:b/>
          <w:bCs/>
        </w:rPr>
        <w:t xml:space="preserve"> </w:t>
      </w:r>
      <w:r w:rsidR="00020C1C" w:rsidRPr="00284A92">
        <w:rPr>
          <w:rFonts w:ascii="Arial" w:hAnsi="Arial" w:cs="Arial"/>
        </w:rPr>
        <w:t>Devi Raju</w:t>
      </w:r>
    </w:p>
    <w:p w14:paraId="43D7D1EC" w14:textId="74A1A22B" w:rsidR="00DC61C5" w:rsidRPr="00284A92" w:rsidRDefault="00DC61C5" w:rsidP="00284A92">
      <w:pPr>
        <w:spacing w:line="360" w:lineRule="auto"/>
        <w:jc w:val="both"/>
        <w:rPr>
          <w:rFonts w:ascii="Arial" w:hAnsi="Arial" w:cs="Arial"/>
          <w:b/>
          <w:bCs/>
        </w:rPr>
      </w:pPr>
      <w:r w:rsidRPr="00284A92">
        <w:rPr>
          <w:rFonts w:ascii="Arial" w:hAnsi="Arial" w:cs="Arial"/>
          <w:b/>
          <w:bCs/>
        </w:rPr>
        <w:t>Student Number:</w:t>
      </w:r>
      <w:r w:rsidR="00020C1C" w:rsidRPr="00284A92">
        <w:rPr>
          <w:rFonts w:ascii="Arial" w:hAnsi="Arial" w:cs="Arial"/>
          <w:b/>
          <w:bCs/>
        </w:rPr>
        <w:t xml:space="preserve"> </w:t>
      </w:r>
      <w:r w:rsidR="00020C1C" w:rsidRPr="00284A92">
        <w:rPr>
          <w:rFonts w:ascii="Arial" w:hAnsi="Arial" w:cs="Arial"/>
        </w:rPr>
        <w:t>2435195</w:t>
      </w:r>
    </w:p>
    <w:p w14:paraId="499D1630" w14:textId="470EBB39" w:rsidR="00DC61C5" w:rsidRPr="00284A92" w:rsidRDefault="00DC61C5" w:rsidP="00284A92">
      <w:pPr>
        <w:spacing w:line="360" w:lineRule="auto"/>
        <w:jc w:val="both"/>
        <w:rPr>
          <w:rFonts w:ascii="Arial" w:hAnsi="Arial" w:cs="Arial"/>
          <w:b/>
          <w:bCs/>
        </w:rPr>
      </w:pPr>
      <w:r w:rsidRPr="00284A92">
        <w:rPr>
          <w:rFonts w:ascii="Arial" w:hAnsi="Arial" w:cs="Arial"/>
          <w:b/>
          <w:bCs/>
        </w:rPr>
        <w:t>Lecturer:</w:t>
      </w:r>
      <w:r w:rsidR="00020C1C" w:rsidRPr="00284A92">
        <w:rPr>
          <w:rFonts w:ascii="Arial" w:hAnsi="Arial" w:cs="Arial"/>
          <w:b/>
          <w:bCs/>
        </w:rPr>
        <w:t xml:space="preserve"> </w:t>
      </w:r>
      <w:proofErr w:type="spellStart"/>
      <w:r w:rsidR="00020C1C" w:rsidRPr="00284A92">
        <w:rPr>
          <w:rFonts w:ascii="Arial" w:hAnsi="Arial" w:cs="Arial"/>
        </w:rPr>
        <w:t>Arpu</w:t>
      </w:r>
      <w:proofErr w:type="spellEnd"/>
      <w:r w:rsidR="00020C1C" w:rsidRPr="00284A92">
        <w:rPr>
          <w:rFonts w:ascii="Arial" w:hAnsi="Arial" w:cs="Arial"/>
        </w:rPr>
        <w:t xml:space="preserve"> Kumar</w:t>
      </w:r>
    </w:p>
    <w:p w14:paraId="2A6905E8" w14:textId="0E3B972A" w:rsidR="00DC61C5" w:rsidRPr="00284A92" w:rsidRDefault="00DC61C5" w:rsidP="00284A92">
      <w:pPr>
        <w:spacing w:line="360" w:lineRule="auto"/>
        <w:jc w:val="both"/>
        <w:rPr>
          <w:rFonts w:ascii="Arial" w:hAnsi="Arial" w:cs="Arial"/>
        </w:rPr>
      </w:pPr>
      <w:r w:rsidRPr="00284A92">
        <w:rPr>
          <w:rFonts w:ascii="Arial" w:hAnsi="Arial" w:cs="Arial"/>
          <w:b/>
          <w:bCs/>
        </w:rPr>
        <w:t>Deadline:</w:t>
      </w:r>
      <w:r w:rsidR="00020C1C" w:rsidRPr="00284A92">
        <w:rPr>
          <w:rFonts w:ascii="Arial" w:hAnsi="Arial" w:cs="Arial"/>
          <w:b/>
          <w:bCs/>
        </w:rPr>
        <w:t xml:space="preserve"> </w:t>
      </w:r>
      <w:r w:rsidR="0011200A" w:rsidRPr="00284A92">
        <w:rPr>
          <w:rFonts w:ascii="Arial" w:hAnsi="Arial" w:cs="Arial"/>
        </w:rPr>
        <w:t>5</w:t>
      </w:r>
      <w:r w:rsidR="0011200A" w:rsidRPr="00284A92">
        <w:rPr>
          <w:rFonts w:ascii="Arial" w:hAnsi="Arial" w:cs="Arial"/>
          <w:vertAlign w:val="superscript"/>
        </w:rPr>
        <w:t>th</w:t>
      </w:r>
      <w:r w:rsidR="0011200A" w:rsidRPr="00284A92">
        <w:rPr>
          <w:rFonts w:ascii="Arial" w:hAnsi="Arial" w:cs="Arial"/>
        </w:rPr>
        <w:t xml:space="preserve"> December 2025</w:t>
      </w:r>
    </w:p>
    <w:p w14:paraId="1A14604A" w14:textId="46468074" w:rsidR="00DC61C5" w:rsidRPr="00284A92" w:rsidRDefault="00DC61C5" w:rsidP="00284A92">
      <w:pPr>
        <w:spacing w:line="360" w:lineRule="auto"/>
        <w:jc w:val="both"/>
        <w:rPr>
          <w:rFonts w:ascii="Arial" w:hAnsi="Arial" w:cs="Arial"/>
          <w:b/>
          <w:bCs/>
        </w:rPr>
      </w:pPr>
      <w:r w:rsidRPr="00284A92">
        <w:rPr>
          <w:rFonts w:ascii="Arial" w:hAnsi="Arial" w:cs="Arial"/>
          <w:b/>
          <w:bCs/>
        </w:rPr>
        <w:t>Word Count:</w:t>
      </w:r>
      <w:r w:rsidR="0044227D" w:rsidRPr="00284A92">
        <w:rPr>
          <w:rFonts w:ascii="Arial" w:hAnsi="Arial" w:cs="Arial"/>
          <w:b/>
          <w:bCs/>
        </w:rPr>
        <w:t xml:space="preserve"> </w:t>
      </w:r>
    </w:p>
    <w:p w14:paraId="1ABEA38B" w14:textId="77777777" w:rsidR="00DC61C5" w:rsidRPr="00284A92" w:rsidRDefault="00DC61C5" w:rsidP="00284A92">
      <w:pPr>
        <w:spacing w:line="360" w:lineRule="auto"/>
        <w:jc w:val="both"/>
        <w:rPr>
          <w:rFonts w:ascii="Arial" w:hAnsi="Arial" w:cs="Arial"/>
        </w:rPr>
      </w:pPr>
    </w:p>
    <w:p w14:paraId="1E94C8DD" w14:textId="77777777" w:rsidR="00DC61C5" w:rsidRPr="00284A92" w:rsidRDefault="00DC61C5" w:rsidP="00284A92">
      <w:pPr>
        <w:spacing w:line="360" w:lineRule="auto"/>
        <w:jc w:val="both"/>
        <w:rPr>
          <w:rFonts w:ascii="Arial" w:hAnsi="Arial" w:cs="Arial"/>
        </w:rPr>
      </w:pPr>
    </w:p>
    <w:p w14:paraId="4CEA970F" w14:textId="77777777" w:rsidR="00DC61C5" w:rsidRPr="00284A92" w:rsidRDefault="00DC61C5" w:rsidP="00284A92">
      <w:pPr>
        <w:spacing w:line="360" w:lineRule="auto"/>
        <w:jc w:val="both"/>
        <w:rPr>
          <w:rFonts w:ascii="Arial" w:hAnsi="Arial" w:cs="Arial"/>
        </w:rPr>
      </w:pPr>
    </w:p>
    <w:p w14:paraId="5EB1ECF2" w14:textId="77777777" w:rsidR="00DC61C5" w:rsidRPr="00284A92" w:rsidRDefault="00DC61C5" w:rsidP="00284A92">
      <w:pPr>
        <w:spacing w:line="360" w:lineRule="auto"/>
        <w:jc w:val="both"/>
        <w:rPr>
          <w:rFonts w:ascii="Arial" w:hAnsi="Arial" w:cs="Arial"/>
        </w:rPr>
      </w:pPr>
    </w:p>
    <w:p w14:paraId="6ADBD93A" w14:textId="77777777" w:rsidR="00DC61C5" w:rsidRPr="00284A92" w:rsidRDefault="00DC61C5" w:rsidP="00284A92">
      <w:pPr>
        <w:spacing w:line="360" w:lineRule="auto"/>
        <w:jc w:val="both"/>
        <w:rPr>
          <w:rFonts w:ascii="Arial" w:hAnsi="Arial" w:cs="Arial"/>
        </w:rPr>
      </w:pPr>
    </w:p>
    <w:p w14:paraId="0F2973B2" w14:textId="77777777" w:rsidR="00DC61C5" w:rsidRPr="00284A92" w:rsidRDefault="00DC61C5" w:rsidP="00284A92">
      <w:pPr>
        <w:spacing w:line="360" w:lineRule="auto"/>
        <w:jc w:val="both"/>
        <w:rPr>
          <w:rFonts w:ascii="Arial" w:hAnsi="Arial" w:cs="Arial"/>
        </w:rPr>
      </w:pPr>
    </w:p>
    <w:p w14:paraId="528CB261" w14:textId="77777777" w:rsidR="00DC61C5" w:rsidRPr="00284A92" w:rsidRDefault="00DC61C5" w:rsidP="00284A92">
      <w:pPr>
        <w:spacing w:line="360" w:lineRule="auto"/>
        <w:jc w:val="both"/>
        <w:rPr>
          <w:rFonts w:ascii="Arial" w:hAnsi="Arial" w:cs="Arial"/>
        </w:rPr>
      </w:pPr>
    </w:p>
    <w:p w14:paraId="60B87299" w14:textId="77777777" w:rsidR="009E6408" w:rsidRPr="00284A92" w:rsidRDefault="009E6408" w:rsidP="00284A92">
      <w:pPr>
        <w:spacing w:line="360" w:lineRule="auto"/>
        <w:jc w:val="both"/>
        <w:rPr>
          <w:rFonts w:ascii="Arial" w:hAnsi="Arial" w:cs="Arial"/>
          <w:b/>
          <w:bCs/>
          <w:u w:val="single"/>
        </w:rPr>
      </w:pPr>
    </w:p>
    <w:p w14:paraId="75AF7F37" w14:textId="77777777" w:rsidR="009E6408" w:rsidRPr="00284A92" w:rsidRDefault="009E6408" w:rsidP="00284A92">
      <w:pPr>
        <w:spacing w:line="360" w:lineRule="auto"/>
        <w:jc w:val="both"/>
        <w:rPr>
          <w:rFonts w:ascii="Arial" w:hAnsi="Arial" w:cs="Arial"/>
          <w:b/>
          <w:bCs/>
          <w:u w:val="single"/>
        </w:rPr>
      </w:pPr>
    </w:p>
    <w:p w14:paraId="7AA421AE" w14:textId="1F114C79" w:rsidR="00DC61C5" w:rsidRPr="00284A92" w:rsidRDefault="00DC61C5" w:rsidP="00284A92">
      <w:pPr>
        <w:spacing w:line="360" w:lineRule="auto"/>
        <w:jc w:val="both"/>
        <w:rPr>
          <w:rFonts w:ascii="Arial" w:hAnsi="Arial" w:cs="Arial"/>
          <w:b/>
          <w:bCs/>
          <w:u w:val="single"/>
        </w:rPr>
      </w:pPr>
      <w:r w:rsidRPr="00284A92">
        <w:rPr>
          <w:rFonts w:ascii="Arial" w:hAnsi="Arial" w:cs="Arial"/>
          <w:b/>
          <w:bCs/>
          <w:u w:val="single"/>
        </w:rPr>
        <w:t>AI Acknowledgement:</w:t>
      </w:r>
    </w:p>
    <w:p w14:paraId="05AD0660" w14:textId="77777777" w:rsidR="00DC61C5" w:rsidRPr="00284A92" w:rsidRDefault="00DC61C5" w:rsidP="00284A92">
      <w:pPr>
        <w:spacing w:line="360" w:lineRule="auto"/>
        <w:jc w:val="both"/>
        <w:rPr>
          <w:rFonts w:ascii="Arial" w:hAnsi="Arial" w:cs="Arial"/>
        </w:rPr>
      </w:pPr>
      <w:r w:rsidRPr="00284A92">
        <w:rPr>
          <w:rFonts w:ascii="Arial" w:hAnsi="Arial" w:cs="Arial"/>
        </w:rPr>
        <w:t>I confirm that I have not presented any AI generated materials as my own work.</w:t>
      </w:r>
    </w:p>
    <w:p w14:paraId="11620C1D" w14:textId="77777777" w:rsidR="00371EFB" w:rsidRPr="00284A92" w:rsidRDefault="00DC61C5" w:rsidP="00284A92">
      <w:pPr>
        <w:spacing w:line="360" w:lineRule="auto"/>
        <w:jc w:val="both"/>
        <w:rPr>
          <w:rFonts w:ascii="Arial" w:hAnsi="Arial" w:cs="Arial"/>
        </w:rPr>
      </w:pPr>
      <w:r w:rsidRPr="00284A92">
        <w:rPr>
          <w:rFonts w:ascii="Arial" w:hAnsi="Arial" w:cs="Arial"/>
        </w:rPr>
        <w:t>I confirm that I have copies of my drafts, notes, and other resources I used, which I may be asked to prove in evidence.</w:t>
      </w:r>
    </w:p>
    <w:p w14:paraId="78A9A10C" w14:textId="77777777" w:rsidR="00371EFB" w:rsidRPr="00284A92" w:rsidRDefault="00371EFB" w:rsidP="00284A92">
      <w:pPr>
        <w:spacing w:line="360" w:lineRule="auto"/>
        <w:jc w:val="both"/>
        <w:rPr>
          <w:rFonts w:ascii="Arial" w:hAnsi="Arial" w:cs="Arial"/>
        </w:rPr>
      </w:pPr>
    </w:p>
    <w:p w14:paraId="37FF8045" w14:textId="77777777" w:rsidR="00371EFB" w:rsidRPr="00284A92" w:rsidRDefault="00371EFB" w:rsidP="00284A92">
      <w:pPr>
        <w:spacing w:line="360" w:lineRule="auto"/>
        <w:jc w:val="both"/>
        <w:rPr>
          <w:rFonts w:ascii="Arial" w:hAnsi="Arial" w:cs="Arial"/>
        </w:rPr>
      </w:pPr>
    </w:p>
    <w:p w14:paraId="7B9E340C" w14:textId="77777777" w:rsidR="00371EFB" w:rsidRPr="00284A92" w:rsidRDefault="00371EFB" w:rsidP="00284A92">
      <w:pPr>
        <w:spacing w:line="360" w:lineRule="auto"/>
        <w:jc w:val="both"/>
        <w:rPr>
          <w:rFonts w:ascii="Arial" w:hAnsi="Arial" w:cs="Arial"/>
        </w:rPr>
      </w:pPr>
    </w:p>
    <w:p w14:paraId="47A7CA08" w14:textId="77777777" w:rsidR="00371EFB" w:rsidRPr="00284A92" w:rsidRDefault="00371EFB" w:rsidP="00284A92">
      <w:pPr>
        <w:spacing w:line="360" w:lineRule="auto"/>
        <w:jc w:val="both"/>
        <w:rPr>
          <w:rFonts w:ascii="Arial" w:hAnsi="Arial" w:cs="Arial"/>
        </w:rPr>
      </w:pPr>
    </w:p>
    <w:p w14:paraId="5BDA7EDA" w14:textId="77777777" w:rsidR="00371EFB" w:rsidRPr="00284A92" w:rsidRDefault="00371EFB" w:rsidP="00284A92">
      <w:pPr>
        <w:spacing w:line="360" w:lineRule="auto"/>
        <w:jc w:val="both"/>
        <w:rPr>
          <w:rFonts w:ascii="Arial" w:hAnsi="Arial" w:cs="Arial"/>
        </w:rPr>
      </w:pPr>
    </w:p>
    <w:p w14:paraId="303DF806" w14:textId="77777777" w:rsidR="00371EFB" w:rsidRPr="00284A92" w:rsidRDefault="00371EFB" w:rsidP="00284A92">
      <w:pPr>
        <w:spacing w:line="360" w:lineRule="auto"/>
        <w:jc w:val="both"/>
        <w:rPr>
          <w:rFonts w:ascii="Arial" w:hAnsi="Arial" w:cs="Arial"/>
        </w:rPr>
      </w:pPr>
    </w:p>
    <w:p w14:paraId="1F8EA90C" w14:textId="77777777" w:rsidR="00371EFB" w:rsidRPr="00284A92" w:rsidRDefault="00371EFB" w:rsidP="00284A92">
      <w:pPr>
        <w:spacing w:line="360" w:lineRule="auto"/>
        <w:jc w:val="both"/>
        <w:rPr>
          <w:rFonts w:ascii="Arial" w:hAnsi="Arial" w:cs="Arial"/>
        </w:rPr>
      </w:pPr>
    </w:p>
    <w:p w14:paraId="4837EA39" w14:textId="77777777" w:rsidR="00371EFB" w:rsidRPr="00284A92" w:rsidRDefault="00371EFB" w:rsidP="00284A92">
      <w:pPr>
        <w:spacing w:line="360" w:lineRule="auto"/>
        <w:jc w:val="both"/>
        <w:rPr>
          <w:rFonts w:ascii="Arial" w:hAnsi="Arial" w:cs="Arial"/>
        </w:rPr>
      </w:pPr>
    </w:p>
    <w:p w14:paraId="3095D877" w14:textId="77777777" w:rsidR="00371EFB" w:rsidRPr="00284A92" w:rsidRDefault="00371EFB" w:rsidP="00284A92">
      <w:pPr>
        <w:spacing w:line="360" w:lineRule="auto"/>
        <w:jc w:val="both"/>
        <w:rPr>
          <w:rFonts w:ascii="Arial" w:hAnsi="Arial" w:cs="Arial"/>
        </w:rPr>
      </w:pPr>
    </w:p>
    <w:p w14:paraId="6D1A9F94" w14:textId="77777777" w:rsidR="00371EFB" w:rsidRPr="00284A92" w:rsidRDefault="00371EFB" w:rsidP="00284A92">
      <w:pPr>
        <w:spacing w:line="360" w:lineRule="auto"/>
        <w:jc w:val="both"/>
        <w:rPr>
          <w:rFonts w:ascii="Arial" w:hAnsi="Arial" w:cs="Arial"/>
        </w:rPr>
      </w:pPr>
    </w:p>
    <w:p w14:paraId="1D22E332" w14:textId="77777777" w:rsidR="00371EFB" w:rsidRPr="00284A92" w:rsidRDefault="00371EFB" w:rsidP="00284A92">
      <w:pPr>
        <w:spacing w:line="360" w:lineRule="auto"/>
        <w:jc w:val="both"/>
        <w:rPr>
          <w:rFonts w:ascii="Arial" w:hAnsi="Arial" w:cs="Arial"/>
        </w:rPr>
      </w:pPr>
    </w:p>
    <w:p w14:paraId="7094038C" w14:textId="77777777" w:rsidR="00371EFB" w:rsidRPr="00284A92" w:rsidRDefault="00371EFB" w:rsidP="00284A92">
      <w:pPr>
        <w:spacing w:line="360" w:lineRule="auto"/>
        <w:jc w:val="both"/>
        <w:rPr>
          <w:rFonts w:ascii="Arial" w:hAnsi="Arial" w:cs="Arial"/>
        </w:rPr>
      </w:pPr>
    </w:p>
    <w:p w14:paraId="68B22602" w14:textId="77777777" w:rsidR="00371EFB" w:rsidRPr="00284A92" w:rsidRDefault="00371EFB" w:rsidP="00284A92">
      <w:pPr>
        <w:spacing w:line="360" w:lineRule="auto"/>
        <w:jc w:val="both"/>
        <w:rPr>
          <w:rFonts w:ascii="Arial" w:hAnsi="Arial" w:cs="Arial"/>
        </w:rPr>
      </w:pPr>
    </w:p>
    <w:p w14:paraId="7ACAFEAF" w14:textId="77777777" w:rsidR="00371EFB" w:rsidRPr="00284A92" w:rsidRDefault="00371EFB" w:rsidP="00284A92">
      <w:pPr>
        <w:spacing w:line="360" w:lineRule="auto"/>
        <w:jc w:val="both"/>
        <w:rPr>
          <w:rFonts w:ascii="Arial" w:hAnsi="Arial" w:cs="Arial"/>
        </w:rPr>
      </w:pPr>
    </w:p>
    <w:p w14:paraId="1246985F" w14:textId="77777777" w:rsidR="00371EFB" w:rsidRPr="00284A92" w:rsidRDefault="00371EFB" w:rsidP="00284A92">
      <w:pPr>
        <w:spacing w:line="360" w:lineRule="auto"/>
        <w:jc w:val="both"/>
        <w:rPr>
          <w:rFonts w:ascii="Arial" w:hAnsi="Arial" w:cs="Arial"/>
        </w:rPr>
      </w:pPr>
    </w:p>
    <w:p w14:paraId="5659A135" w14:textId="77777777" w:rsidR="00371EFB" w:rsidRPr="00284A92" w:rsidRDefault="00371EFB" w:rsidP="00284A92">
      <w:pPr>
        <w:spacing w:line="360" w:lineRule="auto"/>
        <w:jc w:val="both"/>
        <w:rPr>
          <w:rFonts w:ascii="Arial" w:hAnsi="Arial" w:cs="Arial"/>
        </w:rPr>
      </w:pPr>
    </w:p>
    <w:p w14:paraId="1EA93625" w14:textId="77777777" w:rsidR="00371EFB" w:rsidRPr="00284A92" w:rsidRDefault="00371EFB" w:rsidP="00284A92">
      <w:pPr>
        <w:spacing w:line="360" w:lineRule="auto"/>
        <w:jc w:val="both"/>
        <w:rPr>
          <w:rFonts w:ascii="Arial" w:hAnsi="Arial" w:cs="Arial"/>
        </w:rPr>
      </w:pPr>
    </w:p>
    <w:p w14:paraId="70564E30" w14:textId="77777777" w:rsidR="00371EFB" w:rsidRPr="00284A92" w:rsidRDefault="00371EFB" w:rsidP="00284A92">
      <w:pPr>
        <w:spacing w:line="360" w:lineRule="auto"/>
        <w:jc w:val="both"/>
        <w:rPr>
          <w:rFonts w:ascii="Arial" w:hAnsi="Arial" w:cs="Arial"/>
        </w:rPr>
      </w:pPr>
    </w:p>
    <w:p w14:paraId="0A0CBF17" w14:textId="77777777" w:rsidR="00371EFB" w:rsidRPr="00284A92" w:rsidRDefault="00371EFB" w:rsidP="00284A92">
      <w:pPr>
        <w:spacing w:line="360" w:lineRule="auto"/>
        <w:jc w:val="both"/>
        <w:rPr>
          <w:rFonts w:ascii="Arial" w:hAnsi="Arial" w:cs="Arial"/>
        </w:rPr>
      </w:pPr>
    </w:p>
    <w:p w14:paraId="070D3022" w14:textId="77777777" w:rsidR="00787FA6" w:rsidRPr="00284A92" w:rsidRDefault="00787FA6" w:rsidP="00284A92">
      <w:pPr>
        <w:spacing w:line="360" w:lineRule="auto"/>
        <w:jc w:val="both"/>
        <w:rPr>
          <w:rFonts w:ascii="Arial" w:hAnsi="Arial" w:cs="Arial"/>
          <w:b/>
          <w:bCs/>
          <w:u w:val="single"/>
        </w:rPr>
      </w:pPr>
    </w:p>
    <w:p w14:paraId="27E6C457" w14:textId="77777777" w:rsidR="00787FA6" w:rsidRPr="00284A92" w:rsidRDefault="00787FA6" w:rsidP="00284A92">
      <w:pPr>
        <w:spacing w:line="360" w:lineRule="auto"/>
        <w:jc w:val="both"/>
        <w:rPr>
          <w:rFonts w:ascii="Arial" w:hAnsi="Arial" w:cs="Arial"/>
          <w:b/>
          <w:bCs/>
          <w:u w:val="single"/>
        </w:rPr>
      </w:pPr>
    </w:p>
    <w:p w14:paraId="5A264301" w14:textId="1FFC2A12" w:rsidR="00AA6604" w:rsidRPr="00284A92" w:rsidRDefault="00AA6604" w:rsidP="00284A92">
      <w:pPr>
        <w:spacing w:line="360" w:lineRule="auto"/>
        <w:jc w:val="center"/>
        <w:rPr>
          <w:rFonts w:ascii="Arial" w:hAnsi="Arial" w:cs="Arial"/>
        </w:rPr>
      </w:pPr>
      <w:r w:rsidRPr="00284A92">
        <w:rPr>
          <w:rFonts w:ascii="Arial" w:hAnsi="Arial" w:cs="Arial"/>
          <w:b/>
          <w:bCs/>
          <w:u w:val="single"/>
        </w:rPr>
        <w:t>Understanding the Business Environment of the UK EV Industry</w:t>
      </w:r>
    </w:p>
    <w:p w14:paraId="08E55D93" w14:textId="77777777" w:rsidR="00AA6604" w:rsidRPr="00284A92" w:rsidRDefault="00AA6604" w:rsidP="00284A92">
      <w:pPr>
        <w:spacing w:line="360" w:lineRule="auto"/>
        <w:jc w:val="both"/>
        <w:rPr>
          <w:rFonts w:ascii="Arial" w:eastAsia="Times New Roman" w:hAnsi="Arial" w:cs="Arial"/>
          <w:b/>
          <w:bCs/>
          <w:kern w:val="0"/>
          <w:lang w:eastAsia="en-GB"/>
        </w:rPr>
      </w:pPr>
      <w:r w:rsidRPr="00284A92">
        <w:rPr>
          <w:rFonts w:ascii="Arial" w:hAnsi="Arial" w:cs="Arial"/>
          <w:b/>
          <w:bCs/>
        </w:rPr>
        <w:t>Introduction:</w:t>
      </w:r>
      <w:r w:rsidRPr="00284A92">
        <w:rPr>
          <w:rFonts w:ascii="Arial" w:eastAsia="Times New Roman" w:hAnsi="Arial" w:cs="Arial"/>
          <w:b/>
          <w:bCs/>
          <w:kern w:val="0"/>
          <w:lang w:eastAsia="en-GB"/>
        </w:rPr>
        <w:t xml:space="preserve"> </w:t>
      </w:r>
    </w:p>
    <w:p w14:paraId="62438C91" w14:textId="77777777"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The UK electric vehicle (EV) industry has grown at a remarkable pace over the past decade. This growth has been fuelled by advances in technology, rising public concern about the environment, and government efforts to cut carbon emissions. More drivers are choosing EVS has manufacturers release models that are more affordable, offer longer ranges and benefits from your steadily involving charging network. The sector also presents important economic opportunities, including the expansion of battery production within the UK to strengthen its position as a leader in sustainable transport. Innovation continues the industry, particularly in areas such as smart charging renewable energy integration, and connected vehicle technologies.</w:t>
      </w:r>
    </w:p>
    <w:p w14:paraId="54749168" w14:textId="77777777"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However, the sector also faces challenges that could slow its progress. High purchase prices remain a barrier for many consumers and access to reliable charging infrastructure is still uneven across the country. Global supply chain issues, especially those affecting battery materials, and a further uncertainty. In addition, changes in government policy and increasing competition from overseas manufacturers, some of whom are producing lawyers cost EV’s, contribute to a complex and uncertain operating environment. These issues underlying the importance of addressing the external factors that are influencing in the industry’s development.</w:t>
      </w:r>
    </w:p>
    <w:p w14:paraId="16FB30DB" w14:textId="77777777" w:rsidR="00AA6604" w:rsidRPr="00284A92" w:rsidRDefault="00AA6604" w:rsidP="00284A92">
      <w:pPr>
        <w:spacing w:line="360" w:lineRule="auto"/>
        <w:jc w:val="both"/>
        <w:rPr>
          <w:rFonts w:ascii="Arial" w:eastAsia="Times New Roman" w:hAnsi="Arial" w:cs="Arial"/>
          <w:b/>
          <w:bCs/>
          <w:kern w:val="0"/>
          <w:lang w:eastAsia="en-GB"/>
        </w:rPr>
      </w:pPr>
      <w:r w:rsidRPr="00284A92">
        <w:rPr>
          <w:rFonts w:ascii="Arial" w:eastAsia="Times New Roman" w:hAnsi="Arial" w:cs="Arial"/>
          <w:b/>
          <w:bCs/>
          <w:kern w:val="0"/>
          <w:lang w:eastAsia="en-GB"/>
        </w:rPr>
        <w:t>Current situation after UK electric vehicle (EV) industry: Growth, Opportunities, Innovation and Key challenges:</w:t>
      </w:r>
    </w:p>
    <w:p w14:paraId="3D8DEE84" w14:textId="77777777"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noProof/>
          <w:kern w:val="0"/>
          <w:lang w:eastAsia="en-GB"/>
        </w:rPr>
        <w:drawing>
          <wp:anchor distT="0" distB="0" distL="114300" distR="114300" simplePos="0" relativeHeight="251659264" behindDoc="1" locked="0" layoutInCell="1" allowOverlap="1" wp14:anchorId="3F5FBA88" wp14:editId="239E3627">
            <wp:simplePos x="0" y="0"/>
            <wp:positionH relativeFrom="column">
              <wp:posOffset>4297680</wp:posOffset>
            </wp:positionH>
            <wp:positionV relativeFrom="paragraph">
              <wp:posOffset>1287145</wp:posOffset>
            </wp:positionV>
            <wp:extent cx="2057400" cy="1543050"/>
            <wp:effectExtent l="0" t="0" r="0" b="0"/>
            <wp:wrapTight wrapText="bothSides">
              <wp:wrapPolygon edited="0">
                <wp:start x="0" y="0"/>
                <wp:lineTo x="0" y="21333"/>
                <wp:lineTo x="21400" y="21333"/>
                <wp:lineTo x="21400" y="0"/>
                <wp:lineTo x="0" y="0"/>
              </wp:wrapPolygon>
            </wp:wrapTight>
            <wp:docPr id="716425076" name="Picture 7" descr="A graph showing the price of electric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25076" name="Picture 7" descr="A graph showing the price of electric vehic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57400" cy="1543050"/>
                    </a:xfrm>
                    <a:prstGeom prst="rect">
                      <a:avLst/>
                    </a:prstGeom>
                    <a:noFill/>
                  </pic:spPr>
                </pic:pic>
              </a:graphicData>
            </a:graphic>
            <wp14:sizeRelH relativeFrom="margin">
              <wp14:pctWidth>0</wp14:pctWidth>
            </wp14:sizeRelH>
            <wp14:sizeRelV relativeFrom="margin">
              <wp14:pctHeight>0</wp14:pctHeight>
            </wp14:sizeRelV>
          </wp:anchor>
        </w:drawing>
      </w:r>
      <w:r w:rsidRPr="00284A92">
        <w:rPr>
          <w:rFonts w:ascii="Arial" w:eastAsia="Times New Roman" w:hAnsi="Arial" w:cs="Arial"/>
          <w:kern w:val="0"/>
          <w:lang w:eastAsia="en-GB"/>
        </w:rPr>
        <w:t>The UK electric vehicle industry has grown rapidly in recent years since supported by increasing public concern about climate change and the continued government efforts to cut carbon emissions. According to Hill et al. (2019) the emphasise that electric vehicles are key to reducing emissions and helping the UK meet its carbon budget. Sales of battery electric vehicles (BEVs) have rising steadily, with the more drivers showing confidence in the technology as charging infrastructure expands and manufacturers introduce a wide range of models. According to Wellings et al. (2021), multiple factors influence the EV market and will shape its future development. Major automotive companies are investing heavily in EV production, signalling a clear move away from traditional internal combustion engine vehicles. Although charging facilities have improved access remains uneven, with the rural areas developing more slowly than major towns and cities. As a result, the industry is shifting towards mainstream adoption, but progress is still influenced by economic pressures and policy decisions.</w:t>
      </w:r>
    </w:p>
    <w:p w14:paraId="09041732" w14:textId="77777777"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Growth brings substantial opportunities. According to Sathiyan et al. (2022), the development and deployment of EVs, along with supportive policies present both opportunities and challenges for reducing greenhouse gas emissions. The development of domestic battery manufacturing, including planned Giga factories could reduce reliance on imported components and create new, high skilled jobs. There is also significant potential for innovation in renewable energy integration, smart charging and Vehicle to grit (V2G) systems, all of which could strengthen the U.K.’s position in the global green transport market. The country strong research base in engineering and battery technology further increases its ability to attract international investment. According to Zaino et al. (2024), EV adoption is affected by a combination of technological, environmental, organisational and policy factors. In addition, related services such as EV leasing, recycling, mobility platforms and after sales support offer opportunities for diversification across the wider automotive sectors.</w:t>
      </w:r>
      <w:r w:rsidRPr="00284A92">
        <w:rPr>
          <w:rFonts w:ascii="Arial" w:hAnsi="Arial" w:cs="Arial"/>
        </w:rPr>
        <w:t xml:space="preserve"> </w:t>
      </w:r>
      <w:r w:rsidRPr="00284A92">
        <w:rPr>
          <w:rFonts w:ascii="Arial" w:hAnsi="Arial" w:cs="Arial"/>
          <w:noProof/>
        </w:rPr>
        <w:drawing>
          <wp:inline distT="0" distB="0" distL="0" distR="0" wp14:anchorId="1671BD93" wp14:editId="07902A06">
            <wp:extent cx="5731510" cy="2780030"/>
            <wp:effectExtent l="0" t="0" r="2540" b="1270"/>
            <wp:docPr id="172040377" name="Picture 5" descr="A diagram of a car shar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0377" name="Picture 5" descr="A diagram of a car sharing system&#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80030"/>
                    </a:xfrm>
                    <a:prstGeom prst="rect">
                      <a:avLst/>
                    </a:prstGeom>
                    <a:noFill/>
                    <a:ln>
                      <a:noFill/>
                    </a:ln>
                  </pic:spPr>
                </pic:pic>
              </a:graphicData>
            </a:graphic>
          </wp:inline>
        </w:drawing>
      </w:r>
    </w:p>
    <w:p w14:paraId="7CFA9973" w14:textId="6FAFB6A4"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Innovation continues to drive progress across the industry. Advances in battery chemistry, improved energy density, and the faster charging speeds are helping to reduce range anxiety and improve consumer confidence. Research into solid-state batteries holds longer term promise for safer and more efficient energy storage. Digital technologies are also becoming more prominent, with the connected systems, autonomous features and integrated software platforms improving user experience and the supporting fleet management. </w:t>
      </w:r>
    </w:p>
    <w:p w14:paraId="34DDCB23" w14:textId="64BC15EE"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noProof/>
          <w:kern w:val="0"/>
          <w:lang w:eastAsia="en-GB"/>
        </w:rPr>
        <w:drawing>
          <wp:anchor distT="0" distB="0" distL="114300" distR="114300" simplePos="0" relativeHeight="251660288" behindDoc="1" locked="0" layoutInCell="1" allowOverlap="1" wp14:anchorId="3AA01081" wp14:editId="40A8CFF8">
            <wp:simplePos x="0" y="0"/>
            <wp:positionH relativeFrom="column">
              <wp:posOffset>4259580</wp:posOffset>
            </wp:positionH>
            <wp:positionV relativeFrom="paragraph">
              <wp:posOffset>279400</wp:posOffset>
            </wp:positionV>
            <wp:extent cx="2217420" cy="2217420"/>
            <wp:effectExtent l="0" t="0" r="0" b="0"/>
            <wp:wrapTight wrapText="bothSides">
              <wp:wrapPolygon edited="0">
                <wp:start x="0" y="0"/>
                <wp:lineTo x="0" y="21340"/>
                <wp:lineTo x="21340" y="21340"/>
                <wp:lineTo x="21340" y="0"/>
                <wp:lineTo x="0" y="0"/>
              </wp:wrapPolygon>
            </wp:wrapTight>
            <wp:docPr id="926643628" name="Picture 11" descr="A graph of a number of electric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43628" name="Picture 11" descr="A graph of a number of electric vehicl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7420" cy="2217420"/>
                    </a:xfrm>
                    <a:prstGeom prst="rect">
                      <a:avLst/>
                    </a:prstGeom>
                    <a:noFill/>
                  </pic:spPr>
                </pic:pic>
              </a:graphicData>
            </a:graphic>
          </wp:anchor>
        </w:drawing>
      </w:r>
      <w:r w:rsidRPr="00284A92">
        <w:rPr>
          <w:rFonts w:ascii="Arial" w:eastAsia="Times New Roman" w:hAnsi="Arial" w:cs="Arial"/>
          <w:kern w:val="0"/>
          <w:lang w:eastAsia="en-GB"/>
        </w:rPr>
        <w:t xml:space="preserve">However, the industry also faces several challenges. High upfront costs remain year barrier for many buyers, especially following the withdrawal of some government incentives. According to Anastasiadou ang </w:t>
      </w:r>
      <w:proofErr w:type="spellStart"/>
      <w:r w:rsidRPr="00284A92">
        <w:rPr>
          <w:rFonts w:ascii="Arial" w:eastAsia="Times New Roman" w:hAnsi="Arial" w:cs="Arial"/>
          <w:kern w:val="0"/>
          <w:lang w:eastAsia="en-GB"/>
        </w:rPr>
        <w:t>Gavanas</w:t>
      </w:r>
      <w:proofErr w:type="spellEnd"/>
      <w:r w:rsidRPr="00284A92">
        <w:rPr>
          <w:rFonts w:ascii="Arial" w:eastAsia="Times New Roman" w:hAnsi="Arial" w:cs="Arial"/>
          <w:kern w:val="0"/>
          <w:lang w:eastAsia="en-GB"/>
        </w:rPr>
        <w:t xml:space="preserve"> (2022), several key factors influence consumer adoption of electric vehicles. Inflation and the rising cost of living have further affected purchasing decisions. Infrastructure gaps, particularly in rural regions continue to limit confident in long-distance EV travel. According to Gnanavendan et al. (2024), electric vehicle technology faces various challenges, but there are emerging solutions and evolving trends that are shaping its future development. Uncertainty created by shifting government policy, adds further pressure to the sector.</w:t>
      </w:r>
    </w:p>
    <w:p w14:paraId="3BC6C905" w14:textId="6D0B3336" w:rsidR="00AA6604" w:rsidRPr="00284A92" w:rsidRDefault="00AA6604"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The </w:t>
      </w:r>
      <w:r w:rsidR="0090601A" w:rsidRPr="00284A92">
        <w:rPr>
          <w:rFonts w:ascii="Arial" w:eastAsia="Times New Roman" w:hAnsi="Arial" w:cs="Arial"/>
          <w:kern w:val="0"/>
          <w:lang w:eastAsia="en-GB"/>
        </w:rPr>
        <w:t>emp</w:t>
      </w:r>
      <w:r w:rsidR="00F54F03" w:rsidRPr="00284A92">
        <w:rPr>
          <w:rFonts w:ascii="Arial" w:eastAsia="Times New Roman" w:hAnsi="Arial" w:cs="Arial"/>
          <w:kern w:val="0"/>
          <w:lang w:eastAsia="en-GB"/>
        </w:rPr>
        <w:t xml:space="preserve">irical research of </w:t>
      </w:r>
      <w:r w:rsidRPr="00284A92">
        <w:rPr>
          <w:rFonts w:ascii="Arial" w:eastAsia="Times New Roman" w:hAnsi="Arial" w:cs="Arial"/>
          <w:kern w:val="0"/>
          <w:lang w:eastAsia="en-GB"/>
        </w:rPr>
        <w:t xml:space="preserve">this report </w:t>
      </w:r>
      <w:r w:rsidR="00F54F03" w:rsidRPr="00284A92">
        <w:rPr>
          <w:rFonts w:ascii="Arial" w:eastAsia="Times New Roman" w:hAnsi="Arial" w:cs="Arial"/>
          <w:kern w:val="0"/>
          <w:lang w:eastAsia="en-GB"/>
        </w:rPr>
        <w:t xml:space="preserve">shows </w:t>
      </w:r>
      <w:r w:rsidRPr="00284A92">
        <w:rPr>
          <w:rFonts w:ascii="Arial" w:eastAsia="Times New Roman" w:hAnsi="Arial" w:cs="Arial"/>
          <w:kern w:val="0"/>
          <w:lang w:eastAsia="en-GB"/>
        </w:rPr>
        <w:t>to analyse the external factors influencing UK EV industry, using the PESTLE and SWOT frameworks. It considers how innovation especially technology and infrastructure shaping the sector, drawing on theory, policy and real-world examples. The scope includes macro-environmental drivers, internal industry strengths and weakness and strategy correspondences. The report concludes with actionable recommendations for UK EV companies to enhance their competitiveness, sustainability and resilience.</w:t>
      </w:r>
    </w:p>
    <w:p w14:paraId="541A8D59" w14:textId="77777777" w:rsidR="00AA6604" w:rsidRPr="00284A92" w:rsidRDefault="00AA6604" w:rsidP="00284A92">
      <w:pPr>
        <w:spacing w:line="360" w:lineRule="auto"/>
        <w:jc w:val="both"/>
        <w:rPr>
          <w:rFonts w:ascii="Arial" w:eastAsia="Times New Roman" w:hAnsi="Arial" w:cs="Arial"/>
          <w:b/>
          <w:bCs/>
          <w:kern w:val="0"/>
          <w:lang w:eastAsia="en-GB"/>
        </w:rPr>
      </w:pPr>
      <w:r w:rsidRPr="00284A92">
        <w:rPr>
          <w:rFonts w:ascii="Arial" w:eastAsia="Times New Roman" w:hAnsi="Arial" w:cs="Arial"/>
          <w:b/>
          <w:bCs/>
          <w:kern w:val="0"/>
          <w:lang w:eastAsia="en-GB"/>
        </w:rPr>
        <w:t>Findings:</w:t>
      </w:r>
    </w:p>
    <w:p w14:paraId="19AD6294" w14:textId="77777777" w:rsidR="00AA6604" w:rsidRPr="00284A92" w:rsidRDefault="00AA6604" w:rsidP="00284A92">
      <w:pPr>
        <w:spacing w:line="360" w:lineRule="auto"/>
        <w:jc w:val="both"/>
        <w:rPr>
          <w:rFonts w:ascii="Arial" w:eastAsia="Times New Roman" w:hAnsi="Arial" w:cs="Arial"/>
          <w:b/>
          <w:bCs/>
          <w:kern w:val="0"/>
          <w:lang w:eastAsia="en-GB"/>
        </w:rPr>
      </w:pPr>
      <w:r w:rsidRPr="00284A92">
        <w:rPr>
          <w:rFonts w:ascii="Arial" w:eastAsia="Times New Roman" w:hAnsi="Arial" w:cs="Arial"/>
          <w:b/>
          <w:bCs/>
          <w:kern w:val="0"/>
          <w:lang w:eastAsia="en-GB"/>
        </w:rPr>
        <w:t>PESTLE analysis of external factors influencing the UK EV industry:</w:t>
      </w:r>
    </w:p>
    <w:p w14:paraId="22BEDCF4" w14:textId="0251874D" w:rsidR="00F867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noProof/>
        </w:rPr>
        <w:drawing>
          <wp:anchor distT="0" distB="0" distL="114300" distR="114300" simplePos="0" relativeHeight="251661312" behindDoc="1" locked="0" layoutInCell="1" allowOverlap="1" wp14:anchorId="5EDE7FEF" wp14:editId="273F21E1">
            <wp:simplePos x="0" y="0"/>
            <wp:positionH relativeFrom="column">
              <wp:posOffset>4640580</wp:posOffset>
            </wp:positionH>
            <wp:positionV relativeFrom="paragraph">
              <wp:posOffset>-196850</wp:posOffset>
            </wp:positionV>
            <wp:extent cx="1805940" cy="1705957"/>
            <wp:effectExtent l="0" t="0" r="3810" b="8890"/>
            <wp:wrapTight wrapText="bothSides">
              <wp:wrapPolygon edited="0">
                <wp:start x="0" y="0"/>
                <wp:lineTo x="0" y="21471"/>
                <wp:lineTo x="21418" y="21471"/>
                <wp:lineTo x="21418" y="0"/>
                <wp:lineTo x="0" y="0"/>
              </wp:wrapPolygon>
            </wp:wrapTight>
            <wp:docPr id="1826880520" name="Picture 12" descr="PESTLE Analysis: The CEO's Guide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ESTLE Analysis: The CEO's Guide to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5940" cy="17059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84A92">
        <w:rPr>
          <w:rFonts w:ascii="Arial" w:eastAsia="Times New Roman" w:hAnsi="Arial" w:cs="Arial"/>
          <w:kern w:val="0"/>
          <w:lang w:eastAsia="en-GB"/>
        </w:rPr>
        <w:t xml:space="preserve">PESTLE analysis is a strategic used to evaluate the external factors that can impact the organisation’s performance </w:t>
      </w:r>
      <w:r w:rsidR="00DB043B" w:rsidRPr="00284A92">
        <w:rPr>
          <w:rFonts w:ascii="Arial" w:eastAsia="Times New Roman" w:hAnsi="Arial" w:cs="Arial"/>
          <w:kern w:val="0"/>
          <w:lang w:eastAsia="en-GB"/>
        </w:rPr>
        <w:t>and</w:t>
      </w:r>
      <w:r w:rsidRPr="00284A92">
        <w:rPr>
          <w:rFonts w:ascii="Arial" w:eastAsia="Times New Roman" w:hAnsi="Arial" w:cs="Arial"/>
          <w:kern w:val="0"/>
          <w:lang w:eastAsia="en-GB"/>
        </w:rPr>
        <w:t xml:space="preserve"> decision-making.</w:t>
      </w:r>
      <w:r w:rsidR="00854330" w:rsidRPr="00284A92">
        <w:rPr>
          <w:rFonts w:ascii="Arial" w:hAnsi="Arial" w:cs="Arial"/>
        </w:rPr>
        <w:t xml:space="preserve"> </w:t>
      </w:r>
      <w:r w:rsidR="00854330" w:rsidRPr="00284A92">
        <w:rPr>
          <w:rFonts w:ascii="Arial" w:eastAsia="Times New Roman" w:hAnsi="Arial" w:cs="Arial"/>
          <w:kern w:val="0"/>
          <w:lang w:eastAsia="en-GB"/>
        </w:rPr>
        <w:t>According to Bathla</w:t>
      </w:r>
      <w:r w:rsidR="00593B94" w:rsidRPr="00284A92">
        <w:rPr>
          <w:rFonts w:ascii="Arial" w:eastAsia="Times New Roman" w:hAnsi="Arial" w:cs="Arial"/>
          <w:kern w:val="0"/>
          <w:lang w:eastAsia="en-GB"/>
        </w:rPr>
        <w:t xml:space="preserve"> et al. </w:t>
      </w:r>
      <w:r w:rsidR="00854330" w:rsidRPr="00284A92">
        <w:rPr>
          <w:rFonts w:ascii="Arial" w:eastAsia="Times New Roman" w:hAnsi="Arial" w:cs="Arial"/>
          <w:kern w:val="0"/>
          <w:lang w:eastAsia="en-GB"/>
        </w:rPr>
        <w:t>(2022), PESTEL analysis provides a structured way to examine the external factors influencing the automotive industry.</w:t>
      </w:r>
      <w:r w:rsidRPr="00284A92">
        <w:rPr>
          <w:rFonts w:ascii="Arial" w:eastAsia="Times New Roman" w:hAnsi="Arial" w:cs="Arial"/>
          <w:kern w:val="0"/>
          <w:lang w:eastAsia="en-GB"/>
        </w:rPr>
        <w:t xml:space="preserve"> It stands for Political, Economic, Social, Technological, Legal and Environmental.</w:t>
      </w:r>
      <w:r w:rsidRPr="00284A92">
        <w:rPr>
          <w:rFonts w:ascii="Arial" w:hAnsi="Arial" w:cs="Arial"/>
          <w:color w:val="0A0A0A"/>
          <w:shd w:val="clear" w:color="auto" w:fill="FFFFFF"/>
        </w:rPr>
        <w:t xml:space="preserve"> This analysis helps organisations understand the macro-environment to identify opportunities and threats, which inform strategic planning and risk assessment</w:t>
      </w:r>
      <w:r w:rsidR="00F86704" w:rsidRPr="00284A92">
        <w:rPr>
          <w:rFonts w:ascii="Arial" w:hAnsi="Arial" w:cs="Arial"/>
          <w:color w:val="0A0A0A"/>
          <w:shd w:val="clear" w:color="auto" w:fill="FFFFFF"/>
        </w:rPr>
        <w:t>. According to Debnath et al. (2021), electric vehicle adoption is shaped by a wide range of political, economic, social, technological, legal, and environmental factors.</w:t>
      </w:r>
    </w:p>
    <w:p w14:paraId="7141360A" w14:textId="77777777" w:rsidR="00AA66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Political Factors:</w:t>
      </w:r>
    </w:p>
    <w:p w14:paraId="30347697" w14:textId="058F661D" w:rsidR="00D974B6" w:rsidRPr="00284A92" w:rsidRDefault="00C77779"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UK government policies strongly influenced the automotive sector, especially</w:t>
      </w:r>
      <w:r w:rsidR="003F62E6" w:rsidRPr="00284A92">
        <w:rPr>
          <w:rFonts w:ascii="Arial" w:hAnsi="Arial" w:cs="Arial"/>
          <w:color w:val="0A0A0A"/>
          <w:shd w:val="clear" w:color="auto" w:fill="FFFFFF"/>
        </w:rPr>
        <w:t xml:space="preserve"> the transition from petrol and diesel vehicles to electric vehicles (EV’s). The planned ban on new fossil fuel vehicle sales</w:t>
      </w:r>
      <w:r w:rsidR="001975F3" w:rsidRPr="00284A92">
        <w:rPr>
          <w:rFonts w:ascii="Arial" w:hAnsi="Arial" w:cs="Arial"/>
          <w:color w:val="0A0A0A"/>
          <w:shd w:val="clear" w:color="auto" w:fill="FFFFFF"/>
        </w:rPr>
        <w:t>, followed by zero emission requirement in 2035, accelerates national wide EV adoption</w:t>
      </w:r>
      <w:r w:rsidR="00741454" w:rsidRPr="00284A92">
        <w:rPr>
          <w:rFonts w:ascii="Arial" w:hAnsi="Arial" w:cs="Arial"/>
          <w:color w:val="0A0A0A"/>
          <w:shd w:val="clear" w:color="auto" w:fill="FFFFFF"/>
        </w:rPr>
        <w:t>. To support this the government provides grants and subsites for charging infrastructure in homes, workplaces,</w:t>
      </w:r>
      <w:r w:rsidR="002549D2" w:rsidRPr="00284A92">
        <w:rPr>
          <w:rFonts w:ascii="Arial" w:hAnsi="Arial" w:cs="Arial"/>
          <w:color w:val="0A0A0A"/>
          <w:shd w:val="clear" w:color="auto" w:fill="FFFFFF"/>
        </w:rPr>
        <w:t xml:space="preserve"> and public areas. The ban of Russian oil has also contributed</w:t>
      </w:r>
      <w:r w:rsidR="00657874" w:rsidRPr="00284A92">
        <w:rPr>
          <w:rFonts w:ascii="Arial" w:hAnsi="Arial" w:cs="Arial"/>
          <w:color w:val="0A0A0A"/>
          <w:shd w:val="clear" w:color="auto" w:fill="FFFFFF"/>
        </w:rPr>
        <w:t xml:space="preserve"> to rising fuel prices, further encouraging EV demand. </w:t>
      </w:r>
      <w:r w:rsidR="00AA25B3" w:rsidRPr="00284A92">
        <w:rPr>
          <w:rFonts w:ascii="Arial" w:hAnsi="Arial" w:cs="Arial"/>
          <w:color w:val="0A0A0A"/>
          <w:shd w:val="clear" w:color="auto" w:fill="FFFFFF"/>
        </w:rPr>
        <w:t>Additionally,</w:t>
      </w:r>
      <w:r w:rsidR="00657874" w:rsidRPr="00284A92">
        <w:rPr>
          <w:rFonts w:ascii="Arial" w:hAnsi="Arial" w:cs="Arial"/>
          <w:color w:val="0A0A0A"/>
          <w:shd w:val="clear" w:color="auto" w:fill="FFFFFF"/>
        </w:rPr>
        <w:t xml:space="preserve"> the government </w:t>
      </w:r>
      <w:r w:rsidR="00C71A71" w:rsidRPr="00284A92">
        <w:rPr>
          <w:rFonts w:ascii="Arial" w:hAnsi="Arial" w:cs="Arial"/>
          <w:color w:val="0A0A0A"/>
          <w:shd w:val="clear" w:color="auto" w:fill="FFFFFF"/>
        </w:rPr>
        <w:t xml:space="preserve">has invested </w:t>
      </w:r>
      <w:r w:rsidR="00150F09" w:rsidRPr="00284A92">
        <w:rPr>
          <w:rFonts w:ascii="Arial" w:hAnsi="Arial" w:cs="Arial"/>
          <w:color w:val="0A0A0A"/>
          <w:shd w:val="clear" w:color="auto" w:fill="FFFFFF"/>
        </w:rPr>
        <w:t>£</w:t>
      </w:r>
      <w:r w:rsidR="00C71A71" w:rsidRPr="00284A92">
        <w:rPr>
          <w:rFonts w:ascii="Arial" w:hAnsi="Arial" w:cs="Arial"/>
          <w:color w:val="0A0A0A"/>
          <w:shd w:val="clear" w:color="auto" w:fill="FFFFFF"/>
        </w:rPr>
        <w:t>5</w:t>
      </w:r>
      <w:r w:rsidR="00150F09" w:rsidRPr="00284A92">
        <w:rPr>
          <w:rFonts w:ascii="Arial" w:hAnsi="Arial" w:cs="Arial"/>
          <w:color w:val="0A0A0A"/>
          <w:shd w:val="clear" w:color="auto" w:fill="FFFFFF"/>
        </w:rPr>
        <w:t>00 M</w:t>
      </w:r>
      <w:r w:rsidR="00C71A71" w:rsidRPr="00284A92">
        <w:rPr>
          <w:rFonts w:ascii="Arial" w:hAnsi="Arial" w:cs="Arial"/>
          <w:color w:val="0A0A0A"/>
          <w:shd w:val="clear" w:color="auto" w:fill="FFFFFF"/>
        </w:rPr>
        <w:t xml:space="preserve"> </w:t>
      </w:r>
      <w:r w:rsidR="00150F09" w:rsidRPr="00284A92">
        <w:rPr>
          <w:rFonts w:ascii="Arial" w:hAnsi="Arial" w:cs="Arial"/>
          <w:color w:val="0A0A0A"/>
          <w:shd w:val="clear" w:color="auto" w:fill="FFFFFF"/>
        </w:rPr>
        <w:t xml:space="preserve">to support </w:t>
      </w:r>
      <w:r w:rsidR="00C71A71" w:rsidRPr="00284A92">
        <w:rPr>
          <w:rFonts w:ascii="Arial" w:hAnsi="Arial" w:cs="Arial"/>
          <w:color w:val="0A0A0A"/>
          <w:shd w:val="clear" w:color="auto" w:fill="FFFFFF"/>
        </w:rPr>
        <w:t>169,000</w:t>
      </w:r>
      <w:r w:rsidR="00150F09" w:rsidRPr="00284A92">
        <w:rPr>
          <w:rFonts w:ascii="Arial" w:hAnsi="Arial" w:cs="Arial"/>
          <w:color w:val="0A0A0A"/>
          <w:shd w:val="clear" w:color="auto" w:fill="FFFFFF"/>
        </w:rPr>
        <w:t xml:space="preserve"> EV related jobs</w:t>
      </w:r>
      <w:r w:rsidR="004A07B1" w:rsidRPr="00284A92">
        <w:rPr>
          <w:rFonts w:ascii="Arial" w:hAnsi="Arial" w:cs="Arial"/>
          <w:color w:val="0A0A0A"/>
          <w:shd w:val="clear" w:color="auto" w:fill="FFFFFF"/>
        </w:rPr>
        <w:t>, while road tax exemptions offer further incentives for consumers</w:t>
      </w:r>
      <w:r w:rsidR="00AA25B3" w:rsidRPr="00284A92">
        <w:rPr>
          <w:rFonts w:ascii="Arial" w:hAnsi="Arial" w:cs="Arial"/>
          <w:color w:val="0A0A0A"/>
          <w:shd w:val="clear" w:color="auto" w:fill="FFFFFF"/>
        </w:rPr>
        <w:t>.</w:t>
      </w:r>
    </w:p>
    <w:p w14:paraId="706DD725" w14:textId="7F3F0309" w:rsidR="00AA66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Economic Factors:</w:t>
      </w:r>
    </w:p>
    <w:p w14:paraId="68136ADE" w14:textId="0B97A89D" w:rsidR="00D2464F" w:rsidRPr="00284A92" w:rsidRDefault="005F32BC"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EV remain costly to purchase and rising living expenses make affordability key concern for consumers.</w:t>
      </w:r>
      <w:r w:rsidR="00A05A50" w:rsidRPr="00284A92">
        <w:rPr>
          <w:rFonts w:ascii="Arial" w:hAnsi="Arial" w:cs="Arial"/>
          <w:color w:val="0A0A0A"/>
          <w:shd w:val="clear" w:color="auto" w:fill="FFFFFF"/>
        </w:rPr>
        <w:t xml:space="preserve"> Supply chain issues, particularly battery materials,</w:t>
      </w:r>
      <w:r w:rsidR="00640B09" w:rsidRPr="00284A92">
        <w:rPr>
          <w:rFonts w:ascii="Arial" w:hAnsi="Arial" w:cs="Arial"/>
          <w:color w:val="0A0A0A"/>
          <w:shd w:val="clear" w:color="auto" w:fill="FFFFFF"/>
        </w:rPr>
        <w:t xml:space="preserve"> increase production costs. However, expanding UK battery manufacturing and investment in charging infrastructure present economic benefit through job creation and technical growth</w:t>
      </w:r>
      <w:r w:rsidR="002774C9" w:rsidRPr="00284A92">
        <w:rPr>
          <w:rFonts w:ascii="Arial" w:hAnsi="Arial" w:cs="Arial"/>
          <w:color w:val="0A0A0A"/>
          <w:shd w:val="clear" w:color="auto" w:fill="FFFFFF"/>
        </w:rPr>
        <w:t>. The EV transition is also expected to generate new roles in production and support services</w:t>
      </w:r>
      <w:r w:rsidR="00190D08" w:rsidRPr="00284A92">
        <w:rPr>
          <w:rFonts w:ascii="Arial" w:hAnsi="Arial" w:cs="Arial"/>
          <w:color w:val="0A0A0A"/>
          <w:shd w:val="clear" w:color="auto" w:fill="FFFFFF"/>
        </w:rPr>
        <w:t>. In terms of running costs, and EV can travel about 200 miles for £15.10, compared with</w:t>
      </w:r>
      <w:r w:rsidR="00A5276D" w:rsidRPr="00284A92">
        <w:rPr>
          <w:rFonts w:ascii="Arial" w:hAnsi="Arial" w:cs="Arial"/>
          <w:color w:val="0A0A0A"/>
          <w:shd w:val="clear" w:color="auto" w:fill="FFFFFF"/>
        </w:rPr>
        <w:t xml:space="preserve"> over £100 in fuel for similar distances (</w:t>
      </w:r>
      <w:r w:rsidR="005B4143" w:rsidRPr="00284A92">
        <w:rPr>
          <w:rFonts w:ascii="Arial" w:hAnsi="Arial" w:cs="Arial"/>
          <w:color w:val="0A0A0A"/>
          <w:shd w:val="clear" w:color="auto" w:fill="FFFFFF"/>
        </w:rPr>
        <w:t>British Gas, n.d.).</w:t>
      </w:r>
    </w:p>
    <w:p w14:paraId="77F2DFE5" w14:textId="542C3CBE" w:rsidR="00AA66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Social Factors:</w:t>
      </w:r>
    </w:p>
    <w:p w14:paraId="21F798E7" w14:textId="6F629D59" w:rsidR="00132A9C" w:rsidRPr="00284A92" w:rsidRDefault="00FA50F7"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G</w:t>
      </w:r>
      <w:r w:rsidR="00132A9C" w:rsidRPr="00284A92">
        <w:rPr>
          <w:rFonts w:ascii="Arial" w:hAnsi="Arial" w:cs="Arial"/>
          <w:color w:val="0A0A0A"/>
          <w:shd w:val="clear" w:color="auto" w:fill="FFFFFF"/>
        </w:rPr>
        <w:t>rowing environmental awareness is increasing</w:t>
      </w:r>
      <w:r w:rsidR="005F57F5" w:rsidRPr="00284A92">
        <w:rPr>
          <w:rFonts w:ascii="Arial" w:hAnsi="Arial" w:cs="Arial"/>
          <w:color w:val="0A0A0A"/>
          <w:shd w:val="clear" w:color="auto" w:fill="FFFFFF"/>
        </w:rPr>
        <w:t xml:space="preserve"> interest in electric vehicles, especially among English consumers. However, concerns about charging access battery life and long-distance travel remain barriers</w:t>
      </w:r>
      <w:r w:rsidRPr="00284A92">
        <w:rPr>
          <w:rFonts w:ascii="Arial" w:hAnsi="Arial" w:cs="Arial"/>
          <w:color w:val="0A0A0A"/>
          <w:shd w:val="clear" w:color="auto" w:fill="FFFFFF"/>
        </w:rPr>
        <w:t xml:space="preserve">. </w:t>
      </w:r>
      <w:r w:rsidR="005E1A55" w:rsidRPr="00284A92">
        <w:rPr>
          <w:rFonts w:ascii="Arial" w:hAnsi="Arial" w:cs="Arial"/>
          <w:color w:val="0A0A0A"/>
          <w:shd w:val="clear" w:color="auto" w:fill="FFFFFF"/>
        </w:rPr>
        <w:t>Urban adaption</w:t>
      </w:r>
      <w:r w:rsidRPr="00284A92">
        <w:rPr>
          <w:rFonts w:ascii="Arial" w:hAnsi="Arial" w:cs="Arial"/>
          <w:color w:val="0A0A0A"/>
          <w:shd w:val="clear" w:color="auto" w:fill="FFFFFF"/>
        </w:rPr>
        <w:t xml:space="preserve"> is faster due to better infrastructure, while some consumers are still unfamiliar hard hesitant about EV technology.</w:t>
      </w:r>
    </w:p>
    <w:p w14:paraId="5AC6C521" w14:textId="77777777" w:rsidR="00AA66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Technological Factors:</w:t>
      </w:r>
    </w:p>
    <w:p w14:paraId="7D1D7814" w14:textId="06F81415" w:rsidR="000014BC" w:rsidRPr="00284A92" w:rsidRDefault="00AA2F3D"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Advance in battery performance, fast charging technology and smart charging</w:t>
      </w:r>
      <w:r w:rsidR="00747D8D" w:rsidRPr="00284A92">
        <w:rPr>
          <w:rFonts w:ascii="Arial" w:hAnsi="Arial" w:cs="Arial"/>
          <w:color w:val="0A0A0A"/>
          <w:shd w:val="clear" w:color="auto" w:fill="FFFFFF"/>
        </w:rPr>
        <w:t xml:space="preserve"> systems are improving EV efficiency and convenience. Investment in UK battery</w:t>
      </w:r>
      <w:r w:rsidR="009A676D" w:rsidRPr="00284A92">
        <w:rPr>
          <w:rFonts w:ascii="Arial" w:hAnsi="Arial" w:cs="Arial"/>
          <w:color w:val="0A0A0A"/>
          <w:shd w:val="clear" w:color="auto" w:fill="FFFFFF"/>
        </w:rPr>
        <w:t xml:space="preserve"> manufacturing supports innovation, through high R&amp;D</w:t>
      </w:r>
      <w:r w:rsidR="00083B95" w:rsidRPr="00284A92">
        <w:rPr>
          <w:rFonts w:ascii="Arial" w:hAnsi="Arial" w:cs="Arial"/>
          <w:color w:val="0A0A0A"/>
          <w:shd w:val="clear" w:color="auto" w:fill="FFFFFF"/>
        </w:rPr>
        <w:t xml:space="preserve"> costs and limited material supply remain challenges. Expanding rapid charging networks is essential for wider EV adoption</w:t>
      </w:r>
      <w:r w:rsidR="005F7BB7" w:rsidRPr="00284A92">
        <w:rPr>
          <w:rFonts w:ascii="Arial" w:hAnsi="Arial" w:cs="Arial"/>
          <w:color w:val="0A0A0A"/>
          <w:shd w:val="clear" w:color="auto" w:fill="FFFFFF"/>
        </w:rPr>
        <w:t>.</w:t>
      </w:r>
    </w:p>
    <w:p w14:paraId="17A58767" w14:textId="77777777" w:rsidR="00AA66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Legal Factors:</w:t>
      </w:r>
    </w:p>
    <w:p w14:paraId="255C688C" w14:textId="011A6412" w:rsidR="00A87114" w:rsidRPr="00284A92" w:rsidRDefault="00D1622B"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 xml:space="preserve">UK law enforcing the 2030 </w:t>
      </w:r>
      <w:r w:rsidR="00DB625D" w:rsidRPr="00284A92">
        <w:rPr>
          <w:rFonts w:ascii="Arial" w:hAnsi="Arial" w:cs="Arial"/>
          <w:color w:val="0A0A0A"/>
          <w:shd w:val="clear" w:color="auto" w:fill="FFFFFF"/>
        </w:rPr>
        <w:t>ban on new petrol and diesel vehicles push manufacturers towards EV production.</w:t>
      </w:r>
      <w:r w:rsidR="005E5844" w:rsidRPr="00284A92">
        <w:rPr>
          <w:rFonts w:ascii="Arial" w:hAnsi="Arial" w:cs="Arial"/>
          <w:color w:val="0A0A0A"/>
          <w:shd w:val="clear" w:color="auto" w:fill="FFFFFF"/>
        </w:rPr>
        <w:t xml:space="preserve"> Regulation on emissions, battery disposal and standards shape industry practices.</w:t>
      </w:r>
      <w:r w:rsidR="004B1789" w:rsidRPr="00284A92">
        <w:rPr>
          <w:rFonts w:ascii="Arial" w:hAnsi="Arial" w:cs="Arial"/>
          <w:color w:val="0A0A0A"/>
          <w:shd w:val="clear" w:color="auto" w:fill="FFFFFF"/>
        </w:rPr>
        <w:t xml:space="preserve"> Legal incentives such as tax exemptions and mandatory charging points</w:t>
      </w:r>
      <w:r w:rsidR="000C0AAC" w:rsidRPr="00284A92">
        <w:rPr>
          <w:rFonts w:ascii="Arial" w:hAnsi="Arial" w:cs="Arial"/>
          <w:color w:val="0A0A0A"/>
          <w:shd w:val="clear" w:color="auto" w:fill="FFFFFF"/>
        </w:rPr>
        <w:t xml:space="preserve"> in new buildings, further support EV uptake.</w:t>
      </w:r>
    </w:p>
    <w:p w14:paraId="21EFC687" w14:textId="77777777" w:rsidR="00AA6604" w:rsidRPr="00284A92" w:rsidRDefault="00AA6604"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Environmental Factors:</w:t>
      </w:r>
    </w:p>
    <w:p w14:paraId="069FE6A3" w14:textId="592DF55C" w:rsidR="00AA6604" w:rsidRPr="00284A92" w:rsidRDefault="00511BCC" w:rsidP="00284A92">
      <w:pPr>
        <w:spacing w:line="360" w:lineRule="auto"/>
        <w:jc w:val="both"/>
        <w:rPr>
          <w:rFonts w:ascii="Arial" w:hAnsi="Arial" w:cs="Arial"/>
          <w:color w:val="0A0A0A"/>
          <w:shd w:val="clear" w:color="auto" w:fill="FFFFFF"/>
        </w:rPr>
      </w:pPr>
      <w:r w:rsidRPr="00284A92">
        <w:rPr>
          <w:rFonts w:ascii="Arial" w:hAnsi="Arial" w:cs="Arial"/>
          <w:color w:val="0A0A0A"/>
          <w:shd w:val="clear" w:color="auto" w:fill="FFFFFF"/>
        </w:rPr>
        <w:t>EV supports the</w:t>
      </w:r>
      <w:r w:rsidRPr="00284A92">
        <w:rPr>
          <w:rFonts w:ascii="Arial" w:hAnsi="Arial" w:cs="Arial"/>
          <w:color w:val="0A0A0A"/>
          <w:shd w:val="clear" w:color="auto" w:fill="FFFFFF"/>
        </w:rPr>
        <w:t xml:space="preserve"> U.K.’s goal of reducing carbon emissions and improving </w:t>
      </w:r>
      <w:r w:rsidR="00F36823" w:rsidRPr="00284A92">
        <w:rPr>
          <w:rFonts w:ascii="Arial" w:hAnsi="Arial" w:cs="Arial"/>
          <w:color w:val="0A0A0A"/>
          <w:shd w:val="clear" w:color="auto" w:fill="FFFFFF"/>
        </w:rPr>
        <w:t>ai</w:t>
      </w:r>
      <w:r w:rsidRPr="00284A92">
        <w:rPr>
          <w:rFonts w:ascii="Arial" w:hAnsi="Arial" w:cs="Arial"/>
          <w:color w:val="0A0A0A"/>
          <w:shd w:val="clear" w:color="auto" w:fill="FFFFFF"/>
        </w:rPr>
        <w:t>r quality</w:t>
      </w:r>
      <w:r w:rsidR="00AA6604" w:rsidRPr="00284A92">
        <w:rPr>
          <w:rFonts w:ascii="Arial" w:hAnsi="Arial" w:cs="Arial"/>
          <w:color w:val="0A0A0A"/>
          <w:shd w:val="clear" w:color="auto" w:fill="FFFFFF"/>
        </w:rPr>
        <w:t>.</w:t>
      </w:r>
      <w:r w:rsidR="00077A59" w:rsidRPr="00284A92">
        <w:rPr>
          <w:rFonts w:ascii="Arial" w:hAnsi="Arial" w:cs="Arial"/>
          <w:color w:val="0A0A0A"/>
          <w:shd w:val="clear" w:color="auto" w:fill="FFFFFF"/>
        </w:rPr>
        <w:t xml:space="preserve"> </w:t>
      </w:r>
      <w:r w:rsidR="00F36823" w:rsidRPr="00284A92">
        <w:rPr>
          <w:rFonts w:ascii="Arial" w:hAnsi="Arial" w:cs="Arial"/>
          <w:color w:val="0A0A0A"/>
          <w:shd w:val="clear" w:color="auto" w:fill="FFFFFF"/>
        </w:rPr>
        <w:t>EV produce no tailpipe emissions</w:t>
      </w:r>
      <w:r w:rsidR="00893F6B" w:rsidRPr="00284A92">
        <w:rPr>
          <w:rFonts w:ascii="Arial" w:hAnsi="Arial" w:cs="Arial"/>
          <w:color w:val="0A0A0A"/>
          <w:shd w:val="clear" w:color="auto" w:fill="FFFFFF"/>
        </w:rPr>
        <w:t xml:space="preserve">, helping lower </w:t>
      </w:r>
      <w:r w:rsidR="001E63AD" w:rsidRPr="00284A92">
        <w:rPr>
          <w:rFonts w:ascii="Arial" w:hAnsi="Arial" w:cs="Arial"/>
          <w:color w:val="0A0A0A"/>
          <w:shd w:val="clear" w:color="auto" w:fill="FFFFFF"/>
        </w:rPr>
        <w:t xml:space="preserve">urban pollution. </w:t>
      </w:r>
      <w:r w:rsidR="00077A59" w:rsidRPr="00284A92">
        <w:rPr>
          <w:rFonts w:ascii="Arial" w:hAnsi="Arial" w:cs="Arial"/>
          <w:color w:val="0A0A0A"/>
          <w:shd w:val="clear" w:color="auto" w:fill="FFFFFF"/>
        </w:rPr>
        <w:t xml:space="preserve">According to Thompson (2023), Strategic </w:t>
      </w:r>
      <w:r w:rsidR="00B55FB3" w:rsidRPr="00284A92">
        <w:rPr>
          <w:rFonts w:ascii="Arial" w:hAnsi="Arial" w:cs="Arial"/>
          <w:color w:val="0A0A0A"/>
          <w:shd w:val="clear" w:color="auto" w:fill="FFFFFF"/>
        </w:rPr>
        <w:t xml:space="preserve">analysis </w:t>
      </w:r>
      <w:r w:rsidR="008C3279" w:rsidRPr="00284A92">
        <w:rPr>
          <w:rFonts w:ascii="Arial" w:hAnsi="Arial" w:cs="Arial"/>
          <w:color w:val="0A0A0A"/>
          <w:shd w:val="clear" w:color="auto" w:fill="FFFFFF"/>
        </w:rPr>
        <w:t xml:space="preserve">highlights </w:t>
      </w:r>
      <w:r w:rsidR="007366E6" w:rsidRPr="00284A92">
        <w:rPr>
          <w:rFonts w:ascii="Arial" w:hAnsi="Arial" w:cs="Arial"/>
          <w:color w:val="0A0A0A"/>
          <w:shd w:val="clear" w:color="auto" w:fill="FFFFFF"/>
        </w:rPr>
        <w:t>how the transition to renewable electricity can play a central</w:t>
      </w:r>
      <w:r w:rsidR="009130B0" w:rsidRPr="00284A92">
        <w:rPr>
          <w:rFonts w:ascii="Arial" w:hAnsi="Arial" w:cs="Arial"/>
          <w:color w:val="0A0A0A"/>
          <w:shd w:val="clear" w:color="auto" w:fill="FFFFFF"/>
        </w:rPr>
        <w:t xml:space="preserve"> role in achieving low carbon energy system</w:t>
      </w:r>
      <w:r w:rsidR="00AB6A69" w:rsidRPr="00284A92">
        <w:rPr>
          <w:rFonts w:ascii="Arial" w:hAnsi="Arial" w:cs="Arial"/>
          <w:color w:val="0A0A0A"/>
          <w:shd w:val="clear" w:color="auto" w:fill="FFFFFF"/>
        </w:rPr>
        <w:t>.</w:t>
      </w:r>
    </w:p>
    <w:p w14:paraId="244DBC63" w14:textId="0CF5070F" w:rsidR="00371EFB" w:rsidRPr="00284A92" w:rsidRDefault="00241BDF" w:rsidP="00284A92">
      <w:pPr>
        <w:spacing w:line="360" w:lineRule="auto"/>
        <w:jc w:val="both"/>
        <w:rPr>
          <w:rFonts w:ascii="Arial" w:hAnsi="Arial" w:cs="Arial"/>
          <w:b/>
          <w:bCs/>
          <w:color w:val="0A0A0A"/>
          <w:shd w:val="clear" w:color="auto" w:fill="FFFFFF"/>
        </w:rPr>
      </w:pPr>
      <w:r w:rsidRPr="00284A92">
        <w:rPr>
          <w:rFonts w:ascii="Arial" w:hAnsi="Arial" w:cs="Arial"/>
          <w:noProof/>
        </w:rPr>
        <w:drawing>
          <wp:anchor distT="0" distB="0" distL="114300" distR="114300" simplePos="0" relativeHeight="251662336" behindDoc="1" locked="0" layoutInCell="1" allowOverlap="1" wp14:anchorId="1411F3A8" wp14:editId="2F1C80D9">
            <wp:simplePos x="0" y="0"/>
            <wp:positionH relativeFrom="page">
              <wp:align>right</wp:align>
            </wp:positionH>
            <wp:positionV relativeFrom="paragraph">
              <wp:posOffset>86360</wp:posOffset>
            </wp:positionV>
            <wp:extent cx="2228850" cy="2047875"/>
            <wp:effectExtent l="0" t="0" r="0" b="9525"/>
            <wp:wrapTight wrapText="bothSides">
              <wp:wrapPolygon edited="0">
                <wp:start x="0" y="0"/>
                <wp:lineTo x="0" y="21500"/>
                <wp:lineTo x="21415" y="21500"/>
                <wp:lineTo x="21415" y="0"/>
                <wp:lineTo x="0" y="0"/>
              </wp:wrapPolygon>
            </wp:wrapTight>
            <wp:docPr id="11252586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8850" cy="2047875"/>
                    </a:xfrm>
                    <a:prstGeom prst="rect">
                      <a:avLst/>
                    </a:prstGeom>
                    <a:noFill/>
                  </pic:spPr>
                </pic:pic>
              </a:graphicData>
            </a:graphic>
          </wp:anchor>
        </w:drawing>
      </w:r>
      <w:r w:rsidR="00AA6604" w:rsidRPr="00284A92">
        <w:rPr>
          <w:rFonts w:ascii="Arial" w:hAnsi="Arial" w:cs="Arial"/>
          <w:b/>
          <w:bCs/>
          <w:color w:val="0A0A0A"/>
          <w:shd w:val="clear" w:color="auto" w:fill="FFFFFF"/>
        </w:rPr>
        <w:t>SWOT Analysis:</w:t>
      </w:r>
    </w:p>
    <w:p w14:paraId="6ABBAC67" w14:textId="11B0F65C" w:rsidR="00641019" w:rsidRPr="00284A92" w:rsidRDefault="00641019" w:rsidP="00284A92">
      <w:pPr>
        <w:spacing w:line="360" w:lineRule="auto"/>
        <w:jc w:val="both"/>
        <w:rPr>
          <w:rFonts w:ascii="Arial" w:hAnsi="Arial" w:cs="Arial"/>
        </w:rPr>
      </w:pPr>
      <w:r w:rsidRPr="00284A92">
        <w:rPr>
          <w:rFonts w:ascii="Arial" w:hAnsi="Arial" w:cs="Arial"/>
        </w:rPr>
        <w:t xml:space="preserve">A planning tool used to understand key factors involved in a project or an organisation. Often used as part of strategic planning but can be applied to help understand an organisation or a situation, </w:t>
      </w:r>
      <w:proofErr w:type="gramStart"/>
      <w:r w:rsidRPr="00284A92">
        <w:rPr>
          <w:rFonts w:ascii="Arial" w:hAnsi="Arial" w:cs="Arial"/>
        </w:rPr>
        <w:t>and also</w:t>
      </w:r>
      <w:proofErr w:type="gramEnd"/>
      <w:r w:rsidRPr="00284A92">
        <w:rPr>
          <w:rFonts w:ascii="Arial" w:hAnsi="Arial" w:cs="Arial"/>
        </w:rPr>
        <w:t xml:space="preserve"> decision making</w:t>
      </w:r>
      <w:r w:rsidR="00B8371F" w:rsidRPr="00284A92">
        <w:rPr>
          <w:rFonts w:ascii="Arial" w:hAnsi="Arial" w:cs="Arial"/>
        </w:rPr>
        <w:t>.</w:t>
      </w:r>
      <w:r w:rsidR="007D14A0" w:rsidRPr="00284A92">
        <w:rPr>
          <w:rFonts w:ascii="Arial" w:hAnsi="Arial" w:cs="Arial"/>
        </w:rPr>
        <w:t xml:space="preserve"> According to </w:t>
      </w:r>
      <w:proofErr w:type="spellStart"/>
      <w:r w:rsidR="007D14A0" w:rsidRPr="00284A92">
        <w:rPr>
          <w:rFonts w:ascii="Arial" w:hAnsi="Arial" w:cs="Arial"/>
        </w:rPr>
        <w:t>Pandyaswargo</w:t>
      </w:r>
      <w:proofErr w:type="spellEnd"/>
      <w:r w:rsidR="007D14A0" w:rsidRPr="00284A92">
        <w:rPr>
          <w:rFonts w:ascii="Arial" w:hAnsi="Arial" w:cs="Arial"/>
        </w:rPr>
        <w:t xml:space="preserve"> et al.</w:t>
      </w:r>
      <w:r w:rsidR="00314ADC" w:rsidRPr="00284A92">
        <w:rPr>
          <w:rFonts w:ascii="Arial" w:hAnsi="Arial" w:cs="Arial"/>
        </w:rPr>
        <w:t xml:space="preserve"> (2021), the growth of the electrical vehicle and battery industry in Indonesia is closely linked to policy actions such as nickel</w:t>
      </w:r>
      <w:r w:rsidR="00014365" w:rsidRPr="00284A92">
        <w:rPr>
          <w:rFonts w:ascii="Arial" w:hAnsi="Arial" w:cs="Arial"/>
        </w:rPr>
        <w:t xml:space="preserve"> or export ban and a swot analysis highlights the sector’s main strengths, weakness, opportunities and challenges</w:t>
      </w:r>
    </w:p>
    <w:p w14:paraId="714D9F42" w14:textId="3BBCD677" w:rsidR="00AA6260" w:rsidRPr="00284A92" w:rsidRDefault="00AA6260" w:rsidP="00284A92">
      <w:pPr>
        <w:spacing w:line="360" w:lineRule="auto"/>
        <w:jc w:val="both"/>
        <w:rPr>
          <w:rFonts w:ascii="Arial" w:hAnsi="Arial" w:cs="Arial"/>
        </w:rPr>
      </w:pPr>
      <w:r w:rsidRPr="00284A92">
        <w:rPr>
          <w:rFonts w:ascii="Arial" w:hAnsi="Arial" w:cs="Arial"/>
        </w:rPr>
        <w:t>Strengths:</w:t>
      </w:r>
    </w:p>
    <w:p w14:paraId="7B8E5E72" w14:textId="1253D086" w:rsidR="00AA6260" w:rsidRPr="00284A92" w:rsidRDefault="00917B81" w:rsidP="00284A92">
      <w:pPr>
        <w:spacing w:line="360" w:lineRule="auto"/>
        <w:jc w:val="both"/>
        <w:rPr>
          <w:rFonts w:ascii="Arial" w:hAnsi="Arial" w:cs="Arial"/>
        </w:rPr>
      </w:pPr>
      <w:r w:rsidRPr="00284A92">
        <w:rPr>
          <w:rFonts w:ascii="Arial" w:hAnsi="Arial" w:cs="Arial"/>
        </w:rPr>
        <w:t>T</w:t>
      </w:r>
      <w:r w:rsidR="00AA6260" w:rsidRPr="00284A92">
        <w:rPr>
          <w:rFonts w:ascii="Arial" w:hAnsi="Arial" w:cs="Arial"/>
        </w:rPr>
        <w:t>he UK EV sector is supported by f</w:t>
      </w:r>
      <w:r w:rsidRPr="00284A92">
        <w:rPr>
          <w:rFonts w:ascii="Arial" w:hAnsi="Arial" w:cs="Arial"/>
        </w:rPr>
        <w:t>ast</w:t>
      </w:r>
      <w:r w:rsidR="00AA6260" w:rsidRPr="00284A92">
        <w:rPr>
          <w:rFonts w:ascii="Arial" w:hAnsi="Arial" w:cs="Arial"/>
        </w:rPr>
        <w:t xml:space="preserve"> placed technological progress</w:t>
      </w:r>
      <w:r w:rsidRPr="00284A92">
        <w:rPr>
          <w:rFonts w:ascii="Arial" w:hAnsi="Arial" w:cs="Arial"/>
        </w:rPr>
        <w:t>, your wider choice of models and strong government commitments to reducing emissions</w:t>
      </w:r>
      <w:r w:rsidR="0090390D" w:rsidRPr="00284A92">
        <w:rPr>
          <w:rFonts w:ascii="Arial" w:hAnsi="Arial" w:cs="Arial"/>
        </w:rPr>
        <w:t>. Public interest in cleaner transport is also steadily rising.</w:t>
      </w:r>
    </w:p>
    <w:p w14:paraId="49853722" w14:textId="359E8F26" w:rsidR="0090390D" w:rsidRPr="00284A92" w:rsidRDefault="0090390D" w:rsidP="00284A92">
      <w:pPr>
        <w:spacing w:line="360" w:lineRule="auto"/>
        <w:jc w:val="both"/>
        <w:rPr>
          <w:rFonts w:ascii="Arial" w:hAnsi="Arial" w:cs="Arial"/>
        </w:rPr>
      </w:pPr>
      <w:r w:rsidRPr="00284A92">
        <w:rPr>
          <w:rFonts w:ascii="Arial" w:hAnsi="Arial" w:cs="Arial"/>
        </w:rPr>
        <w:t>Weakness:</w:t>
      </w:r>
    </w:p>
    <w:p w14:paraId="7C98DC73" w14:textId="1FE2222C" w:rsidR="001059AD" w:rsidRPr="00284A92" w:rsidRDefault="005C415F" w:rsidP="00284A92">
      <w:pPr>
        <w:spacing w:line="360" w:lineRule="auto"/>
        <w:jc w:val="both"/>
        <w:rPr>
          <w:rFonts w:ascii="Arial" w:hAnsi="Arial" w:cs="Arial"/>
        </w:rPr>
      </w:pPr>
      <w:r w:rsidRPr="00284A92">
        <w:rPr>
          <w:rFonts w:ascii="Arial" w:hAnsi="Arial" w:cs="Arial"/>
        </w:rPr>
        <w:t>High purchase prices continue to</w:t>
      </w:r>
      <w:r w:rsidR="00D86515" w:rsidRPr="00284A92">
        <w:rPr>
          <w:rFonts w:ascii="Arial" w:hAnsi="Arial" w:cs="Arial"/>
        </w:rPr>
        <w:t xml:space="preserve"> limit accessibility for many consumers. Charging availability varies greatly between regions and the industry remains</w:t>
      </w:r>
      <w:r w:rsidR="00AC10F0" w:rsidRPr="00284A92">
        <w:rPr>
          <w:rFonts w:ascii="Arial" w:hAnsi="Arial" w:cs="Arial"/>
        </w:rPr>
        <w:t xml:space="preserve"> dependent on imported battery materials</w:t>
      </w:r>
      <w:r w:rsidR="001059AD" w:rsidRPr="00284A92">
        <w:rPr>
          <w:rFonts w:ascii="Arial" w:hAnsi="Arial" w:cs="Arial"/>
        </w:rPr>
        <w:t xml:space="preserve"> creating supply vulnerabilities.</w:t>
      </w:r>
    </w:p>
    <w:p w14:paraId="27C6F318" w14:textId="467BE479" w:rsidR="001059AD" w:rsidRPr="00284A92" w:rsidRDefault="001059AD" w:rsidP="00284A92">
      <w:pPr>
        <w:spacing w:line="360" w:lineRule="auto"/>
        <w:jc w:val="both"/>
        <w:rPr>
          <w:rFonts w:ascii="Arial" w:hAnsi="Arial" w:cs="Arial"/>
        </w:rPr>
      </w:pPr>
      <w:r w:rsidRPr="00284A92">
        <w:rPr>
          <w:rFonts w:ascii="Arial" w:hAnsi="Arial" w:cs="Arial"/>
        </w:rPr>
        <w:t>Opportunities:</w:t>
      </w:r>
    </w:p>
    <w:p w14:paraId="77C1A85E" w14:textId="7CD3709D" w:rsidR="001059AD" w:rsidRPr="00284A92" w:rsidRDefault="001059AD" w:rsidP="00284A92">
      <w:pPr>
        <w:spacing w:line="360" w:lineRule="auto"/>
        <w:jc w:val="both"/>
        <w:rPr>
          <w:rFonts w:ascii="Arial" w:hAnsi="Arial" w:cs="Arial"/>
        </w:rPr>
      </w:pPr>
      <w:r w:rsidRPr="00284A92">
        <w:rPr>
          <w:rFonts w:ascii="Arial" w:hAnsi="Arial" w:cs="Arial"/>
        </w:rPr>
        <w:t>growth opportunities include expanding domestic battery production</w:t>
      </w:r>
      <w:r w:rsidR="009B7FE0" w:rsidRPr="00284A92">
        <w:rPr>
          <w:rFonts w:ascii="Arial" w:hAnsi="Arial" w:cs="Arial"/>
        </w:rPr>
        <w:t xml:space="preserve"> and advancing smart charging renewable integration and vehicle to grid technologies. New services such as</w:t>
      </w:r>
      <w:r w:rsidR="00A96294" w:rsidRPr="00284A92">
        <w:rPr>
          <w:rFonts w:ascii="Arial" w:hAnsi="Arial" w:cs="Arial"/>
        </w:rPr>
        <w:t xml:space="preserve"> leasing and mobility solution also offer potential for market expansion.</w:t>
      </w:r>
    </w:p>
    <w:p w14:paraId="2B78CE2E" w14:textId="785DCE50" w:rsidR="009F2062" w:rsidRPr="00284A92" w:rsidRDefault="009F2062" w:rsidP="00284A92">
      <w:pPr>
        <w:spacing w:line="360" w:lineRule="auto"/>
        <w:jc w:val="both"/>
        <w:rPr>
          <w:rFonts w:ascii="Arial" w:hAnsi="Arial" w:cs="Arial"/>
        </w:rPr>
      </w:pPr>
      <w:r w:rsidRPr="00284A92">
        <w:rPr>
          <w:rFonts w:ascii="Arial" w:hAnsi="Arial" w:cs="Arial"/>
        </w:rPr>
        <w:t>Threats:</w:t>
      </w:r>
    </w:p>
    <w:p w14:paraId="1B0F2290" w14:textId="58D37F58" w:rsidR="009F2062" w:rsidRPr="00284A92" w:rsidRDefault="009F2062" w:rsidP="00284A92">
      <w:pPr>
        <w:spacing w:line="360" w:lineRule="auto"/>
        <w:jc w:val="both"/>
        <w:rPr>
          <w:rFonts w:ascii="Arial" w:hAnsi="Arial" w:cs="Arial"/>
        </w:rPr>
      </w:pPr>
      <w:r w:rsidRPr="00284A92">
        <w:rPr>
          <w:rFonts w:ascii="Arial" w:hAnsi="Arial" w:cs="Arial"/>
        </w:rPr>
        <w:t>the industry faces competition from low-cost international EV manufacturers,</w:t>
      </w:r>
      <w:r w:rsidR="00B847B3" w:rsidRPr="00284A92">
        <w:rPr>
          <w:rFonts w:ascii="Arial" w:hAnsi="Arial" w:cs="Arial"/>
        </w:rPr>
        <w:t xml:space="preserve"> alongside risks from supply chain disruptions and material shortages</w:t>
      </w:r>
      <w:r w:rsidR="00A15A35" w:rsidRPr="00284A92">
        <w:rPr>
          <w:rFonts w:ascii="Arial" w:hAnsi="Arial" w:cs="Arial"/>
        </w:rPr>
        <w:t>. Uncertain are changing government policies may also hinder long-term investment and planning.</w:t>
      </w:r>
    </w:p>
    <w:p w14:paraId="36EDC6B0" w14:textId="235BB59E" w:rsidR="00787FA6" w:rsidRPr="00284A92" w:rsidRDefault="00787FA6" w:rsidP="00284A92">
      <w:pPr>
        <w:spacing w:line="360" w:lineRule="auto"/>
        <w:jc w:val="both"/>
        <w:rPr>
          <w:rFonts w:ascii="Arial" w:hAnsi="Arial" w:cs="Arial"/>
          <w:b/>
          <w:bCs/>
        </w:rPr>
      </w:pPr>
      <w:r w:rsidRPr="00284A92">
        <w:rPr>
          <w:rFonts w:ascii="Arial" w:hAnsi="Arial" w:cs="Arial"/>
          <w:b/>
          <w:bCs/>
        </w:rPr>
        <w:t xml:space="preserve">Conclusion, </w:t>
      </w:r>
      <w:r w:rsidR="004C6C92" w:rsidRPr="00284A92">
        <w:rPr>
          <w:rFonts w:ascii="Arial" w:hAnsi="Arial" w:cs="Arial"/>
          <w:b/>
          <w:bCs/>
        </w:rPr>
        <w:t>Limitations and Recommendations:</w:t>
      </w:r>
    </w:p>
    <w:p w14:paraId="25A1E034" w14:textId="2CC0B859" w:rsidR="00806D1F" w:rsidRPr="00284A92" w:rsidRDefault="00243057" w:rsidP="00284A92">
      <w:pPr>
        <w:spacing w:line="360" w:lineRule="auto"/>
        <w:jc w:val="both"/>
        <w:rPr>
          <w:rFonts w:ascii="Arial" w:hAnsi="Arial" w:cs="Arial"/>
        </w:rPr>
      </w:pPr>
      <w:r w:rsidRPr="00284A92">
        <w:rPr>
          <w:rFonts w:ascii="Arial" w:hAnsi="Arial" w:cs="Arial"/>
        </w:rPr>
        <w:t>Conclusion:</w:t>
      </w:r>
    </w:p>
    <w:p w14:paraId="0907BB5C" w14:textId="19B63BA3" w:rsidR="00243057" w:rsidRPr="00284A92" w:rsidRDefault="00243057" w:rsidP="00284A92">
      <w:pPr>
        <w:spacing w:line="360" w:lineRule="auto"/>
        <w:jc w:val="both"/>
        <w:rPr>
          <w:rFonts w:ascii="Arial" w:hAnsi="Arial" w:cs="Arial"/>
        </w:rPr>
      </w:pPr>
      <w:r w:rsidRPr="00284A92">
        <w:rPr>
          <w:rFonts w:ascii="Arial" w:hAnsi="Arial" w:cs="Arial"/>
        </w:rPr>
        <w:t>The UK electric vehicle industry shaped by a wide range of external influences,</w:t>
      </w:r>
      <w:r w:rsidR="007C02B1" w:rsidRPr="00284A92">
        <w:rPr>
          <w:rFonts w:ascii="Arial" w:hAnsi="Arial" w:cs="Arial"/>
        </w:rPr>
        <w:t xml:space="preserve"> including policy directions economic conditions, technological process and changing social attitudes</w:t>
      </w:r>
      <w:r w:rsidR="00BC511E" w:rsidRPr="00284A92">
        <w:rPr>
          <w:rFonts w:ascii="Arial" w:hAnsi="Arial" w:cs="Arial"/>
        </w:rPr>
        <w:t xml:space="preserve">. The </w:t>
      </w:r>
      <w:r w:rsidR="00912A44" w:rsidRPr="00284A92">
        <w:rPr>
          <w:rFonts w:ascii="Arial" w:hAnsi="Arial" w:cs="Arial"/>
        </w:rPr>
        <w:t xml:space="preserve">PESTLE </w:t>
      </w:r>
      <w:r w:rsidR="00BC511E" w:rsidRPr="00284A92">
        <w:rPr>
          <w:rFonts w:ascii="Arial" w:hAnsi="Arial" w:cs="Arial"/>
        </w:rPr>
        <w:t>analysis</w:t>
      </w:r>
      <w:r w:rsidR="00912A44" w:rsidRPr="00284A92">
        <w:rPr>
          <w:rFonts w:ascii="Arial" w:hAnsi="Arial" w:cs="Arial"/>
        </w:rPr>
        <w:t xml:space="preserve"> shows that government support and innovation are driving growth, while the high cost, uneven infrastructure</w:t>
      </w:r>
      <w:r w:rsidR="00D75A50" w:rsidRPr="00284A92">
        <w:rPr>
          <w:rFonts w:ascii="Arial" w:hAnsi="Arial" w:cs="Arial"/>
        </w:rPr>
        <w:t>, supply chain issues and policy uncertainty remains significant barriers. The SWOT findings</w:t>
      </w:r>
      <w:r w:rsidR="00AE2FE1" w:rsidRPr="00284A92">
        <w:rPr>
          <w:rFonts w:ascii="Arial" w:hAnsi="Arial" w:cs="Arial"/>
        </w:rPr>
        <w:t xml:space="preserve"> further highlight that sector is strong potential but faces increasing global competition and material shortages overall the industry is moving forward,</w:t>
      </w:r>
      <w:r w:rsidR="00C56C37" w:rsidRPr="00284A92">
        <w:rPr>
          <w:rFonts w:ascii="Arial" w:hAnsi="Arial" w:cs="Arial"/>
        </w:rPr>
        <w:t xml:space="preserve"> but continued progress depends on</w:t>
      </w:r>
      <w:r w:rsidR="00327718" w:rsidRPr="00284A92">
        <w:rPr>
          <w:rFonts w:ascii="Arial" w:hAnsi="Arial" w:cs="Arial"/>
        </w:rPr>
        <w:t xml:space="preserve"> stable policies improved infrastructure and stronger domestic capabilities.</w:t>
      </w:r>
    </w:p>
    <w:p w14:paraId="2B51F49C" w14:textId="6F21F81B" w:rsidR="00327718" w:rsidRPr="00284A92" w:rsidRDefault="003D5776" w:rsidP="00284A92">
      <w:pPr>
        <w:spacing w:line="360" w:lineRule="auto"/>
        <w:jc w:val="both"/>
        <w:rPr>
          <w:rFonts w:ascii="Arial" w:hAnsi="Arial" w:cs="Arial"/>
        </w:rPr>
      </w:pPr>
      <w:r w:rsidRPr="00284A92">
        <w:rPr>
          <w:rFonts w:ascii="Arial" w:hAnsi="Arial" w:cs="Arial"/>
        </w:rPr>
        <w:t>Limitations:</w:t>
      </w:r>
    </w:p>
    <w:p w14:paraId="52C23BC1" w14:textId="2CDA17F5" w:rsidR="003D5776" w:rsidRPr="00284A92" w:rsidRDefault="003D5776" w:rsidP="00284A92">
      <w:pPr>
        <w:spacing w:line="360" w:lineRule="auto"/>
        <w:jc w:val="both"/>
        <w:rPr>
          <w:rFonts w:ascii="Arial" w:hAnsi="Arial" w:cs="Arial"/>
        </w:rPr>
      </w:pPr>
      <w:r w:rsidRPr="00284A92">
        <w:rPr>
          <w:rFonts w:ascii="Arial" w:hAnsi="Arial" w:cs="Arial"/>
        </w:rPr>
        <w:t>This analysis is limited by rapidly changing industry developments</w:t>
      </w:r>
      <w:r w:rsidR="00FB106F" w:rsidRPr="00284A92">
        <w:rPr>
          <w:rFonts w:ascii="Arial" w:hAnsi="Arial" w:cs="Arial"/>
        </w:rPr>
        <w:t>, the data availability on charging networks and supply chains, and the focus on external factors</w:t>
      </w:r>
      <w:r w:rsidR="00AC6D6B" w:rsidRPr="00284A92">
        <w:rPr>
          <w:rFonts w:ascii="Arial" w:hAnsi="Arial" w:cs="Arial"/>
        </w:rPr>
        <w:t xml:space="preserve"> rather than internal organisational strategies. Global influences also</w:t>
      </w:r>
      <w:r w:rsidR="000E5D64" w:rsidRPr="00284A92">
        <w:rPr>
          <w:rFonts w:ascii="Arial" w:hAnsi="Arial" w:cs="Arial"/>
        </w:rPr>
        <w:t xml:space="preserve"> add complexity that cannot be fully captured within the UK only assessment.</w:t>
      </w:r>
    </w:p>
    <w:p w14:paraId="35A18F0B" w14:textId="2894FA7A" w:rsidR="000E5D64" w:rsidRPr="00284A92" w:rsidRDefault="000E5D64" w:rsidP="00284A92">
      <w:pPr>
        <w:spacing w:line="360" w:lineRule="auto"/>
        <w:jc w:val="both"/>
        <w:rPr>
          <w:rFonts w:ascii="Arial" w:hAnsi="Arial" w:cs="Arial"/>
        </w:rPr>
      </w:pPr>
      <w:r w:rsidRPr="00284A92">
        <w:rPr>
          <w:rFonts w:ascii="Arial" w:hAnsi="Arial" w:cs="Arial"/>
        </w:rPr>
        <w:t>Recommendations:</w:t>
      </w:r>
    </w:p>
    <w:p w14:paraId="628D791C" w14:textId="77777777" w:rsidR="00591E97" w:rsidRPr="00284A92" w:rsidRDefault="00D2525D" w:rsidP="00284A92">
      <w:pPr>
        <w:spacing w:line="360" w:lineRule="auto"/>
        <w:jc w:val="both"/>
        <w:rPr>
          <w:rFonts w:ascii="Arial" w:hAnsi="Arial" w:cs="Arial"/>
        </w:rPr>
      </w:pPr>
      <w:r w:rsidRPr="00284A92">
        <w:rPr>
          <w:rFonts w:ascii="Arial" w:hAnsi="Arial" w:cs="Arial"/>
        </w:rPr>
        <w:t xml:space="preserve">Maintain clear, consistent government policy to support long-term investment. </w:t>
      </w:r>
      <w:r w:rsidR="009C365E" w:rsidRPr="00284A92">
        <w:rPr>
          <w:rFonts w:ascii="Arial" w:hAnsi="Arial" w:cs="Arial"/>
        </w:rPr>
        <w:t>Improve charging infrastructure especially in rural areas, strengthen domestic battery production</w:t>
      </w:r>
      <w:r w:rsidR="00676990" w:rsidRPr="00284A92">
        <w:rPr>
          <w:rFonts w:ascii="Arial" w:hAnsi="Arial" w:cs="Arial"/>
        </w:rPr>
        <w:t xml:space="preserve"> and recycling to reduce import reliance. Support further innovation in batteries smart charging and digital mobility. Increase public </w:t>
      </w:r>
      <w:r w:rsidR="00DA4E00" w:rsidRPr="00284A92">
        <w:rPr>
          <w:rFonts w:ascii="Arial" w:hAnsi="Arial" w:cs="Arial"/>
        </w:rPr>
        <w:t>awareness to build consumer confidence.</w:t>
      </w:r>
    </w:p>
    <w:p w14:paraId="2467D7CE" w14:textId="2DF300B8" w:rsidR="00EA34A8" w:rsidRPr="00284A92" w:rsidRDefault="00EA34A8" w:rsidP="00284A92">
      <w:pPr>
        <w:spacing w:line="360" w:lineRule="auto"/>
        <w:jc w:val="both"/>
        <w:rPr>
          <w:rFonts w:ascii="Arial" w:hAnsi="Arial" w:cs="Arial"/>
          <w:b/>
          <w:bCs/>
        </w:rPr>
      </w:pPr>
      <w:r w:rsidRPr="00284A92">
        <w:rPr>
          <w:rFonts w:ascii="Arial" w:eastAsia="Times New Roman" w:hAnsi="Arial" w:cs="Arial"/>
          <w:b/>
          <w:bCs/>
          <w:kern w:val="0"/>
          <w:lang w:eastAsia="en-GB"/>
        </w:rPr>
        <w:t>References:</w:t>
      </w:r>
    </w:p>
    <w:p w14:paraId="1D20221A" w14:textId="77777777" w:rsidR="00EA34A8" w:rsidRPr="00284A92" w:rsidRDefault="00EA34A8"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Anastasiadou, K. and </w:t>
      </w:r>
      <w:proofErr w:type="spellStart"/>
      <w:r w:rsidRPr="00284A92">
        <w:rPr>
          <w:rFonts w:ascii="Arial" w:eastAsia="Times New Roman" w:hAnsi="Arial" w:cs="Arial"/>
          <w:kern w:val="0"/>
          <w:lang w:eastAsia="en-GB"/>
        </w:rPr>
        <w:t>Gavanas</w:t>
      </w:r>
      <w:proofErr w:type="spellEnd"/>
      <w:r w:rsidRPr="00284A92">
        <w:rPr>
          <w:rFonts w:ascii="Arial" w:eastAsia="Times New Roman" w:hAnsi="Arial" w:cs="Arial"/>
          <w:kern w:val="0"/>
          <w:lang w:eastAsia="en-GB"/>
        </w:rPr>
        <w:t>, N., 2022. State-of-the-art review of the key factors affecting electric vehicle adoption by consumers. Energies, 15(24), p.9409.</w:t>
      </w:r>
    </w:p>
    <w:p w14:paraId="6A5D8D75" w14:textId="5E437F69" w:rsidR="00EA34A8" w:rsidRPr="00284A92" w:rsidRDefault="00EA34A8"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11" w:history="1">
        <w:r w:rsidRPr="00284A92">
          <w:rPr>
            <w:rStyle w:val="Hyperlink"/>
            <w:rFonts w:ascii="Arial" w:eastAsia="Times New Roman" w:hAnsi="Arial" w:cs="Arial"/>
            <w:kern w:val="0"/>
            <w:lang w:eastAsia="en-GB"/>
          </w:rPr>
          <w:t>https://www.mdpi.com/1996-1073/15/24/9409</w:t>
        </w:r>
      </w:hyperlink>
    </w:p>
    <w:p w14:paraId="76068FD4" w14:textId="77777777" w:rsidR="00F91EAF" w:rsidRPr="00284A92" w:rsidRDefault="00F91EAF" w:rsidP="00284A92">
      <w:pPr>
        <w:spacing w:line="360" w:lineRule="auto"/>
        <w:jc w:val="both"/>
        <w:rPr>
          <w:rFonts w:ascii="Arial" w:eastAsia="Times New Roman" w:hAnsi="Arial" w:cs="Arial"/>
          <w:kern w:val="0"/>
          <w:lang w:eastAsia="en-GB"/>
        </w:rPr>
      </w:pPr>
    </w:p>
    <w:p w14:paraId="577204F8" w14:textId="4DC1A825" w:rsidR="00F91EAF" w:rsidRPr="00284A92" w:rsidRDefault="00F91EAF"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Bathla, D., Awasthi, S. and Ahuja, R., 2022. PESTEL Analysis of the Automotive Industry. In </w:t>
      </w:r>
      <w:r w:rsidRPr="00284A92">
        <w:rPr>
          <w:rFonts w:ascii="Arial" w:eastAsia="Times New Roman" w:hAnsi="Arial" w:cs="Arial"/>
          <w:i/>
          <w:iCs/>
          <w:kern w:val="0"/>
          <w:lang w:eastAsia="en-GB"/>
        </w:rPr>
        <w:t xml:space="preserve">Applying </w:t>
      </w:r>
      <w:proofErr w:type="spellStart"/>
      <w:r w:rsidRPr="00284A92">
        <w:rPr>
          <w:rFonts w:ascii="Arial" w:eastAsia="Times New Roman" w:hAnsi="Arial" w:cs="Arial"/>
          <w:i/>
          <w:iCs/>
          <w:kern w:val="0"/>
          <w:lang w:eastAsia="en-GB"/>
        </w:rPr>
        <w:t>Metalytics</w:t>
      </w:r>
      <w:proofErr w:type="spellEnd"/>
      <w:r w:rsidRPr="00284A92">
        <w:rPr>
          <w:rFonts w:ascii="Arial" w:eastAsia="Times New Roman" w:hAnsi="Arial" w:cs="Arial"/>
          <w:i/>
          <w:iCs/>
          <w:kern w:val="0"/>
          <w:lang w:eastAsia="en-GB"/>
        </w:rPr>
        <w:t xml:space="preserve"> to Measure Customer Experience in the Metaverse</w:t>
      </w:r>
      <w:r w:rsidRPr="00284A92">
        <w:rPr>
          <w:rFonts w:ascii="Arial" w:eastAsia="Times New Roman" w:hAnsi="Arial" w:cs="Arial"/>
          <w:kern w:val="0"/>
          <w:lang w:eastAsia="en-GB"/>
        </w:rPr>
        <w:t> (pp. 143-160). IGI Global Scientific Publishing.</w:t>
      </w:r>
    </w:p>
    <w:p w14:paraId="50349A71" w14:textId="77777777" w:rsidR="000A3EC7" w:rsidRPr="00284A92" w:rsidRDefault="00F91EAF"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p>
    <w:p w14:paraId="545E41EF" w14:textId="2D5DA37F" w:rsidR="00F91EAF" w:rsidRPr="00284A92" w:rsidRDefault="000A3EC7" w:rsidP="00284A92">
      <w:pPr>
        <w:spacing w:line="360" w:lineRule="auto"/>
        <w:jc w:val="both"/>
        <w:rPr>
          <w:rFonts w:ascii="Arial" w:eastAsia="Times New Roman" w:hAnsi="Arial" w:cs="Arial"/>
          <w:kern w:val="0"/>
          <w:lang w:eastAsia="en-GB"/>
        </w:rPr>
      </w:pPr>
      <w:hyperlink r:id="rId12" w:anchor="page=164" w:history="1">
        <w:r w:rsidRPr="00284A92">
          <w:rPr>
            <w:rStyle w:val="Hyperlink"/>
            <w:rFonts w:ascii="Arial" w:eastAsia="Times New Roman" w:hAnsi="Arial" w:cs="Arial"/>
            <w:kern w:val="0"/>
            <w:lang w:eastAsia="en-GB"/>
          </w:rPr>
          <w:t>https://www.researchgate.net/profile/Rohit-Markan/publication/362591143_Factors_Influencing_Imbursements_Study_on_Payment_Preference_Among_Cash_MW_and_NFC/links/668777372aa57f3b826edc56/Factors-Influencing-Imbursements-Study-on-Payment-Preference-Among-Cash-MW-and-NFC.pdf#page=164</w:t>
        </w:r>
      </w:hyperlink>
    </w:p>
    <w:p w14:paraId="59881522" w14:textId="77777777" w:rsidR="00E6759B" w:rsidRPr="00284A92" w:rsidRDefault="00E6759B" w:rsidP="00284A92">
      <w:pPr>
        <w:spacing w:line="360" w:lineRule="auto"/>
        <w:jc w:val="both"/>
        <w:rPr>
          <w:rFonts w:ascii="Arial" w:eastAsia="Times New Roman" w:hAnsi="Arial" w:cs="Arial"/>
          <w:kern w:val="0"/>
          <w:lang w:eastAsia="en-GB"/>
        </w:rPr>
      </w:pPr>
    </w:p>
    <w:p w14:paraId="0BBB8F7F" w14:textId="73E1D8AE" w:rsidR="00E6759B" w:rsidRPr="00284A92" w:rsidRDefault="00E6759B"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Chamberlain, K. and Al Majeed, S., 2021. Evaluating the barrier effects of charge point trauma on UK electric vehicle growth. </w:t>
      </w:r>
      <w:r w:rsidRPr="00284A92">
        <w:rPr>
          <w:rFonts w:ascii="Arial" w:eastAsia="Times New Roman" w:hAnsi="Arial" w:cs="Arial"/>
          <w:i/>
          <w:iCs/>
          <w:kern w:val="0"/>
          <w:lang w:eastAsia="en-GB"/>
        </w:rPr>
        <w:t>World Electric Vehicle Journal</w:t>
      </w:r>
      <w:r w:rsidRPr="00284A92">
        <w:rPr>
          <w:rFonts w:ascii="Arial" w:eastAsia="Times New Roman" w:hAnsi="Arial" w:cs="Arial"/>
          <w:kern w:val="0"/>
          <w:lang w:eastAsia="en-GB"/>
        </w:rPr>
        <w:t>, </w:t>
      </w:r>
      <w:r w:rsidRPr="00284A92">
        <w:rPr>
          <w:rFonts w:ascii="Arial" w:eastAsia="Times New Roman" w:hAnsi="Arial" w:cs="Arial"/>
          <w:i/>
          <w:iCs/>
          <w:kern w:val="0"/>
          <w:lang w:eastAsia="en-GB"/>
        </w:rPr>
        <w:t>12</w:t>
      </w:r>
      <w:r w:rsidRPr="00284A92">
        <w:rPr>
          <w:rFonts w:ascii="Arial" w:eastAsia="Times New Roman" w:hAnsi="Arial" w:cs="Arial"/>
          <w:kern w:val="0"/>
          <w:lang w:eastAsia="en-GB"/>
        </w:rPr>
        <w:t>(3), p.152.</w:t>
      </w:r>
    </w:p>
    <w:p w14:paraId="2F41B7E9" w14:textId="049E2A2A" w:rsidR="00E6759B" w:rsidRPr="00284A92" w:rsidRDefault="00E6759B"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Available at:</w:t>
      </w:r>
      <w:r w:rsidR="00414428" w:rsidRPr="00284A92">
        <w:rPr>
          <w:rFonts w:ascii="Arial" w:eastAsia="Times New Roman" w:hAnsi="Arial" w:cs="Arial"/>
          <w:kern w:val="0"/>
          <w:lang w:eastAsia="en-GB"/>
        </w:rPr>
        <w:t xml:space="preserve"> </w:t>
      </w:r>
      <w:hyperlink r:id="rId13" w:history="1">
        <w:r w:rsidR="00414428" w:rsidRPr="00284A92">
          <w:rPr>
            <w:rStyle w:val="Hyperlink"/>
            <w:rFonts w:ascii="Arial" w:eastAsia="Times New Roman" w:hAnsi="Arial" w:cs="Arial"/>
            <w:kern w:val="0"/>
            <w:lang w:eastAsia="en-GB"/>
          </w:rPr>
          <w:t>https://www.mdpi.com/2032-6653/12/3/152/pdf</w:t>
        </w:r>
      </w:hyperlink>
    </w:p>
    <w:p w14:paraId="3FF55975" w14:textId="77777777" w:rsidR="00775A3B" w:rsidRPr="00284A92" w:rsidRDefault="00775A3B" w:rsidP="00284A92">
      <w:pPr>
        <w:spacing w:line="360" w:lineRule="auto"/>
        <w:jc w:val="both"/>
        <w:rPr>
          <w:rFonts w:ascii="Arial" w:eastAsia="Times New Roman" w:hAnsi="Arial" w:cs="Arial"/>
          <w:kern w:val="0"/>
          <w:lang w:eastAsia="en-GB"/>
        </w:rPr>
      </w:pPr>
    </w:p>
    <w:p w14:paraId="2307CBA9" w14:textId="77777777" w:rsidR="00775A3B" w:rsidRPr="00284A92" w:rsidRDefault="00775A3B"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Debnath, R., Bardhan, R., Reiner, D.M. and Miller, J.R., 2021. Political, economic, social, technological, legal and environmental dimensions of electric vehicle adoption in the United States: A social-media interaction analysis. </w:t>
      </w:r>
      <w:r w:rsidRPr="00284A92">
        <w:rPr>
          <w:rFonts w:ascii="Arial" w:eastAsia="Times New Roman" w:hAnsi="Arial" w:cs="Arial"/>
          <w:i/>
          <w:iCs/>
          <w:kern w:val="0"/>
          <w:lang w:eastAsia="en-GB"/>
        </w:rPr>
        <w:t>Renewable and Sustainable Energy Reviews</w:t>
      </w:r>
      <w:r w:rsidRPr="00284A92">
        <w:rPr>
          <w:rFonts w:ascii="Arial" w:eastAsia="Times New Roman" w:hAnsi="Arial" w:cs="Arial"/>
          <w:kern w:val="0"/>
          <w:lang w:eastAsia="en-GB"/>
        </w:rPr>
        <w:t>, </w:t>
      </w:r>
      <w:r w:rsidRPr="00284A92">
        <w:rPr>
          <w:rFonts w:ascii="Arial" w:eastAsia="Times New Roman" w:hAnsi="Arial" w:cs="Arial"/>
          <w:i/>
          <w:iCs/>
          <w:kern w:val="0"/>
          <w:lang w:eastAsia="en-GB"/>
        </w:rPr>
        <w:t>152</w:t>
      </w:r>
      <w:r w:rsidRPr="00284A92">
        <w:rPr>
          <w:rFonts w:ascii="Arial" w:eastAsia="Times New Roman" w:hAnsi="Arial" w:cs="Arial"/>
          <w:kern w:val="0"/>
          <w:lang w:eastAsia="en-GB"/>
        </w:rPr>
        <w:t>, p.11170</w:t>
      </w:r>
    </w:p>
    <w:p w14:paraId="7D1CE3B0" w14:textId="77777777" w:rsidR="00775A3B" w:rsidRPr="00284A92" w:rsidRDefault="00775A3B" w:rsidP="00284A92">
      <w:pPr>
        <w:spacing w:line="360" w:lineRule="auto"/>
        <w:jc w:val="both"/>
        <w:rPr>
          <w:rFonts w:ascii="Arial" w:eastAsia="Times New Roman" w:hAnsi="Arial" w:cs="Arial"/>
          <w:kern w:val="0"/>
          <w:lang w:eastAsia="en-GB"/>
        </w:rPr>
      </w:pPr>
      <w:proofErr w:type="spellStart"/>
      <w:r w:rsidRPr="00284A92">
        <w:rPr>
          <w:rFonts w:ascii="Arial" w:eastAsia="Times New Roman" w:hAnsi="Arial" w:cs="Arial"/>
          <w:kern w:val="0"/>
          <w:lang w:eastAsia="en-GB"/>
        </w:rPr>
        <w:t>Availableat</w:t>
      </w:r>
      <w:proofErr w:type="spellEnd"/>
      <w:r w:rsidRPr="00284A92">
        <w:rPr>
          <w:rFonts w:ascii="Arial" w:eastAsia="Times New Roman" w:hAnsi="Arial" w:cs="Arial"/>
          <w:kern w:val="0"/>
          <w:lang w:eastAsia="en-GB"/>
        </w:rPr>
        <w:t xml:space="preserve"> </w:t>
      </w:r>
      <w:hyperlink r:id="rId14" w:history="1">
        <w:r w:rsidRPr="00284A92">
          <w:rPr>
            <w:rStyle w:val="Hyperlink"/>
            <w:rFonts w:ascii="Arial" w:eastAsia="Times New Roman" w:hAnsi="Arial" w:cs="Arial"/>
            <w:kern w:val="0"/>
            <w:lang w:eastAsia="en-GB"/>
          </w:rPr>
          <w:t>https://www.sciencedirect.com/science/article/pii/S1364032121009813?casa_token=GMHt-656GokAAAAA:NfZUnRBJMNKG_cVlZBwFYxwpY-EoD4Yto9KzNLri2YMqvEJvTjwmUc9doLn6Te-qniyi7JsXsJw</w:t>
        </w:r>
      </w:hyperlink>
    </w:p>
    <w:p w14:paraId="35AC034F" w14:textId="77777777" w:rsidR="00775A3B" w:rsidRPr="00284A92" w:rsidRDefault="00775A3B" w:rsidP="00284A92">
      <w:pPr>
        <w:spacing w:line="360" w:lineRule="auto"/>
        <w:jc w:val="both"/>
        <w:rPr>
          <w:rFonts w:ascii="Arial" w:eastAsia="Times New Roman" w:hAnsi="Arial" w:cs="Arial"/>
          <w:kern w:val="0"/>
          <w:lang w:eastAsia="en-GB"/>
        </w:rPr>
      </w:pPr>
    </w:p>
    <w:p w14:paraId="794B5245" w14:textId="77777777" w:rsidR="00EA34A8" w:rsidRPr="00284A92" w:rsidRDefault="00EA34A8"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Gnanavendan, S., Selvaraj, S.K., Dev, S.J., Mahato, K.K., </w:t>
      </w:r>
      <w:proofErr w:type="spellStart"/>
      <w:r w:rsidRPr="00284A92">
        <w:rPr>
          <w:rFonts w:ascii="Arial" w:eastAsia="Times New Roman" w:hAnsi="Arial" w:cs="Arial"/>
          <w:kern w:val="0"/>
          <w:lang w:eastAsia="en-GB"/>
        </w:rPr>
        <w:t>Swathish</w:t>
      </w:r>
      <w:proofErr w:type="spellEnd"/>
      <w:r w:rsidRPr="00284A92">
        <w:rPr>
          <w:rFonts w:ascii="Arial" w:eastAsia="Times New Roman" w:hAnsi="Arial" w:cs="Arial"/>
          <w:kern w:val="0"/>
          <w:lang w:eastAsia="en-GB"/>
        </w:rPr>
        <w:t xml:space="preserve">, R.S., </w:t>
      </w:r>
      <w:proofErr w:type="spellStart"/>
      <w:r w:rsidRPr="00284A92">
        <w:rPr>
          <w:rFonts w:ascii="Arial" w:eastAsia="Times New Roman" w:hAnsi="Arial" w:cs="Arial"/>
          <w:kern w:val="0"/>
          <w:lang w:eastAsia="en-GB"/>
        </w:rPr>
        <w:t>Sundaramali</w:t>
      </w:r>
      <w:proofErr w:type="spellEnd"/>
      <w:r w:rsidRPr="00284A92">
        <w:rPr>
          <w:rFonts w:ascii="Arial" w:eastAsia="Times New Roman" w:hAnsi="Arial" w:cs="Arial"/>
          <w:kern w:val="0"/>
          <w:lang w:eastAsia="en-GB"/>
        </w:rPr>
        <w:t>, G., Accouche, O. and Azab, M., 2024. Challenges, solutions and future trends in EV-technology: A review. </w:t>
      </w:r>
      <w:proofErr w:type="spellStart"/>
      <w:r w:rsidRPr="00284A92">
        <w:rPr>
          <w:rFonts w:ascii="Arial" w:eastAsia="Times New Roman" w:hAnsi="Arial" w:cs="Arial"/>
          <w:kern w:val="0"/>
          <w:lang w:eastAsia="en-GB"/>
        </w:rPr>
        <w:t>IEEe</w:t>
      </w:r>
      <w:proofErr w:type="spellEnd"/>
      <w:r w:rsidRPr="00284A92">
        <w:rPr>
          <w:rFonts w:ascii="Arial" w:eastAsia="Times New Roman" w:hAnsi="Arial" w:cs="Arial"/>
          <w:kern w:val="0"/>
          <w:lang w:eastAsia="en-GB"/>
        </w:rPr>
        <w:t xml:space="preserve"> Access, 12, pp.17242-17260.</w:t>
      </w:r>
    </w:p>
    <w:p w14:paraId="0E984F91" w14:textId="77777777" w:rsidR="004554A3" w:rsidRPr="00284A92" w:rsidRDefault="00EA34A8"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15" w:history="1">
        <w:r w:rsidR="00854BF5" w:rsidRPr="00284A92">
          <w:rPr>
            <w:rStyle w:val="Hyperlink"/>
            <w:rFonts w:ascii="Arial" w:eastAsia="Times New Roman" w:hAnsi="Arial" w:cs="Arial"/>
            <w:kern w:val="0"/>
            <w:lang w:eastAsia="en-GB"/>
          </w:rPr>
          <w:t>https://ieeexplore.ieee.org/iel7/6287639/6514899/10398193.pdf</w:t>
        </w:r>
      </w:hyperlink>
    </w:p>
    <w:p w14:paraId="38C79F5E" w14:textId="77777777" w:rsidR="003D392D" w:rsidRPr="00284A92" w:rsidRDefault="003D392D" w:rsidP="00284A92">
      <w:pPr>
        <w:spacing w:line="360" w:lineRule="auto"/>
        <w:jc w:val="both"/>
        <w:rPr>
          <w:rFonts w:ascii="Arial" w:eastAsia="Times New Roman" w:hAnsi="Arial" w:cs="Arial"/>
          <w:kern w:val="0"/>
          <w:lang w:eastAsia="en-GB"/>
        </w:rPr>
      </w:pPr>
    </w:p>
    <w:p w14:paraId="36B3771F" w14:textId="31EDE5DE"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Hill, G., Heidrich, O., </w:t>
      </w:r>
      <w:proofErr w:type="spellStart"/>
      <w:r w:rsidRPr="00284A92">
        <w:rPr>
          <w:rFonts w:ascii="Arial" w:eastAsia="Times New Roman" w:hAnsi="Arial" w:cs="Arial"/>
          <w:kern w:val="0"/>
          <w:lang w:eastAsia="en-GB"/>
        </w:rPr>
        <w:t>Creutzig</w:t>
      </w:r>
      <w:proofErr w:type="spellEnd"/>
      <w:r w:rsidRPr="00284A92">
        <w:rPr>
          <w:rFonts w:ascii="Arial" w:eastAsia="Times New Roman" w:hAnsi="Arial" w:cs="Arial"/>
          <w:kern w:val="0"/>
          <w:lang w:eastAsia="en-GB"/>
        </w:rPr>
        <w:t>, F. and Blythe, P., 2019. The role of electric vehicles in near-term mitigation pathways and achieving the UK’s carbon budget. Applied Energy, 251, p.113111.</w:t>
      </w:r>
    </w:p>
    <w:p w14:paraId="1DEDB455" w14:textId="77777777"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16" w:history="1">
        <w:r w:rsidRPr="00284A92">
          <w:rPr>
            <w:rStyle w:val="Hyperlink"/>
            <w:rFonts w:ascii="Arial" w:eastAsia="Times New Roman" w:hAnsi="Arial" w:cs="Arial"/>
            <w:kern w:val="0"/>
            <w:lang w:eastAsia="en-GB"/>
          </w:rPr>
          <w:t>https://www.sciencedirect.com/science/article/pii/S0306261919307834</w:t>
        </w:r>
      </w:hyperlink>
    </w:p>
    <w:p w14:paraId="02BE0F53" w14:textId="77777777" w:rsidR="00954F17" w:rsidRPr="00284A92" w:rsidRDefault="00954F17" w:rsidP="00284A92">
      <w:pPr>
        <w:spacing w:line="360" w:lineRule="auto"/>
        <w:jc w:val="both"/>
        <w:rPr>
          <w:rFonts w:ascii="Arial" w:eastAsia="Times New Roman" w:hAnsi="Arial" w:cs="Arial"/>
          <w:kern w:val="0"/>
          <w:lang w:eastAsia="en-GB"/>
        </w:rPr>
      </w:pPr>
    </w:p>
    <w:p w14:paraId="54BA7335" w14:textId="7B461E73" w:rsidR="00954F17" w:rsidRPr="00284A92" w:rsidRDefault="00954F17"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Kostenko, G.P., </w:t>
      </w:r>
      <w:proofErr w:type="spellStart"/>
      <w:r w:rsidRPr="00284A92">
        <w:rPr>
          <w:rFonts w:ascii="Arial" w:eastAsia="Times New Roman" w:hAnsi="Arial" w:cs="Arial"/>
          <w:kern w:val="0"/>
          <w:lang w:eastAsia="en-GB"/>
        </w:rPr>
        <w:t>Zgurovets</w:t>
      </w:r>
      <w:proofErr w:type="spellEnd"/>
      <w:r w:rsidRPr="00284A92">
        <w:rPr>
          <w:rFonts w:ascii="Arial" w:eastAsia="Times New Roman" w:hAnsi="Arial" w:cs="Arial"/>
          <w:kern w:val="0"/>
          <w:lang w:eastAsia="en-GB"/>
        </w:rPr>
        <w:t>, O.V. and Tovstenko, M.M., 2023, October. SWOT analysis of electric transport and V2G implementation for power system sustainable development in the terms of Ukraine. In </w:t>
      </w:r>
      <w:r w:rsidRPr="00284A92">
        <w:rPr>
          <w:rFonts w:ascii="Arial" w:eastAsia="Times New Roman" w:hAnsi="Arial" w:cs="Arial"/>
          <w:i/>
          <w:iCs/>
          <w:kern w:val="0"/>
          <w:lang w:eastAsia="en-GB"/>
        </w:rPr>
        <w:t>IOP Conference Series: Earth and Environmental Science</w:t>
      </w:r>
      <w:r w:rsidRPr="00284A92">
        <w:rPr>
          <w:rFonts w:ascii="Arial" w:eastAsia="Times New Roman" w:hAnsi="Arial" w:cs="Arial"/>
          <w:kern w:val="0"/>
          <w:lang w:eastAsia="en-GB"/>
        </w:rPr>
        <w:t> (Vol. 1254, No. 1, p. 012030). IOP Publishing.</w:t>
      </w:r>
    </w:p>
    <w:p w14:paraId="00B9B100" w14:textId="03DC73A3" w:rsidR="00CA2DF5" w:rsidRPr="00284A92" w:rsidRDefault="00CA2DF5"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17" w:history="1">
        <w:r w:rsidR="007B0AFE" w:rsidRPr="00284A92">
          <w:rPr>
            <w:rStyle w:val="Hyperlink"/>
            <w:rFonts w:ascii="Arial" w:eastAsia="Times New Roman" w:hAnsi="Arial" w:cs="Arial"/>
            <w:kern w:val="0"/>
            <w:lang w:eastAsia="en-GB"/>
          </w:rPr>
          <w:t>https://iopscience.iop.org/article/10.1088/1755-1315/1254/1/012030/pdf</w:t>
        </w:r>
      </w:hyperlink>
    </w:p>
    <w:p w14:paraId="6B6E4079" w14:textId="77777777" w:rsidR="004554A3" w:rsidRPr="00284A92" w:rsidRDefault="004554A3" w:rsidP="00284A92">
      <w:pPr>
        <w:spacing w:line="360" w:lineRule="auto"/>
        <w:jc w:val="both"/>
        <w:rPr>
          <w:rFonts w:ascii="Arial" w:eastAsia="Times New Roman" w:hAnsi="Arial" w:cs="Arial"/>
          <w:kern w:val="0"/>
          <w:lang w:eastAsia="en-GB"/>
        </w:rPr>
      </w:pPr>
    </w:p>
    <w:p w14:paraId="6464E249" w14:textId="77777777" w:rsidR="004554A3" w:rsidRPr="00284A92" w:rsidRDefault="004554A3" w:rsidP="00284A92">
      <w:pPr>
        <w:spacing w:line="360" w:lineRule="auto"/>
        <w:jc w:val="both"/>
        <w:rPr>
          <w:rFonts w:ascii="Arial" w:eastAsia="Times New Roman" w:hAnsi="Arial" w:cs="Arial"/>
          <w:kern w:val="0"/>
          <w:lang w:eastAsia="en-GB"/>
        </w:rPr>
      </w:pPr>
      <w:proofErr w:type="spellStart"/>
      <w:r w:rsidRPr="00284A92">
        <w:rPr>
          <w:rFonts w:ascii="Arial" w:eastAsia="Times New Roman" w:hAnsi="Arial" w:cs="Arial"/>
          <w:kern w:val="0"/>
          <w:lang w:eastAsia="en-GB"/>
        </w:rPr>
        <w:t>Pandyaswargo</w:t>
      </w:r>
      <w:proofErr w:type="spellEnd"/>
      <w:r w:rsidRPr="00284A92">
        <w:rPr>
          <w:rFonts w:ascii="Arial" w:eastAsia="Times New Roman" w:hAnsi="Arial" w:cs="Arial"/>
          <w:kern w:val="0"/>
          <w:lang w:eastAsia="en-GB"/>
        </w:rPr>
        <w:t xml:space="preserve">, A.H., Wibowo, A.D., </w:t>
      </w:r>
      <w:proofErr w:type="spellStart"/>
      <w:r w:rsidRPr="00284A92">
        <w:rPr>
          <w:rFonts w:ascii="Arial" w:eastAsia="Times New Roman" w:hAnsi="Arial" w:cs="Arial"/>
          <w:kern w:val="0"/>
          <w:lang w:eastAsia="en-GB"/>
        </w:rPr>
        <w:t>Maghfiroh</w:t>
      </w:r>
      <w:proofErr w:type="spellEnd"/>
      <w:r w:rsidRPr="00284A92">
        <w:rPr>
          <w:rFonts w:ascii="Arial" w:eastAsia="Times New Roman" w:hAnsi="Arial" w:cs="Arial"/>
          <w:kern w:val="0"/>
          <w:lang w:eastAsia="en-GB"/>
        </w:rPr>
        <w:t>, M.F.N., Rezqita, A. and Onoda, H., 2021. The emerging electric vehicle and battery industry in Indonesia: Actions around the nickel ore export ban and a SWOT analysis. </w:t>
      </w:r>
      <w:r w:rsidRPr="00284A92">
        <w:rPr>
          <w:rFonts w:ascii="Arial" w:eastAsia="Times New Roman" w:hAnsi="Arial" w:cs="Arial"/>
          <w:i/>
          <w:iCs/>
          <w:kern w:val="0"/>
          <w:lang w:eastAsia="en-GB"/>
        </w:rPr>
        <w:t>Batteries</w:t>
      </w:r>
      <w:r w:rsidRPr="00284A92">
        <w:rPr>
          <w:rFonts w:ascii="Arial" w:eastAsia="Times New Roman" w:hAnsi="Arial" w:cs="Arial"/>
          <w:kern w:val="0"/>
          <w:lang w:eastAsia="en-GB"/>
        </w:rPr>
        <w:t>, </w:t>
      </w:r>
      <w:r w:rsidRPr="00284A92">
        <w:rPr>
          <w:rFonts w:ascii="Arial" w:eastAsia="Times New Roman" w:hAnsi="Arial" w:cs="Arial"/>
          <w:i/>
          <w:iCs/>
          <w:kern w:val="0"/>
          <w:lang w:eastAsia="en-GB"/>
        </w:rPr>
        <w:t>7</w:t>
      </w:r>
      <w:r w:rsidRPr="00284A92">
        <w:rPr>
          <w:rFonts w:ascii="Arial" w:eastAsia="Times New Roman" w:hAnsi="Arial" w:cs="Arial"/>
          <w:kern w:val="0"/>
          <w:lang w:eastAsia="en-GB"/>
        </w:rPr>
        <w:t>(4), p.80.</w:t>
      </w:r>
    </w:p>
    <w:p w14:paraId="0D4A051B" w14:textId="77777777"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18" w:history="1">
        <w:r w:rsidRPr="00284A92">
          <w:rPr>
            <w:rStyle w:val="Hyperlink"/>
            <w:rFonts w:ascii="Arial" w:eastAsia="Times New Roman" w:hAnsi="Arial" w:cs="Arial"/>
            <w:kern w:val="0"/>
            <w:lang w:eastAsia="en-GB"/>
          </w:rPr>
          <w:t>https://www.mdpi.com/2313-0105/7/4/80</w:t>
        </w:r>
      </w:hyperlink>
    </w:p>
    <w:p w14:paraId="49C7F737" w14:textId="77777777" w:rsidR="004554A3" w:rsidRPr="00284A92" w:rsidRDefault="004554A3" w:rsidP="00284A92">
      <w:pPr>
        <w:spacing w:line="360" w:lineRule="auto"/>
        <w:jc w:val="both"/>
        <w:rPr>
          <w:rFonts w:ascii="Arial" w:eastAsia="Times New Roman" w:hAnsi="Arial" w:cs="Arial"/>
          <w:kern w:val="0"/>
          <w:lang w:eastAsia="en-GB"/>
        </w:rPr>
      </w:pPr>
    </w:p>
    <w:p w14:paraId="265A001E" w14:textId="77777777"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Sathiyan, S.P., Pratap, C.B., Stonier, A.A., Peter, G., Sherine, A., </w:t>
      </w:r>
      <w:proofErr w:type="spellStart"/>
      <w:r w:rsidRPr="00284A92">
        <w:rPr>
          <w:rFonts w:ascii="Arial" w:eastAsia="Times New Roman" w:hAnsi="Arial" w:cs="Arial"/>
          <w:kern w:val="0"/>
          <w:lang w:eastAsia="en-GB"/>
        </w:rPr>
        <w:t>Praghash</w:t>
      </w:r>
      <w:proofErr w:type="spellEnd"/>
      <w:r w:rsidRPr="00284A92">
        <w:rPr>
          <w:rFonts w:ascii="Arial" w:eastAsia="Times New Roman" w:hAnsi="Arial" w:cs="Arial"/>
          <w:kern w:val="0"/>
          <w:lang w:eastAsia="en-GB"/>
        </w:rPr>
        <w:t>, K. and Ganji, V., 2022. Comprehensive assessment of electric vehicle development, deployment, and policy initiatives to reduce GHG emissions: opportunities and challenges. IEEE Access, 10, pp.53614-53639.</w:t>
      </w:r>
    </w:p>
    <w:p w14:paraId="65C3560A" w14:textId="77777777"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19" w:history="1">
        <w:r w:rsidRPr="00284A92">
          <w:rPr>
            <w:rStyle w:val="Hyperlink"/>
            <w:rFonts w:ascii="Arial" w:eastAsia="Times New Roman" w:hAnsi="Arial" w:cs="Arial"/>
            <w:kern w:val="0"/>
            <w:lang w:eastAsia="en-GB"/>
          </w:rPr>
          <w:t>https://ieeexplore.ieee.org/iel7/6287639/6514899/09775727.pdf</w:t>
        </w:r>
      </w:hyperlink>
    </w:p>
    <w:p w14:paraId="166105FB" w14:textId="77777777" w:rsidR="004554A3" w:rsidRPr="00284A92" w:rsidRDefault="004554A3" w:rsidP="00284A92">
      <w:pPr>
        <w:spacing w:line="360" w:lineRule="auto"/>
        <w:jc w:val="both"/>
        <w:rPr>
          <w:rFonts w:ascii="Arial" w:eastAsia="Times New Roman" w:hAnsi="Arial" w:cs="Arial"/>
          <w:kern w:val="0"/>
          <w:lang w:eastAsia="en-GB"/>
        </w:rPr>
      </w:pPr>
    </w:p>
    <w:p w14:paraId="2D6F696B" w14:textId="77777777"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Thompson, S., 2023. Strategic analysis of the renewable electricity transition: power to the world without carbon </w:t>
      </w:r>
      <w:proofErr w:type="gramStart"/>
      <w:r w:rsidRPr="00284A92">
        <w:rPr>
          <w:rFonts w:ascii="Arial" w:eastAsia="Times New Roman" w:hAnsi="Arial" w:cs="Arial"/>
          <w:kern w:val="0"/>
          <w:lang w:eastAsia="en-GB"/>
        </w:rPr>
        <w:t>emissions?.</w:t>
      </w:r>
      <w:proofErr w:type="gramEnd"/>
      <w:r w:rsidRPr="00284A92">
        <w:rPr>
          <w:rFonts w:ascii="Arial" w:eastAsia="Times New Roman" w:hAnsi="Arial" w:cs="Arial"/>
          <w:kern w:val="0"/>
          <w:lang w:eastAsia="en-GB"/>
        </w:rPr>
        <w:t> </w:t>
      </w:r>
      <w:r w:rsidRPr="00284A92">
        <w:rPr>
          <w:rFonts w:ascii="Arial" w:eastAsia="Times New Roman" w:hAnsi="Arial" w:cs="Arial"/>
          <w:i/>
          <w:iCs/>
          <w:kern w:val="0"/>
          <w:lang w:eastAsia="en-GB"/>
        </w:rPr>
        <w:t>Energies</w:t>
      </w:r>
      <w:r w:rsidRPr="00284A92">
        <w:rPr>
          <w:rFonts w:ascii="Arial" w:eastAsia="Times New Roman" w:hAnsi="Arial" w:cs="Arial"/>
          <w:kern w:val="0"/>
          <w:lang w:eastAsia="en-GB"/>
        </w:rPr>
        <w:t>, </w:t>
      </w:r>
      <w:r w:rsidRPr="00284A92">
        <w:rPr>
          <w:rFonts w:ascii="Arial" w:eastAsia="Times New Roman" w:hAnsi="Arial" w:cs="Arial"/>
          <w:i/>
          <w:iCs/>
          <w:kern w:val="0"/>
          <w:lang w:eastAsia="en-GB"/>
        </w:rPr>
        <w:t>16</w:t>
      </w:r>
      <w:r w:rsidRPr="00284A92">
        <w:rPr>
          <w:rFonts w:ascii="Arial" w:eastAsia="Times New Roman" w:hAnsi="Arial" w:cs="Arial"/>
          <w:kern w:val="0"/>
          <w:lang w:eastAsia="en-GB"/>
        </w:rPr>
        <w:t>(17), p.6183.</w:t>
      </w:r>
    </w:p>
    <w:p w14:paraId="262BED90" w14:textId="77777777" w:rsidR="004554A3" w:rsidRPr="00284A92" w:rsidRDefault="004554A3"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20" w:history="1">
        <w:r w:rsidRPr="00284A92">
          <w:rPr>
            <w:rStyle w:val="Hyperlink"/>
            <w:rFonts w:ascii="Arial" w:eastAsia="Times New Roman" w:hAnsi="Arial" w:cs="Arial"/>
            <w:kern w:val="0"/>
            <w:lang w:eastAsia="en-GB"/>
          </w:rPr>
          <w:t>https://www.mdpi.com/1996-1073/16/17/6183</w:t>
        </w:r>
      </w:hyperlink>
    </w:p>
    <w:p w14:paraId="1430E312" w14:textId="77777777" w:rsidR="003849AE" w:rsidRPr="00284A92" w:rsidRDefault="003849AE" w:rsidP="00284A92">
      <w:pPr>
        <w:spacing w:line="360" w:lineRule="auto"/>
        <w:jc w:val="both"/>
        <w:rPr>
          <w:rFonts w:ascii="Arial" w:eastAsia="Times New Roman" w:hAnsi="Arial" w:cs="Arial"/>
          <w:kern w:val="0"/>
          <w:lang w:eastAsia="en-GB"/>
        </w:rPr>
      </w:pPr>
    </w:p>
    <w:p w14:paraId="2A802C75" w14:textId="77777777" w:rsidR="00E918FE" w:rsidRPr="00284A92" w:rsidRDefault="00E918FE" w:rsidP="00284A92">
      <w:pPr>
        <w:spacing w:line="360" w:lineRule="auto"/>
        <w:jc w:val="both"/>
        <w:rPr>
          <w:rFonts w:ascii="Arial" w:eastAsia="Times New Roman" w:hAnsi="Arial" w:cs="Arial"/>
          <w:kern w:val="0"/>
          <w:lang w:eastAsia="en-GB"/>
        </w:rPr>
      </w:pPr>
    </w:p>
    <w:p w14:paraId="0AA852C3" w14:textId="55E0C205" w:rsidR="003849AE" w:rsidRPr="00284A92" w:rsidRDefault="003849AE"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Tripathy, A., Bhuyan, A., </w:t>
      </w:r>
      <w:proofErr w:type="spellStart"/>
      <w:r w:rsidRPr="00284A92">
        <w:rPr>
          <w:rFonts w:ascii="Arial" w:eastAsia="Times New Roman" w:hAnsi="Arial" w:cs="Arial"/>
          <w:kern w:val="0"/>
          <w:lang w:eastAsia="en-GB"/>
        </w:rPr>
        <w:t>Padhy</w:t>
      </w:r>
      <w:proofErr w:type="spellEnd"/>
      <w:r w:rsidRPr="00284A92">
        <w:rPr>
          <w:rFonts w:ascii="Arial" w:eastAsia="Times New Roman" w:hAnsi="Arial" w:cs="Arial"/>
          <w:kern w:val="0"/>
          <w:lang w:eastAsia="en-GB"/>
        </w:rPr>
        <w:t>, R. and Corazza, L., 2022. Technological, organizational, and environmental factors affecting the adoption of electric vehicle battery recycling. </w:t>
      </w:r>
      <w:r w:rsidRPr="00284A92">
        <w:rPr>
          <w:rFonts w:ascii="Arial" w:eastAsia="Times New Roman" w:hAnsi="Arial" w:cs="Arial"/>
          <w:i/>
          <w:iCs/>
          <w:kern w:val="0"/>
          <w:lang w:eastAsia="en-GB"/>
        </w:rPr>
        <w:t>IEEE Transactions on Engineering Management</w:t>
      </w:r>
      <w:r w:rsidRPr="00284A92">
        <w:rPr>
          <w:rFonts w:ascii="Arial" w:eastAsia="Times New Roman" w:hAnsi="Arial" w:cs="Arial"/>
          <w:kern w:val="0"/>
          <w:lang w:eastAsia="en-GB"/>
        </w:rPr>
        <w:t>, </w:t>
      </w:r>
      <w:r w:rsidRPr="00284A92">
        <w:rPr>
          <w:rFonts w:ascii="Arial" w:eastAsia="Times New Roman" w:hAnsi="Arial" w:cs="Arial"/>
          <w:i/>
          <w:iCs/>
          <w:kern w:val="0"/>
          <w:lang w:eastAsia="en-GB"/>
        </w:rPr>
        <w:t>71</w:t>
      </w:r>
      <w:r w:rsidRPr="00284A92">
        <w:rPr>
          <w:rFonts w:ascii="Arial" w:eastAsia="Times New Roman" w:hAnsi="Arial" w:cs="Arial"/>
          <w:kern w:val="0"/>
          <w:lang w:eastAsia="en-GB"/>
        </w:rPr>
        <w:t>, pp.12992-13005.</w:t>
      </w:r>
    </w:p>
    <w:p w14:paraId="471D2614" w14:textId="762FE715" w:rsidR="00E918FE" w:rsidRPr="00284A92" w:rsidRDefault="00E918FE"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21" w:history="1">
        <w:r w:rsidRPr="00284A92">
          <w:rPr>
            <w:rStyle w:val="Hyperlink"/>
            <w:rFonts w:ascii="Arial" w:eastAsia="Times New Roman" w:hAnsi="Arial" w:cs="Arial"/>
            <w:kern w:val="0"/>
            <w:lang w:eastAsia="en-GB"/>
          </w:rPr>
          <w:t>https://ieeexplore.ieee.org/iel7/17/4429834/09761796.pdf?casa_token=ZlUbeXEuFdwAAAAA:jJc1BuqiLwBAmnaxoyBWy-x0rl6F9_mcnbUjCMZQRudqmUtQOb7ueObQOfJsZHNH2mZbPwexwk4R</w:t>
        </w:r>
      </w:hyperlink>
    </w:p>
    <w:p w14:paraId="5DDE60A8" w14:textId="77777777" w:rsidR="00E918FE" w:rsidRPr="00284A92" w:rsidRDefault="00E918FE" w:rsidP="00284A92">
      <w:pPr>
        <w:spacing w:line="360" w:lineRule="auto"/>
        <w:jc w:val="both"/>
        <w:rPr>
          <w:rFonts w:ascii="Arial" w:eastAsia="Times New Roman" w:hAnsi="Arial" w:cs="Arial"/>
          <w:kern w:val="0"/>
          <w:lang w:eastAsia="en-GB"/>
        </w:rPr>
      </w:pPr>
    </w:p>
    <w:p w14:paraId="4A1DF045" w14:textId="36DE66A0" w:rsidR="00EA34A8" w:rsidRPr="00284A92" w:rsidRDefault="00EA34A8"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Wellings, J., Greenwood, D. and Coles, S.R., 2021. Understanding the future impacts of electric vehicles—an analysis of multiple factors that influence the market. Vehicles, 3(4), pp.851-871.</w:t>
      </w:r>
    </w:p>
    <w:p w14:paraId="4BE86782" w14:textId="3C0029F7" w:rsidR="00EA34A8" w:rsidRPr="00284A92" w:rsidRDefault="00EA34A8"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22" w:history="1">
        <w:r w:rsidRPr="00284A92">
          <w:rPr>
            <w:rStyle w:val="Hyperlink"/>
            <w:rFonts w:ascii="Arial" w:eastAsia="Times New Roman" w:hAnsi="Arial" w:cs="Arial"/>
            <w:kern w:val="0"/>
            <w:lang w:eastAsia="en-GB"/>
          </w:rPr>
          <w:t>https://www.mdpi.com/2624-8921/3/4/51</w:t>
        </w:r>
      </w:hyperlink>
    </w:p>
    <w:p w14:paraId="122D8639" w14:textId="77777777" w:rsidR="00854BF5" w:rsidRPr="00284A92" w:rsidRDefault="00854BF5" w:rsidP="00284A92">
      <w:pPr>
        <w:spacing w:line="360" w:lineRule="auto"/>
        <w:jc w:val="both"/>
        <w:rPr>
          <w:rFonts w:ascii="Arial" w:eastAsia="Times New Roman" w:hAnsi="Arial" w:cs="Arial"/>
          <w:kern w:val="0"/>
          <w:lang w:eastAsia="en-GB"/>
        </w:rPr>
      </w:pPr>
    </w:p>
    <w:p w14:paraId="2B09F72E" w14:textId="77777777" w:rsidR="00BB4FB6" w:rsidRPr="00284A92" w:rsidRDefault="00BB4FB6"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Zaino, R., Ahmed, V., Alhammadi, A.M. and </w:t>
      </w:r>
      <w:proofErr w:type="spellStart"/>
      <w:r w:rsidRPr="00284A92">
        <w:rPr>
          <w:rFonts w:ascii="Arial" w:eastAsia="Times New Roman" w:hAnsi="Arial" w:cs="Arial"/>
          <w:kern w:val="0"/>
          <w:lang w:eastAsia="en-GB"/>
        </w:rPr>
        <w:t>Alghoush</w:t>
      </w:r>
      <w:proofErr w:type="spellEnd"/>
      <w:r w:rsidRPr="00284A92">
        <w:rPr>
          <w:rFonts w:ascii="Arial" w:eastAsia="Times New Roman" w:hAnsi="Arial" w:cs="Arial"/>
          <w:kern w:val="0"/>
          <w:lang w:eastAsia="en-GB"/>
        </w:rPr>
        <w:t>, M., 2024. Electric vehicle adoption: A comprehensive systematic review of technological, environmental, organizational and policy impacts. World electric vehicle journal, 15(8), p.375.</w:t>
      </w:r>
    </w:p>
    <w:p w14:paraId="385C5EE0" w14:textId="77777777" w:rsidR="00BB4FB6" w:rsidRPr="00284A92" w:rsidRDefault="00BB4FB6"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at: </w:t>
      </w:r>
      <w:hyperlink r:id="rId23" w:history="1">
        <w:r w:rsidRPr="00284A92">
          <w:rPr>
            <w:rStyle w:val="Hyperlink"/>
            <w:rFonts w:ascii="Arial" w:eastAsia="Times New Roman" w:hAnsi="Arial" w:cs="Arial"/>
            <w:kern w:val="0"/>
            <w:lang w:eastAsia="en-GB"/>
          </w:rPr>
          <w:t>https://www.mdpi.com/2032-6653/15/8/375</w:t>
        </w:r>
      </w:hyperlink>
    </w:p>
    <w:p w14:paraId="2B6363FC" w14:textId="77777777" w:rsidR="004D2E74" w:rsidRPr="00284A92" w:rsidRDefault="004D2E74" w:rsidP="00284A92">
      <w:pPr>
        <w:spacing w:line="360" w:lineRule="auto"/>
        <w:jc w:val="both"/>
        <w:rPr>
          <w:rFonts w:ascii="Arial" w:eastAsia="Times New Roman" w:hAnsi="Arial" w:cs="Arial"/>
          <w:kern w:val="0"/>
          <w:lang w:eastAsia="en-GB"/>
        </w:rPr>
      </w:pPr>
    </w:p>
    <w:p w14:paraId="69365685" w14:textId="6C3DBBD5" w:rsidR="005400E1" w:rsidRPr="00284A92" w:rsidRDefault="005400E1"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Zhang, Y., </w:t>
      </w:r>
      <w:proofErr w:type="spellStart"/>
      <w:r w:rsidRPr="00284A92">
        <w:rPr>
          <w:rFonts w:ascii="Arial" w:eastAsia="Times New Roman" w:hAnsi="Arial" w:cs="Arial"/>
          <w:kern w:val="0"/>
          <w:lang w:eastAsia="en-GB"/>
        </w:rPr>
        <w:t>Rysiecki</w:t>
      </w:r>
      <w:proofErr w:type="spellEnd"/>
      <w:r w:rsidRPr="00284A92">
        <w:rPr>
          <w:rFonts w:ascii="Arial" w:eastAsia="Times New Roman" w:hAnsi="Arial" w:cs="Arial"/>
          <w:kern w:val="0"/>
          <w:lang w:eastAsia="en-GB"/>
        </w:rPr>
        <w:t>, L., Gong, Y. and Shi, Q., 2020. A SWOT analysis of the UK EV battery supply chain. </w:t>
      </w:r>
      <w:r w:rsidRPr="00284A92">
        <w:rPr>
          <w:rFonts w:ascii="Arial" w:eastAsia="Times New Roman" w:hAnsi="Arial" w:cs="Arial"/>
          <w:i/>
          <w:iCs/>
          <w:kern w:val="0"/>
          <w:lang w:eastAsia="en-GB"/>
        </w:rPr>
        <w:t>Sustainability</w:t>
      </w:r>
      <w:r w:rsidRPr="00284A92">
        <w:rPr>
          <w:rFonts w:ascii="Arial" w:eastAsia="Times New Roman" w:hAnsi="Arial" w:cs="Arial"/>
          <w:kern w:val="0"/>
          <w:lang w:eastAsia="en-GB"/>
        </w:rPr>
        <w:t>, </w:t>
      </w:r>
      <w:r w:rsidRPr="00284A92">
        <w:rPr>
          <w:rFonts w:ascii="Arial" w:eastAsia="Times New Roman" w:hAnsi="Arial" w:cs="Arial"/>
          <w:i/>
          <w:iCs/>
          <w:kern w:val="0"/>
          <w:lang w:eastAsia="en-GB"/>
        </w:rPr>
        <w:t>12</w:t>
      </w:r>
      <w:r w:rsidRPr="00284A92">
        <w:rPr>
          <w:rFonts w:ascii="Arial" w:eastAsia="Times New Roman" w:hAnsi="Arial" w:cs="Arial"/>
          <w:kern w:val="0"/>
          <w:lang w:eastAsia="en-GB"/>
        </w:rPr>
        <w:t>(23), p.9807.</w:t>
      </w:r>
    </w:p>
    <w:p w14:paraId="08AC1899" w14:textId="386FB271" w:rsidR="005400E1" w:rsidRPr="00284A92" w:rsidRDefault="005400E1" w:rsidP="00284A92">
      <w:pPr>
        <w:spacing w:line="360" w:lineRule="auto"/>
        <w:jc w:val="both"/>
        <w:rPr>
          <w:rFonts w:ascii="Arial" w:eastAsia="Times New Roman" w:hAnsi="Arial" w:cs="Arial"/>
          <w:kern w:val="0"/>
          <w:lang w:eastAsia="en-GB"/>
        </w:rPr>
      </w:pPr>
      <w:proofErr w:type="spellStart"/>
      <w:r w:rsidRPr="00284A92">
        <w:rPr>
          <w:rFonts w:ascii="Arial" w:eastAsia="Times New Roman" w:hAnsi="Arial" w:cs="Arial"/>
          <w:kern w:val="0"/>
          <w:lang w:eastAsia="en-GB"/>
        </w:rPr>
        <w:t>Avaliable</w:t>
      </w:r>
      <w:proofErr w:type="spellEnd"/>
      <w:r w:rsidRPr="00284A92">
        <w:rPr>
          <w:rFonts w:ascii="Arial" w:eastAsia="Times New Roman" w:hAnsi="Arial" w:cs="Arial"/>
          <w:kern w:val="0"/>
          <w:lang w:eastAsia="en-GB"/>
        </w:rPr>
        <w:t xml:space="preserve"> at: </w:t>
      </w:r>
      <w:hyperlink r:id="rId24" w:history="1">
        <w:r w:rsidR="00A8426D" w:rsidRPr="00284A92">
          <w:rPr>
            <w:rStyle w:val="Hyperlink"/>
            <w:rFonts w:ascii="Arial" w:eastAsia="Times New Roman" w:hAnsi="Arial" w:cs="Arial"/>
            <w:kern w:val="0"/>
            <w:lang w:eastAsia="en-GB"/>
          </w:rPr>
          <w:t>https://www.mdpi.com/2071-1050/12/23/9807</w:t>
        </w:r>
      </w:hyperlink>
    </w:p>
    <w:p w14:paraId="0FBC2087" w14:textId="77777777" w:rsidR="009564C1" w:rsidRPr="00284A92" w:rsidRDefault="009564C1" w:rsidP="00284A92">
      <w:pPr>
        <w:spacing w:line="360" w:lineRule="auto"/>
        <w:jc w:val="both"/>
        <w:rPr>
          <w:rFonts w:ascii="Arial" w:eastAsia="Times New Roman" w:hAnsi="Arial" w:cs="Arial"/>
          <w:kern w:val="0"/>
          <w:lang w:eastAsia="en-GB"/>
        </w:rPr>
      </w:pPr>
    </w:p>
    <w:p w14:paraId="77E5B44E" w14:textId="129F4EBE" w:rsidR="009564C1" w:rsidRPr="00284A92" w:rsidRDefault="009564C1"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Zhao, G. and Baker, J., 2022. Effects on environmental impacts of introducing electric vehicle batteries as storage-A case study of the United Kingdom. Energy Strategy Reviews, 40, p.100819.</w:t>
      </w:r>
    </w:p>
    <w:p w14:paraId="4D5C2416" w14:textId="4E5114F5" w:rsidR="00C15ADA" w:rsidRPr="00284A92" w:rsidRDefault="00C15ADA" w:rsidP="00284A92">
      <w:pPr>
        <w:spacing w:line="360" w:lineRule="auto"/>
        <w:jc w:val="both"/>
        <w:rPr>
          <w:rFonts w:ascii="Arial" w:eastAsia="Times New Roman" w:hAnsi="Arial" w:cs="Arial"/>
          <w:kern w:val="0"/>
          <w:lang w:eastAsia="en-GB"/>
        </w:rPr>
      </w:pPr>
      <w:r w:rsidRPr="00284A92">
        <w:rPr>
          <w:rFonts w:ascii="Arial" w:eastAsia="Times New Roman" w:hAnsi="Arial" w:cs="Arial"/>
          <w:kern w:val="0"/>
          <w:lang w:eastAsia="en-GB"/>
        </w:rPr>
        <w:t xml:space="preserve">Available </w:t>
      </w:r>
      <w:proofErr w:type="gramStart"/>
      <w:r w:rsidRPr="00284A92">
        <w:rPr>
          <w:rFonts w:ascii="Arial" w:eastAsia="Times New Roman" w:hAnsi="Arial" w:cs="Arial"/>
          <w:kern w:val="0"/>
          <w:lang w:eastAsia="en-GB"/>
        </w:rPr>
        <w:t>at :</w:t>
      </w:r>
      <w:proofErr w:type="gramEnd"/>
      <w:r w:rsidRPr="00284A92">
        <w:rPr>
          <w:rFonts w:ascii="Arial" w:eastAsia="Times New Roman" w:hAnsi="Arial" w:cs="Arial"/>
          <w:kern w:val="0"/>
          <w:lang w:eastAsia="en-GB"/>
        </w:rPr>
        <w:t xml:space="preserve"> </w:t>
      </w:r>
      <w:hyperlink r:id="rId25" w:history="1">
        <w:r w:rsidRPr="00284A92">
          <w:rPr>
            <w:rStyle w:val="Hyperlink"/>
            <w:rFonts w:ascii="Arial" w:eastAsia="Times New Roman" w:hAnsi="Arial" w:cs="Arial"/>
            <w:kern w:val="0"/>
            <w:lang w:eastAsia="en-GB"/>
          </w:rPr>
          <w:t>https://www.sciencedirect.com/science/article/pii/S2211467X22000190</w:t>
        </w:r>
      </w:hyperlink>
    </w:p>
    <w:p w14:paraId="3E941075" w14:textId="77777777" w:rsidR="00C15ADA" w:rsidRPr="00284A92" w:rsidRDefault="00C15ADA" w:rsidP="00284A92">
      <w:pPr>
        <w:spacing w:line="360" w:lineRule="auto"/>
        <w:jc w:val="both"/>
        <w:rPr>
          <w:rFonts w:ascii="Arial" w:eastAsia="Times New Roman" w:hAnsi="Arial" w:cs="Arial"/>
          <w:kern w:val="0"/>
          <w:lang w:eastAsia="en-GB"/>
        </w:rPr>
      </w:pPr>
    </w:p>
    <w:p w14:paraId="3DC4DC23" w14:textId="77777777" w:rsidR="00A8426D" w:rsidRPr="00284A92" w:rsidRDefault="00A8426D" w:rsidP="00284A92">
      <w:pPr>
        <w:spacing w:line="360" w:lineRule="auto"/>
        <w:jc w:val="both"/>
        <w:rPr>
          <w:rFonts w:ascii="Arial" w:eastAsia="Times New Roman" w:hAnsi="Arial" w:cs="Arial"/>
          <w:kern w:val="0"/>
          <w:lang w:eastAsia="en-GB"/>
        </w:rPr>
      </w:pPr>
    </w:p>
    <w:p w14:paraId="7376271A" w14:textId="77777777" w:rsidR="00535F8C" w:rsidRPr="00284A92" w:rsidRDefault="00535F8C" w:rsidP="00284A92">
      <w:pPr>
        <w:spacing w:line="360" w:lineRule="auto"/>
        <w:jc w:val="both"/>
        <w:rPr>
          <w:rFonts w:ascii="Arial" w:eastAsia="Times New Roman" w:hAnsi="Arial" w:cs="Arial"/>
          <w:kern w:val="0"/>
          <w:lang w:eastAsia="en-GB"/>
        </w:rPr>
      </w:pPr>
    </w:p>
    <w:p w14:paraId="30C2FD23" w14:textId="77777777" w:rsidR="00EA34A8" w:rsidRPr="00284A92" w:rsidRDefault="00EA34A8" w:rsidP="00284A92">
      <w:pPr>
        <w:spacing w:line="360" w:lineRule="auto"/>
        <w:jc w:val="both"/>
        <w:rPr>
          <w:rFonts w:ascii="Arial" w:eastAsia="Times New Roman" w:hAnsi="Arial" w:cs="Arial"/>
          <w:kern w:val="0"/>
          <w:lang w:eastAsia="en-GB"/>
        </w:rPr>
      </w:pPr>
    </w:p>
    <w:p w14:paraId="2193B158" w14:textId="77777777" w:rsidR="00EA34A8" w:rsidRPr="00284A92" w:rsidRDefault="00EA34A8" w:rsidP="00284A92">
      <w:pPr>
        <w:spacing w:line="360" w:lineRule="auto"/>
        <w:jc w:val="both"/>
        <w:rPr>
          <w:rFonts w:ascii="Arial" w:eastAsia="Times New Roman" w:hAnsi="Arial" w:cs="Arial"/>
          <w:kern w:val="0"/>
          <w:lang w:eastAsia="en-GB"/>
        </w:rPr>
      </w:pPr>
    </w:p>
    <w:p w14:paraId="46101B14" w14:textId="77777777" w:rsidR="00EA34A8" w:rsidRPr="00284A92" w:rsidRDefault="00EA34A8" w:rsidP="00284A92">
      <w:pPr>
        <w:spacing w:line="360" w:lineRule="auto"/>
        <w:jc w:val="both"/>
        <w:rPr>
          <w:rFonts w:ascii="Arial" w:eastAsia="Times New Roman" w:hAnsi="Arial" w:cs="Arial"/>
          <w:kern w:val="0"/>
          <w:lang w:eastAsia="en-GB"/>
        </w:rPr>
      </w:pPr>
    </w:p>
    <w:p w14:paraId="56719BE9" w14:textId="77777777" w:rsidR="00EA34A8" w:rsidRPr="00284A92" w:rsidRDefault="00EA34A8" w:rsidP="00284A92">
      <w:pPr>
        <w:spacing w:line="360" w:lineRule="auto"/>
        <w:jc w:val="both"/>
        <w:rPr>
          <w:rFonts w:ascii="Arial" w:eastAsia="Times New Roman" w:hAnsi="Arial" w:cs="Arial"/>
          <w:kern w:val="0"/>
          <w:lang w:eastAsia="en-GB"/>
        </w:rPr>
      </w:pPr>
    </w:p>
    <w:p w14:paraId="57A1427C" w14:textId="77777777" w:rsidR="00157B9A" w:rsidRPr="00284A92" w:rsidRDefault="00157B9A" w:rsidP="00284A92">
      <w:pPr>
        <w:spacing w:line="360" w:lineRule="auto"/>
        <w:jc w:val="both"/>
        <w:rPr>
          <w:rFonts w:ascii="Arial" w:hAnsi="Arial" w:cs="Arial"/>
        </w:rPr>
      </w:pPr>
    </w:p>
    <w:sectPr w:rsidR="00157B9A" w:rsidRPr="00284A92" w:rsidSect="00DC61C5">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C02F19"/>
    <w:multiLevelType w:val="hybridMultilevel"/>
    <w:tmpl w:val="BF0CD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45767E"/>
    <w:multiLevelType w:val="multilevel"/>
    <w:tmpl w:val="3DAA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942099">
    <w:abstractNumId w:val="0"/>
  </w:num>
  <w:num w:numId="2" w16cid:durableId="1410690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36F0534-E11A-44C2-B80E-30AE98A3D3AB}"/>
    <w:docVar w:name="dgnword-eventsink" w:val="2033794678752"/>
  </w:docVars>
  <w:rsids>
    <w:rsidRoot w:val="00DC61C5"/>
    <w:rsid w:val="000014BC"/>
    <w:rsid w:val="00012796"/>
    <w:rsid w:val="00014365"/>
    <w:rsid w:val="000173D4"/>
    <w:rsid w:val="00020C1C"/>
    <w:rsid w:val="000358E0"/>
    <w:rsid w:val="000433DE"/>
    <w:rsid w:val="000464D5"/>
    <w:rsid w:val="0006029A"/>
    <w:rsid w:val="00060B4C"/>
    <w:rsid w:val="00063E0E"/>
    <w:rsid w:val="00077A59"/>
    <w:rsid w:val="00077FED"/>
    <w:rsid w:val="00083B95"/>
    <w:rsid w:val="00084DA9"/>
    <w:rsid w:val="000A3EC7"/>
    <w:rsid w:val="000B10D6"/>
    <w:rsid w:val="000B24D8"/>
    <w:rsid w:val="000B7C9C"/>
    <w:rsid w:val="000C0AAC"/>
    <w:rsid w:val="000C742B"/>
    <w:rsid w:val="000D1E8B"/>
    <w:rsid w:val="000D6CE7"/>
    <w:rsid w:val="000D6F61"/>
    <w:rsid w:val="000E5D64"/>
    <w:rsid w:val="0010262A"/>
    <w:rsid w:val="001059AD"/>
    <w:rsid w:val="00111994"/>
    <w:rsid w:val="0011200A"/>
    <w:rsid w:val="0011258E"/>
    <w:rsid w:val="0011686F"/>
    <w:rsid w:val="00132A9C"/>
    <w:rsid w:val="00132D81"/>
    <w:rsid w:val="00142F4B"/>
    <w:rsid w:val="00150F09"/>
    <w:rsid w:val="00157B9A"/>
    <w:rsid w:val="00165B4E"/>
    <w:rsid w:val="0018041E"/>
    <w:rsid w:val="00186730"/>
    <w:rsid w:val="00190D08"/>
    <w:rsid w:val="001975F3"/>
    <w:rsid w:val="001A29B0"/>
    <w:rsid w:val="001A5EF9"/>
    <w:rsid w:val="001A6719"/>
    <w:rsid w:val="001B0108"/>
    <w:rsid w:val="001B65F2"/>
    <w:rsid w:val="001B7CCB"/>
    <w:rsid w:val="001C7405"/>
    <w:rsid w:val="001E63AD"/>
    <w:rsid w:val="001F21AC"/>
    <w:rsid w:val="001F5B57"/>
    <w:rsid w:val="002034E3"/>
    <w:rsid w:val="00221ABC"/>
    <w:rsid w:val="00221AEA"/>
    <w:rsid w:val="00232F30"/>
    <w:rsid w:val="00241BDF"/>
    <w:rsid w:val="00242C3D"/>
    <w:rsid w:val="00243057"/>
    <w:rsid w:val="00247082"/>
    <w:rsid w:val="00253F64"/>
    <w:rsid w:val="002549D2"/>
    <w:rsid w:val="00260EFB"/>
    <w:rsid w:val="002657B3"/>
    <w:rsid w:val="00265A82"/>
    <w:rsid w:val="00270BA8"/>
    <w:rsid w:val="002737CD"/>
    <w:rsid w:val="002774C9"/>
    <w:rsid w:val="002815AC"/>
    <w:rsid w:val="00284A92"/>
    <w:rsid w:val="00286504"/>
    <w:rsid w:val="002867F2"/>
    <w:rsid w:val="0029415E"/>
    <w:rsid w:val="002A1D1D"/>
    <w:rsid w:val="002A781A"/>
    <w:rsid w:val="002B3CED"/>
    <w:rsid w:val="002C0C19"/>
    <w:rsid w:val="002D1F73"/>
    <w:rsid w:val="002E6321"/>
    <w:rsid w:val="002F0F2B"/>
    <w:rsid w:val="002F296B"/>
    <w:rsid w:val="002F5134"/>
    <w:rsid w:val="002F6B2A"/>
    <w:rsid w:val="00314ADC"/>
    <w:rsid w:val="00327718"/>
    <w:rsid w:val="00331270"/>
    <w:rsid w:val="00365C12"/>
    <w:rsid w:val="00371EFB"/>
    <w:rsid w:val="00376D83"/>
    <w:rsid w:val="00383D49"/>
    <w:rsid w:val="00384254"/>
    <w:rsid w:val="003849AE"/>
    <w:rsid w:val="00387EB3"/>
    <w:rsid w:val="003A388B"/>
    <w:rsid w:val="003B215E"/>
    <w:rsid w:val="003B4E92"/>
    <w:rsid w:val="003C1073"/>
    <w:rsid w:val="003C7F94"/>
    <w:rsid w:val="003D392D"/>
    <w:rsid w:val="003D39E5"/>
    <w:rsid w:val="003D5776"/>
    <w:rsid w:val="003E2607"/>
    <w:rsid w:val="003F08CF"/>
    <w:rsid w:val="003F62E6"/>
    <w:rsid w:val="00405341"/>
    <w:rsid w:val="00414428"/>
    <w:rsid w:val="004214E7"/>
    <w:rsid w:val="0043104F"/>
    <w:rsid w:val="0044227D"/>
    <w:rsid w:val="004442C5"/>
    <w:rsid w:val="004554A3"/>
    <w:rsid w:val="00460A5F"/>
    <w:rsid w:val="004626E4"/>
    <w:rsid w:val="004665F1"/>
    <w:rsid w:val="004679F7"/>
    <w:rsid w:val="00482DF3"/>
    <w:rsid w:val="0048604E"/>
    <w:rsid w:val="00486DA0"/>
    <w:rsid w:val="00491E07"/>
    <w:rsid w:val="0049411B"/>
    <w:rsid w:val="004A07B1"/>
    <w:rsid w:val="004B1789"/>
    <w:rsid w:val="004C6C92"/>
    <w:rsid w:val="004D2E74"/>
    <w:rsid w:val="004F050A"/>
    <w:rsid w:val="004F2E95"/>
    <w:rsid w:val="004F7A06"/>
    <w:rsid w:val="0050021F"/>
    <w:rsid w:val="0050452D"/>
    <w:rsid w:val="00511BCC"/>
    <w:rsid w:val="0051490C"/>
    <w:rsid w:val="0052554A"/>
    <w:rsid w:val="005321D3"/>
    <w:rsid w:val="00535F8C"/>
    <w:rsid w:val="005400E1"/>
    <w:rsid w:val="00541672"/>
    <w:rsid w:val="00543829"/>
    <w:rsid w:val="00544D66"/>
    <w:rsid w:val="00546841"/>
    <w:rsid w:val="00570AFD"/>
    <w:rsid w:val="0058040B"/>
    <w:rsid w:val="00591B37"/>
    <w:rsid w:val="00591E97"/>
    <w:rsid w:val="00593860"/>
    <w:rsid w:val="00593B94"/>
    <w:rsid w:val="005A67B5"/>
    <w:rsid w:val="005A685F"/>
    <w:rsid w:val="005A6D25"/>
    <w:rsid w:val="005B4143"/>
    <w:rsid w:val="005B5C4D"/>
    <w:rsid w:val="005B7F8E"/>
    <w:rsid w:val="005C2116"/>
    <w:rsid w:val="005C415F"/>
    <w:rsid w:val="005E1A55"/>
    <w:rsid w:val="005E5844"/>
    <w:rsid w:val="005F0465"/>
    <w:rsid w:val="005F0EED"/>
    <w:rsid w:val="005F1E7E"/>
    <w:rsid w:val="005F32BC"/>
    <w:rsid w:val="005F57F5"/>
    <w:rsid w:val="005F7BB7"/>
    <w:rsid w:val="00602167"/>
    <w:rsid w:val="00604D3F"/>
    <w:rsid w:val="0060768B"/>
    <w:rsid w:val="0061070D"/>
    <w:rsid w:val="00622D32"/>
    <w:rsid w:val="00625EBF"/>
    <w:rsid w:val="006303BF"/>
    <w:rsid w:val="006362B5"/>
    <w:rsid w:val="00640B09"/>
    <w:rsid w:val="00641019"/>
    <w:rsid w:val="00655465"/>
    <w:rsid w:val="00657874"/>
    <w:rsid w:val="00661D5F"/>
    <w:rsid w:val="00662B25"/>
    <w:rsid w:val="00670CCE"/>
    <w:rsid w:val="00672763"/>
    <w:rsid w:val="00676990"/>
    <w:rsid w:val="00687B44"/>
    <w:rsid w:val="0069179A"/>
    <w:rsid w:val="00693B53"/>
    <w:rsid w:val="006A1661"/>
    <w:rsid w:val="006A365F"/>
    <w:rsid w:val="006A3BBA"/>
    <w:rsid w:val="006A568D"/>
    <w:rsid w:val="006B156E"/>
    <w:rsid w:val="006C3F3F"/>
    <w:rsid w:val="006D289D"/>
    <w:rsid w:val="006F43AA"/>
    <w:rsid w:val="00704815"/>
    <w:rsid w:val="007139B4"/>
    <w:rsid w:val="00713ED3"/>
    <w:rsid w:val="00725981"/>
    <w:rsid w:val="00735048"/>
    <w:rsid w:val="007366E6"/>
    <w:rsid w:val="00741454"/>
    <w:rsid w:val="00744BB6"/>
    <w:rsid w:val="00747D8D"/>
    <w:rsid w:val="00766C77"/>
    <w:rsid w:val="007715AF"/>
    <w:rsid w:val="00772A69"/>
    <w:rsid w:val="00775A3B"/>
    <w:rsid w:val="0077643A"/>
    <w:rsid w:val="0078663F"/>
    <w:rsid w:val="00787FA6"/>
    <w:rsid w:val="007A4F30"/>
    <w:rsid w:val="007B0AFE"/>
    <w:rsid w:val="007B4DC4"/>
    <w:rsid w:val="007C02B1"/>
    <w:rsid w:val="007D14A0"/>
    <w:rsid w:val="007F00EE"/>
    <w:rsid w:val="008045C8"/>
    <w:rsid w:val="00804BDE"/>
    <w:rsid w:val="00805E39"/>
    <w:rsid w:val="00806D1F"/>
    <w:rsid w:val="00807A92"/>
    <w:rsid w:val="008133A4"/>
    <w:rsid w:val="0082222E"/>
    <w:rsid w:val="008275FF"/>
    <w:rsid w:val="00831E23"/>
    <w:rsid w:val="00841138"/>
    <w:rsid w:val="00843601"/>
    <w:rsid w:val="00854330"/>
    <w:rsid w:val="00854BF5"/>
    <w:rsid w:val="00856B83"/>
    <w:rsid w:val="0088081E"/>
    <w:rsid w:val="00884755"/>
    <w:rsid w:val="0088493A"/>
    <w:rsid w:val="00893F6B"/>
    <w:rsid w:val="008A1F0D"/>
    <w:rsid w:val="008A593C"/>
    <w:rsid w:val="008B0E33"/>
    <w:rsid w:val="008B3A06"/>
    <w:rsid w:val="008B42E4"/>
    <w:rsid w:val="008C3279"/>
    <w:rsid w:val="008C3678"/>
    <w:rsid w:val="008C693F"/>
    <w:rsid w:val="008E1E12"/>
    <w:rsid w:val="008F53C9"/>
    <w:rsid w:val="00901125"/>
    <w:rsid w:val="0090390D"/>
    <w:rsid w:val="0090601A"/>
    <w:rsid w:val="00912A44"/>
    <w:rsid w:val="009130B0"/>
    <w:rsid w:val="00917B81"/>
    <w:rsid w:val="00954F17"/>
    <w:rsid w:val="009564C1"/>
    <w:rsid w:val="009576E4"/>
    <w:rsid w:val="00957E60"/>
    <w:rsid w:val="0096431C"/>
    <w:rsid w:val="00964F6C"/>
    <w:rsid w:val="00965AFC"/>
    <w:rsid w:val="00965C5E"/>
    <w:rsid w:val="00973708"/>
    <w:rsid w:val="00991BC6"/>
    <w:rsid w:val="009A1321"/>
    <w:rsid w:val="009A676D"/>
    <w:rsid w:val="009B6DFE"/>
    <w:rsid w:val="009B75A2"/>
    <w:rsid w:val="009B77F7"/>
    <w:rsid w:val="009B7FE0"/>
    <w:rsid w:val="009C365E"/>
    <w:rsid w:val="009C3ACA"/>
    <w:rsid w:val="009D61E8"/>
    <w:rsid w:val="009E6408"/>
    <w:rsid w:val="009F2062"/>
    <w:rsid w:val="00A00215"/>
    <w:rsid w:val="00A00C57"/>
    <w:rsid w:val="00A040CA"/>
    <w:rsid w:val="00A040EC"/>
    <w:rsid w:val="00A05A50"/>
    <w:rsid w:val="00A12601"/>
    <w:rsid w:val="00A15A35"/>
    <w:rsid w:val="00A1679C"/>
    <w:rsid w:val="00A22921"/>
    <w:rsid w:val="00A35FBE"/>
    <w:rsid w:val="00A4379D"/>
    <w:rsid w:val="00A43EE5"/>
    <w:rsid w:val="00A500C2"/>
    <w:rsid w:val="00A514EE"/>
    <w:rsid w:val="00A5276D"/>
    <w:rsid w:val="00A71165"/>
    <w:rsid w:val="00A802BC"/>
    <w:rsid w:val="00A8426D"/>
    <w:rsid w:val="00A87114"/>
    <w:rsid w:val="00A93C70"/>
    <w:rsid w:val="00A96294"/>
    <w:rsid w:val="00A9738F"/>
    <w:rsid w:val="00AA25B3"/>
    <w:rsid w:val="00AA2F3D"/>
    <w:rsid w:val="00AA6260"/>
    <w:rsid w:val="00AA6604"/>
    <w:rsid w:val="00AA757F"/>
    <w:rsid w:val="00AB1282"/>
    <w:rsid w:val="00AB2AF1"/>
    <w:rsid w:val="00AB4454"/>
    <w:rsid w:val="00AB6A69"/>
    <w:rsid w:val="00AC10F0"/>
    <w:rsid w:val="00AC1450"/>
    <w:rsid w:val="00AC6D6B"/>
    <w:rsid w:val="00AD4786"/>
    <w:rsid w:val="00AE2FE1"/>
    <w:rsid w:val="00B029F4"/>
    <w:rsid w:val="00B17640"/>
    <w:rsid w:val="00B21BE1"/>
    <w:rsid w:val="00B26FE9"/>
    <w:rsid w:val="00B42842"/>
    <w:rsid w:val="00B46508"/>
    <w:rsid w:val="00B55FB3"/>
    <w:rsid w:val="00B62582"/>
    <w:rsid w:val="00B63450"/>
    <w:rsid w:val="00B73551"/>
    <w:rsid w:val="00B8371F"/>
    <w:rsid w:val="00B847B3"/>
    <w:rsid w:val="00B84B4D"/>
    <w:rsid w:val="00B86B96"/>
    <w:rsid w:val="00BA36B1"/>
    <w:rsid w:val="00BB4FB6"/>
    <w:rsid w:val="00BC040C"/>
    <w:rsid w:val="00BC511E"/>
    <w:rsid w:val="00BC57F0"/>
    <w:rsid w:val="00BD5CFF"/>
    <w:rsid w:val="00BD7067"/>
    <w:rsid w:val="00BE0AD0"/>
    <w:rsid w:val="00BE360D"/>
    <w:rsid w:val="00BF6222"/>
    <w:rsid w:val="00C15ADA"/>
    <w:rsid w:val="00C21343"/>
    <w:rsid w:val="00C231A2"/>
    <w:rsid w:val="00C245B7"/>
    <w:rsid w:val="00C25660"/>
    <w:rsid w:val="00C27962"/>
    <w:rsid w:val="00C53F80"/>
    <w:rsid w:val="00C564D1"/>
    <w:rsid w:val="00C56C37"/>
    <w:rsid w:val="00C71A71"/>
    <w:rsid w:val="00C77779"/>
    <w:rsid w:val="00C81FF9"/>
    <w:rsid w:val="00CA0E37"/>
    <w:rsid w:val="00CA2DF5"/>
    <w:rsid w:val="00CA5A82"/>
    <w:rsid w:val="00CA6BA8"/>
    <w:rsid w:val="00CA74DD"/>
    <w:rsid w:val="00CC5D68"/>
    <w:rsid w:val="00CC6DE6"/>
    <w:rsid w:val="00CD4E60"/>
    <w:rsid w:val="00CE1170"/>
    <w:rsid w:val="00CE2AC8"/>
    <w:rsid w:val="00CF1B75"/>
    <w:rsid w:val="00D07EFF"/>
    <w:rsid w:val="00D1622B"/>
    <w:rsid w:val="00D21510"/>
    <w:rsid w:val="00D2464F"/>
    <w:rsid w:val="00D2525D"/>
    <w:rsid w:val="00D25826"/>
    <w:rsid w:val="00D31B17"/>
    <w:rsid w:val="00D33ECA"/>
    <w:rsid w:val="00D65425"/>
    <w:rsid w:val="00D75A50"/>
    <w:rsid w:val="00D7755F"/>
    <w:rsid w:val="00D84F7A"/>
    <w:rsid w:val="00D851DF"/>
    <w:rsid w:val="00D86515"/>
    <w:rsid w:val="00D90BA1"/>
    <w:rsid w:val="00D974B6"/>
    <w:rsid w:val="00DA4E00"/>
    <w:rsid w:val="00DB043B"/>
    <w:rsid w:val="00DB475C"/>
    <w:rsid w:val="00DB625D"/>
    <w:rsid w:val="00DC61C5"/>
    <w:rsid w:val="00DD07B8"/>
    <w:rsid w:val="00DD0D56"/>
    <w:rsid w:val="00DD0FB8"/>
    <w:rsid w:val="00DD24BF"/>
    <w:rsid w:val="00DD646D"/>
    <w:rsid w:val="00DE6245"/>
    <w:rsid w:val="00DE6640"/>
    <w:rsid w:val="00E14B09"/>
    <w:rsid w:val="00E316A4"/>
    <w:rsid w:val="00E53F07"/>
    <w:rsid w:val="00E54078"/>
    <w:rsid w:val="00E6759B"/>
    <w:rsid w:val="00E73A39"/>
    <w:rsid w:val="00E76AE4"/>
    <w:rsid w:val="00E918FE"/>
    <w:rsid w:val="00E91A6C"/>
    <w:rsid w:val="00EA34A8"/>
    <w:rsid w:val="00EA4811"/>
    <w:rsid w:val="00EB78FD"/>
    <w:rsid w:val="00EC6400"/>
    <w:rsid w:val="00ED5B37"/>
    <w:rsid w:val="00EE07D2"/>
    <w:rsid w:val="00EE3DD9"/>
    <w:rsid w:val="00EE4729"/>
    <w:rsid w:val="00EE5049"/>
    <w:rsid w:val="00EF76C9"/>
    <w:rsid w:val="00F13EFD"/>
    <w:rsid w:val="00F16221"/>
    <w:rsid w:val="00F204E0"/>
    <w:rsid w:val="00F26CE9"/>
    <w:rsid w:val="00F3421C"/>
    <w:rsid w:val="00F34C2D"/>
    <w:rsid w:val="00F36823"/>
    <w:rsid w:val="00F43D8B"/>
    <w:rsid w:val="00F467AE"/>
    <w:rsid w:val="00F54F03"/>
    <w:rsid w:val="00F65CC6"/>
    <w:rsid w:val="00F67D55"/>
    <w:rsid w:val="00F71A11"/>
    <w:rsid w:val="00F75908"/>
    <w:rsid w:val="00F86704"/>
    <w:rsid w:val="00F90DAF"/>
    <w:rsid w:val="00F91EAF"/>
    <w:rsid w:val="00F929CB"/>
    <w:rsid w:val="00FA1AF7"/>
    <w:rsid w:val="00FA50F7"/>
    <w:rsid w:val="00FA6570"/>
    <w:rsid w:val="00FA7E15"/>
    <w:rsid w:val="00FB106F"/>
    <w:rsid w:val="00FD4551"/>
    <w:rsid w:val="00FF08F7"/>
    <w:rsid w:val="00FF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C6EC"/>
  <w15:chartTrackingRefBased/>
  <w15:docId w15:val="{A3FC9F26-4DE8-401C-83A0-DAB4A30EE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1C5"/>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DC6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1C5"/>
    <w:rPr>
      <w:rFonts w:eastAsiaTheme="majorEastAsia" w:cstheme="majorBidi"/>
      <w:color w:val="272727" w:themeColor="text1" w:themeTint="D8"/>
    </w:rPr>
  </w:style>
  <w:style w:type="paragraph" w:styleId="Title">
    <w:name w:val="Title"/>
    <w:basedOn w:val="Normal"/>
    <w:next w:val="Normal"/>
    <w:link w:val="TitleChar"/>
    <w:uiPriority w:val="10"/>
    <w:qFormat/>
    <w:rsid w:val="00DC6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1C5"/>
    <w:pPr>
      <w:spacing w:before="160"/>
      <w:jc w:val="center"/>
    </w:pPr>
    <w:rPr>
      <w:i/>
      <w:iCs/>
      <w:color w:val="404040" w:themeColor="text1" w:themeTint="BF"/>
    </w:rPr>
  </w:style>
  <w:style w:type="character" w:customStyle="1" w:styleId="QuoteChar">
    <w:name w:val="Quote Char"/>
    <w:basedOn w:val="DefaultParagraphFont"/>
    <w:link w:val="Quote"/>
    <w:uiPriority w:val="29"/>
    <w:rsid w:val="00DC61C5"/>
    <w:rPr>
      <w:i/>
      <w:iCs/>
      <w:color w:val="404040" w:themeColor="text1" w:themeTint="BF"/>
    </w:rPr>
  </w:style>
  <w:style w:type="paragraph" w:styleId="ListParagraph">
    <w:name w:val="List Paragraph"/>
    <w:basedOn w:val="Normal"/>
    <w:uiPriority w:val="34"/>
    <w:qFormat/>
    <w:rsid w:val="00DC61C5"/>
    <w:pPr>
      <w:ind w:left="720"/>
      <w:contextualSpacing/>
    </w:pPr>
  </w:style>
  <w:style w:type="character" w:styleId="IntenseEmphasis">
    <w:name w:val="Intense Emphasis"/>
    <w:basedOn w:val="DefaultParagraphFont"/>
    <w:uiPriority w:val="21"/>
    <w:qFormat/>
    <w:rsid w:val="00DC61C5"/>
    <w:rPr>
      <w:i/>
      <w:iCs/>
      <w:color w:val="0F4761" w:themeColor="accent1" w:themeShade="BF"/>
    </w:rPr>
  </w:style>
  <w:style w:type="paragraph" w:styleId="IntenseQuote">
    <w:name w:val="Intense Quote"/>
    <w:basedOn w:val="Normal"/>
    <w:next w:val="Normal"/>
    <w:link w:val="IntenseQuoteChar"/>
    <w:uiPriority w:val="30"/>
    <w:qFormat/>
    <w:rsid w:val="00DC6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1C5"/>
    <w:rPr>
      <w:i/>
      <w:iCs/>
      <w:color w:val="0F4761" w:themeColor="accent1" w:themeShade="BF"/>
    </w:rPr>
  </w:style>
  <w:style w:type="character" w:styleId="IntenseReference">
    <w:name w:val="Intense Reference"/>
    <w:basedOn w:val="DefaultParagraphFont"/>
    <w:uiPriority w:val="32"/>
    <w:qFormat/>
    <w:rsid w:val="00DC61C5"/>
    <w:rPr>
      <w:b/>
      <w:bCs/>
      <w:smallCaps/>
      <w:color w:val="0F4761" w:themeColor="accent1" w:themeShade="BF"/>
      <w:spacing w:val="5"/>
    </w:rPr>
  </w:style>
  <w:style w:type="paragraph" w:styleId="NormalWeb">
    <w:name w:val="Normal (Web)"/>
    <w:basedOn w:val="Normal"/>
    <w:uiPriority w:val="99"/>
    <w:semiHidden/>
    <w:unhideWhenUsed/>
    <w:rsid w:val="001B7CCB"/>
    <w:rPr>
      <w:rFonts w:ascii="Times New Roman" w:hAnsi="Times New Roman"/>
    </w:rPr>
  </w:style>
  <w:style w:type="character" w:styleId="Hyperlink">
    <w:name w:val="Hyperlink"/>
    <w:basedOn w:val="DefaultParagraphFont"/>
    <w:uiPriority w:val="99"/>
    <w:unhideWhenUsed/>
    <w:rsid w:val="00157B9A"/>
    <w:rPr>
      <w:color w:val="467886" w:themeColor="hyperlink"/>
      <w:u w:val="single"/>
    </w:rPr>
  </w:style>
  <w:style w:type="character" w:styleId="UnresolvedMention">
    <w:name w:val="Unresolved Mention"/>
    <w:basedOn w:val="DefaultParagraphFont"/>
    <w:uiPriority w:val="99"/>
    <w:semiHidden/>
    <w:unhideWhenUsed/>
    <w:rsid w:val="00157B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dpi.com/2032-6653/12/3/152/pdf" TargetMode="External"/><Relationship Id="rId18" Type="http://schemas.openxmlformats.org/officeDocument/2006/relationships/hyperlink" Target="https://www.mdpi.com/2313-0105/7/4/8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eeexplore.ieee.org/iel7/17/4429834/09761796.pdf?casa_token=ZlUbeXEuFdwAAAAA:jJc1BuqiLwBAmnaxoyBWy-x0rl6F9_mcnbUjCMZQRudqmUtQOb7ueObQOfJsZHNH2mZbPwexwk4R" TargetMode="External"/><Relationship Id="rId7" Type="http://schemas.openxmlformats.org/officeDocument/2006/relationships/image" Target="media/image3.png"/><Relationship Id="rId12" Type="http://schemas.openxmlformats.org/officeDocument/2006/relationships/hyperlink" Target="https://www.researchgate.net/profile/Rohit-Markan/publication/362591143_Factors_Influencing_Imbursements_Study_on_Payment_Preference_Among_Cash_MW_and_NFC/links/668777372aa57f3b826edc56/Factors-Influencing-Imbursements-Study-on-Payment-Preference-Among-Cash-MW-and-NFC.pdf" TargetMode="External"/><Relationship Id="rId17" Type="http://schemas.openxmlformats.org/officeDocument/2006/relationships/hyperlink" Target="https://iopscience.iop.org/article/10.1088/1755-1315/1254/1/012030/pdf" TargetMode="External"/><Relationship Id="rId25" Type="http://schemas.openxmlformats.org/officeDocument/2006/relationships/hyperlink" Target="https://www.sciencedirect.com/science/article/pii/S2211467X22000190" TargetMode="External"/><Relationship Id="rId2" Type="http://schemas.openxmlformats.org/officeDocument/2006/relationships/styles" Target="styles.xml"/><Relationship Id="rId16" Type="http://schemas.openxmlformats.org/officeDocument/2006/relationships/hyperlink" Target="https://www.sciencedirect.com/science/article/pii/S0306261919307834" TargetMode="External"/><Relationship Id="rId20" Type="http://schemas.openxmlformats.org/officeDocument/2006/relationships/hyperlink" Target="https://www.mdpi.com/1996-1073/16/17/618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dpi.com/1996-1073/15/24/9409" TargetMode="External"/><Relationship Id="rId24" Type="http://schemas.openxmlformats.org/officeDocument/2006/relationships/hyperlink" Target="https://www.mdpi.com/2071-1050/12/23/9807" TargetMode="External"/><Relationship Id="rId5" Type="http://schemas.openxmlformats.org/officeDocument/2006/relationships/image" Target="media/image1.png"/><Relationship Id="rId15" Type="http://schemas.openxmlformats.org/officeDocument/2006/relationships/hyperlink" Target="https://ieeexplore.ieee.org/iel7/6287639/6514899/10398193.pdf" TargetMode="External"/><Relationship Id="rId23" Type="http://schemas.openxmlformats.org/officeDocument/2006/relationships/hyperlink" Target="https://www.mdpi.com/2032-6653/15/8/375" TargetMode="External"/><Relationship Id="rId10" Type="http://schemas.openxmlformats.org/officeDocument/2006/relationships/image" Target="media/image6.png"/><Relationship Id="rId19" Type="http://schemas.openxmlformats.org/officeDocument/2006/relationships/hyperlink" Target="https://ieeexplore.ieee.org/iel7/6287639/6514899/09775727.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encedirect.com/science/article/pii/S1364032121009813?casa_token=GMHt-656GokAAAAA:NfZUnRBJMNKG_cVlZBwFYxwpY-EoD4Yto9KzNLri2YMqvEJvTjwmUc9doLn6Te-qniyi7JsXsJw" TargetMode="External"/><Relationship Id="rId22" Type="http://schemas.openxmlformats.org/officeDocument/2006/relationships/hyperlink" Target="https://www.mdpi.com/2624-8921/3/4/5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1298</TotalTime>
  <Pages>12</Pages>
  <Words>2768</Words>
  <Characters>15778</Characters>
  <Application>Microsoft Office Word</Application>
  <DocSecurity>0</DocSecurity>
  <Lines>131</Lines>
  <Paragraphs>37</Paragraphs>
  <ScaleCrop>false</ScaleCrop>
  <Company/>
  <LinksUpToDate>false</LinksUpToDate>
  <CharactersWithSpaces>18509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Devi Raju</dc:creator>
  <cp:keywords/>
  <dc:description/>
  <cp:lastModifiedBy>Devi Raju</cp:lastModifiedBy>
  <cp:revision>374</cp:revision>
  <dcterms:created xsi:type="dcterms:W3CDTF">2025-12-01T19:14:00Z</dcterms:created>
  <dcterms:modified xsi:type="dcterms:W3CDTF">2025-12-04T09:44:00Z</dcterms:modified>
</cp:coreProperties>
</file>