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AA56C" w14:textId="2E8143F4" w:rsidR="001817D8" w:rsidRPr="0031484D" w:rsidRDefault="004E0251" w:rsidP="00861403">
      <w:pPr>
        <w:pStyle w:val="NoSpacing"/>
        <w:spacing w:line="276" w:lineRule="auto"/>
        <w:jc w:val="center"/>
        <w:rPr>
          <w:rFonts w:ascii="Verdana" w:hAnsi="Verdana"/>
        </w:rPr>
      </w:pPr>
      <w:r w:rsidRPr="0031484D">
        <w:rPr>
          <w:rFonts w:ascii="Verdana" w:hAnsi="Verdana"/>
          <w:b/>
          <w:bCs/>
        </w:rPr>
        <w:t>Undertake a critical analysis of the characteristics and reception of either Abraham</w:t>
      </w:r>
      <w:r w:rsidR="00B47516" w:rsidRPr="0031484D">
        <w:rPr>
          <w:rFonts w:ascii="Verdana" w:hAnsi="Verdana"/>
          <w:b/>
          <w:bCs/>
        </w:rPr>
        <w:t xml:space="preserve">, </w:t>
      </w:r>
      <w:proofErr w:type="gramStart"/>
      <w:r w:rsidR="00B47516" w:rsidRPr="0031484D">
        <w:rPr>
          <w:rFonts w:ascii="Verdana" w:hAnsi="Verdana"/>
          <w:b/>
          <w:bCs/>
        </w:rPr>
        <w:t>Isaac</w:t>
      </w:r>
      <w:proofErr w:type="gramEnd"/>
      <w:r w:rsidR="00B47516" w:rsidRPr="0031484D">
        <w:rPr>
          <w:rFonts w:ascii="Verdana" w:hAnsi="Verdana"/>
          <w:b/>
          <w:bCs/>
        </w:rPr>
        <w:t xml:space="preserve"> or Jacob</w:t>
      </w:r>
      <w:r w:rsidR="00B47516" w:rsidRPr="0031484D">
        <w:rPr>
          <w:rFonts w:ascii="Verdana" w:hAnsi="Verdana"/>
        </w:rPr>
        <w:t>.</w:t>
      </w:r>
    </w:p>
    <w:p w14:paraId="3018B4DB" w14:textId="3EDF0326" w:rsidR="0006272F" w:rsidRPr="0031484D" w:rsidRDefault="0006272F" w:rsidP="00861403">
      <w:pPr>
        <w:pStyle w:val="NoSpacing"/>
        <w:spacing w:line="276" w:lineRule="auto"/>
        <w:jc w:val="center"/>
        <w:rPr>
          <w:rFonts w:ascii="Verdana" w:hAnsi="Verdana"/>
        </w:rPr>
      </w:pPr>
    </w:p>
    <w:p w14:paraId="0C8892E0" w14:textId="721C57B3" w:rsidR="0006272F" w:rsidRPr="0031484D" w:rsidRDefault="0006272F" w:rsidP="00861403">
      <w:pPr>
        <w:pStyle w:val="NoSpacing"/>
        <w:spacing w:line="276" w:lineRule="auto"/>
        <w:rPr>
          <w:rFonts w:ascii="Verdana" w:hAnsi="Verdana"/>
          <w:b/>
          <w:bCs/>
        </w:rPr>
      </w:pPr>
      <w:r w:rsidRPr="0031484D">
        <w:rPr>
          <w:rFonts w:ascii="Verdana" w:hAnsi="Verdana"/>
          <w:b/>
          <w:bCs/>
        </w:rPr>
        <w:t>Word count:</w:t>
      </w:r>
      <w:r w:rsidR="00861403">
        <w:rPr>
          <w:rFonts w:ascii="Verdana" w:hAnsi="Verdana"/>
          <w:b/>
          <w:bCs/>
        </w:rPr>
        <w:t xml:space="preserve"> 2762</w:t>
      </w:r>
    </w:p>
    <w:p w14:paraId="08EFD8A8" w14:textId="77777777" w:rsidR="001817D8" w:rsidRPr="0031484D" w:rsidRDefault="001817D8" w:rsidP="00861403">
      <w:pPr>
        <w:pStyle w:val="NoSpacing"/>
        <w:spacing w:line="276" w:lineRule="auto"/>
        <w:rPr>
          <w:rFonts w:ascii="Verdana" w:hAnsi="Verdana"/>
        </w:rPr>
      </w:pPr>
    </w:p>
    <w:p w14:paraId="77A2770A" w14:textId="02AA94A9" w:rsidR="006B66AC" w:rsidRPr="0031484D" w:rsidRDefault="00764E97" w:rsidP="00861403">
      <w:pPr>
        <w:pStyle w:val="NoSpacing"/>
        <w:spacing w:line="276" w:lineRule="auto"/>
        <w:rPr>
          <w:rFonts w:ascii="Verdana" w:hAnsi="Verdana"/>
        </w:rPr>
      </w:pPr>
      <w:r w:rsidRPr="0031484D">
        <w:rPr>
          <w:rFonts w:ascii="Verdana" w:hAnsi="Verdana"/>
        </w:rPr>
        <w:t>Foll</w:t>
      </w:r>
      <w:r w:rsidR="00625AD5" w:rsidRPr="0031484D">
        <w:rPr>
          <w:rFonts w:ascii="Verdana" w:hAnsi="Verdana"/>
        </w:rPr>
        <w:t>owing the primeval history in Genesis</w:t>
      </w:r>
      <w:r w:rsidR="00B605C4">
        <w:rPr>
          <w:rFonts w:ascii="Verdana" w:hAnsi="Verdana"/>
        </w:rPr>
        <w:t>, Chapters 1-11</w:t>
      </w:r>
      <w:r w:rsidR="00625AD5" w:rsidRPr="0031484D">
        <w:rPr>
          <w:rFonts w:ascii="Verdana" w:hAnsi="Verdana"/>
        </w:rPr>
        <w:t>,</w:t>
      </w:r>
      <w:r w:rsidR="009B4A4B" w:rsidRPr="0031484D">
        <w:rPr>
          <w:rFonts w:ascii="Verdana" w:hAnsi="Verdana"/>
        </w:rPr>
        <w:t xml:space="preserve"> Abraham emerges as the earliest biblical character who is given sufficient demarcations to be placed, to a limited extent, within world history</w:t>
      </w:r>
      <w:r w:rsidR="00B605C4">
        <w:rPr>
          <w:rStyle w:val="FootnoteReference"/>
          <w:rFonts w:ascii="Verdana" w:hAnsi="Verdana"/>
        </w:rPr>
        <w:footnoteReference w:id="1"/>
      </w:r>
      <w:r w:rsidR="009B4A4B" w:rsidRPr="0031484D">
        <w:rPr>
          <w:rFonts w:ascii="Verdana" w:hAnsi="Verdana"/>
        </w:rPr>
        <w:t>.</w:t>
      </w:r>
      <w:r w:rsidR="00625AD5" w:rsidRPr="0031484D">
        <w:rPr>
          <w:rFonts w:ascii="Verdana" w:hAnsi="Verdana"/>
        </w:rPr>
        <w:t xml:space="preserve"> </w:t>
      </w:r>
      <w:r w:rsidR="00EB3EDD" w:rsidRPr="0031484D">
        <w:rPr>
          <w:rFonts w:ascii="Verdana" w:hAnsi="Verdana"/>
        </w:rPr>
        <w:t>T</w:t>
      </w:r>
      <w:r w:rsidR="00625AD5" w:rsidRPr="0031484D">
        <w:rPr>
          <w:rFonts w:ascii="Verdana" w:hAnsi="Verdana"/>
        </w:rPr>
        <w:t>he introduction of Abraham offers</w:t>
      </w:r>
      <w:r w:rsidR="004B4CC3" w:rsidRPr="0031484D">
        <w:rPr>
          <w:rFonts w:ascii="Verdana" w:hAnsi="Verdana"/>
        </w:rPr>
        <w:t xml:space="preserve"> a </w:t>
      </w:r>
      <w:r w:rsidR="00062E9E" w:rsidRPr="0031484D">
        <w:rPr>
          <w:rFonts w:ascii="Verdana" w:hAnsi="Verdana"/>
        </w:rPr>
        <w:t xml:space="preserve">unified </w:t>
      </w:r>
      <w:r w:rsidR="004B4CC3" w:rsidRPr="0031484D">
        <w:rPr>
          <w:rFonts w:ascii="Verdana" w:hAnsi="Verdana"/>
        </w:rPr>
        <w:t>narrative with a rich variety of peoples and indivi</w:t>
      </w:r>
      <w:r w:rsidR="00156C46" w:rsidRPr="0031484D">
        <w:rPr>
          <w:rFonts w:ascii="Verdana" w:hAnsi="Verdana"/>
        </w:rPr>
        <w:t>duals, each significantly conditioning his activity</w:t>
      </w:r>
      <w:r w:rsidR="00B605C4">
        <w:rPr>
          <w:rStyle w:val="FootnoteReference"/>
          <w:rFonts w:ascii="Verdana" w:hAnsi="Verdana"/>
        </w:rPr>
        <w:footnoteReference w:id="2"/>
      </w:r>
      <w:r w:rsidR="00156C46" w:rsidRPr="0031484D">
        <w:rPr>
          <w:rFonts w:ascii="Verdana" w:hAnsi="Verdana"/>
        </w:rPr>
        <w:t>.</w:t>
      </w:r>
      <w:r w:rsidR="00791503" w:rsidRPr="0031484D">
        <w:rPr>
          <w:rFonts w:ascii="Verdana" w:hAnsi="Verdana"/>
        </w:rPr>
        <w:t xml:space="preserve"> </w:t>
      </w:r>
      <w:r w:rsidR="00F36BB2" w:rsidRPr="0031484D">
        <w:rPr>
          <w:rFonts w:ascii="Verdana" w:hAnsi="Verdana"/>
        </w:rPr>
        <w:t xml:space="preserve">The </w:t>
      </w:r>
      <w:r w:rsidR="00B635B1" w:rsidRPr="0031484D">
        <w:rPr>
          <w:rFonts w:ascii="Verdana" w:hAnsi="Verdana"/>
        </w:rPr>
        <w:t>const</w:t>
      </w:r>
      <w:r w:rsidR="003A05EA" w:rsidRPr="0031484D">
        <w:rPr>
          <w:rFonts w:ascii="Verdana" w:hAnsi="Verdana"/>
        </w:rPr>
        <w:t xml:space="preserve">ruction of </w:t>
      </w:r>
      <w:r w:rsidR="00F36BB2" w:rsidRPr="0031484D">
        <w:rPr>
          <w:rFonts w:ascii="Verdana" w:hAnsi="Verdana"/>
        </w:rPr>
        <w:t xml:space="preserve">separate narratives joined together </w:t>
      </w:r>
      <w:r w:rsidR="00B635B1" w:rsidRPr="0031484D">
        <w:rPr>
          <w:rFonts w:ascii="Verdana" w:hAnsi="Verdana"/>
        </w:rPr>
        <w:t>by overarching themes</w:t>
      </w:r>
      <w:r w:rsidR="003A05EA" w:rsidRPr="0031484D">
        <w:rPr>
          <w:rFonts w:ascii="Verdana" w:hAnsi="Verdana"/>
        </w:rPr>
        <w:t xml:space="preserve"> makes Abraham into a great figure of Israel’s past,</w:t>
      </w:r>
      <w:r w:rsidR="00C92A1F" w:rsidRPr="0031484D">
        <w:rPr>
          <w:rFonts w:ascii="Verdana" w:hAnsi="Verdana"/>
        </w:rPr>
        <w:t xml:space="preserve"> founder of the line of patriarchs, leading eventuall</w:t>
      </w:r>
      <w:r w:rsidR="004813A1" w:rsidRPr="0031484D">
        <w:rPr>
          <w:rFonts w:ascii="Verdana" w:hAnsi="Verdana"/>
        </w:rPr>
        <w:t>y to the development of Israel into a nation in Egypt</w:t>
      </w:r>
      <w:r w:rsidR="00B605C4">
        <w:rPr>
          <w:rStyle w:val="FootnoteReference"/>
          <w:rFonts w:ascii="Verdana" w:hAnsi="Verdana"/>
        </w:rPr>
        <w:footnoteReference w:id="3"/>
      </w:r>
      <w:r w:rsidR="00625825" w:rsidRPr="0031484D">
        <w:rPr>
          <w:rFonts w:ascii="Verdana" w:hAnsi="Verdana"/>
        </w:rPr>
        <w:t>.</w:t>
      </w:r>
      <w:r w:rsidR="00B605C4">
        <w:rPr>
          <w:rFonts w:ascii="Verdana" w:hAnsi="Verdana"/>
        </w:rPr>
        <w:t xml:space="preserve"> </w:t>
      </w:r>
      <w:r w:rsidR="002C2D01" w:rsidRPr="0031484D">
        <w:rPr>
          <w:rFonts w:ascii="Verdana" w:hAnsi="Verdana"/>
        </w:rPr>
        <w:t>North has identified twenty-two separate episodes</w:t>
      </w:r>
      <w:r w:rsidR="009D2C76" w:rsidRPr="0031484D">
        <w:rPr>
          <w:rFonts w:ascii="Verdana" w:hAnsi="Verdana"/>
        </w:rPr>
        <w:t xml:space="preserve"> </w:t>
      </w:r>
      <w:r w:rsidR="00526CB2" w:rsidRPr="0031484D">
        <w:rPr>
          <w:rFonts w:ascii="Verdana" w:hAnsi="Verdana"/>
        </w:rPr>
        <w:t>following the pattern of the three</w:t>
      </w:r>
      <w:r w:rsidR="006211FB" w:rsidRPr="0031484D">
        <w:rPr>
          <w:rFonts w:ascii="Verdana" w:hAnsi="Verdana"/>
        </w:rPr>
        <w:t xml:space="preserve"> different hands to wh</w:t>
      </w:r>
      <w:r w:rsidR="00D267CC" w:rsidRPr="0031484D">
        <w:rPr>
          <w:rFonts w:ascii="Verdana" w:hAnsi="Verdana"/>
        </w:rPr>
        <w:t xml:space="preserve">om this narrative has been attributed: eleven episodes belong to the </w:t>
      </w:r>
      <w:r w:rsidR="00CD2AB9" w:rsidRPr="0031484D">
        <w:rPr>
          <w:rFonts w:ascii="Verdana" w:hAnsi="Verdana"/>
        </w:rPr>
        <w:t>Yahwist tradition</w:t>
      </w:r>
      <w:r w:rsidR="00FC55BD" w:rsidRPr="0031484D">
        <w:rPr>
          <w:rFonts w:ascii="Verdana" w:hAnsi="Verdana"/>
        </w:rPr>
        <w:t xml:space="preserve"> (J)</w:t>
      </w:r>
      <w:r w:rsidR="00CD2AB9" w:rsidRPr="0031484D">
        <w:rPr>
          <w:rFonts w:ascii="Verdana" w:hAnsi="Verdana"/>
        </w:rPr>
        <w:t xml:space="preserve">, five to the </w:t>
      </w:r>
      <w:proofErr w:type="spellStart"/>
      <w:r w:rsidR="00CD2AB9" w:rsidRPr="0031484D">
        <w:rPr>
          <w:rFonts w:ascii="Verdana" w:hAnsi="Verdana"/>
        </w:rPr>
        <w:t>Elohist</w:t>
      </w:r>
      <w:proofErr w:type="spellEnd"/>
      <w:r w:rsidR="00FC55BD" w:rsidRPr="0031484D">
        <w:rPr>
          <w:rFonts w:ascii="Verdana" w:hAnsi="Verdana"/>
        </w:rPr>
        <w:t xml:space="preserve"> (E)</w:t>
      </w:r>
      <w:r w:rsidR="00CD2AB9" w:rsidRPr="0031484D">
        <w:rPr>
          <w:rFonts w:ascii="Verdana" w:hAnsi="Verdana"/>
        </w:rPr>
        <w:t xml:space="preserve"> and six to the Priestly</w:t>
      </w:r>
      <w:r w:rsidR="00FC55BD" w:rsidRPr="0031484D">
        <w:rPr>
          <w:rFonts w:ascii="Verdana" w:hAnsi="Verdana"/>
        </w:rPr>
        <w:t xml:space="preserve"> (P</w:t>
      </w:r>
      <w:r w:rsidR="000E7013" w:rsidRPr="0031484D">
        <w:rPr>
          <w:rFonts w:ascii="Verdana" w:hAnsi="Verdana"/>
        </w:rPr>
        <w:t>)</w:t>
      </w:r>
      <w:r w:rsidR="00CD2AB9" w:rsidRPr="0031484D">
        <w:rPr>
          <w:rFonts w:ascii="Verdana" w:hAnsi="Verdana"/>
        </w:rPr>
        <w:t xml:space="preserve"> tra</w:t>
      </w:r>
      <w:r w:rsidR="000E2533" w:rsidRPr="0031484D">
        <w:rPr>
          <w:rFonts w:ascii="Verdana" w:hAnsi="Verdana"/>
        </w:rPr>
        <w:t xml:space="preserve">dition. Each tradition seemingly </w:t>
      </w:r>
      <w:r w:rsidR="000E7013" w:rsidRPr="0031484D">
        <w:rPr>
          <w:rFonts w:ascii="Verdana" w:hAnsi="Verdana"/>
        </w:rPr>
        <w:t>portrays Abraham in a different light</w:t>
      </w:r>
      <w:r w:rsidR="00CD4B63" w:rsidRPr="0031484D">
        <w:rPr>
          <w:rFonts w:ascii="Verdana" w:hAnsi="Verdana"/>
        </w:rPr>
        <w:t>; as the ‘Father of all nations’ (J), as a ‘mod</w:t>
      </w:r>
      <w:r w:rsidR="008E2E14" w:rsidRPr="0031484D">
        <w:rPr>
          <w:rFonts w:ascii="Verdana" w:hAnsi="Verdana"/>
        </w:rPr>
        <w:t xml:space="preserve">el of faith’ (E) and </w:t>
      </w:r>
      <w:r w:rsidR="00CF1694" w:rsidRPr="0031484D">
        <w:rPr>
          <w:rFonts w:ascii="Verdana" w:hAnsi="Verdana"/>
        </w:rPr>
        <w:t>as the ‘guarantor of Israel’s survival (P)</w:t>
      </w:r>
      <w:r w:rsidR="00B605C4">
        <w:rPr>
          <w:rStyle w:val="FootnoteReference"/>
          <w:rFonts w:ascii="Verdana" w:hAnsi="Verdana"/>
        </w:rPr>
        <w:footnoteReference w:id="4"/>
      </w:r>
      <w:r w:rsidR="00CF1694" w:rsidRPr="0031484D">
        <w:rPr>
          <w:rFonts w:ascii="Verdana" w:hAnsi="Verdana"/>
        </w:rPr>
        <w:t xml:space="preserve">. It is the </w:t>
      </w:r>
      <w:r w:rsidR="00A14923" w:rsidRPr="0031484D">
        <w:rPr>
          <w:rFonts w:ascii="Verdana" w:hAnsi="Verdana"/>
        </w:rPr>
        <w:t>second of these</w:t>
      </w:r>
      <w:r w:rsidR="00186232">
        <w:rPr>
          <w:rFonts w:ascii="Verdana" w:hAnsi="Verdana"/>
        </w:rPr>
        <w:t xml:space="preserve"> traditions</w:t>
      </w:r>
      <w:r w:rsidR="00A14923" w:rsidRPr="0031484D">
        <w:rPr>
          <w:rFonts w:ascii="Verdana" w:hAnsi="Verdana"/>
        </w:rPr>
        <w:t xml:space="preserve">, Abraham as a model of faith, that this essay will </w:t>
      </w:r>
      <w:r w:rsidR="00585990" w:rsidRPr="0031484D">
        <w:rPr>
          <w:rFonts w:ascii="Verdana" w:hAnsi="Verdana"/>
        </w:rPr>
        <w:t>investigate</w:t>
      </w:r>
      <w:r w:rsidR="006B66AC" w:rsidRPr="0031484D">
        <w:rPr>
          <w:rFonts w:ascii="Verdana" w:hAnsi="Verdana"/>
        </w:rPr>
        <w:t xml:space="preserve"> as he was called forth as an example</w:t>
      </w:r>
      <w:r w:rsidR="00B605C4">
        <w:rPr>
          <w:rFonts w:ascii="Verdana" w:hAnsi="Verdana"/>
        </w:rPr>
        <w:t xml:space="preserve"> to the early Christians</w:t>
      </w:r>
      <w:r w:rsidR="006B66AC" w:rsidRPr="0031484D">
        <w:rPr>
          <w:rFonts w:ascii="Verdana" w:hAnsi="Verdana"/>
        </w:rPr>
        <w:t xml:space="preserve"> in the New Testament, “</w:t>
      </w:r>
      <w:r w:rsidR="00BA6999" w:rsidRPr="0031484D">
        <w:rPr>
          <w:rFonts w:ascii="Verdana" w:eastAsia="Times New Roman" w:hAnsi="Verdana" w:cs="Segoe UI"/>
          <w:color w:val="000000"/>
          <w:shd w:val="clear" w:color="auto" w:fill="FFFFFF"/>
        </w:rPr>
        <w:t>By faith Abraham obeyed when he was called to set out for a place that he was to receive as an inheritance; and he set out, not knowing where he was going</w:t>
      </w:r>
      <w:r w:rsidR="006B66AC" w:rsidRPr="0031484D">
        <w:rPr>
          <w:rFonts w:ascii="Verdana" w:eastAsia="Times New Roman" w:hAnsi="Verdana" w:cs="Segoe UI"/>
          <w:color w:val="000000"/>
          <w:shd w:val="clear" w:color="auto" w:fill="FFFFFF"/>
        </w:rPr>
        <w:t>.”</w:t>
      </w:r>
      <w:r w:rsidR="006B66AC" w:rsidRPr="0031484D">
        <w:rPr>
          <w:rFonts w:ascii="Verdana" w:hAnsi="Verdana"/>
        </w:rPr>
        <w:t xml:space="preserve"> (Hebrews 11:8)</w:t>
      </w:r>
    </w:p>
    <w:p w14:paraId="1A672C3B" w14:textId="77777777" w:rsidR="00B605C4" w:rsidRDefault="00B605C4" w:rsidP="00861403">
      <w:pPr>
        <w:pStyle w:val="NoSpacing"/>
        <w:spacing w:line="276" w:lineRule="auto"/>
        <w:divId w:val="940602514"/>
        <w:rPr>
          <w:rFonts w:ascii="Verdana" w:eastAsia="Times New Roman" w:hAnsi="Verdana" w:cs="Segoe UI"/>
          <w:color w:val="000000"/>
          <w:shd w:val="clear" w:color="auto" w:fill="FFFFFF"/>
        </w:rPr>
      </w:pPr>
    </w:p>
    <w:p w14:paraId="39DFB37A" w14:textId="76B91984" w:rsidR="00561624" w:rsidRPr="0031484D" w:rsidRDefault="006B66AC" w:rsidP="00861403">
      <w:pPr>
        <w:pStyle w:val="NoSpacing"/>
        <w:spacing w:line="276" w:lineRule="auto"/>
        <w:divId w:val="940602514"/>
        <w:rPr>
          <w:rFonts w:ascii="Verdana" w:eastAsia="Times New Roman" w:hAnsi="Verdana" w:cs="Segoe UI"/>
          <w:color w:val="000000"/>
          <w:shd w:val="clear" w:color="auto" w:fill="FFFFFF"/>
        </w:rPr>
      </w:pPr>
      <w:r w:rsidRPr="0031484D">
        <w:rPr>
          <w:rFonts w:ascii="Verdana" w:eastAsia="Times New Roman" w:hAnsi="Verdana" w:cs="Segoe UI"/>
          <w:color w:val="000000"/>
          <w:shd w:val="clear" w:color="auto" w:fill="FFFFFF"/>
        </w:rPr>
        <w:t xml:space="preserve">North cites the </w:t>
      </w:r>
      <w:r w:rsidR="00B46B4A" w:rsidRPr="0031484D">
        <w:rPr>
          <w:rFonts w:ascii="Verdana" w:eastAsia="Times New Roman" w:hAnsi="Verdana" w:cs="Segoe UI"/>
          <w:color w:val="000000"/>
          <w:shd w:val="clear" w:color="auto" w:fill="FFFFFF"/>
        </w:rPr>
        <w:t>following episodes in Genesis as examples of Abraham evincing the behaviour worthy of a model of faith</w:t>
      </w:r>
      <w:r w:rsidR="006A75CC">
        <w:rPr>
          <w:rStyle w:val="FootnoteReference"/>
          <w:rFonts w:ascii="Verdana" w:eastAsia="Times New Roman" w:hAnsi="Verdana" w:cs="Segoe UI"/>
          <w:color w:val="000000"/>
          <w:shd w:val="clear" w:color="auto" w:fill="FFFFFF"/>
        </w:rPr>
        <w:footnoteReference w:id="5"/>
      </w:r>
      <w:r w:rsidR="00B46B4A" w:rsidRPr="0031484D">
        <w:rPr>
          <w:rFonts w:ascii="Verdana" w:eastAsia="Times New Roman" w:hAnsi="Verdana" w:cs="Segoe UI"/>
          <w:color w:val="000000"/>
          <w:shd w:val="clear" w:color="auto" w:fill="FFFFFF"/>
        </w:rPr>
        <w:t xml:space="preserve">: </w:t>
      </w:r>
      <w:r w:rsidR="00ED24D6" w:rsidRPr="0031484D">
        <w:rPr>
          <w:rFonts w:ascii="Verdana" w:eastAsia="Times New Roman" w:hAnsi="Verdana" w:cs="Segoe UI"/>
          <w:color w:val="000000"/>
          <w:shd w:val="clear" w:color="auto" w:fill="FFFFFF"/>
        </w:rPr>
        <w:t>Genesis 15:13-16</w:t>
      </w:r>
      <w:r w:rsidR="00B46B4A" w:rsidRPr="0031484D">
        <w:rPr>
          <w:rFonts w:ascii="Verdana" w:eastAsia="Times New Roman" w:hAnsi="Verdana" w:cs="Segoe UI"/>
          <w:color w:val="000000"/>
          <w:shd w:val="clear" w:color="auto" w:fill="FFFFFF"/>
        </w:rPr>
        <w:t xml:space="preserve"> where</w:t>
      </w:r>
      <w:r w:rsidR="00ED24D6" w:rsidRPr="0031484D">
        <w:rPr>
          <w:rFonts w:ascii="Verdana" w:eastAsia="Times New Roman" w:hAnsi="Verdana" w:cs="Segoe UI"/>
          <w:color w:val="000000"/>
          <w:shd w:val="clear" w:color="auto" w:fill="FFFFFF"/>
        </w:rPr>
        <w:t xml:space="preserve"> an alternative s</w:t>
      </w:r>
      <w:r w:rsidR="003E2B97" w:rsidRPr="0031484D">
        <w:rPr>
          <w:rFonts w:ascii="Verdana" w:eastAsia="Times New Roman" w:hAnsi="Verdana" w:cs="Segoe UI"/>
          <w:color w:val="000000"/>
          <w:shd w:val="clear" w:color="auto" w:fill="FFFFFF"/>
        </w:rPr>
        <w:t xml:space="preserve">lant </w:t>
      </w:r>
      <w:r w:rsidR="00B46B4A" w:rsidRPr="0031484D">
        <w:rPr>
          <w:rFonts w:ascii="Verdana" w:eastAsia="Times New Roman" w:hAnsi="Verdana" w:cs="Segoe UI"/>
          <w:color w:val="000000"/>
          <w:shd w:val="clear" w:color="auto" w:fill="FFFFFF"/>
        </w:rPr>
        <w:t xml:space="preserve">is brought </w:t>
      </w:r>
      <w:r w:rsidR="003E2B97" w:rsidRPr="0031484D">
        <w:rPr>
          <w:rFonts w:ascii="Verdana" w:eastAsia="Times New Roman" w:hAnsi="Verdana" w:cs="Segoe UI"/>
          <w:color w:val="000000"/>
          <w:shd w:val="clear" w:color="auto" w:fill="FFFFFF"/>
        </w:rPr>
        <w:t>to Abraham’s previous positive dealings with God</w:t>
      </w:r>
      <w:r w:rsidR="002A6821" w:rsidRPr="0031484D">
        <w:rPr>
          <w:rFonts w:ascii="Verdana" w:eastAsia="Times New Roman" w:hAnsi="Verdana" w:cs="Segoe UI"/>
          <w:color w:val="000000"/>
          <w:shd w:val="clear" w:color="auto" w:fill="FFFFFF"/>
        </w:rPr>
        <w:t xml:space="preserve"> </w:t>
      </w:r>
      <w:r w:rsidR="00824BD2" w:rsidRPr="0031484D">
        <w:rPr>
          <w:rFonts w:ascii="Verdana" w:eastAsia="Times New Roman" w:hAnsi="Verdana" w:cs="Segoe UI"/>
          <w:color w:val="000000"/>
          <w:shd w:val="clear" w:color="auto" w:fill="FFFFFF"/>
        </w:rPr>
        <w:t>a</w:t>
      </w:r>
      <w:r w:rsidR="00B46B4A" w:rsidRPr="0031484D">
        <w:rPr>
          <w:rFonts w:ascii="Verdana" w:eastAsia="Times New Roman" w:hAnsi="Verdana" w:cs="Segoe UI"/>
          <w:color w:val="000000"/>
          <w:shd w:val="clear" w:color="auto" w:fill="FFFFFF"/>
        </w:rPr>
        <w:t>s</w:t>
      </w:r>
      <w:r w:rsidR="00824BD2" w:rsidRPr="0031484D">
        <w:rPr>
          <w:rFonts w:ascii="Verdana" w:eastAsia="Times New Roman" w:hAnsi="Verdana" w:cs="Segoe UI"/>
          <w:color w:val="000000"/>
          <w:shd w:val="clear" w:color="auto" w:fill="FFFFFF"/>
        </w:rPr>
        <w:t xml:space="preserve"> a dark prophecy is given regarding his offspring</w:t>
      </w:r>
      <w:r w:rsidR="000253E0" w:rsidRPr="0031484D">
        <w:rPr>
          <w:rFonts w:ascii="Verdana" w:eastAsia="Times New Roman" w:hAnsi="Verdana" w:cs="Segoe UI"/>
          <w:color w:val="000000"/>
          <w:shd w:val="clear" w:color="auto" w:fill="FFFFFF"/>
        </w:rPr>
        <w:t>’s separation from the land that has been promised and th</w:t>
      </w:r>
      <w:r w:rsidR="0084376D" w:rsidRPr="0031484D">
        <w:rPr>
          <w:rFonts w:ascii="Verdana" w:eastAsia="Times New Roman" w:hAnsi="Verdana" w:cs="Segoe UI"/>
          <w:color w:val="000000"/>
          <w:shd w:val="clear" w:color="auto" w:fill="FFFFFF"/>
        </w:rPr>
        <w:t>e enslavement in Egypt</w:t>
      </w:r>
      <w:r w:rsidR="00B46B4A" w:rsidRPr="0031484D">
        <w:rPr>
          <w:rFonts w:ascii="Verdana" w:eastAsia="Times New Roman" w:hAnsi="Verdana" w:cs="Segoe UI"/>
          <w:color w:val="000000"/>
          <w:shd w:val="clear" w:color="auto" w:fill="FFFFFF"/>
        </w:rPr>
        <w:t>; h</w:t>
      </w:r>
      <w:r w:rsidR="0084376D" w:rsidRPr="0031484D">
        <w:rPr>
          <w:rFonts w:ascii="Verdana" w:eastAsia="Times New Roman" w:hAnsi="Verdana" w:cs="Segoe UI"/>
          <w:color w:val="000000"/>
          <w:shd w:val="clear" w:color="auto" w:fill="FFFFFF"/>
        </w:rPr>
        <w:t xml:space="preserve">orrors will </w:t>
      </w:r>
      <w:proofErr w:type="gramStart"/>
      <w:r w:rsidR="0084376D" w:rsidRPr="0031484D">
        <w:rPr>
          <w:rFonts w:ascii="Verdana" w:eastAsia="Times New Roman" w:hAnsi="Verdana" w:cs="Segoe UI"/>
          <w:color w:val="000000"/>
          <w:shd w:val="clear" w:color="auto" w:fill="FFFFFF"/>
        </w:rPr>
        <w:t>abound</w:t>
      </w:r>
      <w:proofErr w:type="gramEnd"/>
      <w:r w:rsidR="0084376D" w:rsidRPr="0031484D">
        <w:rPr>
          <w:rFonts w:ascii="Verdana" w:eastAsia="Times New Roman" w:hAnsi="Verdana" w:cs="Segoe UI"/>
          <w:color w:val="000000"/>
          <w:shd w:val="clear" w:color="auto" w:fill="FFFFFF"/>
        </w:rPr>
        <w:t xml:space="preserve"> yet </w:t>
      </w:r>
      <w:r w:rsidR="00B46B4A" w:rsidRPr="0031484D">
        <w:rPr>
          <w:rFonts w:ascii="Verdana" w:eastAsia="Times New Roman" w:hAnsi="Verdana" w:cs="Segoe UI"/>
          <w:color w:val="000000"/>
          <w:shd w:val="clear" w:color="auto" w:fill="FFFFFF"/>
        </w:rPr>
        <w:t>Israel</w:t>
      </w:r>
      <w:r w:rsidR="0084376D" w:rsidRPr="0031484D">
        <w:rPr>
          <w:rFonts w:ascii="Verdana" w:eastAsia="Times New Roman" w:hAnsi="Verdana" w:cs="Segoe UI"/>
          <w:color w:val="000000"/>
          <w:shd w:val="clear" w:color="auto" w:fill="FFFFFF"/>
        </w:rPr>
        <w:t xml:space="preserve"> will </w:t>
      </w:r>
      <w:r w:rsidR="00542646" w:rsidRPr="0031484D">
        <w:rPr>
          <w:rFonts w:ascii="Verdana" w:eastAsia="Times New Roman" w:hAnsi="Verdana" w:cs="Segoe UI"/>
          <w:color w:val="000000"/>
          <w:shd w:val="clear" w:color="auto" w:fill="FFFFFF"/>
        </w:rPr>
        <w:t>be freed and return</w:t>
      </w:r>
      <w:r w:rsidR="006A75CC">
        <w:rPr>
          <w:rStyle w:val="FootnoteReference"/>
          <w:rFonts w:ascii="Verdana" w:eastAsia="Times New Roman" w:hAnsi="Verdana" w:cs="Segoe UI"/>
          <w:color w:val="000000"/>
          <w:shd w:val="clear" w:color="auto" w:fill="FFFFFF"/>
        </w:rPr>
        <w:footnoteReference w:id="6"/>
      </w:r>
      <w:r w:rsidR="00542646" w:rsidRPr="0031484D">
        <w:rPr>
          <w:rFonts w:ascii="Verdana" w:eastAsia="Times New Roman" w:hAnsi="Verdana" w:cs="Segoe UI"/>
          <w:color w:val="000000"/>
          <w:shd w:val="clear" w:color="auto" w:fill="FFFFFF"/>
        </w:rPr>
        <w:t>.</w:t>
      </w:r>
      <w:r w:rsidR="00B46B4A" w:rsidRPr="0031484D">
        <w:rPr>
          <w:rFonts w:ascii="Verdana" w:eastAsia="Times New Roman" w:hAnsi="Verdana" w:cs="Segoe UI"/>
          <w:color w:val="000000"/>
          <w:shd w:val="clear" w:color="auto" w:fill="FFFFFF"/>
        </w:rPr>
        <w:t xml:space="preserve"> In </w:t>
      </w:r>
      <w:r w:rsidR="000E575A" w:rsidRPr="0031484D">
        <w:rPr>
          <w:rFonts w:ascii="Verdana" w:eastAsia="Times New Roman" w:hAnsi="Verdana" w:cs="Segoe UI"/>
          <w:color w:val="000000"/>
          <w:shd w:val="clear" w:color="auto" w:fill="FFFFFF"/>
        </w:rPr>
        <w:t>Genesis 20</w:t>
      </w:r>
      <w:r w:rsidR="00D34152" w:rsidRPr="0031484D">
        <w:rPr>
          <w:rFonts w:ascii="Verdana" w:eastAsia="Times New Roman" w:hAnsi="Verdana" w:cs="Segoe UI"/>
          <w:color w:val="000000"/>
          <w:shd w:val="clear" w:color="auto" w:fill="FFFFFF"/>
        </w:rPr>
        <w:t xml:space="preserve"> </w:t>
      </w:r>
      <w:r w:rsidR="00CC41D8" w:rsidRPr="0031484D">
        <w:rPr>
          <w:rFonts w:ascii="Verdana" w:eastAsia="Times New Roman" w:hAnsi="Verdana" w:cs="Segoe UI"/>
          <w:color w:val="000000"/>
          <w:shd w:val="clear" w:color="auto" w:fill="FFFFFF"/>
        </w:rPr>
        <w:t>Abraham prayed to God to heal Abimelech</w:t>
      </w:r>
      <w:r w:rsidR="00B46B4A" w:rsidRPr="0031484D">
        <w:rPr>
          <w:rFonts w:ascii="Verdana" w:eastAsia="Times New Roman" w:hAnsi="Verdana" w:cs="Segoe UI"/>
          <w:color w:val="000000"/>
          <w:shd w:val="clear" w:color="auto" w:fill="FFFFFF"/>
        </w:rPr>
        <w:t xml:space="preserve">, </w:t>
      </w:r>
      <w:r w:rsidR="00542646" w:rsidRPr="0031484D">
        <w:rPr>
          <w:rFonts w:ascii="Verdana" w:eastAsia="Times New Roman" w:hAnsi="Verdana" w:cs="Segoe UI"/>
          <w:color w:val="000000"/>
          <w:shd w:val="clear" w:color="auto" w:fill="FFFFFF"/>
        </w:rPr>
        <w:t>Genesis 21:6</w:t>
      </w:r>
      <w:r w:rsidR="000E575A" w:rsidRPr="0031484D">
        <w:rPr>
          <w:rFonts w:ascii="Verdana" w:eastAsia="Times New Roman" w:hAnsi="Verdana" w:cs="Segoe UI"/>
          <w:color w:val="000000"/>
          <w:shd w:val="clear" w:color="auto" w:fill="FFFFFF"/>
        </w:rPr>
        <w:t xml:space="preserve">-21 </w:t>
      </w:r>
      <w:r w:rsidR="00B46B4A" w:rsidRPr="0031484D">
        <w:rPr>
          <w:rFonts w:ascii="Verdana" w:eastAsia="Times New Roman" w:hAnsi="Verdana" w:cs="Segoe UI"/>
          <w:color w:val="000000"/>
          <w:shd w:val="clear" w:color="auto" w:fill="FFFFFF"/>
        </w:rPr>
        <w:t>sees Abraham c</w:t>
      </w:r>
      <w:r w:rsidR="00C33BD2" w:rsidRPr="0031484D">
        <w:rPr>
          <w:rFonts w:ascii="Verdana" w:eastAsia="Times New Roman" w:hAnsi="Verdana" w:cs="Segoe UI"/>
          <w:color w:val="000000"/>
          <w:shd w:val="clear" w:color="auto" w:fill="FFFFFF"/>
        </w:rPr>
        <w:t>asting ou</w:t>
      </w:r>
      <w:r w:rsidR="00185C12" w:rsidRPr="0031484D">
        <w:rPr>
          <w:rFonts w:ascii="Verdana" w:eastAsia="Times New Roman" w:hAnsi="Verdana" w:cs="Segoe UI"/>
          <w:color w:val="000000"/>
          <w:shd w:val="clear" w:color="auto" w:fill="FFFFFF"/>
        </w:rPr>
        <w:t>t Hagar and Ishmael</w:t>
      </w:r>
      <w:r w:rsidR="006A75CC">
        <w:rPr>
          <w:rStyle w:val="FootnoteReference"/>
          <w:rFonts w:ascii="Verdana" w:eastAsia="Times New Roman" w:hAnsi="Verdana" w:cs="Segoe UI"/>
          <w:color w:val="000000"/>
          <w:shd w:val="clear" w:color="auto" w:fill="FFFFFF"/>
        </w:rPr>
        <w:footnoteReference w:id="7"/>
      </w:r>
      <w:r w:rsidR="00074383" w:rsidRPr="0031484D">
        <w:rPr>
          <w:rFonts w:ascii="Verdana" w:eastAsia="Times New Roman" w:hAnsi="Verdana" w:cs="Segoe UI"/>
          <w:color w:val="000000"/>
          <w:shd w:val="clear" w:color="auto" w:fill="FFFFFF"/>
        </w:rPr>
        <w:t xml:space="preserve"> </w:t>
      </w:r>
      <w:r w:rsidR="00B46B4A" w:rsidRPr="0031484D">
        <w:rPr>
          <w:rFonts w:ascii="Verdana" w:eastAsia="Times New Roman" w:hAnsi="Verdana" w:cs="Segoe UI"/>
          <w:color w:val="000000"/>
          <w:shd w:val="clear" w:color="auto" w:fill="FFFFFF"/>
        </w:rPr>
        <w:t xml:space="preserve">and </w:t>
      </w:r>
      <w:r w:rsidR="00185C12" w:rsidRPr="0031484D">
        <w:rPr>
          <w:rFonts w:ascii="Verdana" w:eastAsia="Times New Roman" w:hAnsi="Verdana" w:cs="Segoe UI"/>
          <w:color w:val="000000"/>
          <w:shd w:val="clear" w:color="auto" w:fill="FFFFFF"/>
        </w:rPr>
        <w:t xml:space="preserve">Genesis 21:22-24 </w:t>
      </w:r>
      <w:r w:rsidR="00B46B4A" w:rsidRPr="0031484D">
        <w:rPr>
          <w:rFonts w:ascii="Verdana" w:eastAsia="Times New Roman" w:hAnsi="Verdana" w:cs="Segoe UI"/>
          <w:color w:val="000000"/>
          <w:shd w:val="clear" w:color="auto" w:fill="FFFFFF"/>
        </w:rPr>
        <w:t>where the f</w:t>
      </w:r>
      <w:r w:rsidR="00185C12" w:rsidRPr="0031484D">
        <w:rPr>
          <w:rFonts w:ascii="Verdana" w:eastAsia="Times New Roman" w:hAnsi="Verdana" w:cs="Segoe UI"/>
          <w:color w:val="000000"/>
          <w:shd w:val="clear" w:color="auto" w:fill="FFFFFF"/>
        </w:rPr>
        <w:t xml:space="preserve">ocus </w:t>
      </w:r>
      <w:r w:rsidR="00B46B4A" w:rsidRPr="0031484D">
        <w:rPr>
          <w:rFonts w:ascii="Verdana" w:eastAsia="Times New Roman" w:hAnsi="Verdana" w:cs="Segoe UI"/>
          <w:color w:val="000000"/>
          <w:shd w:val="clear" w:color="auto" w:fill="FFFFFF"/>
        </w:rPr>
        <w:t xml:space="preserve">shifts to </w:t>
      </w:r>
      <w:r w:rsidR="00185C12" w:rsidRPr="0031484D">
        <w:rPr>
          <w:rFonts w:ascii="Verdana" w:eastAsia="Times New Roman" w:hAnsi="Verdana" w:cs="Segoe UI"/>
          <w:color w:val="000000"/>
          <w:shd w:val="clear" w:color="auto" w:fill="FFFFFF"/>
        </w:rPr>
        <w:t xml:space="preserve">the promise of </w:t>
      </w:r>
      <w:r w:rsidR="006D7B76" w:rsidRPr="0031484D">
        <w:rPr>
          <w:rFonts w:ascii="Verdana" w:eastAsia="Times New Roman" w:hAnsi="Verdana" w:cs="Segoe UI"/>
          <w:color w:val="000000"/>
          <w:shd w:val="clear" w:color="auto" w:fill="FFFFFF"/>
        </w:rPr>
        <w:t>land</w:t>
      </w:r>
      <w:r w:rsidR="00B46B4A" w:rsidRPr="0031484D">
        <w:rPr>
          <w:rFonts w:ascii="Verdana" w:eastAsia="Times New Roman" w:hAnsi="Verdana" w:cs="Segoe UI"/>
          <w:color w:val="000000"/>
          <w:shd w:val="clear" w:color="auto" w:fill="FFFFFF"/>
        </w:rPr>
        <w:t xml:space="preserve">. The final noted but </w:t>
      </w:r>
      <w:r w:rsidR="008B3B37" w:rsidRPr="0031484D">
        <w:rPr>
          <w:rFonts w:ascii="Verdana" w:eastAsia="Times New Roman" w:hAnsi="Verdana" w:cs="Segoe UI"/>
          <w:color w:val="000000"/>
          <w:shd w:val="clear" w:color="auto" w:fill="FFFFFF"/>
        </w:rPr>
        <w:t xml:space="preserve">key episode in </w:t>
      </w:r>
      <w:r w:rsidR="00927533" w:rsidRPr="0031484D">
        <w:rPr>
          <w:rFonts w:ascii="Verdana" w:eastAsia="Times New Roman" w:hAnsi="Verdana" w:cs="Segoe UI"/>
          <w:color w:val="000000"/>
          <w:shd w:val="clear" w:color="auto" w:fill="FFFFFF"/>
        </w:rPr>
        <w:t xml:space="preserve">attempting to understand Abraham as a man of faith </w:t>
      </w:r>
      <w:r w:rsidR="008B3B37" w:rsidRPr="0031484D">
        <w:rPr>
          <w:rFonts w:ascii="Verdana" w:eastAsia="Times New Roman" w:hAnsi="Verdana" w:cs="Segoe UI"/>
          <w:color w:val="000000"/>
          <w:shd w:val="clear" w:color="auto" w:fill="FFFFFF"/>
        </w:rPr>
        <w:t>is Genesis 22, the</w:t>
      </w:r>
      <w:r w:rsidR="00927533" w:rsidRPr="0031484D">
        <w:rPr>
          <w:rFonts w:ascii="Verdana" w:eastAsia="Times New Roman" w:hAnsi="Verdana" w:cs="Segoe UI"/>
          <w:color w:val="000000"/>
          <w:shd w:val="clear" w:color="auto" w:fill="FFFFFF"/>
        </w:rPr>
        <w:t xml:space="preserve"> A</w:t>
      </w:r>
      <w:r w:rsidR="00642823" w:rsidRPr="0031484D">
        <w:rPr>
          <w:rFonts w:ascii="Verdana" w:eastAsia="Times New Roman" w:hAnsi="Verdana" w:cs="Segoe UI"/>
          <w:color w:val="000000"/>
          <w:shd w:val="clear" w:color="auto" w:fill="FFFFFF"/>
        </w:rPr>
        <w:t>q</w:t>
      </w:r>
      <w:r w:rsidR="00927533" w:rsidRPr="0031484D">
        <w:rPr>
          <w:rFonts w:ascii="Verdana" w:eastAsia="Times New Roman" w:hAnsi="Verdana" w:cs="Segoe UI"/>
          <w:color w:val="000000"/>
          <w:shd w:val="clear" w:color="auto" w:fill="FFFFFF"/>
        </w:rPr>
        <w:t xml:space="preserve">edah. </w:t>
      </w:r>
      <w:r w:rsidR="00311BBA" w:rsidRPr="0031484D">
        <w:rPr>
          <w:rFonts w:ascii="Verdana" w:eastAsia="Times New Roman" w:hAnsi="Verdana" w:cs="Segoe UI"/>
          <w:color w:val="000000"/>
          <w:shd w:val="clear" w:color="auto" w:fill="FFFFFF"/>
        </w:rPr>
        <w:t>After</w:t>
      </w:r>
      <w:r w:rsidR="00D23C7E" w:rsidRPr="0031484D">
        <w:rPr>
          <w:rFonts w:ascii="Verdana" w:eastAsia="Times New Roman" w:hAnsi="Verdana" w:cs="Segoe UI"/>
          <w:color w:val="000000"/>
          <w:shd w:val="clear" w:color="auto" w:fill="FFFFFF"/>
        </w:rPr>
        <w:t xml:space="preserve"> many years of partnership, God gives Abraham a trial of faith</w:t>
      </w:r>
      <w:r w:rsidR="006716C8" w:rsidRPr="0031484D">
        <w:rPr>
          <w:rFonts w:ascii="Verdana" w:eastAsia="Times New Roman" w:hAnsi="Verdana" w:cs="Segoe UI"/>
          <w:color w:val="000000"/>
          <w:shd w:val="clear" w:color="auto" w:fill="FFFFFF"/>
        </w:rPr>
        <w:t xml:space="preserve"> beginning simply: </w:t>
      </w:r>
      <w:r w:rsidR="00CE7C51" w:rsidRPr="0031484D">
        <w:rPr>
          <w:rFonts w:ascii="Verdana" w:eastAsia="Times New Roman" w:hAnsi="Verdana" w:cs="Segoe UI"/>
          <w:color w:val="000000"/>
          <w:shd w:val="clear" w:color="auto" w:fill="FFFFFF"/>
        </w:rPr>
        <w:t>“</w:t>
      </w:r>
      <w:r w:rsidR="0093770F" w:rsidRPr="0031484D">
        <w:rPr>
          <w:rFonts w:ascii="Verdana" w:eastAsia="Times New Roman" w:hAnsi="Verdana" w:cs="Segoe UI"/>
          <w:color w:val="000000"/>
          <w:shd w:val="clear" w:color="auto" w:fill="FFFFFF"/>
        </w:rPr>
        <w:t>After these things, God tested Abraham”</w:t>
      </w:r>
      <w:r w:rsidR="00DB729C" w:rsidRPr="0031484D">
        <w:rPr>
          <w:rFonts w:ascii="Verdana" w:eastAsia="Times New Roman" w:hAnsi="Verdana" w:cs="Segoe UI"/>
          <w:color w:val="000000"/>
          <w:shd w:val="clear" w:color="auto" w:fill="FFFFFF"/>
        </w:rPr>
        <w:t xml:space="preserve"> (Gen. 22</w:t>
      </w:r>
      <w:r w:rsidR="008F5920" w:rsidRPr="0031484D">
        <w:rPr>
          <w:rFonts w:ascii="Verdana" w:eastAsia="Times New Roman" w:hAnsi="Verdana" w:cs="Segoe UI"/>
          <w:color w:val="000000"/>
          <w:shd w:val="clear" w:color="auto" w:fill="FFFFFF"/>
        </w:rPr>
        <w:t>:1). Abraham is called out and presented with a task</w:t>
      </w:r>
      <w:r w:rsidR="00201EA8" w:rsidRPr="0031484D">
        <w:rPr>
          <w:rFonts w:ascii="Verdana" w:eastAsia="Times New Roman" w:hAnsi="Verdana" w:cs="Segoe UI"/>
          <w:color w:val="000000"/>
          <w:shd w:val="clear" w:color="auto" w:fill="FFFFFF"/>
        </w:rPr>
        <w:t>, “</w:t>
      </w:r>
      <w:r w:rsidR="00C96BFA" w:rsidRPr="0031484D">
        <w:rPr>
          <w:rFonts w:ascii="Verdana" w:eastAsia="Times New Roman" w:hAnsi="Verdana" w:cs="Segoe UI"/>
          <w:color w:val="000000"/>
          <w:shd w:val="clear" w:color="auto" w:fill="FFFFFF"/>
        </w:rPr>
        <w:t xml:space="preserve">Take your son, your </w:t>
      </w:r>
      <w:r w:rsidR="00C96BFA" w:rsidRPr="0031484D">
        <w:rPr>
          <w:rFonts w:ascii="Verdana" w:eastAsia="Times New Roman" w:hAnsi="Verdana" w:cs="Segoe UI"/>
          <w:color w:val="000000"/>
          <w:shd w:val="clear" w:color="auto" w:fill="FFFFFF"/>
        </w:rPr>
        <w:lastRenderedPageBreak/>
        <w:t>only son Isaac, whom you love, and go to the land of Moriah, and offer him there as a burnt offering on one of the mountains that I shall show you.”</w:t>
      </w:r>
      <w:r w:rsidR="00875F8C" w:rsidRPr="0031484D">
        <w:rPr>
          <w:rFonts w:ascii="Verdana" w:eastAsia="Times New Roman" w:hAnsi="Verdana" w:cs="Segoe UI"/>
          <w:color w:val="000000"/>
          <w:shd w:val="clear" w:color="auto" w:fill="FFFFFF"/>
        </w:rPr>
        <w:t xml:space="preserve"> (Gen. 22:2)</w:t>
      </w:r>
      <w:r w:rsidR="00851AA9" w:rsidRPr="0031484D">
        <w:rPr>
          <w:rFonts w:ascii="Verdana" w:eastAsia="Times New Roman" w:hAnsi="Verdana" w:cs="Segoe UI"/>
          <w:color w:val="000000"/>
          <w:shd w:val="clear" w:color="auto" w:fill="FFFFFF"/>
        </w:rPr>
        <w:t xml:space="preserve">. </w:t>
      </w:r>
      <w:r w:rsidR="007F78D5" w:rsidRPr="0031484D">
        <w:rPr>
          <w:rFonts w:ascii="Verdana" w:eastAsia="Times New Roman" w:hAnsi="Verdana" w:cs="Segoe UI"/>
          <w:color w:val="000000"/>
          <w:shd w:val="clear" w:color="auto" w:fill="FFFFFF"/>
        </w:rPr>
        <w:t xml:space="preserve">Without informing his wife Sarah or Isaac of God’s command, </w:t>
      </w:r>
      <w:r w:rsidR="001A00A8" w:rsidRPr="0031484D">
        <w:rPr>
          <w:rFonts w:ascii="Verdana" w:eastAsia="Times New Roman" w:hAnsi="Verdana" w:cs="Segoe UI"/>
          <w:color w:val="000000"/>
          <w:shd w:val="clear" w:color="auto" w:fill="FFFFFF"/>
        </w:rPr>
        <w:t xml:space="preserve">Abraham takes Isaac on a three-day trek to Mount </w:t>
      </w:r>
      <w:r w:rsidR="000049E7" w:rsidRPr="0031484D">
        <w:rPr>
          <w:rFonts w:ascii="Verdana" w:eastAsia="Times New Roman" w:hAnsi="Verdana" w:cs="Segoe UI"/>
          <w:color w:val="000000"/>
          <w:shd w:val="clear" w:color="auto" w:fill="FFFFFF"/>
        </w:rPr>
        <w:t>M</w:t>
      </w:r>
      <w:r w:rsidR="00957EC7" w:rsidRPr="0031484D">
        <w:rPr>
          <w:rFonts w:ascii="Verdana" w:eastAsia="Times New Roman" w:hAnsi="Verdana" w:cs="Segoe UI"/>
          <w:color w:val="000000"/>
          <w:shd w:val="clear" w:color="auto" w:fill="FFFFFF"/>
        </w:rPr>
        <w:t>o</w:t>
      </w:r>
      <w:r w:rsidR="000049E7" w:rsidRPr="0031484D">
        <w:rPr>
          <w:rFonts w:ascii="Verdana" w:eastAsia="Times New Roman" w:hAnsi="Verdana" w:cs="Segoe UI"/>
          <w:color w:val="000000"/>
          <w:shd w:val="clear" w:color="auto" w:fill="FFFFFF"/>
        </w:rPr>
        <w:t>riah. On arriving at the foot of the mountain</w:t>
      </w:r>
      <w:r w:rsidR="002D0CE6" w:rsidRPr="0031484D">
        <w:rPr>
          <w:rFonts w:ascii="Verdana" w:eastAsia="Times New Roman" w:hAnsi="Verdana" w:cs="Segoe UI"/>
          <w:color w:val="000000"/>
          <w:shd w:val="clear" w:color="auto" w:fill="FFFFFF"/>
        </w:rPr>
        <w:t xml:space="preserve"> Abraham tells his servants to remain</w:t>
      </w:r>
      <w:r w:rsidR="00AE20F8" w:rsidRPr="0031484D">
        <w:rPr>
          <w:rFonts w:ascii="Verdana" w:eastAsia="Times New Roman" w:hAnsi="Verdana" w:cs="Segoe UI"/>
          <w:color w:val="000000"/>
          <w:shd w:val="clear" w:color="auto" w:fill="FFFFFF"/>
        </w:rPr>
        <w:t xml:space="preserve"> there are wait,</w:t>
      </w:r>
      <w:r w:rsidR="002D0CE6" w:rsidRPr="0031484D">
        <w:rPr>
          <w:rFonts w:ascii="Verdana" w:eastAsia="Times New Roman" w:hAnsi="Verdana" w:cs="Segoe UI"/>
          <w:color w:val="000000"/>
          <w:shd w:val="clear" w:color="auto" w:fill="FFFFFF"/>
        </w:rPr>
        <w:t xml:space="preserve"> whilst he </w:t>
      </w:r>
      <w:r w:rsidR="00FC1CFC" w:rsidRPr="0031484D">
        <w:rPr>
          <w:rFonts w:ascii="Verdana" w:eastAsia="Times New Roman" w:hAnsi="Verdana" w:cs="Segoe UI"/>
          <w:color w:val="000000"/>
          <w:shd w:val="clear" w:color="auto" w:fill="FFFFFF"/>
        </w:rPr>
        <w:t xml:space="preserve">goes on </w:t>
      </w:r>
      <w:r w:rsidR="00AE20F8" w:rsidRPr="0031484D">
        <w:rPr>
          <w:rFonts w:ascii="Verdana" w:eastAsia="Times New Roman" w:hAnsi="Verdana" w:cs="Segoe UI"/>
          <w:color w:val="000000"/>
          <w:shd w:val="clear" w:color="auto" w:fill="FFFFFF"/>
        </w:rPr>
        <w:t>with Isaac to worship</w:t>
      </w:r>
      <w:r w:rsidR="00F5009E" w:rsidRPr="0031484D">
        <w:rPr>
          <w:rFonts w:ascii="Verdana" w:eastAsia="Times New Roman" w:hAnsi="Verdana" w:cs="Segoe UI"/>
          <w:color w:val="000000"/>
          <w:shd w:val="clear" w:color="auto" w:fill="FFFFFF"/>
        </w:rPr>
        <w:t xml:space="preserve"> (Gen. 22:5). Abraham prepares the ma</w:t>
      </w:r>
      <w:r w:rsidR="0089702B" w:rsidRPr="0031484D">
        <w:rPr>
          <w:rFonts w:ascii="Verdana" w:eastAsia="Times New Roman" w:hAnsi="Verdana" w:cs="Segoe UI"/>
          <w:color w:val="000000"/>
          <w:shd w:val="clear" w:color="auto" w:fill="FFFFFF"/>
        </w:rPr>
        <w:t>terials for the ritual, piling the wood for the burnt offering</w:t>
      </w:r>
      <w:r w:rsidR="00A737FA" w:rsidRPr="0031484D">
        <w:rPr>
          <w:rFonts w:ascii="Verdana" w:eastAsia="Times New Roman" w:hAnsi="Verdana" w:cs="Segoe UI"/>
          <w:color w:val="000000"/>
          <w:shd w:val="clear" w:color="auto" w:fill="FFFFFF"/>
        </w:rPr>
        <w:t xml:space="preserve"> and preparing the slaughtering knife</w:t>
      </w:r>
      <w:r w:rsidR="008B30CE" w:rsidRPr="0031484D">
        <w:rPr>
          <w:rFonts w:ascii="Verdana" w:eastAsia="Times New Roman" w:hAnsi="Verdana" w:cs="Segoe UI"/>
          <w:color w:val="000000"/>
          <w:shd w:val="clear" w:color="auto" w:fill="FFFFFF"/>
        </w:rPr>
        <w:t xml:space="preserve"> (Gen. 22.6). Isaac questions his </w:t>
      </w:r>
      <w:r w:rsidR="00743895" w:rsidRPr="0031484D">
        <w:rPr>
          <w:rFonts w:ascii="Verdana" w:eastAsia="Times New Roman" w:hAnsi="Verdana" w:cs="Segoe UI"/>
          <w:color w:val="000000"/>
          <w:shd w:val="clear" w:color="auto" w:fill="FFFFFF"/>
        </w:rPr>
        <w:t>father regarding the lack of sacrificial beast (Gen. 22</w:t>
      </w:r>
      <w:r w:rsidR="00EE1E85" w:rsidRPr="0031484D">
        <w:rPr>
          <w:rFonts w:ascii="Verdana" w:eastAsia="Times New Roman" w:hAnsi="Verdana" w:cs="Segoe UI"/>
          <w:color w:val="000000"/>
          <w:shd w:val="clear" w:color="auto" w:fill="FFFFFF"/>
        </w:rPr>
        <w:t>:</w:t>
      </w:r>
      <w:r w:rsidR="00743895" w:rsidRPr="0031484D">
        <w:rPr>
          <w:rFonts w:ascii="Verdana" w:eastAsia="Times New Roman" w:hAnsi="Verdana" w:cs="Segoe UI"/>
          <w:color w:val="000000"/>
          <w:shd w:val="clear" w:color="auto" w:fill="FFFFFF"/>
        </w:rPr>
        <w:t>7) whereby Abraham rep</w:t>
      </w:r>
      <w:r w:rsidR="00C1328C" w:rsidRPr="0031484D">
        <w:rPr>
          <w:rFonts w:ascii="Verdana" w:eastAsia="Times New Roman" w:hAnsi="Verdana" w:cs="Segoe UI"/>
          <w:color w:val="000000"/>
          <w:shd w:val="clear" w:color="auto" w:fill="FFFFFF"/>
        </w:rPr>
        <w:t xml:space="preserve">lies, </w:t>
      </w:r>
      <w:r w:rsidR="002A727A" w:rsidRPr="0031484D">
        <w:rPr>
          <w:rFonts w:ascii="Verdana" w:eastAsia="Times New Roman" w:hAnsi="Verdana" w:cs="Segoe UI"/>
          <w:color w:val="000000"/>
          <w:shd w:val="clear" w:color="auto" w:fill="FFFFFF"/>
        </w:rPr>
        <w:t>“God himself will provide the lamb for a burnt offering, my son.”</w:t>
      </w:r>
      <w:r w:rsidR="0066715D" w:rsidRPr="0031484D">
        <w:rPr>
          <w:rFonts w:ascii="Verdana" w:eastAsia="Times New Roman" w:hAnsi="Verdana" w:cs="Segoe UI"/>
          <w:color w:val="000000"/>
          <w:shd w:val="clear" w:color="auto" w:fill="FFFFFF"/>
        </w:rPr>
        <w:t xml:space="preserve"> (Gen. 22</w:t>
      </w:r>
      <w:r w:rsidR="00EE1E85" w:rsidRPr="0031484D">
        <w:rPr>
          <w:rFonts w:ascii="Verdana" w:eastAsia="Times New Roman" w:hAnsi="Verdana" w:cs="Segoe UI"/>
          <w:color w:val="000000"/>
          <w:shd w:val="clear" w:color="auto" w:fill="FFFFFF"/>
        </w:rPr>
        <w:t>:8</w:t>
      </w:r>
      <w:r w:rsidR="0036150E" w:rsidRPr="0031484D">
        <w:rPr>
          <w:rFonts w:ascii="Verdana" w:eastAsia="Times New Roman" w:hAnsi="Verdana" w:cs="Segoe UI"/>
          <w:color w:val="000000"/>
          <w:shd w:val="clear" w:color="auto" w:fill="FFFFFF"/>
        </w:rPr>
        <w:t>). After climb</w:t>
      </w:r>
      <w:r w:rsidR="006A14E9" w:rsidRPr="0031484D">
        <w:rPr>
          <w:rFonts w:ascii="Verdana" w:eastAsia="Times New Roman" w:hAnsi="Verdana" w:cs="Segoe UI"/>
          <w:color w:val="000000"/>
          <w:shd w:val="clear" w:color="auto" w:fill="FFFFFF"/>
        </w:rPr>
        <w:t>ing to the top of the mountain Abraham binds Isaac (Gen. 22:8</w:t>
      </w:r>
      <w:r w:rsidR="005C58A4" w:rsidRPr="0031484D">
        <w:rPr>
          <w:rFonts w:ascii="Verdana" w:eastAsia="Times New Roman" w:hAnsi="Verdana" w:cs="Segoe UI"/>
          <w:color w:val="000000"/>
          <w:shd w:val="clear" w:color="auto" w:fill="FFFFFF"/>
        </w:rPr>
        <w:t>). At the last moment, an angel calls to Abraham</w:t>
      </w:r>
      <w:r w:rsidR="005052E4" w:rsidRPr="0031484D">
        <w:rPr>
          <w:rFonts w:ascii="Verdana" w:eastAsia="Times New Roman" w:hAnsi="Verdana" w:cs="Segoe UI"/>
          <w:color w:val="000000"/>
          <w:shd w:val="clear" w:color="auto" w:fill="FFFFFF"/>
        </w:rPr>
        <w:t xml:space="preserve"> to which he responds</w:t>
      </w:r>
      <w:r w:rsidR="006A75CC">
        <w:rPr>
          <w:rFonts w:ascii="Verdana" w:eastAsia="Times New Roman" w:hAnsi="Verdana" w:cs="Segoe UI"/>
          <w:color w:val="000000"/>
          <w:shd w:val="clear" w:color="auto" w:fill="FFFFFF"/>
        </w:rPr>
        <w:t>,</w:t>
      </w:r>
      <w:r w:rsidR="005052E4" w:rsidRPr="0031484D">
        <w:rPr>
          <w:rFonts w:ascii="Verdana" w:eastAsia="Times New Roman" w:hAnsi="Verdana" w:cs="Segoe UI"/>
          <w:color w:val="000000"/>
          <w:shd w:val="clear" w:color="auto" w:fill="FFFFFF"/>
        </w:rPr>
        <w:t xml:space="preserve"> “Here I am”</w:t>
      </w:r>
      <w:r w:rsidR="00CB0B12" w:rsidRPr="0031484D">
        <w:rPr>
          <w:rFonts w:ascii="Verdana" w:eastAsia="Times New Roman" w:hAnsi="Verdana" w:cs="Segoe UI"/>
          <w:color w:val="000000"/>
          <w:shd w:val="clear" w:color="auto" w:fill="FFFFFF"/>
        </w:rPr>
        <w:t xml:space="preserve"> </w:t>
      </w:r>
      <w:r w:rsidR="005B6C21" w:rsidRPr="0031484D">
        <w:rPr>
          <w:rFonts w:ascii="Verdana" w:eastAsia="Times New Roman" w:hAnsi="Verdana" w:cs="Segoe UI"/>
          <w:color w:val="000000"/>
          <w:shd w:val="clear" w:color="auto" w:fill="FFFFFF"/>
        </w:rPr>
        <w:t>(Gen. 22:11), Abraham is told</w:t>
      </w:r>
      <w:r w:rsidR="00E5734D" w:rsidRPr="0031484D">
        <w:rPr>
          <w:rFonts w:ascii="Verdana" w:eastAsia="Times New Roman" w:hAnsi="Verdana" w:cs="Segoe UI"/>
          <w:color w:val="000000"/>
          <w:shd w:val="clear" w:color="auto" w:fill="FFFFFF"/>
        </w:rPr>
        <w:t xml:space="preserve"> by the angel</w:t>
      </w:r>
      <w:r w:rsidR="005B6C21" w:rsidRPr="0031484D">
        <w:rPr>
          <w:rFonts w:ascii="Verdana" w:eastAsia="Times New Roman" w:hAnsi="Verdana" w:cs="Segoe UI"/>
          <w:color w:val="000000"/>
          <w:shd w:val="clear" w:color="auto" w:fill="FFFFFF"/>
        </w:rPr>
        <w:t xml:space="preserve"> to </w:t>
      </w:r>
      <w:r w:rsidR="00407574" w:rsidRPr="0031484D">
        <w:rPr>
          <w:rFonts w:ascii="Verdana" w:eastAsia="Times New Roman" w:hAnsi="Verdana" w:cs="Segoe UI"/>
          <w:color w:val="000000"/>
          <w:shd w:val="clear" w:color="auto" w:fill="FFFFFF"/>
        </w:rPr>
        <w:t>stay his hand and to offer a ram in Isaac’s stead,</w:t>
      </w:r>
      <w:r w:rsidR="00E5734D" w:rsidRPr="0031484D">
        <w:rPr>
          <w:rFonts w:ascii="Verdana" w:eastAsia="Times New Roman" w:hAnsi="Verdana" w:cs="Segoe UI"/>
          <w:color w:val="000000"/>
          <w:shd w:val="clear" w:color="auto" w:fill="FFFFFF"/>
        </w:rPr>
        <w:t xml:space="preserve"> declaring, </w:t>
      </w:r>
      <w:r w:rsidR="006373C1" w:rsidRPr="0031484D">
        <w:rPr>
          <w:rFonts w:ascii="Verdana" w:eastAsia="Times New Roman" w:hAnsi="Verdana" w:cs="Segoe UI"/>
          <w:color w:val="000000"/>
          <w:shd w:val="clear" w:color="auto" w:fill="FFFFFF"/>
        </w:rPr>
        <w:t>“</w:t>
      </w:r>
      <w:r w:rsidR="00CE6FF2" w:rsidRPr="0031484D">
        <w:rPr>
          <w:rFonts w:ascii="Verdana" w:eastAsia="Times New Roman" w:hAnsi="Verdana" w:cs="Segoe UI"/>
          <w:color w:val="000000"/>
          <w:shd w:val="clear" w:color="auto" w:fill="FFFFFF"/>
        </w:rPr>
        <w:t>for now I know that you fear God, since you have not withheld your son, your only son, from me.”</w:t>
      </w:r>
      <w:r w:rsidR="006373C1" w:rsidRPr="0031484D">
        <w:rPr>
          <w:rFonts w:ascii="Verdana" w:eastAsia="Times New Roman" w:hAnsi="Verdana" w:cs="Segoe UI"/>
          <w:color w:val="000000"/>
          <w:shd w:val="clear" w:color="auto" w:fill="FFFFFF"/>
        </w:rPr>
        <w:t xml:space="preserve"> (Gen. 22:12</w:t>
      </w:r>
      <w:r w:rsidR="0046161A" w:rsidRPr="0031484D">
        <w:rPr>
          <w:rFonts w:ascii="Verdana" w:eastAsia="Times New Roman" w:hAnsi="Verdana" w:cs="Segoe UI"/>
          <w:color w:val="000000"/>
          <w:shd w:val="clear" w:color="auto" w:fill="FFFFFF"/>
        </w:rPr>
        <w:t xml:space="preserve">). </w:t>
      </w:r>
      <w:r w:rsidR="00957EC7" w:rsidRPr="0031484D">
        <w:rPr>
          <w:rFonts w:ascii="Verdana" w:eastAsia="Times New Roman" w:hAnsi="Verdana" w:cs="Segoe UI"/>
          <w:color w:val="000000"/>
          <w:shd w:val="clear" w:color="auto" w:fill="FFFFFF"/>
        </w:rPr>
        <w:t>The ‘fear of God’ refers to an active obedience to the divine will of God and in proving this obedience Abraham has shown that his fear of God surpasses even his paternal love for Isaac</w:t>
      </w:r>
      <w:r w:rsidR="006A75CC">
        <w:rPr>
          <w:rStyle w:val="FootnoteReference"/>
          <w:rFonts w:ascii="Verdana" w:eastAsia="Times New Roman" w:hAnsi="Verdana" w:cs="Segoe UI"/>
          <w:color w:val="000000"/>
          <w:shd w:val="clear" w:color="auto" w:fill="FFFFFF"/>
        </w:rPr>
        <w:footnoteReference w:id="8"/>
      </w:r>
      <w:r w:rsidR="00957EC7" w:rsidRPr="0031484D">
        <w:rPr>
          <w:rFonts w:ascii="Verdana" w:eastAsia="Times New Roman" w:hAnsi="Verdana" w:cs="Segoe UI"/>
          <w:color w:val="000000"/>
          <w:shd w:val="clear" w:color="auto" w:fill="FFFFFF"/>
        </w:rPr>
        <w:t xml:space="preserve">. </w:t>
      </w:r>
      <w:r w:rsidR="0046161A" w:rsidRPr="0031484D">
        <w:rPr>
          <w:rFonts w:ascii="Verdana" w:eastAsia="Times New Roman" w:hAnsi="Verdana" w:cs="Segoe UI"/>
          <w:color w:val="000000"/>
          <w:shd w:val="clear" w:color="auto" w:fill="FFFFFF"/>
        </w:rPr>
        <w:t>Abraham has thus passed the test and he and</w:t>
      </w:r>
      <w:r w:rsidR="004B5D6B" w:rsidRPr="0031484D">
        <w:rPr>
          <w:rFonts w:ascii="Verdana" w:eastAsia="Times New Roman" w:hAnsi="Verdana" w:cs="Segoe UI"/>
          <w:color w:val="000000"/>
          <w:shd w:val="clear" w:color="auto" w:fill="FFFFFF"/>
        </w:rPr>
        <w:t xml:space="preserve"> Isaac are blessed with a divine genealogical promise (Gen. 22:16-1</w:t>
      </w:r>
      <w:r w:rsidR="00B55D7D" w:rsidRPr="0031484D">
        <w:rPr>
          <w:rFonts w:ascii="Verdana" w:eastAsia="Times New Roman" w:hAnsi="Verdana" w:cs="Segoe UI"/>
          <w:color w:val="000000"/>
          <w:shd w:val="clear" w:color="auto" w:fill="FFFFFF"/>
        </w:rPr>
        <w:t>8).</w:t>
      </w:r>
      <w:r w:rsidR="006A75CC">
        <w:rPr>
          <w:rFonts w:ascii="Verdana" w:eastAsia="Times New Roman" w:hAnsi="Verdana" w:cs="Segoe UI"/>
          <w:color w:val="000000"/>
          <w:shd w:val="clear" w:color="auto" w:fill="FFFFFF"/>
        </w:rPr>
        <w:t xml:space="preserve"> </w:t>
      </w:r>
      <w:r w:rsidR="00852393" w:rsidRPr="0031484D">
        <w:rPr>
          <w:rFonts w:ascii="Verdana" w:eastAsia="Times New Roman" w:hAnsi="Verdana" w:cs="Segoe UI"/>
          <w:color w:val="000000"/>
          <w:shd w:val="clear" w:color="auto" w:fill="FFFFFF"/>
        </w:rPr>
        <w:t>De</w:t>
      </w:r>
      <w:r w:rsidR="00D10D2C" w:rsidRPr="0031484D">
        <w:rPr>
          <w:rFonts w:ascii="Verdana" w:eastAsia="Times New Roman" w:hAnsi="Verdana" w:cs="Segoe UI"/>
          <w:color w:val="000000"/>
          <w:shd w:val="clear" w:color="auto" w:fill="FFFFFF"/>
        </w:rPr>
        <w:t>spite his long partnership with God, when called, Abraham</w:t>
      </w:r>
      <w:r w:rsidR="00535174" w:rsidRPr="0031484D">
        <w:rPr>
          <w:rFonts w:ascii="Verdana" w:eastAsia="Times New Roman" w:hAnsi="Verdana" w:cs="Segoe UI"/>
          <w:color w:val="000000"/>
          <w:shd w:val="clear" w:color="auto" w:fill="FFFFFF"/>
        </w:rPr>
        <w:t>’s</w:t>
      </w:r>
      <w:r w:rsidR="00D10D2C" w:rsidRPr="0031484D">
        <w:rPr>
          <w:rFonts w:ascii="Verdana" w:eastAsia="Times New Roman" w:hAnsi="Verdana" w:cs="Segoe UI"/>
          <w:color w:val="000000"/>
          <w:shd w:val="clear" w:color="auto" w:fill="FFFFFF"/>
        </w:rPr>
        <w:t xml:space="preserve"> respon</w:t>
      </w:r>
      <w:r w:rsidR="00535174" w:rsidRPr="0031484D">
        <w:rPr>
          <w:rFonts w:ascii="Verdana" w:eastAsia="Times New Roman" w:hAnsi="Verdana" w:cs="Segoe UI"/>
          <w:color w:val="000000"/>
          <w:shd w:val="clear" w:color="auto" w:fill="FFFFFF"/>
        </w:rPr>
        <w:t>se shows</w:t>
      </w:r>
      <w:r w:rsidR="00D10776" w:rsidRPr="0031484D">
        <w:rPr>
          <w:rFonts w:ascii="Verdana" w:eastAsia="Times New Roman" w:hAnsi="Verdana" w:cs="Segoe UI"/>
          <w:color w:val="000000"/>
          <w:shd w:val="clear" w:color="auto" w:fill="FFFFFF"/>
        </w:rPr>
        <w:t xml:space="preserve"> </w:t>
      </w:r>
      <w:r w:rsidR="00C2233E" w:rsidRPr="0031484D">
        <w:rPr>
          <w:rFonts w:ascii="Verdana" w:eastAsia="Times New Roman" w:hAnsi="Verdana" w:cs="Segoe UI"/>
          <w:color w:val="000000"/>
          <w:shd w:val="clear" w:color="auto" w:fill="FFFFFF"/>
        </w:rPr>
        <w:t>readiness, alertness, receptivity</w:t>
      </w:r>
      <w:r w:rsidR="00957EC7" w:rsidRPr="0031484D">
        <w:rPr>
          <w:rFonts w:ascii="Verdana" w:eastAsia="Times New Roman" w:hAnsi="Verdana" w:cs="Segoe UI"/>
          <w:color w:val="000000"/>
          <w:shd w:val="clear" w:color="auto" w:fill="FFFFFF"/>
        </w:rPr>
        <w:t>,</w:t>
      </w:r>
      <w:r w:rsidR="00C2233E" w:rsidRPr="0031484D">
        <w:rPr>
          <w:rFonts w:ascii="Verdana" w:eastAsia="Times New Roman" w:hAnsi="Verdana" w:cs="Segoe UI"/>
          <w:color w:val="000000"/>
          <w:shd w:val="clear" w:color="auto" w:fill="FFFFFF"/>
        </w:rPr>
        <w:t xml:space="preserve"> and responsiveness to instructions:</w:t>
      </w:r>
      <w:r w:rsidR="00D10D2C" w:rsidRPr="0031484D">
        <w:rPr>
          <w:rFonts w:ascii="Verdana" w:eastAsia="Times New Roman" w:hAnsi="Verdana" w:cs="Segoe UI"/>
          <w:color w:val="000000"/>
          <w:shd w:val="clear" w:color="auto" w:fill="FFFFFF"/>
        </w:rPr>
        <w:t xml:space="preserve"> ‘</w:t>
      </w:r>
      <w:proofErr w:type="spellStart"/>
      <w:r w:rsidR="00D10D2C" w:rsidRPr="0031484D">
        <w:rPr>
          <w:rFonts w:ascii="Verdana" w:eastAsia="Times New Roman" w:hAnsi="Verdana" w:cs="Segoe UI"/>
          <w:color w:val="000000"/>
          <w:shd w:val="clear" w:color="auto" w:fill="FFFFFF"/>
        </w:rPr>
        <w:t>Hine</w:t>
      </w:r>
      <w:r w:rsidR="00D10776" w:rsidRPr="0031484D">
        <w:rPr>
          <w:rFonts w:ascii="Verdana" w:eastAsia="Times New Roman" w:hAnsi="Verdana" w:cs="Segoe UI"/>
          <w:color w:val="000000"/>
          <w:shd w:val="clear" w:color="auto" w:fill="FFFFFF"/>
        </w:rPr>
        <w:t>ni</w:t>
      </w:r>
      <w:proofErr w:type="spellEnd"/>
      <w:r w:rsidR="00D10776" w:rsidRPr="0031484D">
        <w:rPr>
          <w:rFonts w:ascii="Verdana" w:eastAsia="Times New Roman" w:hAnsi="Verdana" w:cs="Segoe UI"/>
          <w:color w:val="000000"/>
          <w:shd w:val="clear" w:color="auto" w:fill="FFFFFF"/>
        </w:rPr>
        <w:t>’ - Here I am</w:t>
      </w:r>
      <w:r w:rsidR="00864FEE" w:rsidRPr="0031484D">
        <w:rPr>
          <w:rFonts w:ascii="Verdana" w:eastAsia="Times New Roman" w:hAnsi="Verdana" w:cs="Segoe UI"/>
          <w:color w:val="000000"/>
          <w:shd w:val="clear" w:color="auto" w:fill="FFFFFF"/>
        </w:rPr>
        <w:t>. This response occurs twice</w:t>
      </w:r>
      <w:r w:rsidR="0011493B" w:rsidRPr="0031484D">
        <w:rPr>
          <w:rFonts w:ascii="Verdana" w:eastAsia="Times New Roman" w:hAnsi="Verdana" w:cs="Segoe UI"/>
          <w:color w:val="000000"/>
          <w:shd w:val="clear" w:color="auto" w:fill="FFFFFF"/>
        </w:rPr>
        <w:t xml:space="preserve"> more, once in answer to Isaac and the final time to the divine messenger</w:t>
      </w:r>
      <w:r w:rsidR="004C170A" w:rsidRPr="0031484D">
        <w:rPr>
          <w:rFonts w:ascii="Verdana" w:eastAsia="Times New Roman" w:hAnsi="Verdana" w:cs="Segoe UI"/>
          <w:color w:val="000000"/>
          <w:shd w:val="clear" w:color="auto" w:fill="FFFFFF"/>
        </w:rPr>
        <w:t xml:space="preserve"> in the call to stay his hand (Gen</w:t>
      </w:r>
      <w:r w:rsidR="00751FA0" w:rsidRPr="0031484D">
        <w:rPr>
          <w:rFonts w:ascii="Verdana" w:eastAsia="Times New Roman" w:hAnsi="Verdana" w:cs="Segoe UI"/>
          <w:color w:val="000000"/>
          <w:shd w:val="clear" w:color="auto" w:fill="FFFFFF"/>
        </w:rPr>
        <w:t>.22:11)</w:t>
      </w:r>
      <w:r w:rsidR="006A75CC">
        <w:rPr>
          <w:rStyle w:val="FootnoteReference"/>
          <w:rFonts w:ascii="Verdana" w:eastAsia="Times New Roman" w:hAnsi="Verdana" w:cs="Segoe UI"/>
          <w:color w:val="000000"/>
          <w:shd w:val="clear" w:color="auto" w:fill="FFFFFF"/>
        </w:rPr>
        <w:footnoteReference w:id="9"/>
      </w:r>
      <w:r w:rsidR="00026380" w:rsidRPr="0031484D">
        <w:rPr>
          <w:rFonts w:ascii="Verdana" w:eastAsia="Times New Roman" w:hAnsi="Verdana" w:cs="Segoe UI"/>
          <w:color w:val="000000"/>
          <w:shd w:val="clear" w:color="auto" w:fill="FFFFFF"/>
        </w:rPr>
        <w:t xml:space="preserve">. There has been much debate over </w:t>
      </w:r>
      <w:r w:rsidR="00330BF5" w:rsidRPr="0031484D">
        <w:rPr>
          <w:rFonts w:ascii="Verdana" w:eastAsia="Times New Roman" w:hAnsi="Verdana" w:cs="Segoe UI"/>
          <w:color w:val="000000"/>
          <w:shd w:val="clear" w:color="auto" w:fill="FFFFFF"/>
        </w:rPr>
        <w:t>Abraham’s</w:t>
      </w:r>
      <w:r w:rsidR="00026380" w:rsidRPr="0031484D">
        <w:rPr>
          <w:rFonts w:ascii="Verdana" w:eastAsia="Times New Roman" w:hAnsi="Verdana" w:cs="Segoe UI"/>
          <w:color w:val="000000"/>
          <w:shd w:val="clear" w:color="auto" w:fill="FFFFFF"/>
        </w:rPr>
        <w:t xml:space="preserve"> lack of protestation </w:t>
      </w:r>
      <w:r w:rsidR="00003DB4" w:rsidRPr="0031484D">
        <w:rPr>
          <w:rFonts w:ascii="Verdana" w:eastAsia="Times New Roman" w:hAnsi="Verdana" w:cs="Segoe UI"/>
          <w:color w:val="000000"/>
          <w:shd w:val="clear" w:color="auto" w:fill="FFFFFF"/>
        </w:rPr>
        <w:t xml:space="preserve">when </w:t>
      </w:r>
      <w:r w:rsidR="003F3930" w:rsidRPr="0031484D">
        <w:rPr>
          <w:rFonts w:ascii="Verdana" w:eastAsia="Times New Roman" w:hAnsi="Verdana" w:cs="Segoe UI"/>
          <w:color w:val="000000"/>
          <w:shd w:val="clear" w:color="auto" w:fill="FFFFFF"/>
        </w:rPr>
        <w:t xml:space="preserve">God </w:t>
      </w:r>
      <w:r w:rsidR="00EE543D" w:rsidRPr="0031484D">
        <w:rPr>
          <w:rFonts w:ascii="Verdana" w:eastAsia="Times New Roman" w:hAnsi="Verdana" w:cs="Segoe UI"/>
          <w:color w:val="000000"/>
          <w:shd w:val="clear" w:color="auto" w:fill="FFFFFF"/>
        </w:rPr>
        <w:t xml:space="preserve">required </w:t>
      </w:r>
      <w:r w:rsidR="00330BF5" w:rsidRPr="0031484D">
        <w:rPr>
          <w:rFonts w:ascii="Verdana" w:eastAsia="Times New Roman" w:hAnsi="Verdana" w:cs="Segoe UI"/>
          <w:color w:val="000000"/>
          <w:shd w:val="clear" w:color="auto" w:fill="FFFFFF"/>
        </w:rPr>
        <w:t>him</w:t>
      </w:r>
      <w:r w:rsidR="00EE543D" w:rsidRPr="0031484D">
        <w:rPr>
          <w:rFonts w:ascii="Verdana" w:eastAsia="Times New Roman" w:hAnsi="Verdana" w:cs="Segoe UI"/>
          <w:color w:val="000000"/>
          <w:shd w:val="clear" w:color="auto" w:fill="FFFFFF"/>
        </w:rPr>
        <w:t xml:space="preserve"> to sacrifice his son given </w:t>
      </w:r>
      <w:r w:rsidR="00330BF5" w:rsidRPr="0031484D">
        <w:rPr>
          <w:rFonts w:ascii="Verdana" w:eastAsia="Times New Roman" w:hAnsi="Verdana" w:cs="Segoe UI"/>
          <w:color w:val="000000"/>
          <w:shd w:val="clear" w:color="auto" w:fill="FFFFFF"/>
        </w:rPr>
        <w:t>Abraham’s previous</w:t>
      </w:r>
      <w:r w:rsidR="00EE543D" w:rsidRPr="0031484D">
        <w:rPr>
          <w:rFonts w:ascii="Verdana" w:eastAsia="Times New Roman" w:hAnsi="Verdana" w:cs="Segoe UI"/>
          <w:color w:val="000000"/>
          <w:shd w:val="clear" w:color="auto" w:fill="FFFFFF"/>
        </w:rPr>
        <w:t xml:space="preserve"> objection </w:t>
      </w:r>
      <w:r w:rsidR="00CD4FFC" w:rsidRPr="0031484D">
        <w:rPr>
          <w:rFonts w:ascii="Verdana" w:eastAsia="Times New Roman" w:hAnsi="Verdana" w:cs="Segoe UI"/>
          <w:color w:val="000000"/>
          <w:shd w:val="clear" w:color="auto" w:fill="FFFFFF"/>
        </w:rPr>
        <w:t>to God’s</w:t>
      </w:r>
      <w:r w:rsidR="00330BF5" w:rsidRPr="0031484D">
        <w:rPr>
          <w:rFonts w:ascii="Verdana" w:eastAsia="Times New Roman" w:hAnsi="Verdana" w:cs="Segoe UI"/>
          <w:color w:val="000000"/>
          <w:shd w:val="clear" w:color="auto" w:fill="FFFFFF"/>
        </w:rPr>
        <w:t xml:space="preserve"> </w:t>
      </w:r>
      <w:r w:rsidR="00CD4FFC" w:rsidRPr="0031484D">
        <w:rPr>
          <w:rFonts w:ascii="Verdana" w:eastAsia="Times New Roman" w:hAnsi="Verdana" w:cs="Segoe UI"/>
          <w:color w:val="000000"/>
          <w:shd w:val="clear" w:color="auto" w:fill="FFFFFF"/>
        </w:rPr>
        <w:t>apparent decision to destroy the innocent with the guilty in So</w:t>
      </w:r>
      <w:r w:rsidR="00460CBF" w:rsidRPr="0031484D">
        <w:rPr>
          <w:rFonts w:ascii="Verdana" w:eastAsia="Times New Roman" w:hAnsi="Verdana" w:cs="Segoe UI"/>
          <w:color w:val="000000"/>
          <w:shd w:val="clear" w:color="auto" w:fill="FFFFFF"/>
        </w:rPr>
        <w:t>dom (Gen. 1822-32)</w:t>
      </w:r>
      <w:r w:rsidR="00307B88" w:rsidRPr="0031484D">
        <w:rPr>
          <w:rFonts w:ascii="Verdana" w:eastAsia="Times New Roman" w:hAnsi="Verdana" w:cs="Segoe UI"/>
          <w:color w:val="000000"/>
          <w:shd w:val="clear" w:color="auto" w:fill="FFFFFF"/>
        </w:rPr>
        <w:t>. O</w:t>
      </w:r>
      <w:r w:rsidR="00460CBF" w:rsidRPr="0031484D">
        <w:rPr>
          <w:rFonts w:ascii="Verdana" w:eastAsia="Times New Roman" w:hAnsi="Verdana" w:cs="Segoe UI"/>
          <w:color w:val="000000"/>
          <w:shd w:val="clear" w:color="auto" w:fill="FFFFFF"/>
        </w:rPr>
        <w:t>ne rejoinder</w:t>
      </w:r>
      <w:r w:rsidR="00DD5DDF" w:rsidRPr="0031484D">
        <w:rPr>
          <w:rFonts w:ascii="Verdana" w:eastAsia="Times New Roman" w:hAnsi="Verdana" w:cs="Segoe UI"/>
          <w:color w:val="000000"/>
          <w:shd w:val="clear" w:color="auto" w:fill="FFFFFF"/>
        </w:rPr>
        <w:t xml:space="preserve"> has been that the </w:t>
      </w:r>
      <w:r w:rsidR="00307B88" w:rsidRPr="0031484D">
        <w:rPr>
          <w:rFonts w:ascii="Verdana" w:eastAsia="Times New Roman" w:hAnsi="Verdana" w:cs="Segoe UI"/>
          <w:color w:val="000000"/>
          <w:shd w:val="clear" w:color="auto" w:fill="FFFFFF"/>
        </w:rPr>
        <w:t>context</w:t>
      </w:r>
      <w:r w:rsidR="002D08F4" w:rsidRPr="0031484D">
        <w:rPr>
          <w:rFonts w:ascii="Verdana" w:eastAsia="Times New Roman" w:hAnsi="Verdana" w:cs="Segoe UI"/>
          <w:color w:val="000000"/>
          <w:shd w:val="clear" w:color="auto" w:fill="FFFFFF"/>
        </w:rPr>
        <w:t xml:space="preserve"> in Chapter 18 is not sacrificial but forensic</w:t>
      </w:r>
      <w:r w:rsidR="006A75CC">
        <w:rPr>
          <w:rStyle w:val="FootnoteReference"/>
          <w:rFonts w:ascii="Verdana" w:eastAsia="Times New Roman" w:hAnsi="Verdana" w:cs="Segoe UI"/>
          <w:color w:val="000000"/>
          <w:shd w:val="clear" w:color="auto" w:fill="FFFFFF"/>
        </w:rPr>
        <w:footnoteReference w:id="10"/>
      </w:r>
      <w:r w:rsidR="00942A48" w:rsidRPr="0031484D">
        <w:rPr>
          <w:rFonts w:ascii="Verdana" w:eastAsia="Times New Roman" w:hAnsi="Verdana" w:cs="Segoe UI"/>
          <w:color w:val="000000"/>
          <w:shd w:val="clear" w:color="auto" w:fill="FFFFFF"/>
        </w:rPr>
        <w:t xml:space="preserve">; </w:t>
      </w:r>
      <w:r w:rsidR="00330BF5" w:rsidRPr="0031484D">
        <w:rPr>
          <w:rFonts w:ascii="Verdana" w:eastAsia="Times New Roman" w:hAnsi="Verdana" w:cs="Segoe UI"/>
          <w:color w:val="000000"/>
          <w:shd w:val="clear" w:color="auto" w:fill="FFFFFF"/>
        </w:rPr>
        <w:t xml:space="preserve">further, </w:t>
      </w:r>
      <w:r w:rsidR="002174E4" w:rsidRPr="0031484D">
        <w:rPr>
          <w:rFonts w:ascii="Verdana" w:eastAsia="Times New Roman" w:hAnsi="Verdana" w:cs="Segoe UI"/>
          <w:color w:val="000000"/>
          <w:shd w:val="clear" w:color="auto" w:fill="FFFFFF"/>
        </w:rPr>
        <w:t>the act of sacrifice i</w:t>
      </w:r>
      <w:r w:rsidR="009678A6" w:rsidRPr="0031484D">
        <w:rPr>
          <w:rFonts w:ascii="Verdana" w:eastAsia="Times New Roman" w:hAnsi="Verdana" w:cs="Segoe UI"/>
          <w:color w:val="000000"/>
          <w:shd w:val="clear" w:color="auto" w:fill="FFFFFF"/>
        </w:rPr>
        <w:t>s commended by the unblemished nature of the offering</w:t>
      </w:r>
      <w:r w:rsidR="006A75CC">
        <w:rPr>
          <w:rStyle w:val="FootnoteReference"/>
          <w:rFonts w:ascii="Verdana" w:eastAsia="Times New Roman" w:hAnsi="Verdana" w:cs="Segoe UI"/>
          <w:color w:val="000000"/>
          <w:shd w:val="clear" w:color="auto" w:fill="FFFFFF"/>
        </w:rPr>
        <w:footnoteReference w:id="11"/>
      </w:r>
      <w:r w:rsidR="00DC79C8" w:rsidRPr="0031484D">
        <w:rPr>
          <w:rFonts w:ascii="Verdana" w:eastAsia="Times New Roman" w:hAnsi="Verdana" w:cs="Segoe UI"/>
          <w:color w:val="000000"/>
          <w:shd w:val="clear" w:color="auto" w:fill="FFFFFF"/>
        </w:rPr>
        <w:t xml:space="preserve">. </w:t>
      </w:r>
      <w:r w:rsidR="00064F3F" w:rsidRPr="0031484D">
        <w:rPr>
          <w:rFonts w:ascii="Verdana" w:eastAsia="Times New Roman" w:hAnsi="Verdana" w:cs="Segoe UI"/>
          <w:color w:val="000000"/>
          <w:shd w:val="clear" w:color="auto" w:fill="FFFFFF"/>
        </w:rPr>
        <w:t xml:space="preserve"> </w:t>
      </w:r>
    </w:p>
    <w:p w14:paraId="43A02D3E" w14:textId="72F48647" w:rsidR="00EB0D23" w:rsidRPr="0031484D" w:rsidRDefault="00EB0D23" w:rsidP="00861403">
      <w:pPr>
        <w:pStyle w:val="NoSpacing"/>
        <w:spacing w:line="276" w:lineRule="auto"/>
        <w:divId w:val="730813999"/>
        <w:rPr>
          <w:rFonts w:ascii="Verdana" w:eastAsia="Times New Roman" w:hAnsi="Verdana" w:cs="Segoe UI"/>
          <w:color w:val="000000"/>
          <w:shd w:val="clear" w:color="auto" w:fill="FFFFFF"/>
        </w:rPr>
      </w:pPr>
    </w:p>
    <w:p w14:paraId="39315487" w14:textId="63E1E2F5" w:rsidR="00B442E9" w:rsidRPr="003F1BE5" w:rsidRDefault="00EB0D23" w:rsidP="00861403">
      <w:pPr>
        <w:pStyle w:val="NoSpacing"/>
        <w:spacing w:line="276" w:lineRule="auto"/>
        <w:divId w:val="730813999"/>
        <w:rPr>
          <w:rFonts w:ascii="Verdana" w:eastAsia="Times New Roman" w:hAnsi="Verdana" w:cs="Segoe UI"/>
          <w:color w:val="000000"/>
          <w:shd w:val="clear" w:color="auto" w:fill="FFFFFF"/>
        </w:rPr>
      </w:pPr>
      <w:r w:rsidRPr="0031484D">
        <w:rPr>
          <w:rFonts w:ascii="Verdana" w:eastAsia="Times New Roman" w:hAnsi="Verdana" w:cs="Segoe UI"/>
          <w:color w:val="000000"/>
          <w:shd w:val="clear" w:color="auto" w:fill="FFFFFF"/>
        </w:rPr>
        <w:t>Weiss purports that it is not necessary for biblical characters to be viewed as infallible beings nor should they be exempt from scrutiny. Taken literally, heroes in scripture are portrayed as complex individuals achieving spiritual heights and struggling with weaknesses. Reading the humanity of the biblical characters and thus experiencing their moral challenges allows the reader to identify with them and learn from their struggles</w:t>
      </w:r>
      <w:r w:rsidR="006A75CC">
        <w:rPr>
          <w:rStyle w:val="FootnoteReference"/>
          <w:rFonts w:ascii="Verdana" w:eastAsia="Times New Roman" w:hAnsi="Verdana" w:cs="Segoe UI"/>
          <w:color w:val="000000"/>
          <w:shd w:val="clear" w:color="auto" w:fill="FFFFFF"/>
        </w:rPr>
        <w:footnoteReference w:id="12"/>
      </w:r>
      <w:r w:rsidRPr="0031484D">
        <w:rPr>
          <w:rFonts w:ascii="Verdana" w:eastAsia="Times New Roman" w:hAnsi="Verdana" w:cs="Segoe UI"/>
          <w:color w:val="000000"/>
          <w:shd w:val="clear" w:color="auto" w:fill="FFFFFF"/>
        </w:rPr>
        <w:t>.</w:t>
      </w:r>
      <w:r w:rsidR="006A75CC">
        <w:rPr>
          <w:rFonts w:ascii="Verdana" w:eastAsia="Times New Roman" w:hAnsi="Verdana" w:cs="Segoe UI"/>
          <w:color w:val="000000"/>
          <w:shd w:val="clear" w:color="auto" w:fill="FFFFFF"/>
        </w:rPr>
        <w:t xml:space="preserve"> </w:t>
      </w:r>
      <w:r w:rsidR="00765E21" w:rsidRPr="0031484D">
        <w:rPr>
          <w:rFonts w:ascii="Verdana" w:eastAsia="Times New Roman" w:hAnsi="Verdana" w:cs="Segoe UI"/>
          <w:color w:val="000000"/>
          <w:shd w:val="clear" w:color="auto" w:fill="FFFFFF"/>
        </w:rPr>
        <w:t xml:space="preserve">The silences in the narrative give the reader the space for personal reflection and interpretation. The reader is not party to the thoughts and feelings of the characters, neither are motives </w:t>
      </w:r>
      <w:r w:rsidR="00330BF5" w:rsidRPr="0031484D">
        <w:rPr>
          <w:rFonts w:ascii="Verdana" w:eastAsia="Times New Roman" w:hAnsi="Verdana" w:cs="Segoe UI"/>
          <w:color w:val="000000"/>
          <w:shd w:val="clear" w:color="auto" w:fill="FFFFFF"/>
        </w:rPr>
        <w:t>n</w:t>
      </w:r>
      <w:r w:rsidR="00765E21" w:rsidRPr="0031484D">
        <w:rPr>
          <w:rFonts w:ascii="Verdana" w:eastAsia="Times New Roman" w:hAnsi="Verdana" w:cs="Segoe UI"/>
          <w:color w:val="000000"/>
          <w:shd w:val="clear" w:color="auto" w:fill="FFFFFF"/>
        </w:rPr>
        <w:t xml:space="preserve">or purposes expressed. There is a particularly heavy silence between Abraham and his son on the trek to the place of sacrifice. These gaps are necessarily filled by each </w:t>
      </w:r>
      <w:r w:rsidR="00765E21" w:rsidRPr="0031484D">
        <w:rPr>
          <w:rFonts w:ascii="Verdana" w:eastAsia="Times New Roman" w:hAnsi="Verdana" w:cs="Segoe UI"/>
          <w:color w:val="000000"/>
          <w:shd w:val="clear" w:color="auto" w:fill="FFFFFF"/>
        </w:rPr>
        <w:lastRenderedPageBreak/>
        <w:t xml:space="preserve">audience, explaining </w:t>
      </w:r>
      <w:proofErr w:type="gramStart"/>
      <w:r w:rsidR="00765E21" w:rsidRPr="0031484D">
        <w:rPr>
          <w:rFonts w:ascii="Verdana" w:eastAsia="Times New Roman" w:hAnsi="Verdana" w:cs="Segoe UI"/>
          <w:color w:val="000000"/>
          <w:shd w:val="clear" w:color="auto" w:fill="FFFFFF"/>
        </w:rPr>
        <w:t>motives</w:t>
      </w:r>
      <w:proofErr w:type="gramEnd"/>
      <w:r w:rsidR="00765E21" w:rsidRPr="0031484D">
        <w:rPr>
          <w:rFonts w:ascii="Verdana" w:eastAsia="Times New Roman" w:hAnsi="Verdana" w:cs="Segoe UI"/>
          <w:color w:val="000000"/>
          <w:shd w:val="clear" w:color="auto" w:fill="FFFFFF"/>
        </w:rPr>
        <w:t xml:space="preserve"> and developing the narrative along lines of thought which are often in contrast to one another</w:t>
      </w:r>
      <w:r w:rsidR="006A75CC">
        <w:rPr>
          <w:rStyle w:val="FootnoteReference"/>
          <w:rFonts w:ascii="Verdana" w:eastAsia="Times New Roman" w:hAnsi="Verdana" w:cs="Segoe UI"/>
          <w:color w:val="000000"/>
          <w:shd w:val="clear" w:color="auto" w:fill="FFFFFF"/>
        </w:rPr>
        <w:footnoteReference w:id="13"/>
      </w:r>
      <w:r w:rsidR="00765E21" w:rsidRPr="0031484D">
        <w:rPr>
          <w:rFonts w:ascii="Verdana" w:eastAsia="Times New Roman" w:hAnsi="Verdana" w:cs="Segoe UI"/>
          <w:color w:val="000000"/>
          <w:shd w:val="clear" w:color="auto" w:fill="FFFFFF"/>
        </w:rPr>
        <w:t>.</w:t>
      </w:r>
      <w:r w:rsidR="00282547" w:rsidRPr="0031484D">
        <w:rPr>
          <w:rFonts w:ascii="Verdana" w:eastAsia="Times New Roman" w:hAnsi="Verdana" w:cs="Segoe UI"/>
          <w:color w:val="000000"/>
          <w:shd w:val="clear" w:color="auto" w:fill="FFFFFF"/>
        </w:rPr>
        <w:t xml:space="preserve"> Perhaps this is the reason behind the wealth of output surrounding the Aqedah and why it continues to be a recognisable theme in even the most secular of cultures.</w:t>
      </w:r>
      <w:r w:rsidR="003F1BE5">
        <w:rPr>
          <w:rFonts w:ascii="Verdana" w:eastAsia="Times New Roman" w:hAnsi="Verdana" w:cs="Segoe UI"/>
          <w:color w:val="000000"/>
          <w:shd w:val="clear" w:color="auto" w:fill="FFFFFF"/>
        </w:rPr>
        <w:t xml:space="preserve"> </w:t>
      </w:r>
      <w:r w:rsidR="00E65AF2" w:rsidRPr="0031484D">
        <w:rPr>
          <w:rFonts w:ascii="Verdana" w:eastAsia="Times New Roman" w:hAnsi="Verdana" w:cs="Segoe UI"/>
          <w:color w:val="000000"/>
          <w:shd w:val="clear" w:color="auto" w:fill="FFFFFF"/>
        </w:rPr>
        <w:t xml:space="preserve">Looking for answers in the Hebrew Scriptures, </w:t>
      </w:r>
      <w:r w:rsidR="007374C4" w:rsidRPr="0031484D">
        <w:rPr>
          <w:rFonts w:ascii="Verdana" w:eastAsia="Times New Roman" w:hAnsi="Verdana" w:cs="Segoe UI"/>
          <w:color w:val="000000"/>
          <w:shd w:val="clear" w:color="auto" w:fill="FFFFFF"/>
        </w:rPr>
        <w:t xml:space="preserve">early </w:t>
      </w:r>
      <w:r w:rsidR="00E65AF2" w:rsidRPr="0031484D">
        <w:rPr>
          <w:rFonts w:ascii="Verdana" w:eastAsia="Times New Roman" w:hAnsi="Verdana" w:cs="Segoe UI"/>
          <w:color w:val="000000"/>
          <w:shd w:val="clear" w:color="auto" w:fill="FFFFFF"/>
        </w:rPr>
        <w:t xml:space="preserve">interpreters have believed that it </w:t>
      </w:r>
      <w:r w:rsidR="007D5BE4" w:rsidRPr="0031484D">
        <w:rPr>
          <w:rFonts w:ascii="Verdana" w:eastAsia="Times New Roman" w:hAnsi="Verdana" w:cs="Segoe UI"/>
          <w:color w:val="000000"/>
          <w:shd w:val="clear" w:color="auto" w:fill="FFFFFF"/>
        </w:rPr>
        <w:t>was not merely Abraham’s ability to endure hardships but his faithfulness to God</w:t>
      </w:r>
      <w:r w:rsidR="00A77E0D" w:rsidRPr="0031484D">
        <w:rPr>
          <w:rFonts w:ascii="Verdana" w:eastAsia="Times New Roman" w:hAnsi="Verdana" w:cs="Segoe UI"/>
          <w:color w:val="000000"/>
          <w:shd w:val="clear" w:color="auto" w:fill="FFFFFF"/>
        </w:rPr>
        <w:t xml:space="preserve"> that</w:t>
      </w:r>
      <w:r w:rsidR="00E131A1" w:rsidRPr="0031484D">
        <w:rPr>
          <w:rFonts w:ascii="Verdana" w:eastAsia="Times New Roman" w:hAnsi="Verdana" w:cs="Segoe UI"/>
          <w:color w:val="000000"/>
          <w:shd w:val="clear" w:color="auto" w:fill="FFFFFF"/>
        </w:rPr>
        <w:t xml:space="preserve"> overcoming these enco</w:t>
      </w:r>
      <w:r w:rsidR="000E5127" w:rsidRPr="0031484D">
        <w:rPr>
          <w:rFonts w:ascii="Verdana" w:eastAsia="Times New Roman" w:hAnsi="Verdana" w:cs="Segoe UI"/>
          <w:color w:val="000000"/>
          <w:shd w:val="clear" w:color="auto" w:fill="FFFFFF"/>
        </w:rPr>
        <w:t>untered difficulties proved</w:t>
      </w:r>
      <w:r w:rsidR="003F1BE5">
        <w:rPr>
          <w:rStyle w:val="FootnoteReference"/>
          <w:rFonts w:ascii="Verdana" w:eastAsia="Times New Roman" w:hAnsi="Verdana" w:cs="Segoe UI"/>
          <w:color w:val="000000"/>
          <w:shd w:val="clear" w:color="auto" w:fill="FFFFFF"/>
        </w:rPr>
        <w:footnoteReference w:id="14"/>
      </w:r>
      <w:r w:rsidR="002C53E3" w:rsidRPr="0031484D">
        <w:rPr>
          <w:rFonts w:ascii="Verdana" w:eastAsia="Times New Roman" w:hAnsi="Verdana" w:cs="Segoe UI"/>
          <w:color w:val="000000"/>
          <w:shd w:val="clear" w:color="auto" w:fill="FFFFFF"/>
        </w:rPr>
        <w:t xml:space="preserve">. </w:t>
      </w:r>
      <w:r w:rsidR="00A00118" w:rsidRPr="0031484D">
        <w:rPr>
          <w:rFonts w:ascii="Verdana" w:eastAsia="Times New Roman" w:hAnsi="Verdana" w:cs="Segoe UI"/>
          <w:color w:val="000000"/>
          <w:shd w:val="clear" w:color="auto" w:fill="FFFFFF"/>
        </w:rPr>
        <w:t>Review</w:t>
      </w:r>
      <w:r w:rsidR="00026F56" w:rsidRPr="0031484D">
        <w:rPr>
          <w:rFonts w:ascii="Verdana" w:eastAsia="Times New Roman" w:hAnsi="Verdana" w:cs="Segoe UI"/>
          <w:color w:val="000000"/>
          <w:shd w:val="clear" w:color="auto" w:fill="FFFFFF"/>
        </w:rPr>
        <w:t>ing the events of Genesis, Ezra the scribe praised</w:t>
      </w:r>
      <w:r w:rsidR="00334202" w:rsidRPr="0031484D">
        <w:rPr>
          <w:rFonts w:ascii="Verdana" w:eastAsia="Times New Roman" w:hAnsi="Verdana" w:cs="Segoe UI"/>
          <w:color w:val="000000"/>
          <w:shd w:val="clear" w:color="auto" w:fill="FFFFFF"/>
        </w:rPr>
        <w:t xml:space="preserve"> God in these words: </w:t>
      </w:r>
      <w:r w:rsidR="0051175E" w:rsidRPr="0031484D">
        <w:rPr>
          <w:rFonts w:ascii="Verdana" w:eastAsia="Times New Roman" w:hAnsi="Verdana" w:cs="Segoe UI"/>
          <w:color w:val="000000"/>
          <w:shd w:val="clear" w:color="auto" w:fill="FFFFFF"/>
        </w:rPr>
        <w:t>“</w:t>
      </w:r>
      <w:r w:rsidR="00966B0F" w:rsidRPr="0031484D">
        <w:rPr>
          <w:rFonts w:ascii="Verdana" w:eastAsia="Times New Roman" w:hAnsi="Verdana" w:cs="Segoe UI"/>
          <w:color w:val="000000"/>
        </w:rPr>
        <w:t>You are the Lord, the God who chose Abram and brought him out of Ur of the Chaldeans and gave him the name Abraham;</w:t>
      </w:r>
      <w:r w:rsidR="00966B0F" w:rsidRPr="0031484D">
        <w:rPr>
          <w:rFonts w:ascii="Verdana" w:eastAsia="Times New Roman" w:hAnsi="Verdana" w:cs="Segoe UI"/>
          <w:b/>
          <w:bCs/>
          <w:color w:val="000000"/>
          <w:vertAlign w:val="superscript"/>
        </w:rPr>
        <w:t> </w:t>
      </w:r>
      <w:r w:rsidR="00966B0F" w:rsidRPr="0031484D">
        <w:rPr>
          <w:rFonts w:ascii="Verdana" w:eastAsia="Times New Roman" w:hAnsi="Verdana" w:cs="Segoe UI"/>
          <w:color w:val="000000"/>
        </w:rPr>
        <w:t xml:space="preserve">and you found his heart faithful before </w:t>
      </w:r>
      <w:proofErr w:type="gramStart"/>
      <w:r w:rsidR="00966B0F" w:rsidRPr="0031484D">
        <w:rPr>
          <w:rFonts w:ascii="Verdana" w:eastAsia="Times New Roman" w:hAnsi="Verdana" w:cs="Segoe UI"/>
          <w:color w:val="000000"/>
        </w:rPr>
        <w:t>you, and</w:t>
      </w:r>
      <w:proofErr w:type="gramEnd"/>
      <w:r w:rsidR="00966B0F" w:rsidRPr="0031484D">
        <w:rPr>
          <w:rFonts w:ascii="Verdana" w:eastAsia="Times New Roman" w:hAnsi="Verdana" w:cs="Segoe UI"/>
          <w:color w:val="000000"/>
        </w:rPr>
        <w:t xml:space="preserve"> made with him a covenant to give to his descendants</w:t>
      </w:r>
      <w:r w:rsidR="00D46C88" w:rsidRPr="0031484D">
        <w:rPr>
          <w:rFonts w:ascii="Verdana" w:eastAsia="Times New Roman" w:hAnsi="Verdana" w:cs="Segoe UI"/>
          <w:color w:val="000000"/>
        </w:rPr>
        <w:t>..</w:t>
      </w:r>
      <w:r w:rsidR="00966B0F" w:rsidRPr="0031484D">
        <w:rPr>
          <w:rFonts w:ascii="Verdana" w:eastAsia="Times New Roman" w:hAnsi="Verdana" w:cs="Segoe UI"/>
          <w:color w:val="000000"/>
        </w:rPr>
        <w:t>.</w:t>
      </w:r>
      <w:r w:rsidR="00D46C88" w:rsidRPr="0031484D">
        <w:rPr>
          <w:rFonts w:ascii="Verdana" w:eastAsia="Times New Roman" w:hAnsi="Verdana" w:cs="Segoe UI"/>
          <w:color w:val="000000"/>
        </w:rPr>
        <w:t>”</w:t>
      </w:r>
      <w:r w:rsidR="00A72DCD" w:rsidRPr="0031484D">
        <w:rPr>
          <w:rFonts w:ascii="Verdana" w:eastAsia="Times New Roman" w:hAnsi="Verdana" w:cs="Segoe UI"/>
          <w:color w:val="000000"/>
        </w:rPr>
        <w:t xml:space="preserve"> (Neh. 9:</w:t>
      </w:r>
      <w:r w:rsidR="00732780" w:rsidRPr="0031484D">
        <w:rPr>
          <w:rFonts w:ascii="Verdana" w:eastAsia="Times New Roman" w:hAnsi="Verdana" w:cs="Segoe UI"/>
          <w:color w:val="000000"/>
        </w:rPr>
        <w:t>7-8).</w:t>
      </w:r>
      <w:r w:rsidR="00615D82" w:rsidRPr="0031484D">
        <w:rPr>
          <w:rFonts w:ascii="Verdana" w:eastAsia="Times New Roman" w:hAnsi="Verdana" w:cs="Segoe UI"/>
          <w:color w:val="000000"/>
        </w:rPr>
        <w:t xml:space="preserve"> </w:t>
      </w:r>
      <w:r w:rsidR="006B661E" w:rsidRPr="0031484D">
        <w:rPr>
          <w:rFonts w:ascii="Verdana" w:eastAsia="Times New Roman" w:hAnsi="Verdana" w:cs="Segoe UI"/>
          <w:color w:val="000000"/>
        </w:rPr>
        <w:t xml:space="preserve">Ancient interpreters </w:t>
      </w:r>
      <w:r w:rsidR="00667014" w:rsidRPr="0031484D">
        <w:rPr>
          <w:rFonts w:ascii="Verdana" w:eastAsia="Times New Roman" w:hAnsi="Verdana" w:cs="Segoe UI"/>
          <w:color w:val="000000"/>
        </w:rPr>
        <w:t>came to think of Abraham’s faithfulness as one of his outstanding characteristics</w:t>
      </w:r>
      <w:r w:rsidR="003F1BE5">
        <w:rPr>
          <w:rStyle w:val="FootnoteReference"/>
          <w:rFonts w:ascii="Verdana" w:eastAsia="Times New Roman" w:hAnsi="Verdana" w:cs="Segoe UI"/>
          <w:color w:val="000000"/>
        </w:rPr>
        <w:footnoteReference w:id="15"/>
      </w:r>
      <w:r w:rsidR="00B442E9" w:rsidRPr="0031484D">
        <w:rPr>
          <w:rFonts w:ascii="Verdana" w:eastAsia="Times New Roman" w:hAnsi="Verdana" w:cs="Segoe UI"/>
          <w:color w:val="000000"/>
        </w:rPr>
        <w:t>:</w:t>
      </w:r>
    </w:p>
    <w:p w14:paraId="6B318D7B" w14:textId="77777777" w:rsidR="009F28DC" w:rsidRPr="0031484D" w:rsidRDefault="009F28DC" w:rsidP="00861403">
      <w:pPr>
        <w:pStyle w:val="NoSpacing"/>
        <w:spacing w:line="276" w:lineRule="auto"/>
        <w:divId w:val="316226532"/>
        <w:rPr>
          <w:rFonts w:ascii="Verdana" w:eastAsia="Times New Roman" w:hAnsi="Verdana" w:cs="Segoe UI"/>
          <w:color w:val="000000"/>
        </w:rPr>
      </w:pPr>
    </w:p>
    <w:p w14:paraId="04E8F87B" w14:textId="5C6B120A" w:rsidR="007B0453" w:rsidRPr="0031484D" w:rsidRDefault="00AD1DB3" w:rsidP="00861403">
      <w:pPr>
        <w:pStyle w:val="NoSpacing"/>
        <w:spacing w:line="276" w:lineRule="auto"/>
        <w:divId w:val="316226532"/>
        <w:rPr>
          <w:rFonts w:ascii="Verdana" w:eastAsia="Times New Roman" w:hAnsi="Verdana" w:cs="Segoe UI"/>
          <w:color w:val="000000"/>
        </w:rPr>
      </w:pPr>
      <w:r w:rsidRPr="0031484D">
        <w:rPr>
          <w:rFonts w:ascii="Verdana" w:eastAsia="Times New Roman" w:hAnsi="Verdana" w:cs="Segoe UI"/>
          <w:color w:val="000000"/>
        </w:rPr>
        <w:t xml:space="preserve"> “</w:t>
      </w:r>
      <w:r w:rsidR="007B0453" w:rsidRPr="0031484D">
        <w:rPr>
          <w:rFonts w:ascii="Verdana" w:eastAsia="Times New Roman" w:hAnsi="Verdana" w:cs="Segoe UI"/>
          <w:color w:val="000000"/>
        </w:rPr>
        <w:t xml:space="preserve">He kept the law of the </w:t>
      </w:r>
      <w:proofErr w:type="gramStart"/>
      <w:r w:rsidR="007B0453" w:rsidRPr="0031484D">
        <w:rPr>
          <w:rFonts w:ascii="Verdana" w:eastAsia="Times New Roman" w:hAnsi="Verdana" w:cs="Segoe UI"/>
          <w:color w:val="000000"/>
        </w:rPr>
        <w:t>Most High</w:t>
      </w:r>
      <w:proofErr w:type="gramEnd"/>
      <w:r w:rsidR="007B0453" w:rsidRPr="0031484D">
        <w:rPr>
          <w:rFonts w:ascii="Verdana" w:eastAsia="Times New Roman" w:hAnsi="Verdana" w:cs="Segoe UI"/>
          <w:color w:val="000000"/>
        </w:rPr>
        <w:t>,</w:t>
      </w:r>
      <w:r w:rsidR="007B0453" w:rsidRPr="0031484D">
        <w:rPr>
          <w:rFonts w:ascii="Verdana" w:eastAsia="Times New Roman" w:hAnsi="Verdana" w:cs="Segoe UI"/>
          <w:color w:val="000000"/>
        </w:rPr>
        <w:br/>
      </w:r>
      <w:r w:rsidR="007B0453" w:rsidRPr="0031484D">
        <w:rPr>
          <w:rFonts w:ascii="Verdana" w:eastAsia="Times New Roman" w:hAnsi="Verdana" w:cs="Courier New"/>
          <w:color w:val="000000"/>
        </w:rPr>
        <w:t>    </w:t>
      </w:r>
      <w:r w:rsidR="007B0453" w:rsidRPr="0031484D">
        <w:rPr>
          <w:rFonts w:ascii="Verdana" w:eastAsia="Times New Roman" w:hAnsi="Verdana" w:cs="Segoe UI"/>
          <w:color w:val="000000"/>
        </w:rPr>
        <w:t>and entered into a covenant with him;</w:t>
      </w:r>
      <w:r w:rsidR="007B0453" w:rsidRPr="0031484D">
        <w:rPr>
          <w:rFonts w:ascii="Verdana" w:eastAsia="Times New Roman" w:hAnsi="Verdana" w:cs="Segoe UI"/>
          <w:color w:val="000000"/>
        </w:rPr>
        <w:br/>
        <w:t>he certified the covenant in his flesh,</w:t>
      </w:r>
      <w:r w:rsidR="007B0453" w:rsidRPr="0031484D">
        <w:rPr>
          <w:rFonts w:ascii="Verdana" w:eastAsia="Times New Roman" w:hAnsi="Verdana" w:cs="Segoe UI"/>
          <w:color w:val="000000"/>
        </w:rPr>
        <w:br/>
      </w:r>
      <w:r w:rsidR="007B0453" w:rsidRPr="0031484D">
        <w:rPr>
          <w:rFonts w:ascii="Verdana" w:eastAsia="Times New Roman" w:hAnsi="Verdana" w:cs="Courier New"/>
          <w:color w:val="000000"/>
        </w:rPr>
        <w:t>    </w:t>
      </w:r>
      <w:r w:rsidR="007B0453" w:rsidRPr="0031484D">
        <w:rPr>
          <w:rFonts w:ascii="Verdana" w:eastAsia="Times New Roman" w:hAnsi="Verdana" w:cs="Segoe UI"/>
          <w:color w:val="000000"/>
        </w:rPr>
        <w:t>and when he was tested he proved faithful</w:t>
      </w:r>
      <w:r w:rsidR="009F28DC" w:rsidRPr="0031484D">
        <w:rPr>
          <w:rFonts w:ascii="Verdana" w:eastAsia="Times New Roman" w:hAnsi="Verdana" w:cs="Segoe UI"/>
          <w:color w:val="000000"/>
        </w:rPr>
        <w:t>” (Sir. 44:20)</w:t>
      </w:r>
    </w:p>
    <w:p w14:paraId="129FF3E2" w14:textId="1D5BEE4F" w:rsidR="001268DD" w:rsidRPr="0031484D" w:rsidRDefault="001268DD" w:rsidP="00861403">
      <w:pPr>
        <w:pStyle w:val="NoSpacing"/>
        <w:spacing w:line="276" w:lineRule="auto"/>
        <w:divId w:val="316226532"/>
        <w:rPr>
          <w:rFonts w:ascii="Verdana" w:eastAsia="Times New Roman" w:hAnsi="Verdana" w:cs="Segoe UI"/>
          <w:color w:val="000000"/>
        </w:rPr>
      </w:pPr>
    </w:p>
    <w:p w14:paraId="1806D15F" w14:textId="60B7A38B" w:rsidR="001268DD" w:rsidRPr="0031484D" w:rsidRDefault="001268DD" w:rsidP="00861403">
      <w:pPr>
        <w:pStyle w:val="NoSpacing"/>
        <w:spacing w:line="276" w:lineRule="auto"/>
        <w:divId w:val="316226532"/>
        <w:rPr>
          <w:rFonts w:ascii="Verdana" w:eastAsia="Times New Roman" w:hAnsi="Verdana" w:cs="Times New Roman"/>
        </w:rPr>
      </w:pPr>
      <w:r w:rsidRPr="0031484D">
        <w:rPr>
          <w:rFonts w:ascii="Verdana" w:eastAsia="Times New Roman" w:hAnsi="Verdana" w:cs="Times New Roman"/>
        </w:rPr>
        <w:t>The early Church fathers such as Clement and Tertullian understood the sacrifice of Isaac as a prototype for the sacrifice of Jesus</w:t>
      </w:r>
      <w:r w:rsidR="003F1BE5">
        <w:rPr>
          <w:rStyle w:val="FootnoteReference"/>
          <w:rFonts w:ascii="Verdana" w:eastAsia="Times New Roman" w:hAnsi="Verdana" w:cs="Times New Roman"/>
        </w:rPr>
        <w:footnoteReference w:id="16"/>
      </w:r>
      <w:r w:rsidRPr="0031484D">
        <w:rPr>
          <w:rFonts w:ascii="Verdana" w:eastAsia="Times New Roman" w:hAnsi="Verdana" w:cs="Times New Roman"/>
        </w:rPr>
        <w:t>. Although this typological approach to Scripture had some Jewish antecedents, essentially this was a Christian way of reading; the laws, stories and prophecies were seen to correspond to elements of the New Testament or post scriptural Christianity</w:t>
      </w:r>
      <w:r w:rsidR="003F1BE5">
        <w:rPr>
          <w:rStyle w:val="FootnoteReference"/>
          <w:rFonts w:ascii="Verdana" w:eastAsia="Times New Roman" w:hAnsi="Verdana" w:cs="Times New Roman"/>
        </w:rPr>
        <w:footnoteReference w:id="17"/>
      </w:r>
      <w:r w:rsidRPr="0031484D">
        <w:rPr>
          <w:rFonts w:ascii="Verdana" w:eastAsia="Times New Roman" w:hAnsi="Verdana" w:cs="Times New Roman"/>
        </w:rPr>
        <w:t>. Thus, “[Jesus was the fulfilment of] that which was foreshadowed in Isaac, who was offered upon the altar.” (Letter of Barnabas 7:3)</w:t>
      </w:r>
      <w:r w:rsidR="00765921">
        <w:rPr>
          <w:rStyle w:val="FootnoteReference"/>
          <w:rFonts w:ascii="Verdana" w:eastAsia="Times New Roman" w:hAnsi="Verdana" w:cs="Times New Roman"/>
        </w:rPr>
        <w:footnoteReference w:id="18"/>
      </w:r>
      <w:r w:rsidRPr="0031484D">
        <w:rPr>
          <w:rFonts w:ascii="Verdana" w:eastAsia="Times New Roman" w:hAnsi="Verdana" w:cs="Times New Roman"/>
        </w:rPr>
        <w:t>. Further elements of the narrative were to suggest to the early Christians correspondences between the story of Isaac and the Crucifixion:</w:t>
      </w:r>
    </w:p>
    <w:p w14:paraId="589AF15E" w14:textId="77777777" w:rsidR="001268DD" w:rsidRPr="0031484D" w:rsidRDefault="001268DD" w:rsidP="00861403">
      <w:pPr>
        <w:pStyle w:val="NoSpacing"/>
        <w:spacing w:line="276" w:lineRule="auto"/>
        <w:divId w:val="316226532"/>
        <w:rPr>
          <w:rFonts w:ascii="Verdana" w:eastAsia="Times New Roman" w:hAnsi="Verdana" w:cs="Times New Roman"/>
        </w:rPr>
      </w:pPr>
    </w:p>
    <w:p w14:paraId="4B2A8468" w14:textId="6515CA58" w:rsidR="001268DD" w:rsidRPr="0031484D" w:rsidRDefault="001268DD" w:rsidP="00861403">
      <w:pPr>
        <w:pStyle w:val="NoSpacing"/>
        <w:spacing w:line="276" w:lineRule="auto"/>
        <w:divId w:val="316226532"/>
        <w:rPr>
          <w:rFonts w:ascii="Verdana" w:eastAsia="Times New Roman" w:hAnsi="Verdana" w:cs="Times New Roman"/>
        </w:rPr>
      </w:pPr>
      <w:r w:rsidRPr="0031484D">
        <w:rPr>
          <w:rFonts w:ascii="Verdana" w:eastAsia="Times New Roman" w:hAnsi="Verdana" w:cs="Times New Roman"/>
        </w:rPr>
        <w:t>“And on this account Isaac carried the wood on which he was to be offered up to the place of sacrifice, just as the Lord himself carried his own cross. Finally, since Isaac himself was not killed – for his father had been forbidden to kill him- who was that ram</w:t>
      </w:r>
      <w:r w:rsidR="00186232">
        <w:rPr>
          <w:rFonts w:ascii="Verdana" w:eastAsia="Times New Roman" w:hAnsi="Verdana" w:cs="Times New Roman"/>
        </w:rPr>
        <w:t>,</w:t>
      </w:r>
      <w:r w:rsidRPr="0031484D">
        <w:rPr>
          <w:rFonts w:ascii="Verdana" w:eastAsia="Times New Roman" w:hAnsi="Verdana" w:cs="Times New Roman"/>
        </w:rPr>
        <w:t xml:space="preserve"> which was offered instead, and by whose foreshadowing blood the sacrifice was accomplished? For when Abraham had caught sight of him, he was caught by the horns in a thicket. Who then did he represent but Jesus, who, before he was offered up, had been crowned with thorns?” (Augustine, </w:t>
      </w:r>
      <w:r w:rsidRPr="0031484D">
        <w:rPr>
          <w:rFonts w:ascii="Verdana" w:eastAsia="Times New Roman" w:hAnsi="Verdana" w:cs="Times New Roman"/>
          <w:i/>
          <w:iCs/>
        </w:rPr>
        <w:t>City of God</w:t>
      </w:r>
      <w:r w:rsidRPr="0031484D">
        <w:rPr>
          <w:rFonts w:ascii="Verdana" w:eastAsia="Times New Roman" w:hAnsi="Verdana" w:cs="Times New Roman"/>
        </w:rPr>
        <w:t xml:space="preserve"> 16:32)</w:t>
      </w:r>
      <w:r w:rsidR="00765921">
        <w:rPr>
          <w:rStyle w:val="FootnoteReference"/>
          <w:rFonts w:ascii="Verdana" w:eastAsia="Times New Roman" w:hAnsi="Verdana" w:cs="Times New Roman"/>
        </w:rPr>
        <w:footnoteReference w:id="19"/>
      </w:r>
      <w:r w:rsidRPr="0031484D">
        <w:rPr>
          <w:rFonts w:ascii="Verdana" w:eastAsia="Times New Roman" w:hAnsi="Verdana" w:cs="Times New Roman"/>
        </w:rPr>
        <w:t xml:space="preserve">. </w:t>
      </w:r>
    </w:p>
    <w:p w14:paraId="39265AC8" w14:textId="77777777" w:rsidR="001268DD" w:rsidRPr="0031484D" w:rsidRDefault="001268DD" w:rsidP="00861403">
      <w:pPr>
        <w:pStyle w:val="NoSpacing"/>
        <w:spacing w:line="276" w:lineRule="auto"/>
        <w:divId w:val="316226532"/>
        <w:rPr>
          <w:rFonts w:ascii="Verdana" w:eastAsia="Times New Roman" w:hAnsi="Verdana" w:cs="Times New Roman"/>
        </w:rPr>
      </w:pPr>
    </w:p>
    <w:p w14:paraId="0F756BB3" w14:textId="5B35E69E" w:rsidR="001268DD" w:rsidRPr="0031484D" w:rsidRDefault="001268DD" w:rsidP="00861403">
      <w:pPr>
        <w:pStyle w:val="NoSpacing"/>
        <w:spacing w:line="276" w:lineRule="auto"/>
        <w:divId w:val="316226532"/>
        <w:rPr>
          <w:rFonts w:ascii="Verdana" w:eastAsia="Times New Roman" w:hAnsi="Verdana" w:cs="Times New Roman"/>
        </w:rPr>
      </w:pPr>
      <w:r w:rsidRPr="0031484D">
        <w:rPr>
          <w:rFonts w:ascii="Verdana" w:eastAsia="Times New Roman" w:hAnsi="Verdana" w:cs="Times New Roman"/>
        </w:rPr>
        <w:t>These interpretations were passed down through the ages and have been assimilated into the culture of the land. Indeed, on a recent visit to Westminster Abbey</w:t>
      </w:r>
      <w:r w:rsidR="00765921">
        <w:rPr>
          <w:rStyle w:val="FootnoteReference"/>
          <w:rFonts w:ascii="Verdana" w:eastAsia="Times New Roman" w:hAnsi="Verdana" w:cs="Times New Roman"/>
        </w:rPr>
        <w:footnoteReference w:id="20"/>
      </w:r>
      <w:r w:rsidRPr="0031484D">
        <w:rPr>
          <w:rFonts w:ascii="Verdana" w:eastAsia="Times New Roman" w:hAnsi="Verdana" w:cs="Times New Roman"/>
        </w:rPr>
        <w:t xml:space="preserve"> </w:t>
      </w:r>
      <w:r w:rsidRPr="00765921">
        <w:rPr>
          <w:rFonts w:ascii="Verdana" w:hAnsi="Verdana" w:cs="Segoe UI"/>
          <w:i/>
          <w:iCs/>
          <w:color w:val="0F1419"/>
          <w:shd w:val="clear" w:color="auto" w:fill="FFFFFF"/>
        </w:rPr>
        <w:t xml:space="preserve">The </w:t>
      </w:r>
      <w:proofErr w:type="spellStart"/>
      <w:r w:rsidRPr="00765921">
        <w:rPr>
          <w:rFonts w:ascii="Verdana" w:hAnsi="Verdana" w:cs="Segoe UI"/>
          <w:i/>
          <w:iCs/>
          <w:color w:val="0F1419"/>
          <w:shd w:val="clear" w:color="auto" w:fill="FFFFFF"/>
        </w:rPr>
        <w:t>Litlyington</w:t>
      </w:r>
      <w:proofErr w:type="spellEnd"/>
      <w:r w:rsidRPr="00765921">
        <w:rPr>
          <w:rFonts w:ascii="Verdana" w:hAnsi="Verdana" w:cs="Segoe UI"/>
          <w:i/>
          <w:iCs/>
          <w:color w:val="0F1419"/>
          <w:shd w:val="clear" w:color="auto" w:fill="FFFFFF"/>
        </w:rPr>
        <w:t xml:space="preserve"> Missal</w:t>
      </w:r>
      <w:r w:rsidRPr="0031484D">
        <w:rPr>
          <w:rFonts w:ascii="Verdana" w:hAnsi="Verdana" w:cs="Segoe UI"/>
          <w:color w:val="0F1419"/>
          <w:shd w:val="clear" w:color="auto" w:fill="FFFFFF"/>
        </w:rPr>
        <w:t xml:space="preserve"> was </w:t>
      </w:r>
      <w:r w:rsidR="00186232">
        <w:rPr>
          <w:rFonts w:ascii="Verdana" w:hAnsi="Verdana" w:cs="Segoe UI"/>
          <w:color w:val="0F1419"/>
          <w:shd w:val="clear" w:color="auto" w:fill="FFFFFF"/>
        </w:rPr>
        <w:t xml:space="preserve">seen </w:t>
      </w:r>
      <w:r w:rsidRPr="0031484D">
        <w:rPr>
          <w:rFonts w:ascii="Verdana" w:hAnsi="Verdana" w:cs="Segoe UI"/>
          <w:color w:val="0F1419"/>
          <w:shd w:val="clear" w:color="auto" w:fill="FFFFFF"/>
        </w:rPr>
        <w:t xml:space="preserve">displayed in the Queen’s Diamond Jubilee Galleries. Created by order of Nicholas </w:t>
      </w:r>
      <w:proofErr w:type="spellStart"/>
      <w:r w:rsidRPr="0031484D">
        <w:rPr>
          <w:rFonts w:ascii="Verdana" w:hAnsi="Verdana" w:cs="Segoe UI"/>
          <w:color w:val="0F1419"/>
          <w:shd w:val="clear" w:color="auto" w:fill="FFFFFF"/>
        </w:rPr>
        <w:t>Litlyington</w:t>
      </w:r>
      <w:proofErr w:type="spellEnd"/>
      <w:r w:rsidRPr="0031484D">
        <w:rPr>
          <w:rFonts w:ascii="Verdana" w:hAnsi="Verdana" w:cs="Segoe UI"/>
          <w:color w:val="0F1419"/>
          <w:shd w:val="clear" w:color="auto" w:fill="FFFFFF"/>
        </w:rPr>
        <w:t>, Abbot of Westminster, 1362-1386, for use at the High Altar of the third Abbey Church, the missal</w:t>
      </w:r>
      <w:r w:rsidR="00186232">
        <w:rPr>
          <w:rFonts w:ascii="Verdana" w:hAnsi="Verdana" w:cs="Segoe UI"/>
          <w:color w:val="0F1419"/>
          <w:shd w:val="clear" w:color="auto" w:fill="FFFFFF"/>
        </w:rPr>
        <w:t xml:space="preserve"> lies </w:t>
      </w:r>
      <w:r w:rsidRPr="0031484D">
        <w:rPr>
          <w:rFonts w:ascii="Verdana" w:hAnsi="Verdana" w:cs="Segoe UI"/>
          <w:color w:val="0F1419"/>
          <w:shd w:val="clear" w:color="auto" w:fill="FFFFFF"/>
        </w:rPr>
        <w:t>open at the page for the celebration of the Eucharist showing a full verso page devoted to the illustration of the crucifixion. On the recto page a historiated initial show</w:t>
      </w:r>
      <w:r w:rsidR="00B91F59" w:rsidRPr="0031484D">
        <w:rPr>
          <w:rFonts w:ascii="Verdana" w:hAnsi="Verdana" w:cs="Segoe UI"/>
          <w:color w:val="0F1419"/>
          <w:shd w:val="clear" w:color="auto" w:fill="FFFFFF"/>
        </w:rPr>
        <w:t>s</w:t>
      </w:r>
      <w:r w:rsidRPr="0031484D">
        <w:rPr>
          <w:rFonts w:ascii="Verdana" w:hAnsi="Verdana" w:cs="Segoe UI"/>
          <w:color w:val="0F1419"/>
          <w:shd w:val="clear" w:color="auto" w:fill="FFFFFF"/>
        </w:rPr>
        <w:t xml:space="preserve"> the moment that Abraham hears the angel of the Lord “</w:t>
      </w:r>
      <w:r w:rsidRPr="0031484D">
        <w:rPr>
          <w:rFonts w:ascii="Verdana" w:hAnsi="Verdana" w:cs="Segoe UI"/>
          <w:color w:val="000000"/>
          <w:shd w:val="clear" w:color="auto" w:fill="FFFFFF"/>
        </w:rPr>
        <w:t>Do not lay your hand on the boy or do anything to him” (Genesis 22:12).</w:t>
      </w:r>
      <w:r w:rsidR="00B91F59" w:rsidRPr="0031484D">
        <w:rPr>
          <w:rFonts w:ascii="Verdana" w:hAnsi="Verdana" w:cs="Segoe UI"/>
          <w:color w:val="000000"/>
          <w:shd w:val="clear" w:color="auto" w:fill="FFFFFF"/>
        </w:rPr>
        <w:t xml:space="preserve"> The image decorates the page of text for the Eucharistic service, thus evidencing the </w:t>
      </w:r>
      <w:r w:rsidR="00186232">
        <w:rPr>
          <w:rFonts w:ascii="Verdana" w:hAnsi="Verdana" w:cs="Segoe UI"/>
          <w:color w:val="000000"/>
          <w:shd w:val="clear" w:color="auto" w:fill="FFFFFF"/>
        </w:rPr>
        <w:t xml:space="preserve">Christian </w:t>
      </w:r>
      <w:r w:rsidR="00B91F59" w:rsidRPr="0031484D">
        <w:rPr>
          <w:rFonts w:ascii="Verdana" w:hAnsi="Verdana" w:cs="Segoe UI"/>
          <w:color w:val="000000"/>
          <w:shd w:val="clear" w:color="auto" w:fill="FFFFFF"/>
        </w:rPr>
        <w:t>belief that the Aqedah foreshadows the sacrifice made by Christ.</w:t>
      </w:r>
    </w:p>
    <w:p w14:paraId="34502C9F" w14:textId="21C06F0F" w:rsidR="00764FE5" w:rsidRPr="0031484D" w:rsidRDefault="00764FE5" w:rsidP="00861403">
      <w:pPr>
        <w:pStyle w:val="NoSpacing"/>
        <w:spacing w:line="276" w:lineRule="auto"/>
        <w:divId w:val="316226532"/>
        <w:rPr>
          <w:rFonts w:ascii="Verdana" w:eastAsia="Times New Roman" w:hAnsi="Verdana" w:cs="Segoe UI"/>
          <w:color w:val="000000"/>
        </w:rPr>
      </w:pPr>
    </w:p>
    <w:p w14:paraId="6D4965F6" w14:textId="44BD8652" w:rsidR="002E0C38" w:rsidRPr="0031484D" w:rsidRDefault="00A67458" w:rsidP="00861403">
      <w:pPr>
        <w:pStyle w:val="NoSpacing"/>
        <w:spacing w:line="276" w:lineRule="auto"/>
        <w:divId w:val="940602514"/>
        <w:rPr>
          <w:rFonts w:ascii="Verdana" w:eastAsia="Times New Roman" w:hAnsi="Verdana" w:cs="Segoe UI"/>
          <w:color w:val="000000"/>
          <w:shd w:val="clear" w:color="auto" w:fill="FFFFFF"/>
        </w:rPr>
      </w:pPr>
      <w:r w:rsidRPr="0031484D">
        <w:rPr>
          <w:rFonts w:ascii="Verdana" w:eastAsia="Times New Roman" w:hAnsi="Verdana" w:cs="Segoe UI"/>
          <w:color w:val="000000"/>
          <w:shd w:val="clear" w:color="auto" w:fill="FFFFFF"/>
        </w:rPr>
        <w:t>Th</w:t>
      </w:r>
      <w:r w:rsidR="00F95E9F" w:rsidRPr="0031484D">
        <w:rPr>
          <w:rFonts w:ascii="Verdana" w:eastAsia="Times New Roman" w:hAnsi="Verdana" w:cs="Segoe UI"/>
          <w:color w:val="000000"/>
          <w:shd w:val="clear" w:color="auto" w:fill="FFFFFF"/>
        </w:rPr>
        <w:t>e Aqedah</w:t>
      </w:r>
      <w:r w:rsidRPr="0031484D">
        <w:rPr>
          <w:rFonts w:ascii="Verdana" w:eastAsia="Times New Roman" w:hAnsi="Verdana" w:cs="Segoe UI"/>
          <w:color w:val="000000"/>
          <w:shd w:val="clear" w:color="auto" w:fill="FFFFFF"/>
        </w:rPr>
        <w:t xml:space="preserve"> is a rich source </w:t>
      </w:r>
      <w:r w:rsidR="00C5220D" w:rsidRPr="0031484D">
        <w:rPr>
          <w:rFonts w:ascii="Verdana" w:eastAsia="Times New Roman" w:hAnsi="Verdana" w:cs="Segoe UI"/>
          <w:color w:val="000000"/>
          <w:shd w:val="clear" w:color="auto" w:fill="FFFFFF"/>
        </w:rPr>
        <w:t>central to rabbinic th</w:t>
      </w:r>
      <w:r w:rsidR="000157E5" w:rsidRPr="0031484D">
        <w:rPr>
          <w:rFonts w:ascii="Verdana" w:eastAsia="Times New Roman" w:hAnsi="Verdana" w:cs="Segoe UI"/>
          <w:color w:val="000000"/>
          <w:shd w:val="clear" w:color="auto" w:fill="FFFFFF"/>
        </w:rPr>
        <w:t>eology</w:t>
      </w:r>
      <w:r w:rsidR="00F9609B" w:rsidRPr="0031484D">
        <w:rPr>
          <w:rFonts w:ascii="Verdana" w:eastAsia="Times New Roman" w:hAnsi="Verdana" w:cs="Segoe UI"/>
          <w:color w:val="000000"/>
          <w:shd w:val="clear" w:color="auto" w:fill="FFFFFF"/>
        </w:rPr>
        <w:t>,</w:t>
      </w:r>
      <w:r w:rsidR="000157E5" w:rsidRPr="0031484D">
        <w:rPr>
          <w:rFonts w:ascii="Verdana" w:eastAsia="Times New Roman" w:hAnsi="Verdana" w:cs="Segoe UI"/>
          <w:color w:val="000000"/>
          <w:shd w:val="clear" w:color="auto" w:fill="FFFFFF"/>
        </w:rPr>
        <w:t xml:space="preserve"> incorporated into the daily </w:t>
      </w:r>
      <w:r w:rsidR="00A675BC" w:rsidRPr="0031484D">
        <w:rPr>
          <w:rFonts w:ascii="Verdana" w:eastAsia="Times New Roman" w:hAnsi="Verdana" w:cs="Segoe UI"/>
          <w:color w:val="000000"/>
          <w:shd w:val="clear" w:color="auto" w:fill="FFFFFF"/>
        </w:rPr>
        <w:t>liturgy</w:t>
      </w:r>
      <w:r w:rsidR="00765921">
        <w:rPr>
          <w:rStyle w:val="FootnoteReference"/>
          <w:rFonts w:ascii="Verdana" w:eastAsia="Times New Roman" w:hAnsi="Verdana" w:cs="Segoe UI"/>
          <w:color w:val="000000"/>
          <w:shd w:val="clear" w:color="auto" w:fill="FFFFFF"/>
        </w:rPr>
        <w:footnoteReference w:id="21"/>
      </w:r>
      <w:r w:rsidR="00F9609B" w:rsidRPr="0031484D">
        <w:rPr>
          <w:rFonts w:ascii="Verdana" w:eastAsia="Times New Roman" w:hAnsi="Verdana" w:cs="Segoe UI"/>
          <w:color w:val="000000"/>
          <w:shd w:val="clear" w:color="auto" w:fill="FFFFFF"/>
        </w:rPr>
        <w:t xml:space="preserve"> and the source of several Jewish ritu</w:t>
      </w:r>
      <w:r w:rsidR="00007AF6" w:rsidRPr="0031484D">
        <w:rPr>
          <w:rFonts w:ascii="Verdana" w:eastAsia="Times New Roman" w:hAnsi="Verdana" w:cs="Segoe UI"/>
          <w:color w:val="000000"/>
          <w:shd w:val="clear" w:color="auto" w:fill="FFFFFF"/>
        </w:rPr>
        <w:t>als</w:t>
      </w:r>
      <w:r w:rsidR="00765921">
        <w:rPr>
          <w:rStyle w:val="FootnoteReference"/>
          <w:rFonts w:ascii="Verdana" w:eastAsia="Times New Roman" w:hAnsi="Verdana" w:cs="Segoe UI"/>
          <w:color w:val="000000"/>
          <w:shd w:val="clear" w:color="auto" w:fill="FFFFFF"/>
        </w:rPr>
        <w:footnoteReference w:id="22"/>
      </w:r>
      <w:r w:rsidR="00007AF6" w:rsidRPr="0031484D">
        <w:rPr>
          <w:rFonts w:ascii="Verdana" w:eastAsia="Times New Roman" w:hAnsi="Verdana" w:cs="Segoe UI"/>
          <w:color w:val="000000"/>
          <w:shd w:val="clear" w:color="auto" w:fill="FFFFFF"/>
        </w:rPr>
        <w:t xml:space="preserve">. It is the Torah portion read on Rosh </w:t>
      </w:r>
      <w:proofErr w:type="spellStart"/>
      <w:r w:rsidR="00007AF6" w:rsidRPr="0031484D">
        <w:rPr>
          <w:rFonts w:ascii="Verdana" w:eastAsia="Times New Roman" w:hAnsi="Verdana" w:cs="Segoe UI"/>
          <w:color w:val="000000"/>
          <w:shd w:val="clear" w:color="auto" w:fill="FFFFFF"/>
        </w:rPr>
        <w:t>HaShanna</w:t>
      </w:r>
      <w:r w:rsidR="00D53AD1" w:rsidRPr="0031484D">
        <w:rPr>
          <w:rFonts w:ascii="Verdana" w:eastAsia="Times New Roman" w:hAnsi="Verdana" w:cs="Segoe UI"/>
          <w:color w:val="000000"/>
          <w:shd w:val="clear" w:color="auto" w:fill="FFFFFF"/>
        </w:rPr>
        <w:t>h</w:t>
      </w:r>
      <w:proofErr w:type="spellEnd"/>
      <w:r w:rsidR="00D53AD1" w:rsidRPr="0031484D">
        <w:rPr>
          <w:rFonts w:ascii="Verdana" w:eastAsia="Times New Roman" w:hAnsi="Verdana" w:cs="Segoe UI"/>
          <w:color w:val="000000"/>
          <w:shd w:val="clear" w:color="auto" w:fill="FFFFFF"/>
        </w:rPr>
        <w:t xml:space="preserve">; the shofar is blown at the peak of this important service </w:t>
      </w:r>
      <w:r w:rsidR="00352750" w:rsidRPr="0031484D">
        <w:rPr>
          <w:rFonts w:ascii="Verdana" w:eastAsia="Times New Roman" w:hAnsi="Verdana" w:cs="Segoe UI"/>
          <w:color w:val="000000"/>
          <w:shd w:val="clear" w:color="auto" w:fill="FFFFFF"/>
        </w:rPr>
        <w:t>thus commemorating the animal sacrificed</w:t>
      </w:r>
      <w:r w:rsidR="00944D92" w:rsidRPr="0031484D">
        <w:rPr>
          <w:rFonts w:ascii="Verdana" w:eastAsia="Times New Roman" w:hAnsi="Verdana" w:cs="Segoe UI"/>
          <w:color w:val="000000"/>
          <w:shd w:val="clear" w:color="auto" w:fill="FFFFFF"/>
        </w:rPr>
        <w:t xml:space="preserve"> in Isaac’s stead and as a reminder to God of his mercy in the </w:t>
      </w:r>
      <w:r w:rsidR="00CE10D6" w:rsidRPr="0031484D">
        <w:rPr>
          <w:rFonts w:ascii="Verdana" w:eastAsia="Times New Roman" w:hAnsi="Verdana" w:cs="Segoe UI"/>
          <w:color w:val="000000"/>
          <w:shd w:val="clear" w:color="auto" w:fill="FFFFFF"/>
        </w:rPr>
        <w:t>hope that he will show mercy again</w:t>
      </w:r>
      <w:r w:rsidR="00765921">
        <w:rPr>
          <w:rStyle w:val="FootnoteReference"/>
          <w:rFonts w:ascii="Verdana" w:eastAsia="Times New Roman" w:hAnsi="Verdana" w:cs="Segoe UI"/>
          <w:color w:val="000000"/>
          <w:shd w:val="clear" w:color="auto" w:fill="FFFFFF"/>
        </w:rPr>
        <w:footnoteReference w:id="23"/>
      </w:r>
      <w:r w:rsidR="00CE10D6" w:rsidRPr="0031484D">
        <w:rPr>
          <w:rFonts w:ascii="Verdana" w:eastAsia="Times New Roman" w:hAnsi="Verdana" w:cs="Segoe UI"/>
          <w:color w:val="000000"/>
          <w:shd w:val="clear" w:color="auto" w:fill="FFFFFF"/>
        </w:rPr>
        <w:t xml:space="preserve">. </w:t>
      </w:r>
      <w:r w:rsidR="002E0C38" w:rsidRPr="0031484D">
        <w:rPr>
          <w:rFonts w:ascii="Verdana" w:eastAsia="Times New Roman" w:hAnsi="Verdana" w:cs="Segoe UI"/>
          <w:color w:val="000000"/>
          <w:shd w:val="clear" w:color="auto" w:fill="FFFFFF"/>
        </w:rPr>
        <w:t>In Jewish exegesis there is no fixed, canonical set of interpretations with each source interpreting or retelling the A</w:t>
      </w:r>
      <w:r w:rsidR="005949F6">
        <w:rPr>
          <w:rFonts w:ascii="Verdana" w:eastAsia="Times New Roman" w:hAnsi="Verdana" w:cs="Segoe UI"/>
          <w:color w:val="000000"/>
          <w:shd w:val="clear" w:color="auto" w:fill="FFFFFF"/>
        </w:rPr>
        <w:t>q</w:t>
      </w:r>
      <w:r w:rsidR="002E0C38" w:rsidRPr="0031484D">
        <w:rPr>
          <w:rFonts w:ascii="Verdana" w:eastAsia="Times New Roman" w:hAnsi="Verdana" w:cs="Segoe UI"/>
          <w:color w:val="000000"/>
          <w:shd w:val="clear" w:color="auto" w:fill="FFFFFF"/>
        </w:rPr>
        <w:t>edah in various ways, in many instances adding information which changes the implications of the story</w:t>
      </w:r>
      <w:r w:rsidR="00CD69C5">
        <w:rPr>
          <w:rStyle w:val="FootnoteReference"/>
          <w:rFonts w:ascii="Verdana" w:eastAsia="Times New Roman" w:hAnsi="Verdana" w:cs="Segoe UI"/>
          <w:color w:val="000000"/>
          <w:shd w:val="clear" w:color="auto" w:fill="FFFFFF"/>
        </w:rPr>
        <w:footnoteReference w:id="24"/>
      </w:r>
      <w:r w:rsidR="002E0C38" w:rsidRPr="0031484D">
        <w:rPr>
          <w:rFonts w:ascii="Verdana" w:eastAsia="Times New Roman" w:hAnsi="Verdana" w:cs="Segoe UI"/>
          <w:color w:val="000000"/>
          <w:shd w:val="clear" w:color="auto" w:fill="FFFFFF"/>
        </w:rPr>
        <w:t>. In each case, there is the attempt to grapple with two basic questions</w:t>
      </w:r>
      <w:r w:rsidR="005949F6">
        <w:rPr>
          <w:rFonts w:ascii="Verdana" w:eastAsia="Times New Roman" w:hAnsi="Verdana" w:cs="Segoe UI"/>
          <w:color w:val="000000"/>
          <w:shd w:val="clear" w:color="auto" w:fill="FFFFFF"/>
        </w:rPr>
        <w:t>:</w:t>
      </w:r>
      <w:r w:rsidR="002E0C38" w:rsidRPr="0031484D">
        <w:rPr>
          <w:rFonts w:ascii="Verdana" w:eastAsia="Times New Roman" w:hAnsi="Verdana" w:cs="Segoe UI"/>
          <w:color w:val="000000"/>
          <w:shd w:val="clear" w:color="auto" w:fill="FFFFFF"/>
        </w:rPr>
        <w:t xml:space="preserve"> Why is Abraham tested? Why is it necessary for the test to take such a horrific form?</w:t>
      </w:r>
      <w:r w:rsidR="00CD69C5">
        <w:rPr>
          <w:rStyle w:val="FootnoteReference"/>
          <w:rFonts w:ascii="Verdana" w:eastAsia="Times New Roman" w:hAnsi="Verdana" w:cs="Segoe UI"/>
          <w:color w:val="000000"/>
          <w:shd w:val="clear" w:color="auto" w:fill="FFFFFF"/>
        </w:rPr>
        <w:footnoteReference w:id="25"/>
      </w:r>
      <w:r w:rsidR="002E0C38" w:rsidRPr="0031484D">
        <w:rPr>
          <w:rFonts w:ascii="Verdana" w:eastAsia="Times New Roman" w:hAnsi="Verdana" w:cs="Segoe UI"/>
          <w:color w:val="000000"/>
          <w:shd w:val="clear" w:color="auto" w:fill="FFFFFF"/>
        </w:rPr>
        <w:t>. Green states an underlying philosophy held by Jewish exegetes that “trials are not meant cruelly to break the will or spirit of those tested; nor are they meant to prove to God the purity of the believer’s devotion. Rather, a central rabbinic teaching is that “God tries the righteous””</w:t>
      </w:r>
      <w:r w:rsidR="00CD69C5">
        <w:rPr>
          <w:rStyle w:val="FootnoteReference"/>
          <w:rFonts w:ascii="Verdana" w:eastAsia="Times New Roman" w:hAnsi="Verdana" w:cs="Segoe UI"/>
          <w:color w:val="000000"/>
          <w:shd w:val="clear" w:color="auto" w:fill="FFFFFF"/>
        </w:rPr>
        <w:footnoteReference w:id="26"/>
      </w:r>
      <w:r w:rsidR="002E0C38" w:rsidRPr="0031484D">
        <w:rPr>
          <w:rFonts w:ascii="Verdana" w:eastAsia="Times New Roman" w:hAnsi="Verdana" w:cs="Segoe UI"/>
          <w:color w:val="000000"/>
          <w:shd w:val="clear" w:color="auto" w:fill="FFFFFF"/>
        </w:rPr>
        <w:t>.</w:t>
      </w:r>
    </w:p>
    <w:p w14:paraId="7E3FEAD9" w14:textId="77777777" w:rsidR="00A7188A" w:rsidRPr="0031484D" w:rsidRDefault="00A7188A" w:rsidP="00861403">
      <w:pPr>
        <w:pStyle w:val="NoSpacing"/>
        <w:spacing w:line="276" w:lineRule="auto"/>
        <w:divId w:val="940602514"/>
        <w:rPr>
          <w:rFonts w:ascii="Verdana" w:eastAsia="Times New Roman" w:hAnsi="Verdana" w:cs="Segoe UI"/>
          <w:color w:val="000000"/>
          <w:shd w:val="clear" w:color="auto" w:fill="FFFFFF"/>
        </w:rPr>
      </w:pPr>
    </w:p>
    <w:p w14:paraId="785790ED" w14:textId="13E32BF8" w:rsidR="0031484D" w:rsidRPr="0031484D" w:rsidRDefault="0031484D" w:rsidP="00861403">
      <w:pPr>
        <w:spacing w:line="276" w:lineRule="auto"/>
        <w:divId w:val="940602514"/>
        <w:rPr>
          <w:rFonts w:ascii="Verdana" w:hAnsi="Verdana"/>
        </w:rPr>
      </w:pPr>
      <w:r w:rsidRPr="0031484D">
        <w:rPr>
          <w:rFonts w:ascii="Verdana" w:hAnsi="Verdana"/>
        </w:rPr>
        <w:t>Weiss comments that the purpose of the Aqedah is ambiguous as the reason for God’s command is neither revealed to Abraham, nor to the reader. Philosophers and exegetes have necessarily debated the purpose of the divine trial over many centuries</w:t>
      </w:r>
      <w:r w:rsidR="00CD69C5">
        <w:rPr>
          <w:rStyle w:val="FootnoteReference"/>
          <w:rFonts w:ascii="Verdana" w:hAnsi="Verdana"/>
        </w:rPr>
        <w:footnoteReference w:id="27"/>
      </w:r>
      <w:r w:rsidRPr="0031484D">
        <w:rPr>
          <w:rFonts w:ascii="Verdana" w:hAnsi="Verdana"/>
        </w:rPr>
        <w:t xml:space="preserve">. One such philosopher was Immanuel Kant (1724-1804) who was scathing in his reception of those who praised Abraham’s conduct; he argued </w:t>
      </w:r>
      <w:r w:rsidRPr="0031484D">
        <w:rPr>
          <w:rFonts w:ascii="Verdana" w:hAnsi="Verdana"/>
        </w:rPr>
        <w:lastRenderedPageBreak/>
        <w:t>that Abraham should have listened to his moral conscience</w:t>
      </w:r>
      <w:r w:rsidR="00CD69C5">
        <w:rPr>
          <w:rStyle w:val="FootnoteReference"/>
          <w:rFonts w:ascii="Verdana" w:hAnsi="Verdana"/>
        </w:rPr>
        <w:footnoteReference w:id="28"/>
      </w:r>
      <w:r w:rsidRPr="0031484D">
        <w:rPr>
          <w:rFonts w:ascii="Verdana" w:hAnsi="Verdana"/>
        </w:rPr>
        <w:t>. Kant stated that if a human being believed that they had received an immoral command it must be a misperception. In such a case, the biblical text has been misunderstood and therefore cannot be God’s word since humans interpret the divine revelation</w:t>
      </w:r>
      <w:r w:rsidR="00CD69C5">
        <w:rPr>
          <w:rStyle w:val="FootnoteReference"/>
          <w:rFonts w:ascii="Verdana" w:hAnsi="Verdana"/>
        </w:rPr>
        <w:footnoteReference w:id="29"/>
      </w:r>
      <w:r w:rsidRPr="0031484D">
        <w:rPr>
          <w:rFonts w:ascii="Verdana" w:hAnsi="Verdana"/>
        </w:rPr>
        <w:t>. Because, in his view, morality has an independent nature, any attempt to derive it from God (or indeed an alternative source) weakens its claim upon man</w:t>
      </w:r>
      <w:r w:rsidR="00CD69C5">
        <w:rPr>
          <w:rStyle w:val="FootnoteReference"/>
          <w:rFonts w:ascii="Verdana" w:hAnsi="Verdana"/>
        </w:rPr>
        <w:footnoteReference w:id="30"/>
      </w:r>
      <w:r w:rsidRPr="0031484D">
        <w:rPr>
          <w:rFonts w:ascii="Verdana" w:hAnsi="Verdana"/>
        </w:rPr>
        <w:t>. Kant argues that when religion would seem to conflict with morality human beings should rely on their ethical conscience</w:t>
      </w:r>
      <w:r w:rsidR="00CD69C5">
        <w:rPr>
          <w:rStyle w:val="FootnoteReference"/>
          <w:rFonts w:ascii="Verdana" w:hAnsi="Verdana"/>
        </w:rPr>
        <w:footnoteReference w:id="31"/>
      </w:r>
      <w:r w:rsidRPr="0031484D">
        <w:rPr>
          <w:rFonts w:ascii="Verdana" w:hAnsi="Verdana"/>
        </w:rPr>
        <w:t xml:space="preserve">. </w:t>
      </w:r>
      <w:proofErr w:type="spellStart"/>
      <w:r w:rsidRPr="0031484D">
        <w:rPr>
          <w:rFonts w:ascii="Verdana" w:hAnsi="Verdana"/>
        </w:rPr>
        <w:t>Søren</w:t>
      </w:r>
      <w:proofErr w:type="spellEnd"/>
      <w:r w:rsidRPr="0031484D">
        <w:rPr>
          <w:rFonts w:ascii="Verdana" w:hAnsi="Verdana"/>
        </w:rPr>
        <w:t xml:space="preserve"> Kierkegaard (1813-1855) offers an opposing opinion asserting that when religion and morality collide, religion takes precedence; obedience to God should override ethical principles</w:t>
      </w:r>
      <w:r w:rsidR="008127C8">
        <w:rPr>
          <w:rStyle w:val="FootnoteReference"/>
          <w:rFonts w:ascii="Verdana" w:hAnsi="Verdana"/>
        </w:rPr>
        <w:footnoteReference w:id="32"/>
      </w:r>
      <w:r w:rsidRPr="0031484D">
        <w:rPr>
          <w:rFonts w:ascii="Verdana" w:hAnsi="Verdana"/>
        </w:rPr>
        <w:t xml:space="preserve">. Kierkegaard was so distressed by Genesis 22 that, using a pseudonymous author, Johannes de Silentio, he devoted an entire book, </w:t>
      </w:r>
      <w:r w:rsidRPr="0031484D">
        <w:rPr>
          <w:rFonts w:ascii="Verdana" w:hAnsi="Verdana"/>
          <w:i/>
          <w:iCs/>
        </w:rPr>
        <w:t>Fear and Trembling</w:t>
      </w:r>
      <w:r w:rsidRPr="0031484D">
        <w:rPr>
          <w:rFonts w:ascii="Verdana" w:hAnsi="Verdana"/>
        </w:rPr>
        <w:t xml:space="preserve"> (1843), to exploring four different explanations to try to ascertain why the story takes the form presented to us</w:t>
      </w:r>
      <w:r w:rsidR="008127C8">
        <w:rPr>
          <w:rStyle w:val="FootnoteReference"/>
          <w:rFonts w:ascii="Verdana" w:hAnsi="Verdana"/>
        </w:rPr>
        <w:footnoteReference w:id="33"/>
      </w:r>
      <w:r w:rsidRPr="0031484D">
        <w:rPr>
          <w:rFonts w:ascii="Verdana" w:hAnsi="Verdana"/>
        </w:rPr>
        <w:t xml:space="preserve">. </w:t>
      </w:r>
    </w:p>
    <w:p w14:paraId="4B71950F" w14:textId="77777777" w:rsidR="0031484D" w:rsidRPr="0031484D" w:rsidRDefault="0031484D" w:rsidP="00861403">
      <w:pPr>
        <w:spacing w:line="276" w:lineRule="auto"/>
        <w:divId w:val="940602514"/>
        <w:rPr>
          <w:rFonts w:ascii="Verdana" w:hAnsi="Verdana"/>
        </w:rPr>
      </w:pPr>
    </w:p>
    <w:p w14:paraId="5F703544" w14:textId="459E0213" w:rsidR="0031484D" w:rsidRPr="0031484D" w:rsidRDefault="0031484D" w:rsidP="00861403">
      <w:pPr>
        <w:spacing w:line="276" w:lineRule="auto"/>
        <w:divId w:val="940602514"/>
        <w:rPr>
          <w:rFonts w:ascii="Verdana" w:hAnsi="Verdana"/>
        </w:rPr>
      </w:pPr>
      <w:r w:rsidRPr="0031484D">
        <w:rPr>
          <w:rFonts w:ascii="Verdana" w:hAnsi="Verdana"/>
        </w:rPr>
        <w:t>In the first explanation, it is Abraham’s goal to protect God by blaming himself for the brutal command. As Abraham blesses Isaac, his ‘expression was fatherly, his gaze gentle, his speech encouraging’</w:t>
      </w:r>
      <w:r w:rsidR="008127C8">
        <w:rPr>
          <w:rStyle w:val="FootnoteReference"/>
          <w:rFonts w:ascii="Verdana" w:hAnsi="Verdana"/>
        </w:rPr>
        <w:footnoteReference w:id="34"/>
      </w:r>
      <w:r w:rsidRPr="0031484D">
        <w:rPr>
          <w:rFonts w:ascii="Verdana" w:hAnsi="Verdana"/>
        </w:rPr>
        <w:t>, however, on realising his intentions, Isaac pleads for his life. The refrain is repeated ‘Isaac did not understand him’</w:t>
      </w:r>
      <w:r w:rsidR="008127C8">
        <w:rPr>
          <w:rStyle w:val="FootnoteReference"/>
          <w:rFonts w:ascii="Verdana" w:hAnsi="Verdana"/>
        </w:rPr>
        <w:footnoteReference w:id="35"/>
      </w:r>
      <w:r w:rsidRPr="0031484D">
        <w:rPr>
          <w:rFonts w:ascii="Verdana" w:hAnsi="Verdana"/>
        </w:rPr>
        <w:t xml:space="preserve"> and on looking again, Isaac sees Abraham changed, ‘his gaze was wild, his mien one of horror’</w:t>
      </w:r>
      <w:r w:rsidR="008127C8">
        <w:rPr>
          <w:rStyle w:val="FootnoteReference"/>
          <w:rFonts w:ascii="Verdana" w:hAnsi="Verdana"/>
        </w:rPr>
        <w:footnoteReference w:id="36"/>
      </w:r>
      <w:r w:rsidRPr="0031484D">
        <w:rPr>
          <w:rFonts w:ascii="Verdana" w:hAnsi="Verdana"/>
        </w:rPr>
        <w:t>. Abraham rebukes Isaac saying, ‘Foolish boy, do you believe I am your father? I am an idolater. Do you believe this is God’s command? No, it is my own desire</w:t>
      </w:r>
      <w:r w:rsidR="008127C8">
        <w:rPr>
          <w:rFonts w:ascii="Verdana" w:hAnsi="Verdana"/>
        </w:rPr>
        <w:t>’</w:t>
      </w:r>
      <w:r w:rsidR="008127C8">
        <w:rPr>
          <w:rStyle w:val="FootnoteReference"/>
          <w:rFonts w:ascii="Verdana" w:hAnsi="Verdana"/>
        </w:rPr>
        <w:footnoteReference w:id="37"/>
      </w:r>
      <w:r w:rsidRPr="0031484D">
        <w:rPr>
          <w:rFonts w:ascii="Verdana" w:hAnsi="Verdana"/>
        </w:rPr>
        <w:t xml:space="preserve">. Abraham then prays softly, ‘Lord in heaven I thank Thee: it is after all better that he </w:t>
      </w:r>
      <w:proofErr w:type="gramStart"/>
      <w:r w:rsidRPr="0031484D">
        <w:rPr>
          <w:rFonts w:ascii="Verdana" w:hAnsi="Verdana"/>
        </w:rPr>
        <w:t>believe</w:t>
      </w:r>
      <w:proofErr w:type="gramEnd"/>
      <w:r w:rsidRPr="0031484D">
        <w:rPr>
          <w:rFonts w:ascii="Verdana" w:hAnsi="Verdana"/>
        </w:rPr>
        <w:t xml:space="preserve"> I am a monster than that he lose faith in Thee’</w:t>
      </w:r>
      <w:r w:rsidR="008127C8">
        <w:rPr>
          <w:rStyle w:val="FootnoteReference"/>
          <w:rFonts w:ascii="Verdana" w:hAnsi="Verdana"/>
        </w:rPr>
        <w:footnoteReference w:id="38"/>
      </w:r>
      <w:r w:rsidRPr="0031484D">
        <w:rPr>
          <w:rFonts w:ascii="Verdana" w:hAnsi="Verdana"/>
        </w:rPr>
        <w:t>. The second retelling of the sacrifice story does not differ from the original, however, Kierkegaard proposes the depressive effects of the event on Abraham’s psyche: ‘From that day on, Abraham became old, he could not forget that God had demanded this of him. Isaac throve as before; but Abraham’s eye was darkened, he saw joy no more’</w:t>
      </w:r>
      <w:r w:rsidR="008127C8">
        <w:rPr>
          <w:rStyle w:val="FootnoteReference"/>
          <w:rFonts w:ascii="Verdana" w:hAnsi="Verdana"/>
        </w:rPr>
        <w:footnoteReference w:id="39"/>
      </w:r>
      <w:r w:rsidR="008127C8">
        <w:rPr>
          <w:rFonts w:ascii="Verdana" w:hAnsi="Verdana"/>
        </w:rPr>
        <w:t>.</w:t>
      </w:r>
      <w:r w:rsidRPr="0031484D">
        <w:rPr>
          <w:rFonts w:ascii="Verdana" w:hAnsi="Verdana"/>
        </w:rPr>
        <w:t xml:space="preserve"> This version questions whether Abraham’s act of faith caused him to lose his trust in God. </w:t>
      </w:r>
    </w:p>
    <w:p w14:paraId="6EB86338" w14:textId="77777777" w:rsidR="0031484D" w:rsidRPr="0031484D" w:rsidRDefault="0031484D" w:rsidP="00861403">
      <w:pPr>
        <w:spacing w:line="276" w:lineRule="auto"/>
        <w:divId w:val="940602514"/>
        <w:rPr>
          <w:rFonts w:ascii="Verdana" w:hAnsi="Verdana"/>
        </w:rPr>
      </w:pPr>
      <w:r w:rsidRPr="0031484D">
        <w:rPr>
          <w:rFonts w:ascii="Verdana" w:hAnsi="Verdana"/>
        </w:rPr>
        <w:t>The third version ponders Abraham’s potential regret. Agony and self-doubt are at the forefront. After riding to the mountain of Moriah, Abraham</w:t>
      </w:r>
    </w:p>
    <w:p w14:paraId="54950D21" w14:textId="0FCC0B34" w:rsidR="0031484D" w:rsidRPr="0031484D" w:rsidRDefault="0031484D" w:rsidP="00861403">
      <w:pPr>
        <w:spacing w:line="276" w:lineRule="auto"/>
        <w:divId w:val="940602514"/>
        <w:rPr>
          <w:rFonts w:ascii="Verdana" w:hAnsi="Verdana"/>
        </w:rPr>
      </w:pPr>
      <w:r w:rsidRPr="0031484D">
        <w:rPr>
          <w:rFonts w:ascii="Verdana" w:hAnsi="Verdana"/>
        </w:rPr>
        <w:lastRenderedPageBreak/>
        <w:t>“</w:t>
      </w:r>
      <w:proofErr w:type="gramStart"/>
      <w:r w:rsidRPr="0031484D">
        <w:rPr>
          <w:rFonts w:ascii="Verdana" w:hAnsi="Verdana"/>
        </w:rPr>
        <w:t>threw</w:t>
      </w:r>
      <w:proofErr w:type="gramEnd"/>
      <w:r w:rsidRPr="0031484D">
        <w:rPr>
          <w:rFonts w:ascii="Verdana" w:hAnsi="Verdana"/>
        </w:rPr>
        <w:t xml:space="preserve"> himself on his face, he begged God to forgive his sin at having been willing to sacrifice Isaac... He could not comprehend that it was a sin to have been willing to sacrifice to God the best he owned; that for which he would many a time have gladly laid down his own life; and if it was a sin, if he had not so loved Isaac, then he could not understand that it could be forgiven; for what sin was more terrible?”</w:t>
      </w:r>
      <w:r w:rsidR="008127C8">
        <w:rPr>
          <w:rStyle w:val="FootnoteReference"/>
          <w:rFonts w:ascii="Verdana" w:hAnsi="Verdana"/>
        </w:rPr>
        <w:footnoteReference w:id="40"/>
      </w:r>
      <w:r w:rsidR="008127C8">
        <w:rPr>
          <w:rFonts w:ascii="Verdana" w:hAnsi="Verdana"/>
        </w:rPr>
        <w:t xml:space="preserve"> </w:t>
      </w:r>
      <w:r w:rsidRPr="0031484D">
        <w:rPr>
          <w:rFonts w:ascii="Verdana" w:hAnsi="Verdana"/>
        </w:rPr>
        <w:t>Here, Abraham is torn between his duty to his son and his duty to his God. He is left to concluded that he has both misunderstood God’s directions as well as betraying his family.</w:t>
      </w:r>
      <w:r w:rsidR="008127C8">
        <w:rPr>
          <w:rFonts w:ascii="Verdana" w:hAnsi="Verdana"/>
        </w:rPr>
        <w:t xml:space="preserve"> </w:t>
      </w:r>
      <w:r w:rsidRPr="0031484D">
        <w:rPr>
          <w:rFonts w:ascii="Verdana" w:hAnsi="Verdana"/>
        </w:rPr>
        <w:t>The greatest deviations from the original Genesis 22 narrative occur in the final retelling. Abraham fails to act; he cannot bring himself to kill Isaac. On seeing his father’s resolve weaken Isaac loses his faith; Abraham remains ignorant that he has been observed, neither does Isaac betray what he has seen</w:t>
      </w:r>
      <w:r w:rsidR="008127C8">
        <w:rPr>
          <w:rStyle w:val="FootnoteReference"/>
          <w:rFonts w:ascii="Verdana" w:hAnsi="Verdana"/>
        </w:rPr>
        <w:footnoteReference w:id="41"/>
      </w:r>
      <w:r w:rsidRPr="0031484D">
        <w:rPr>
          <w:rFonts w:ascii="Verdana" w:hAnsi="Verdana"/>
        </w:rPr>
        <w:t>.</w:t>
      </w:r>
    </w:p>
    <w:p w14:paraId="33516792" w14:textId="77777777" w:rsidR="0031484D" w:rsidRPr="0031484D" w:rsidRDefault="0031484D" w:rsidP="00861403">
      <w:pPr>
        <w:spacing w:line="276" w:lineRule="auto"/>
        <w:divId w:val="940602514"/>
        <w:rPr>
          <w:rFonts w:ascii="Verdana" w:hAnsi="Verdana"/>
          <w:color w:val="FF0000"/>
        </w:rPr>
      </w:pPr>
    </w:p>
    <w:p w14:paraId="55A715BF" w14:textId="6819B916" w:rsidR="00F52C93" w:rsidRPr="00FD792F" w:rsidRDefault="0031484D" w:rsidP="00861403">
      <w:pPr>
        <w:spacing w:line="276" w:lineRule="auto"/>
        <w:divId w:val="940602514"/>
        <w:rPr>
          <w:rFonts w:ascii="Verdana" w:hAnsi="Verdana"/>
        </w:rPr>
      </w:pPr>
      <w:r w:rsidRPr="0031484D">
        <w:rPr>
          <w:rFonts w:ascii="Verdana" w:hAnsi="Verdana"/>
        </w:rPr>
        <w:t xml:space="preserve">Kierkegaard </w:t>
      </w:r>
      <w:proofErr w:type="gramStart"/>
      <w:r w:rsidRPr="0031484D">
        <w:rPr>
          <w:rFonts w:ascii="Verdana" w:hAnsi="Verdana"/>
        </w:rPr>
        <w:t>is in agreement</w:t>
      </w:r>
      <w:proofErr w:type="gramEnd"/>
      <w:r w:rsidRPr="0031484D">
        <w:rPr>
          <w:rFonts w:ascii="Verdana" w:hAnsi="Verdana"/>
        </w:rPr>
        <w:t xml:space="preserve"> with Kant that the divine command to slaughter Isaac conflicts with morality, however, Kierkegaard is in praise of Abraham for suspending this morality to obey God’s will</w:t>
      </w:r>
      <w:r w:rsidR="008127C8">
        <w:rPr>
          <w:rStyle w:val="FootnoteReference"/>
          <w:rFonts w:ascii="Verdana" w:hAnsi="Verdana"/>
        </w:rPr>
        <w:footnoteReference w:id="42"/>
      </w:r>
      <w:r w:rsidRPr="0031484D">
        <w:rPr>
          <w:rFonts w:ascii="Verdana" w:hAnsi="Verdana"/>
        </w:rPr>
        <w:t xml:space="preserve">. In </w:t>
      </w:r>
      <w:r w:rsidRPr="0031484D">
        <w:rPr>
          <w:rFonts w:ascii="Verdana" w:hAnsi="Verdana"/>
          <w:i/>
          <w:iCs/>
        </w:rPr>
        <w:t>Fear and Trembling</w:t>
      </w:r>
      <w:r w:rsidRPr="0031484D">
        <w:rPr>
          <w:rFonts w:ascii="Verdana" w:hAnsi="Verdana"/>
        </w:rPr>
        <w:t xml:space="preserve">, Kierkegaard is at pains to deliberate the quandary that if Abraham represents faith, what is it that faith is </w:t>
      </w:r>
      <w:proofErr w:type="gramStart"/>
      <w:r w:rsidRPr="0031484D">
        <w:rPr>
          <w:rFonts w:ascii="Verdana" w:hAnsi="Verdana"/>
        </w:rPr>
        <w:t>actually about</w:t>
      </w:r>
      <w:proofErr w:type="gramEnd"/>
      <w:r w:rsidR="008127C8">
        <w:rPr>
          <w:rStyle w:val="FootnoteReference"/>
          <w:rFonts w:ascii="Verdana" w:hAnsi="Verdana"/>
        </w:rPr>
        <w:footnoteReference w:id="43"/>
      </w:r>
      <w:r w:rsidRPr="0031484D">
        <w:rPr>
          <w:rFonts w:ascii="Verdana" w:hAnsi="Verdana"/>
        </w:rPr>
        <w:t>? Abraham is presented as a model of genuine subjectivity</w:t>
      </w:r>
      <w:r w:rsidR="008127C8">
        <w:rPr>
          <w:rStyle w:val="FootnoteReference"/>
          <w:rFonts w:ascii="Verdana" w:hAnsi="Verdana"/>
        </w:rPr>
        <w:footnoteReference w:id="44"/>
      </w:r>
      <w:r w:rsidRPr="0031484D">
        <w:rPr>
          <w:rFonts w:ascii="Verdana" w:hAnsi="Verdana"/>
        </w:rPr>
        <w:t>. Kierkegaard suggests that Abraham’s choice involves a ‘teleological suspension of the ethical’, an act of individual faith, displacing ethical norms which cannot be rationally explained</w:t>
      </w:r>
      <w:r w:rsidR="008127C8">
        <w:rPr>
          <w:rStyle w:val="FootnoteReference"/>
          <w:rFonts w:ascii="Verdana" w:hAnsi="Verdana"/>
        </w:rPr>
        <w:footnoteReference w:id="45"/>
      </w:r>
      <w:r w:rsidRPr="0031484D">
        <w:rPr>
          <w:rFonts w:ascii="Verdana" w:hAnsi="Verdana"/>
        </w:rPr>
        <w:t>. Dargan describes Kierkegaard’s definition of ethics as any universal system of moral obligations, including any system of universal divine commands; an insight which is key to unlocking the concept of teleological suspension</w:t>
      </w:r>
      <w:r w:rsidR="008127C8">
        <w:rPr>
          <w:rStyle w:val="FootnoteReference"/>
          <w:rFonts w:ascii="Verdana" w:hAnsi="Verdana"/>
        </w:rPr>
        <w:footnoteReference w:id="46"/>
      </w:r>
      <w:r w:rsidRPr="0031484D">
        <w:rPr>
          <w:rFonts w:ascii="Verdana" w:hAnsi="Verdana"/>
        </w:rPr>
        <w:t xml:space="preserve">. Abraham does not decide to obey God because he has no choice, there would be no ethical suspension if he did not have a real choice. The ethical loses its hold on Abraham due to the situation of an impossible choice; Abraham trusts that God can and will deliver his </w:t>
      </w:r>
      <w:proofErr w:type="gramStart"/>
      <w:r w:rsidRPr="0031484D">
        <w:rPr>
          <w:rFonts w:ascii="Verdana" w:hAnsi="Verdana"/>
        </w:rPr>
        <w:t>promise</w:t>
      </w:r>
      <w:proofErr w:type="gramEnd"/>
      <w:r w:rsidRPr="0031484D">
        <w:rPr>
          <w:rFonts w:ascii="Verdana" w:hAnsi="Verdana"/>
        </w:rPr>
        <w:t xml:space="preserve"> but he trusts without an ethical absolute</w:t>
      </w:r>
      <w:r w:rsidR="008127C8">
        <w:rPr>
          <w:rStyle w:val="FootnoteReference"/>
          <w:rFonts w:ascii="Verdana" w:hAnsi="Verdana"/>
        </w:rPr>
        <w:footnoteReference w:id="47"/>
      </w:r>
      <w:r w:rsidRPr="0031484D">
        <w:rPr>
          <w:rFonts w:ascii="Verdana" w:hAnsi="Verdana"/>
        </w:rPr>
        <w:t>. The ‘</w:t>
      </w:r>
      <w:proofErr w:type="gramStart"/>
      <w:r w:rsidRPr="0031484D">
        <w:rPr>
          <w:rFonts w:ascii="Verdana" w:hAnsi="Verdana"/>
        </w:rPr>
        <w:t>telos’</w:t>
      </w:r>
      <w:proofErr w:type="gramEnd"/>
      <w:r w:rsidRPr="0031484D">
        <w:rPr>
          <w:rFonts w:ascii="Verdana" w:hAnsi="Verdana"/>
        </w:rPr>
        <w:t xml:space="preserve"> of suspension is vital: an ethical choice is not possible but Abraham can make a teleological choice, a choice in faith, that suspends the ethical</w:t>
      </w:r>
      <w:r w:rsidR="008127C8" w:rsidRPr="00FD792F">
        <w:rPr>
          <w:rStyle w:val="FootnoteReference"/>
          <w:rFonts w:ascii="Verdana" w:hAnsi="Verdana"/>
        </w:rPr>
        <w:footnoteReference w:id="48"/>
      </w:r>
      <w:r w:rsidRPr="00FD792F">
        <w:rPr>
          <w:rFonts w:ascii="Verdana" w:hAnsi="Verdana"/>
        </w:rPr>
        <w:t>.</w:t>
      </w:r>
      <w:r w:rsidR="00FD792F" w:rsidRPr="00FD792F">
        <w:rPr>
          <w:rFonts w:ascii="Verdana" w:hAnsi="Verdana"/>
        </w:rPr>
        <w:t xml:space="preserve"> </w:t>
      </w:r>
      <w:r w:rsidR="00F52C93" w:rsidRPr="00FD792F">
        <w:rPr>
          <w:rFonts w:ascii="Verdana" w:hAnsi="Verdana"/>
        </w:rPr>
        <w:t xml:space="preserve">In </w:t>
      </w:r>
      <w:r w:rsidR="00FD792F" w:rsidRPr="00FD792F">
        <w:rPr>
          <w:rFonts w:ascii="Verdana" w:hAnsi="Verdana"/>
        </w:rPr>
        <w:t>the Epilogue</w:t>
      </w:r>
      <w:r w:rsidR="00FD792F" w:rsidRPr="00FD792F">
        <w:rPr>
          <w:rStyle w:val="FootnoteReference"/>
          <w:rFonts w:ascii="Verdana" w:hAnsi="Verdana"/>
        </w:rPr>
        <w:footnoteReference w:id="49"/>
      </w:r>
      <w:r w:rsidR="00F52C93" w:rsidRPr="00FD792F">
        <w:rPr>
          <w:rFonts w:ascii="Verdana" w:hAnsi="Verdana"/>
        </w:rPr>
        <w:t xml:space="preserve"> Kierkegaard </w:t>
      </w:r>
      <w:r w:rsidR="00FD792F" w:rsidRPr="00FD792F">
        <w:rPr>
          <w:rFonts w:ascii="Verdana" w:hAnsi="Verdana"/>
        </w:rPr>
        <w:t>poses</w:t>
      </w:r>
      <w:r w:rsidR="00F52C93" w:rsidRPr="00FD792F">
        <w:rPr>
          <w:rFonts w:ascii="Verdana" w:hAnsi="Verdana"/>
        </w:rPr>
        <w:t xml:space="preserve"> some of the fundamental questions prompted by the sacrifice story: Were Abraham’s intentions morally or religiously justified or were they murder? Is there an absolute duty to God? Was Abraham justified for not telling </w:t>
      </w:r>
      <w:r w:rsidR="00F52C93" w:rsidRPr="00FD792F">
        <w:rPr>
          <w:rFonts w:ascii="Verdana" w:hAnsi="Verdana"/>
        </w:rPr>
        <w:lastRenderedPageBreak/>
        <w:t xml:space="preserve">Isaac his intentions? </w:t>
      </w:r>
      <w:r w:rsidR="00FD792F" w:rsidRPr="00FD792F">
        <w:rPr>
          <w:rFonts w:ascii="Verdana" w:hAnsi="Verdana"/>
        </w:rPr>
        <w:t>In conclusion,</w:t>
      </w:r>
      <w:r w:rsidR="00F52C93" w:rsidRPr="00FD792F">
        <w:rPr>
          <w:rFonts w:ascii="Verdana" w:hAnsi="Verdana"/>
        </w:rPr>
        <w:t xml:space="preserve"> Kierkegaard </w:t>
      </w:r>
      <w:r w:rsidR="00186232" w:rsidRPr="00FD792F">
        <w:rPr>
          <w:rFonts w:ascii="Verdana" w:hAnsi="Verdana"/>
        </w:rPr>
        <w:t>perceives</w:t>
      </w:r>
      <w:r w:rsidR="00F52C93" w:rsidRPr="00FD792F">
        <w:rPr>
          <w:rFonts w:ascii="Verdana" w:hAnsi="Verdana"/>
        </w:rPr>
        <w:t xml:space="preserve"> faith as a paradox </w:t>
      </w:r>
      <w:r w:rsidR="00FD792F" w:rsidRPr="00FD792F">
        <w:rPr>
          <w:rFonts w:ascii="Verdana" w:hAnsi="Verdana"/>
        </w:rPr>
        <w:t>which</w:t>
      </w:r>
      <w:r w:rsidR="00F52C93" w:rsidRPr="00FD792F">
        <w:rPr>
          <w:rFonts w:ascii="Verdana" w:hAnsi="Verdana"/>
        </w:rPr>
        <w:t xml:space="preserve"> cannot be understood by reason or conventional morality</w:t>
      </w:r>
      <w:r w:rsidR="00FD792F">
        <w:rPr>
          <w:rStyle w:val="FootnoteReference"/>
          <w:rFonts w:ascii="Verdana" w:hAnsi="Verdana"/>
        </w:rPr>
        <w:footnoteReference w:id="50"/>
      </w:r>
      <w:r w:rsidR="00F52C93" w:rsidRPr="00FD792F">
        <w:rPr>
          <w:rFonts w:ascii="Verdana" w:hAnsi="Verdana"/>
        </w:rPr>
        <w:t>.</w:t>
      </w:r>
    </w:p>
    <w:p w14:paraId="4AB5011F" w14:textId="77777777" w:rsidR="0031484D" w:rsidRPr="0031484D" w:rsidRDefault="0031484D" w:rsidP="00861403">
      <w:pPr>
        <w:spacing w:line="276" w:lineRule="auto"/>
        <w:divId w:val="940602514"/>
        <w:rPr>
          <w:rFonts w:ascii="Verdana" w:hAnsi="Verdana"/>
        </w:rPr>
      </w:pPr>
    </w:p>
    <w:p w14:paraId="10AAF3EF" w14:textId="1ED95D72" w:rsidR="0031484D" w:rsidRPr="00186232" w:rsidRDefault="0031484D" w:rsidP="00861403">
      <w:pPr>
        <w:spacing w:line="276" w:lineRule="auto"/>
        <w:divId w:val="940602514"/>
        <w:rPr>
          <w:rFonts w:ascii="Verdana" w:hAnsi="Verdana"/>
          <w:color w:val="FF0000"/>
        </w:rPr>
      </w:pPr>
      <w:r w:rsidRPr="0031484D">
        <w:rPr>
          <w:rFonts w:ascii="Verdana" w:hAnsi="Verdana"/>
        </w:rPr>
        <w:t xml:space="preserve">There are many contemporary Jewish philosophers who object to the ideas of both Kant and Kierkegaard. </w:t>
      </w:r>
      <w:r w:rsidR="00186232">
        <w:rPr>
          <w:rFonts w:ascii="Verdana" w:hAnsi="Verdana"/>
        </w:rPr>
        <w:t>Some</w:t>
      </w:r>
      <w:r w:rsidRPr="00967B01">
        <w:rPr>
          <w:rFonts w:ascii="Verdana" w:hAnsi="Verdana"/>
        </w:rPr>
        <w:t xml:space="preserve"> argue that the true lesson of the binding is when Abraham is stopped from carrying out the slaughter</w:t>
      </w:r>
      <w:r w:rsidR="00FD792F" w:rsidRPr="00967B01">
        <w:rPr>
          <w:rStyle w:val="FootnoteReference"/>
          <w:rFonts w:ascii="Verdana" w:hAnsi="Verdana"/>
        </w:rPr>
        <w:footnoteReference w:id="51"/>
      </w:r>
      <w:r w:rsidRPr="00967B01">
        <w:rPr>
          <w:rFonts w:ascii="Verdana" w:hAnsi="Verdana"/>
        </w:rPr>
        <w:t>.</w:t>
      </w:r>
      <w:r w:rsidR="00186232">
        <w:rPr>
          <w:rFonts w:ascii="Verdana" w:hAnsi="Verdana"/>
          <w:color w:val="FF0000"/>
        </w:rPr>
        <w:t xml:space="preserve"> </w:t>
      </w:r>
      <w:r w:rsidRPr="0031484D">
        <w:rPr>
          <w:rFonts w:ascii="Verdana" w:hAnsi="Verdana"/>
        </w:rPr>
        <w:t>The twentieth-century French Jewish philosopher Emmanuel Levinas (1905-1995) sees the lesson of the Akedah as highlighting the ethical nature of religion. He argues that Abraham learns how to worship God in an ethical manner after being stopped in the act of sacrificing Isaac in contrast to the savage divin</w:t>
      </w:r>
      <w:r w:rsidR="00A12B7B">
        <w:rPr>
          <w:rFonts w:ascii="Verdana" w:hAnsi="Verdana"/>
        </w:rPr>
        <w:t>e</w:t>
      </w:r>
      <w:r w:rsidRPr="0031484D">
        <w:rPr>
          <w:rFonts w:ascii="Verdana" w:hAnsi="Verdana"/>
        </w:rPr>
        <w:t xml:space="preserve"> worship of his upbringing</w:t>
      </w:r>
      <w:r w:rsidR="00967B01">
        <w:rPr>
          <w:rStyle w:val="FootnoteReference"/>
          <w:rFonts w:ascii="Verdana" w:hAnsi="Verdana"/>
        </w:rPr>
        <w:footnoteReference w:id="52"/>
      </w:r>
      <w:r w:rsidRPr="0031484D">
        <w:rPr>
          <w:rFonts w:ascii="Verdana" w:hAnsi="Verdana"/>
        </w:rPr>
        <w:t>.</w:t>
      </w:r>
      <w:r w:rsidR="00186232">
        <w:rPr>
          <w:rFonts w:ascii="Verdana" w:hAnsi="Verdana"/>
        </w:rPr>
        <w:t xml:space="preserve"> </w:t>
      </w:r>
      <w:r w:rsidR="00A12B7B">
        <w:rPr>
          <w:rFonts w:ascii="Verdana" w:hAnsi="Verdana"/>
        </w:rPr>
        <w:t>Weiss also refers to Abraham’s pagan upbringing in a culture where child sacrifice was prevalent</w:t>
      </w:r>
      <w:r w:rsidR="00A12B7B">
        <w:rPr>
          <w:rStyle w:val="FootnoteReference"/>
          <w:rFonts w:ascii="Verdana" w:hAnsi="Verdana"/>
        </w:rPr>
        <w:footnoteReference w:id="53"/>
      </w:r>
      <w:r w:rsidR="00A12B7B">
        <w:rPr>
          <w:rFonts w:ascii="Verdana" w:hAnsi="Verdana"/>
        </w:rPr>
        <w:t>. The sacrifice may not have seemed unethical in this context, indeed, that Abraham was prepared to part with his seem to demonstrate Abraham’s complete devotion to the divine.</w:t>
      </w:r>
      <w:r w:rsidR="006A0EA3">
        <w:rPr>
          <w:rFonts w:ascii="Verdana" w:hAnsi="Verdana"/>
        </w:rPr>
        <w:t xml:space="preserve"> Ultimately, the Akedah is revealing of Abrahams character, and a measure of his progress in his relationship with God</w:t>
      </w:r>
      <w:r w:rsidR="006A0EA3">
        <w:rPr>
          <w:rStyle w:val="FootnoteReference"/>
          <w:rFonts w:ascii="Verdana" w:hAnsi="Verdana"/>
        </w:rPr>
        <w:footnoteReference w:id="54"/>
      </w:r>
      <w:r w:rsidR="006A0EA3">
        <w:rPr>
          <w:rFonts w:ascii="Verdana" w:hAnsi="Verdana"/>
        </w:rPr>
        <w:t>. A reward was promised at the initial divine command</w:t>
      </w:r>
      <w:r w:rsidR="00C706D7">
        <w:rPr>
          <w:rFonts w:ascii="Verdana" w:hAnsi="Verdana"/>
        </w:rPr>
        <w:t>, the call at Haran</w:t>
      </w:r>
      <w:r w:rsidR="006A0EA3">
        <w:rPr>
          <w:rFonts w:ascii="Verdana" w:hAnsi="Verdana"/>
        </w:rPr>
        <w:t>, whereby the final communication</w:t>
      </w:r>
      <w:r w:rsidR="00C706D7">
        <w:rPr>
          <w:rFonts w:ascii="Verdana" w:hAnsi="Verdana"/>
        </w:rPr>
        <w:t>, the Aqedah,</w:t>
      </w:r>
      <w:r w:rsidR="006A0EA3">
        <w:rPr>
          <w:rFonts w:ascii="Verdana" w:hAnsi="Verdana"/>
        </w:rPr>
        <w:t xml:space="preserve"> held no such incentive. In fact, the follow-through would have negated the initial promise, and seen Abraham lose both of his sons. The Akedah has continued to baffle philosophers and theologians from each of the Abrahamic faiths</w:t>
      </w:r>
      <w:r w:rsidR="004525B6">
        <w:rPr>
          <w:rFonts w:ascii="Verdana" w:hAnsi="Verdana"/>
        </w:rPr>
        <w:t xml:space="preserve">, and many cultures, whether religious or secular, are seeped with the residue of the narrative and </w:t>
      </w:r>
      <w:r w:rsidR="00C706D7">
        <w:rPr>
          <w:rFonts w:ascii="Verdana" w:hAnsi="Verdana"/>
        </w:rPr>
        <w:t>the meanings gleaned from the silences</w:t>
      </w:r>
      <w:r w:rsidR="004525B6">
        <w:rPr>
          <w:rFonts w:ascii="Verdana" w:hAnsi="Verdana"/>
        </w:rPr>
        <w:t>. In the main</w:t>
      </w:r>
      <w:r w:rsidR="00C706D7">
        <w:rPr>
          <w:rFonts w:ascii="Verdana" w:hAnsi="Verdana"/>
        </w:rPr>
        <w:t>, however,</w:t>
      </w:r>
      <w:r w:rsidR="004525B6">
        <w:rPr>
          <w:rFonts w:ascii="Verdana" w:hAnsi="Verdana"/>
        </w:rPr>
        <w:t xml:space="preserve"> these see Abraham as an emblem of steadfast, disinterested loyalty to God</w:t>
      </w:r>
      <w:r w:rsidR="004525B6">
        <w:rPr>
          <w:rStyle w:val="FootnoteReference"/>
          <w:rFonts w:ascii="Verdana" w:hAnsi="Verdana"/>
        </w:rPr>
        <w:footnoteReference w:id="55"/>
      </w:r>
      <w:r w:rsidR="00C706D7">
        <w:rPr>
          <w:rFonts w:ascii="Verdana" w:hAnsi="Verdana"/>
        </w:rPr>
        <w:t>.</w:t>
      </w:r>
    </w:p>
    <w:p w14:paraId="75217DF7" w14:textId="2A6EF45C" w:rsidR="006D7B76" w:rsidRDefault="006D7B76" w:rsidP="00861403">
      <w:pPr>
        <w:pStyle w:val="NoSpacing"/>
        <w:spacing w:line="276" w:lineRule="auto"/>
        <w:divId w:val="940602514"/>
        <w:rPr>
          <w:rFonts w:ascii="Verdana" w:eastAsia="Times New Roman" w:hAnsi="Verdana" w:cs="Segoe UI"/>
          <w:color w:val="000000"/>
          <w:shd w:val="clear" w:color="auto" w:fill="FFFFFF"/>
        </w:rPr>
      </w:pPr>
    </w:p>
    <w:p w14:paraId="7DA1374C" w14:textId="77777777" w:rsidR="006A0EA3" w:rsidRPr="0031484D" w:rsidRDefault="006A0EA3" w:rsidP="00861403">
      <w:pPr>
        <w:pStyle w:val="NoSpacing"/>
        <w:spacing w:line="276" w:lineRule="auto"/>
        <w:divId w:val="940602514"/>
        <w:rPr>
          <w:rFonts w:ascii="Verdana" w:eastAsia="Times New Roman" w:hAnsi="Verdana" w:cs="Segoe UI"/>
          <w:color w:val="000000"/>
          <w:shd w:val="clear" w:color="auto" w:fill="FFFFFF"/>
        </w:rPr>
      </w:pPr>
    </w:p>
    <w:p w14:paraId="20EA65BE" w14:textId="77777777" w:rsidR="006D7B76" w:rsidRPr="0031484D" w:rsidRDefault="006D7B76" w:rsidP="00861403">
      <w:pPr>
        <w:pStyle w:val="NoSpacing"/>
        <w:spacing w:line="276" w:lineRule="auto"/>
        <w:divId w:val="940602514"/>
        <w:rPr>
          <w:rFonts w:ascii="Verdana" w:eastAsia="Times New Roman" w:hAnsi="Verdana" w:cs="Times New Roman"/>
        </w:rPr>
      </w:pPr>
    </w:p>
    <w:p w14:paraId="5B4DEAFC" w14:textId="77777777" w:rsidR="00897F6C" w:rsidRPr="0031484D" w:rsidRDefault="00897F6C" w:rsidP="00861403">
      <w:pPr>
        <w:pStyle w:val="NoSpacing"/>
        <w:spacing w:line="276" w:lineRule="auto"/>
        <w:rPr>
          <w:rFonts w:ascii="Verdana" w:hAnsi="Verdana"/>
        </w:rPr>
      </w:pPr>
    </w:p>
    <w:p w14:paraId="697D5E56" w14:textId="77777777" w:rsidR="00861403" w:rsidRDefault="00861403" w:rsidP="00861403">
      <w:pPr>
        <w:spacing w:line="276" w:lineRule="auto"/>
        <w:rPr>
          <w:rFonts w:ascii="Verdana" w:hAnsi="Verdana"/>
          <w:b/>
          <w:bCs/>
        </w:rPr>
      </w:pPr>
    </w:p>
    <w:p w14:paraId="4CD8C56F" w14:textId="77777777" w:rsidR="00861403" w:rsidRDefault="00861403" w:rsidP="00861403">
      <w:pPr>
        <w:spacing w:line="276" w:lineRule="auto"/>
        <w:rPr>
          <w:rFonts w:ascii="Verdana" w:hAnsi="Verdana"/>
          <w:b/>
          <w:bCs/>
        </w:rPr>
      </w:pPr>
    </w:p>
    <w:p w14:paraId="30141316" w14:textId="77777777" w:rsidR="00861403" w:rsidRDefault="00861403" w:rsidP="00861403">
      <w:pPr>
        <w:spacing w:line="276" w:lineRule="auto"/>
        <w:rPr>
          <w:rFonts w:ascii="Verdana" w:hAnsi="Verdana"/>
          <w:b/>
          <w:bCs/>
        </w:rPr>
      </w:pPr>
    </w:p>
    <w:p w14:paraId="122A31E2" w14:textId="77777777" w:rsidR="00861403" w:rsidRDefault="00861403" w:rsidP="00861403">
      <w:pPr>
        <w:spacing w:line="276" w:lineRule="auto"/>
        <w:rPr>
          <w:rFonts w:ascii="Verdana" w:hAnsi="Verdana"/>
          <w:b/>
          <w:bCs/>
        </w:rPr>
      </w:pPr>
    </w:p>
    <w:p w14:paraId="6067BCD4" w14:textId="77777777" w:rsidR="00861403" w:rsidRDefault="00861403" w:rsidP="00861403">
      <w:pPr>
        <w:spacing w:line="276" w:lineRule="auto"/>
        <w:rPr>
          <w:rFonts w:ascii="Verdana" w:hAnsi="Verdana"/>
          <w:b/>
          <w:bCs/>
        </w:rPr>
      </w:pPr>
    </w:p>
    <w:p w14:paraId="26911429" w14:textId="77777777" w:rsidR="00861403" w:rsidRDefault="00861403" w:rsidP="00861403">
      <w:pPr>
        <w:spacing w:line="276" w:lineRule="auto"/>
        <w:rPr>
          <w:rFonts w:ascii="Verdana" w:hAnsi="Verdana"/>
          <w:b/>
          <w:bCs/>
        </w:rPr>
      </w:pPr>
    </w:p>
    <w:p w14:paraId="115644A5" w14:textId="77777777" w:rsidR="00861403" w:rsidRDefault="00861403" w:rsidP="00861403">
      <w:pPr>
        <w:spacing w:line="276" w:lineRule="auto"/>
        <w:rPr>
          <w:rFonts w:ascii="Verdana" w:hAnsi="Verdana"/>
          <w:b/>
          <w:bCs/>
        </w:rPr>
      </w:pPr>
    </w:p>
    <w:p w14:paraId="11C9B567" w14:textId="77777777" w:rsidR="00861403" w:rsidRDefault="00861403" w:rsidP="00861403">
      <w:pPr>
        <w:spacing w:line="276" w:lineRule="auto"/>
        <w:rPr>
          <w:rFonts w:ascii="Verdana" w:hAnsi="Verdana"/>
          <w:b/>
          <w:bCs/>
        </w:rPr>
      </w:pPr>
    </w:p>
    <w:p w14:paraId="12113039" w14:textId="77777777" w:rsidR="00861403" w:rsidRDefault="00861403" w:rsidP="00861403">
      <w:pPr>
        <w:spacing w:line="276" w:lineRule="auto"/>
        <w:rPr>
          <w:rFonts w:ascii="Verdana" w:hAnsi="Verdana"/>
          <w:b/>
          <w:bCs/>
        </w:rPr>
      </w:pPr>
    </w:p>
    <w:p w14:paraId="4B388F5E" w14:textId="77777777" w:rsidR="00861403" w:rsidRDefault="00861403" w:rsidP="00861403">
      <w:pPr>
        <w:spacing w:line="276" w:lineRule="auto"/>
        <w:rPr>
          <w:rFonts w:ascii="Verdana" w:hAnsi="Verdana"/>
          <w:b/>
          <w:bCs/>
        </w:rPr>
      </w:pPr>
    </w:p>
    <w:p w14:paraId="02019B52" w14:textId="3873BD79" w:rsidR="00861403" w:rsidRDefault="00861403" w:rsidP="00861403">
      <w:pPr>
        <w:spacing w:line="276" w:lineRule="auto"/>
        <w:rPr>
          <w:rFonts w:ascii="Verdana" w:hAnsi="Verdana"/>
          <w:b/>
          <w:bCs/>
        </w:rPr>
      </w:pPr>
      <w:r w:rsidRPr="00861403">
        <w:rPr>
          <w:rFonts w:ascii="Verdana" w:hAnsi="Verdana"/>
          <w:b/>
          <w:bCs/>
        </w:rPr>
        <w:lastRenderedPageBreak/>
        <w:t>Bibliography</w:t>
      </w:r>
    </w:p>
    <w:p w14:paraId="4B090D4F" w14:textId="77777777" w:rsidR="00861403" w:rsidRPr="00861403" w:rsidRDefault="00861403" w:rsidP="00861403">
      <w:pPr>
        <w:spacing w:line="276" w:lineRule="auto"/>
        <w:rPr>
          <w:rFonts w:ascii="Verdana" w:hAnsi="Verdana"/>
          <w:b/>
          <w:bCs/>
        </w:rPr>
      </w:pPr>
    </w:p>
    <w:p w14:paraId="12B05077" w14:textId="77777777" w:rsidR="00861403" w:rsidRPr="00582FC1" w:rsidRDefault="00861403" w:rsidP="00861403">
      <w:pPr>
        <w:spacing w:line="276" w:lineRule="auto"/>
        <w:rPr>
          <w:rFonts w:ascii="Verdana" w:hAnsi="Verdana"/>
          <w:color w:val="000000"/>
        </w:rPr>
      </w:pPr>
      <w:r w:rsidRPr="00582FC1">
        <w:rPr>
          <w:rFonts w:ascii="Verdana" w:hAnsi="Verdana"/>
          <w:color w:val="000000"/>
        </w:rPr>
        <w:t>Dargan, G. (2014). Telos and the 'Incommensurable Gap': Ethical Suspensions in Kierkegaard and Zizek. </w:t>
      </w:r>
      <w:r w:rsidRPr="00582FC1">
        <w:rPr>
          <w:rFonts w:ascii="Verdana" w:hAnsi="Verdana"/>
          <w:i/>
          <w:iCs/>
          <w:color w:val="000000"/>
        </w:rPr>
        <w:t xml:space="preserve">The </w:t>
      </w:r>
      <w:proofErr w:type="spellStart"/>
      <w:r w:rsidRPr="00582FC1">
        <w:rPr>
          <w:rFonts w:ascii="Verdana" w:hAnsi="Verdana"/>
          <w:i/>
          <w:iCs/>
          <w:color w:val="000000"/>
        </w:rPr>
        <w:t>Heythrop</w:t>
      </w:r>
      <w:proofErr w:type="spellEnd"/>
      <w:r w:rsidRPr="00582FC1">
        <w:rPr>
          <w:rFonts w:ascii="Verdana" w:hAnsi="Verdana"/>
          <w:i/>
          <w:iCs/>
          <w:color w:val="000000"/>
        </w:rPr>
        <w:t xml:space="preserve"> Journal</w:t>
      </w:r>
      <w:r w:rsidRPr="00582FC1">
        <w:rPr>
          <w:rFonts w:ascii="Verdana" w:hAnsi="Verdana"/>
          <w:color w:val="000000"/>
        </w:rPr>
        <w:t>. LV (1), 960-969</w:t>
      </w:r>
    </w:p>
    <w:p w14:paraId="110B9723" w14:textId="77777777" w:rsidR="00861403" w:rsidRPr="00582FC1" w:rsidRDefault="00861403" w:rsidP="00861403">
      <w:pPr>
        <w:spacing w:line="276" w:lineRule="auto"/>
        <w:rPr>
          <w:rFonts w:ascii="Verdana" w:hAnsi="Verdana"/>
          <w:color w:val="000000"/>
        </w:rPr>
      </w:pPr>
      <w:bookmarkStart w:id="0" w:name="_Hlk78398609"/>
      <w:r w:rsidRPr="00582FC1">
        <w:rPr>
          <w:rFonts w:ascii="Verdana" w:hAnsi="Verdana"/>
          <w:color w:val="000000"/>
        </w:rPr>
        <w:t>Geller Nathanson, B. (1993). Aqedah. In: Metzger, B. M. &amp; Coogan M. D. </w:t>
      </w:r>
      <w:r w:rsidRPr="00582FC1">
        <w:rPr>
          <w:rFonts w:ascii="Verdana" w:hAnsi="Verdana"/>
          <w:i/>
          <w:iCs/>
          <w:color w:val="000000"/>
        </w:rPr>
        <w:t>The Oxford Companion to the Bible</w:t>
      </w:r>
      <w:r w:rsidRPr="00582FC1">
        <w:rPr>
          <w:rFonts w:ascii="Verdana" w:hAnsi="Verdana"/>
          <w:color w:val="000000"/>
        </w:rPr>
        <w:t>. London and New York: Oxford University Press. 43-44.</w:t>
      </w:r>
    </w:p>
    <w:bookmarkEnd w:id="0"/>
    <w:p w14:paraId="04B1E326" w14:textId="77777777" w:rsidR="00861403" w:rsidRPr="00582FC1" w:rsidRDefault="00861403" w:rsidP="00861403">
      <w:pPr>
        <w:spacing w:line="276" w:lineRule="auto"/>
        <w:rPr>
          <w:rFonts w:ascii="Verdana" w:hAnsi="Verdana"/>
          <w:color w:val="000000"/>
        </w:rPr>
      </w:pPr>
      <w:r w:rsidRPr="00582FC1">
        <w:rPr>
          <w:rFonts w:ascii="Verdana" w:hAnsi="Verdana"/>
          <w:color w:val="000000"/>
        </w:rPr>
        <w:t xml:space="preserve">Green, R. M. (1982). Abraham, </w:t>
      </w:r>
      <w:proofErr w:type="gramStart"/>
      <w:r w:rsidRPr="00582FC1">
        <w:rPr>
          <w:rFonts w:ascii="Verdana" w:hAnsi="Verdana"/>
          <w:color w:val="000000"/>
        </w:rPr>
        <w:t>Isaac</w:t>
      </w:r>
      <w:proofErr w:type="gramEnd"/>
      <w:r w:rsidRPr="00582FC1">
        <w:rPr>
          <w:rFonts w:ascii="Verdana" w:hAnsi="Verdana"/>
          <w:color w:val="000000"/>
        </w:rPr>
        <w:t xml:space="preserve"> and the Jewish Tradition: An Ethical Reappraisal. </w:t>
      </w:r>
      <w:r w:rsidRPr="00582FC1">
        <w:rPr>
          <w:rFonts w:ascii="Verdana" w:hAnsi="Verdana"/>
          <w:i/>
          <w:iCs/>
          <w:color w:val="000000"/>
        </w:rPr>
        <w:t>The Journal of Religious Ethics</w:t>
      </w:r>
      <w:r w:rsidRPr="00582FC1">
        <w:rPr>
          <w:rFonts w:ascii="Verdana" w:hAnsi="Verdana"/>
          <w:color w:val="000000"/>
        </w:rPr>
        <w:t>. 10 (1), 1-21.</w:t>
      </w:r>
    </w:p>
    <w:p w14:paraId="3763DC95" w14:textId="77777777" w:rsidR="00861403" w:rsidRPr="00582FC1" w:rsidRDefault="00861403" w:rsidP="00861403">
      <w:pPr>
        <w:spacing w:line="276" w:lineRule="auto"/>
        <w:contextualSpacing/>
      </w:pPr>
      <w:bookmarkStart w:id="1" w:name="_Hlk78398840"/>
      <w:r w:rsidRPr="00582FC1">
        <w:rPr>
          <w:rFonts w:cs="Tahoma"/>
          <w:bCs/>
          <w:color w:val="212121"/>
          <w:shd w:val="clear" w:color="auto" w:fill="FFFFFF"/>
        </w:rPr>
        <w:t>Isaacson, E. S. (2015). “Musical Perspectives on the Binding of Isaac Story in the 20</w:t>
      </w:r>
      <w:r w:rsidRPr="00582FC1">
        <w:rPr>
          <w:rFonts w:cs="Tahoma"/>
          <w:bCs/>
          <w:color w:val="212121"/>
          <w:shd w:val="clear" w:color="auto" w:fill="FFFFFF"/>
          <w:vertAlign w:val="superscript"/>
        </w:rPr>
        <w:t>th</w:t>
      </w:r>
      <w:r w:rsidRPr="00582FC1">
        <w:rPr>
          <w:rFonts w:cs="Tahoma"/>
          <w:bCs/>
          <w:color w:val="212121"/>
          <w:shd w:val="clear" w:color="auto" w:fill="FFFFFF"/>
        </w:rPr>
        <w:t xml:space="preserve"> Century: </w:t>
      </w:r>
      <w:proofErr w:type="spellStart"/>
      <w:r w:rsidRPr="00582FC1">
        <w:rPr>
          <w:rFonts w:cs="Tahoma"/>
          <w:bCs/>
          <w:color w:val="212121"/>
          <w:shd w:val="clear" w:color="auto" w:fill="FFFFFF"/>
        </w:rPr>
        <w:t>Aharon</w:t>
      </w:r>
      <w:proofErr w:type="spellEnd"/>
      <w:r w:rsidRPr="00582FC1">
        <w:rPr>
          <w:rFonts w:cs="Tahoma"/>
          <w:bCs/>
          <w:color w:val="212121"/>
          <w:shd w:val="clear" w:color="auto" w:fill="FFFFFF"/>
        </w:rPr>
        <w:t xml:space="preserve"> </w:t>
      </w:r>
      <w:proofErr w:type="spellStart"/>
      <w:r w:rsidRPr="00582FC1">
        <w:rPr>
          <w:rFonts w:cs="Tahoma"/>
          <w:bCs/>
          <w:color w:val="212121"/>
          <w:shd w:val="clear" w:color="auto" w:fill="FFFFFF"/>
        </w:rPr>
        <w:t>Harlap</w:t>
      </w:r>
      <w:proofErr w:type="spellEnd"/>
      <w:r w:rsidRPr="00582FC1">
        <w:rPr>
          <w:rFonts w:cs="Tahoma"/>
          <w:bCs/>
          <w:color w:val="212121"/>
          <w:shd w:val="clear" w:color="auto" w:fill="FFFFFF"/>
        </w:rPr>
        <w:t xml:space="preserve"> and Menachem </w:t>
      </w:r>
      <w:proofErr w:type="spellStart"/>
      <w:r w:rsidRPr="00582FC1">
        <w:rPr>
          <w:rFonts w:cs="Tahoma"/>
          <w:bCs/>
          <w:color w:val="212121"/>
          <w:shd w:val="clear" w:color="auto" w:fill="FFFFFF"/>
        </w:rPr>
        <w:t>Zur’s</w:t>
      </w:r>
      <w:proofErr w:type="spellEnd"/>
      <w:r w:rsidRPr="00582FC1">
        <w:rPr>
          <w:rFonts w:cs="Tahoma"/>
          <w:bCs/>
          <w:color w:val="212121"/>
          <w:shd w:val="clear" w:color="auto" w:fill="FFFFFF"/>
        </w:rPr>
        <w:t xml:space="preserve"> </w:t>
      </w:r>
      <w:proofErr w:type="spellStart"/>
      <w:r w:rsidRPr="00582FC1">
        <w:rPr>
          <w:rFonts w:cs="Tahoma"/>
          <w:bCs/>
          <w:color w:val="212121"/>
          <w:shd w:val="clear" w:color="auto" w:fill="FFFFFF"/>
        </w:rPr>
        <w:t>Akedat</w:t>
      </w:r>
      <w:proofErr w:type="spellEnd"/>
      <w:r w:rsidRPr="00582FC1">
        <w:rPr>
          <w:rFonts w:cs="Tahoma"/>
          <w:bCs/>
          <w:color w:val="212121"/>
          <w:shd w:val="clear" w:color="auto" w:fill="FFFFFF"/>
        </w:rPr>
        <w:t xml:space="preserve"> </w:t>
      </w:r>
      <w:proofErr w:type="spellStart"/>
      <w:r w:rsidRPr="00582FC1">
        <w:rPr>
          <w:rFonts w:cs="Tahoma"/>
          <w:bCs/>
          <w:color w:val="212121"/>
          <w:shd w:val="clear" w:color="auto" w:fill="FFFFFF"/>
        </w:rPr>
        <w:t>Ytzchak</w:t>
      </w:r>
      <w:proofErr w:type="spellEnd"/>
      <w:r w:rsidRPr="00582FC1">
        <w:rPr>
          <w:rFonts w:cs="Tahoma"/>
          <w:bCs/>
          <w:color w:val="212121"/>
          <w:shd w:val="clear" w:color="auto" w:fill="FFFFFF"/>
        </w:rPr>
        <w:t xml:space="preserve"> and Steve Reich’s The Cave”. </w:t>
      </w:r>
      <w:r w:rsidRPr="00582FC1">
        <w:t>Doctor of Musical Arts in Music. University of Illinois at Urbana-</w:t>
      </w:r>
      <w:r w:rsidRPr="00582FC1">
        <w:softHyphen/>
        <w:t>Champaign, Urbana, Illinois</w:t>
      </w:r>
    </w:p>
    <w:bookmarkEnd w:id="1"/>
    <w:p w14:paraId="0D120750" w14:textId="77777777" w:rsidR="00861403" w:rsidRPr="00582FC1" w:rsidRDefault="00861403" w:rsidP="00861403">
      <w:pPr>
        <w:spacing w:line="276" w:lineRule="auto"/>
        <w:contextualSpacing/>
      </w:pPr>
    </w:p>
    <w:p w14:paraId="07AF50F9" w14:textId="77777777" w:rsidR="00861403" w:rsidRPr="00582FC1" w:rsidRDefault="00861403" w:rsidP="00861403">
      <w:pPr>
        <w:spacing w:line="276" w:lineRule="auto"/>
        <w:contextualSpacing/>
        <w:rPr>
          <w:rFonts w:ascii="Verdana" w:hAnsi="Verdana"/>
          <w:color w:val="000000"/>
        </w:rPr>
      </w:pPr>
      <w:r w:rsidRPr="00582FC1">
        <w:rPr>
          <w:rFonts w:ascii="Verdana" w:hAnsi="Verdana"/>
          <w:color w:val="000000"/>
        </w:rPr>
        <w:t>Kierkegaard, S (2005). </w:t>
      </w:r>
      <w:r w:rsidRPr="00582FC1">
        <w:rPr>
          <w:rFonts w:ascii="Verdana" w:hAnsi="Verdana"/>
          <w:i/>
          <w:iCs/>
          <w:color w:val="000000"/>
        </w:rPr>
        <w:t>Fear and Trembling</w:t>
      </w:r>
      <w:r w:rsidRPr="00582FC1">
        <w:rPr>
          <w:rFonts w:ascii="Verdana" w:hAnsi="Verdana"/>
          <w:color w:val="000000"/>
        </w:rPr>
        <w:t>. London: Penguin Books.</w:t>
      </w:r>
    </w:p>
    <w:p w14:paraId="6BC209D1" w14:textId="77777777" w:rsidR="00861403" w:rsidRPr="00582FC1" w:rsidRDefault="00861403" w:rsidP="00861403">
      <w:pPr>
        <w:spacing w:line="276" w:lineRule="auto"/>
        <w:contextualSpacing/>
        <w:rPr>
          <w:rFonts w:ascii="Verdana" w:hAnsi="Verdana"/>
          <w:color w:val="000000"/>
        </w:rPr>
      </w:pPr>
    </w:p>
    <w:p w14:paraId="0DFF7AF5" w14:textId="77777777" w:rsidR="00861403" w:rsidRPr="00582FC1" w:rsidRDefault="00861403" w:rsidP="00861403">
      <w:pPr>
        <w:spacing w:line="276" w:lineRule="auto"/>
        <w:contextualSpacing/>
      </w:pPr>
      <w:bookmarkStart w:id="2" w:name="_Hlk78398467"/>
      <w:r w:rsidRPr="00582FC1">
        <w:rPr>
          <w:rFonts w:ascii="Verdana" w:hAnsi="Verdana"/>
          <w:color w:val="000000"/>
        </w:rPr>
        <w:t>Kugel, J. L (2007). </w:t>
      </w:r>
      <w:r w:rsidRPr="00582FC1">
        <w:rPr>
          <w:rFonts w:ascii="Verdana" w:hAnsi="Verdana"/>
          <w:i/>
          <w:iCs/>
          <w:color w:val="000000"/>
        </w:rPr>
        <w:t>How to Read the Bible</w:t>
      </w:r>
      <w:r w:rsidRPr="00582FC1">
        <w:rPr>
          <w:rFonts w:ascii="Verdana" w:hAnsi="Verdana"/>
          <w:color w:val="000000"/>
        </w:rPr>
        <w:t>. New York</w:t>
      </w:r>
      <w:bookmarkEnd w:id="2"/>
      <w:r w:rsidRPr="00582FC1">
        <w:rPr>
          <w:rFonts w:ascii="Verdana" w:hAnsi="Verdana"/>
          <w:color w:val="000000"/>
        </w:rPr>
        <w:t>, USA: Simon and Schuster.</w:t>
      </w:r>
    </w:p>
    <w:p w14:paraId="1D1CCF5D" w14:textId="77777777" w:rsidR="00861403" w:rsidRPr="00582FC1" w:rsidRDefault="00861403" w:rsidP="00861403">
      <w:pPr>
        <w:pStyle w:val="NoSpacing"/>
        <w:spacing w:line="276" w:lineRule="auto"/>
        <w:rPr>
          <w:rFonts w:ascii="Verdana" w:hAnsi="Verdana"/>
          <w:color w:val="000000"/>
        </w:rPr>
      </w:pPr>
      <w:r w:rsidRPr="00582FC1">
        <w:rPr>
          <w:rFonts w:ascii="Verdana" w:hAnsi="Verdana"/>
          <w:color w:val="000000"/>
        </w:rPr>
        <w:t xml:space="preserve">Levenson, J. D. (2014). Genesis. In: Berlin, A. and </w:t>
      </w:r>
      <w:proofErr w:type="spellStart"/>
      <w:r w:rsidRPr="00582FC1">
        <w:rPr>
          <w:rFonts w:ascii="Verdana" w:hAnsi="Verdana"/>
          <w:color w:val="000000"/>
        </w:rPr>
        <w:t>Brettler</w:t>
      </w:r>
      <w:proofErr w:type="spellEnd"/>
      <w:r w:rsidRPr="00582FC1">
        <w:rPr>
          <w:rFonts w:ascii="Verdana" w:hAnsi="Verdana"/>
          <w:color w:val="000000"/>
        </w:rPr>
        <w:t>, M. Z. </w:t>
      </w:r>
      <w:r w:rsidRPr="00582FC1">
        <w:rPr>
          <w:rFonts w:ascii="Verdana" w:hAnsi="Verdana"/>
          <w:i/>
          <w:iCs/>
          <w:color w:val="000000"/>
        </w:rPr>
        <w:t>The Jewish Study Bible</w:t>
      </w:r>
      <w:r w:rsidRPr="00582FC1">
        <w:rPr>
          <w:rFonts w:ascii="Verdana" w:hAnsi="Verdana"/>
          <w:color w:val="000000"/>
        </w:rPr>
        <w:t>. 2nd ed. New York, USA: Oxford University Press USA. p7-94.</w:t>
      </w:r>
    </w:p>
    <w:p w14:paraId="754BEBC3" w14:textId="77777777" w:rsidR="00861403" w:rsidRPr="00582FC1" w:rsidRDefault="00861403" w:rsidP="00861403">
      <w:pPr>
        <w:pStyle w:val="NoSpacing"/>
        <w:spacing w:line="276" w:lineRule="auto"/>
        <w:rPr>
          <w:rFonts w:ascii="Verdana" w:hAnsi="Verdana"/>
          <w:color w:val="000000"/>
        </w:rPr>
      </w:pPr>
    </w:p>
    <w:p w14:paraId="7CA094E4" w14:textId="77777777" w:rsidR="00861403" w:rsidRPr="00582FC1" w:rsidRDefault="00861403" w:rsidP="00861403">
      <w:pPr>
        <w:pStyle w:val="NoSpacing"/>
        <w:spacing w:line="276" w:lineRule="auto"/>
        <w:rPr>
          <w:rFonts w:ascii="Verdana" w:hAnsi="Verdana"/>
          <w:color w:val="000000"/>
        </w:rPr>
      </w:pPr>
      <w:r w:rsidRPr="00582FC1">
        <w:rPr>
          <w:rFonts w:ascii="Verdana" w:hAnsi="Verdana"/>
          <w:color w:val="000000"/>
        </w:rPr>
        <w:t>Lippitt, J (2016). </w:t>
      </w:r>
      <w:r w:rsidRPr="00582FC1">
        <w:rPr>
          <w:rFonts w:ascii="Verdana" w:hAnsi="Verdana"/>
          <w:i/>
          <w:iCs/>
          <w:color w:val="000000"/>
        </w:rPr>
        <w:t>The Routledge Guidebook to Kierkegaard's Fear and Trembling</w:t>
      </w:r>
      <w:r w:rsidRPr="00582FC1">
        <w:rPr>
          <w:rFonts w:ascii="Verdana" w:hAnsi="Verdana"/>
          <w:color w:val="000000"/>
        </w:rPr>
        <w:t>. Abingdon: Routledge.</w:t>
      </w:r>
    </w:p>
    <w:p w14:paraId="377CF52D" w14:textId="77777777" w:rsidR="00861403" w:rsidRPr="00582FC1" w:rsidRDefault="00861403" w:rsidP="00861403">
      <w:pPr>
        <w:pStyle w:val="NoSpacing"/>
        <w:spacing w:line="276" w:lineRule="auto"/>
        <w:rPr>
          <w:b/>
        </w:rPr>
      </w:pPr>
    </w:p>
    <w:p w14:paraId="4FD68D0C" w14:textId="77777777" w:rsidR="00861403" w:rsidRPr="00582FC1" w:rsidRDefault="00861403" w:rsidP="00861403">
      <w:pPr>
        <w:pStyle w:val="NoSpacing"/>
        <w:spacing w:line="276" w:lineRule="auto"/>
        <w:rPr>
          <w:rFonts w:ascii="Verdana" w:hAnsi="Verdana"/>
          <w:color w:val="000000"/>
        </w:rPr>
      </w:pPr>
      <w:r w:rsidRPr="00582FC1">
        <w:rPr>
          <w:rFonts w:ascii="Verdana" w:hAnsi="Verdana"/>
          <w:color w:val="000000"/>
        </w:rPr>
        <w:t>Mills, M. A. (2001). </w:t>
      </w:r>
      <w:r w:rsidRPr="00582FC1">
        <w:rPr>
          <w:rFonts w:ascii="Verdana" w:hAnsi="Verdana"/>
          <w:i/>
          <w:iCs/>
          <w:color w:val="000000"/>
        </w:rPr>
        <w:t>Biblical Morality: Moral perspectives in Old Testament narratives</w:t>
      </w:r>
      <w:r w:rsidRPr="00582FC1">
        <w:rPr>
          <w:rFonts w:ascii="Verdana" w:hAnsi="Verdana"/>
          <w:color w:val="000000"/>
        </w:rPr>
        <w:t>. Aldershot: Ashgate Publishing Limited</w:t>
      </w:r>
    </w:p>
    <w:p w14:paraId="74EDED0F" w14:textId="77777777" w:rsidR="00861403" w:rsidRPr="00582FC1" w:rsidRDefault="00861403" w:rsidP="00861403">
      <w:pPr>
        <w:pStyle w:val="NoSpacing"/>
        <w:spacing w:line="276" w:lineRule="auto"/>
        <w:rPr>
          <w:rFonts w:ascii="Verdana" w:hAnsi="Verdana"/>
          <w:color w:val="000000"/>
        </w:rPr>
      </w:pPr>
    </w:p>
    <w:p w14:paraId="66AC4146" w14:textId="77777777" w:rsidR="00861403" w:rsidRPr="00582FC1" w:rsidRDefault="00861403" w:rsidP="00861403">
      <w:pPr>
        <w:pStyle w:val="NoSpacing"/>
        <w:spacing w:line="276" w:lineRule="auto"/>
        <w:rPr>
          <w:rFonts w:ascii="Verdana" w:hAnsi="Verdana"/>
          <w:color w:val="000000"/>
        </w:rPr>
      </w:pPr>
      <w:proofErr w:type="spellStart"/>
      <w:r w:rsidRPr="00582FC1">
        <w:rPr>
          <w:rFonts w:ascii="Verdana" w:hAnsi="Verdana"/>
          <w:color w:val="000000"/>
        </w:rPr>
        <w:t>Morschauser</w:t>
      </w:r>
      <w:proofErr w:type="spellEnd"/>
      <w:r w:rsidRPr="00582FC1">
        <w:rPr>
          <w:rFonts w:ascii="Verdana" w:hAnsi="Verdana"/>
          <w:color w:val="000000"/>
        </w:rPr>
        <w:t xml:space="preserve">, S. N. (2021). 'Seeing You Have Not Withheld Your Son': An Overlooked Motif in Genesis </w:t>
      </w:r>
      <w:proofErr w:type="gramStart"/>
      <w:r w:rsidRPr="00582FC1">
        <w:rPr>
          <w:rFonts w:ascii="Verdana" w:hAnsi="Verdana"/>
          <w:color w:val="000000"/>
        </w:rPr>
        <w:t>22?.</w:t>
      </w:r>
      <w:proofErr w:type="gramEnd"/>
      <w:r w:rsidRPr="00582FC1">
        <w:rPr>
          <w:rFonts w:ascii="Verdana" w:hAnsi="Verdana"/>
          <w:color w:val="000000"/>
        </w:rPr>
        <w:t> </w:t>
      </w:r>
      <w:r w:rsidRPr="00582FC1">
        <w:rPr>
          <w:rFonts w:ascii="Verdana" w:hAnsi="Verdana"/>
          <w:i/>
          <w:iCs/>
          <w:color w:val="000000"/>
        </w:rPr>
        <w:t>Journal for the Study of the Old Testament</w:t>
      </w:r>
      <w:r w:rsidRPr="00582FC1">
        <w:rPr>
          <w:rFonts w:ascii="Verdana" w:hAnsi="Verdana"/>
          <w:color w:val="000000"/>
        </w:rPr>
        <w:t>. 45 (3), 388-406.</w:t>
      </w:r>
    </w:p>
    <w:p w14:paraId="7950F8C3" w14:textId="77777777" w:rsidR="00861403" w:rsidRPr="00582FC1" w:rsidRDefault="00861403" w:rsidP="00861403">
      <w:pPr>
        <w:pStyle w:val="NoSpacing"/>
        <w:spacing w:line="276" w:lineRule="auto"/>
        <w:rPr>
          <w:rFonts w:ascii="Verdana" w:hAnsi="Verdana"/>
          <w:color w:val="000000"/>
        </w:rPr>
      </w:pPr>
    </w:p>
    <w:p w14:paraId="326444FB" w14:textId="77777777" w:rsidR="00861403" w:rsidRPr="00582FC1" w:rsidRDefault="00861403" w:rsidP="00861403">
      <w:pPr>
        <w:pStyle w:val="NoSpacing"/>
        <w:spacing w:line="276" w:lineRule="auto"/>
        <w:rPr>
          <w:rFonts w:ascii="Verdana" w:hAnsi="Verdana"/>
          <w:color w:val="000000"/>
        </w:rPr>
      </w:pPr>
      <w:r w:rsidRPr="00582FC1">
        <w:rPr>
          <w:rFonts w:ascii="Verdana" w:hAnsi="Verdana"/>
          <w:color w:val="000000"/>
        </w:rPr>
        <w:t>North, R. (1993). Abraham. In: Metzger, B. M. &amp; Coogan M. D. </w:t>
      </w:r>
      <w:r w:rsidRPr="00582FC1">
        <w:rPr>
          <w:rFonts w:ascii="Verdana" w:hAnsi="Verdana"/>
          <w:i/>
          <w:iCs/>
          <w:color w:val="000000"/>
        </w:rPr>
        <w:t>The Oxford Companion to the Bible</w:t>
      </w:r>
      <w:r w:rsidRPr="00582FC1">
        <w:rPr>
          <w:rFonts w:ascii="Verdana" w:hAnsi="Verdana"/>
          <w:color w:val="000000"/>
        </w:rPr>
        <w:t>. London and New York: Oxford University Press. 4-5.</w:t>
      </w:r>
    </w:p>
    <w:p w14:paraId="4BB719A4" w14:textId="77777777" w:rsidR="00861403" w:rsidRPr="00582FC1" w:rsidRDefault="00861403" w:rsidP="00861403">
      <w:pPr>
        <w:pStyle w:val="NoSpacing"/>
        <w:spacing w:line="276" w:lineRule="auto"/>
        <w:rPr>
          <w:rFonts w:ascii="Verdana" w:hAnsi="Verdana"/>
          <w:color w:val="000000"/>
        </w:rPr>
      </w:pPr>
    </w:p>
    <w:p w14:paraId="4A5F74DB" w14:textId="77777777" w:rsidR="00861403" w:rsidRPr="00582FC1" w:rsidRDefault="00861403" w:rsidP="00861403">
      <w:pPr>
        <w:pStyle w:val="NoSpacing"/>
        <w:spacing w:line="276" w:lineRule="auto"/>
        <w:rPr>
          <w:rFonts w:ascii="Verdana" w:hAnsi="Verdana"/>
          <w:color w:val="000000"/>
        </w:rPr>
      </w:pPr>
      <w:r w:rsidRPr="00582FC1">
        <w:rPr>
          <w:rFonts w:ascii="Verdana" w:hAnsi="Verdana"/>
          <w:color w:val="000000"/>
        </w:rPr>
        <w:t>Sarna, N (1970). </w:t>
      </w:r>
      <w:r w:rsidRPr="00582FC1">
        <w:rPr>
          <w:rFonts w:ascii="Verdana" w:hAnsi="Verdana"/>
          <w:i/>
          <w:iCs/>
          <w:color w:val="000000"/>
        </w:rPr>
        <w:t>Understanding Genesis - The World of the Bible in the Light of History</w:t>
      </w:r>
      <w:r w:rsidRPr="00582FC1">
        <w:rPr>
          <w:rFonts w:ascii="Verdana" w:hAnsi="Verdana"/>
          <w:color w:val="000000"/>
        </w:rPr>
        <w:t xml:space="preserve">. New York, USA: </w:t>
      </w:r>
      <w:proofErr w:type="spellStart"/>
      <w:r w:rsidRPr="00582FC1">
        <w:rPr>
          <w:rFonts w:ascii="Verdana" w:hAnsi="Verdana"/>
          <w:color w:val="000000"/>
        </w:rPr>
        <w:t>Schocken</w:t>
      </w:r>
      <w:proofErr w:type="spellEnd"/>
      <w:r w:rsidRPr="00582FC1">
        <w:rPr>
          <w:rFonts w:ascii="Verdana" w:hAnsi="Verdana"/>
          <w:color w:val="000000"/>
        </w:rPr>
        <w:t xml:space="preserve"> Books Inc.</w:t>
      </w:r>
    </w:p>
    <w:p w14:paraId="4B12CBF3" w14:textId="77777777" w:rsidR="00861403" w:rsidRPr="00582FC1" w:rsidRDefault="00861403" w:rsidP="00861403">
      <w:pPr>
        <w:pStyle w:val="NoSpacing"/>
        <w:spacing w:line="276" w:lineRule="auto"/>
        <w:rPr>
          <w:b/>
        </w:rPr>
      </w:pPr>
    </w:p>
    <w:p w14:paraId="2B2713AD" w14:textId="77777777" w:rsidR="00861403" w:rsidRPr="00582FC1" w:rsidRDefault="00861403" w:rsidP="00861403">
      <w:pPr>
        <w:pStyle w:val="NoSpacing"/>
        <w:spacing w:line="276" w:lineRule="auto"/>
        <w:rPr>
          <w:b/>
        </w:rPr>
      </w:pPr>
      <w:r w:rsidRPr="00582FC1">
        <w:rPr>
          <w:rFonts w:ascii="Verdana" w:hAnsi="Verdana"/>
          <w:color w:val="000000"/>
        </w:rPr>
        <w:t>Turner, L. A. (2009). </w:t>
      </w:r>
      <w:r w:rsidRPr="00582FC1">
        <w:rPr>
          <w:rFonts w:ascii="Verdana" w:hAnsi="Verdana"/>
          <w:i/>
          <w:iCs/>
          <w:color w:val="000000"/>
        </w:rPr>
        <w:t>Genesis</w:t>
      </w:r>
      <w:r w:rsidRPr="00582FC1">
        <w:rPr>
          <w:rFonts w:ascii="Verdana" w:hAnsi="Verdana"/>
          <w:color w:val="000000"/>
        </w:rPr>
        <w:t>. 2nd ed. Sheffield: Sheffield Phoenix Press.</w:t>
      </w:r>
    </w:p>
    <w:p w14:paraId="152AAAFE" w14:textId="77777777" w:rsidR="00861403" w:rsidRPr="00582FC1" w:rsidRDefault="00861403" w:rsidP="00861403">
      <w:pPr>
        <w:pStyle w:val="NoSpacing"/>
        <w:spacing w:line="276" w:lineRule="auto"/>
      </w:pPr>
    </w:p>
    <w:p w14:paraId="20EE8F44" w14:textId="77777777" w:rsidR="00861403" w:rsidRPr="00582FC1" w:rsidRDefault="00861403" w:rsidP="00861403">
      <w:pPr>
        <w:pStyle w:val="NoSpacing"/>
        <w:spacing w:line="276" w:lineRule="auto"/>
        <w:rPr>
          <w:rFonts w:ascii="Verdana" w:hAnsi="Verdana"/>
          <w:color w:val="000000"/>
        </w:rPr>
      </w:pPr>
      <w:bookmarkStart w:id="3" w:name="_Hlk78398260"/>
      <w:r w:rsidRPr="00582FC1">
        <w:rPr>
          <w:rFonts w:ascii="Verdana" w:hAnsi="Verdana"/>
          <w:color w:val="000000"/>
        </w:rPr>
        <w:t>Weiss, S (2018). </w:t>
      </w:r>
      <w:r w:rsidRPr="00582FC1">
        <w:rPr>
          <w:rFonts w:ascii="Verdana" w:hAnsi="Verdana"/>
          <w:i/>
          <w:iCs/>
          <w:color w:val="000000"/>
        </w:rPr>
        <w:t>Ethical Ambiguity in the Hebrew Bible - Philosophical Analysis of Scriptural Narrative</w:t>
      </w:r>
      <w:r w:rsidRPr="00582FC1">
        <w:rPr>
          <w:rFonts w:ascii="Verdana" w:hAnsi="Verdana"/>
          <w:color w:val="000000"/>
        </w:rPr>
        <w:t>. Cambridge</w:t>
      </w:r>
      <w:bookmarkEnd w:id="3"/>
      <w:r w:rsidRPr="00582FC1">
        <w:rPr>
          <w:rFonts w:ascii="Verdana" w:hAnsi="Verdana"/>
          <w:color w:val="000000"/>
        </w:rPr>
        <w:t>: Cambridge University Press</w:t>
      </w:r>
    </w:p>
    <w:p w14:paraId="573CB1E4" w14:textId="77777777" w:rsidR="009B4A4B" w:rsidRPr="0031484D" w:rsidRDefault="009B4A4B" w:rsidP="00861403">
      <w:pPr>
        <w:pStyle w:val="NoSpacing"/>
        <w:spacing w:line="276" w:lineRule="auto"/>
        <w:rPr>
          <w:rFonts w:ascii="Verdana" w:hAnsi="Verdana"/>
        </w:rPr>
      </w:pPr>
    </w:p>
    <w:sectPr w:rsidR="009B4A4B" w:rsidRPr="0031484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809F1" w14:textId="77777777" w:rsidR="0041139A" w:rsidRDefault="0041139A" w:rsidP="000F4B5C">
      <w:r>
        <w:separator/>
      </w:r>
    </w:p>
  </w:endnote>
  <w:endnote w:type="continuationSeparator" w:id="0">
    <w:p w14:paraId="53218760" w14:textId="77777777" w:rsidR="0041139A" w:rsidRDefault="0041139A" w:rsidP="000F4B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6168A" w14:textId="77777777" w:rsidR="0041139A" w:rsidRDefault="0041139A" w:rsidP="000F4B5C">
      <w:r>
        <w:separator/>
      </w:r>
    </w:p>
  </w:footnote>
  <w:footnote w:type="continuationSeparator" w:id="0">
    <w:p w14:paraId="25A20222" w14:textId="77777777" w:rsidR="0041139A" w:rsidRDefault="0041139A" w:rsidP="000F4B5C">
      <w:r>
        <w:continuationSeparator/>
      </w:r>
    </w:p>
  </w:footnote>
  <w:footnote w:id="1">
    <w:p w14:paraId="6950532B" w14:textId="60BC20B8" w:rsidR="00B605C4" w:rsidRDefault="00B605C4">
      <w:pPr>
        <w:pStyle w:val="FootnoteText"/>
      </w:pPr>
      <w:r>
        <w:rPr>
          <w:rStyle w:val="FootnoteReference"/>
        </w:rPr>
        <w:footnoteRef/>
      </w:r>
      <w:r>
        <w:t xml:space="preserve"> </w:t>
      </w:r>
      <w:r>
        <w:rPr>
          <w:rFonts w:ascii="Verdana" w:hAnsi="Verdana"/>
        </w:rPr>
        <w:t xml:space="preserve">R. </w:t>
      </w:r>
      <w:r>
        <w:rPr>
          <w:rFonts w:ascii="Verdana" w:hAnsi="Verdana"/>
          <w:color w:val="000000"/>
        </w:rPr>
        <w:t>North, Abraham. In: Metzger, B. M. &amp; Coogan M. D. </w:t>
      </w:r>
      <w:r w:rsidRPr="008D1169">
        <w:rPr>
          <w:rFonts w:ascii="Verdana" w:hAnsi="Verdana"/>
          <w:i/>
          <w:iCs/>
          <w:color w:val="000000"/>
        </w:rPr>
        <w:t xml:space="preserve">The </w:t>
      </w:r>
      <w:r>
        <w:rPr>
          <w:rFonts w:ascii="Verdana" w:hAnsi="Verdana"/>
          <w:i/>
          <w:iCs/>
          <w:color w:val="000000"/>
        </w:rPr>
        <w:t>Oxford Companion to the Bible</w:t>
      </w:r>
      <w:r>
        <w:rPr>
          <w:rFonts w:ascii="Verdana" w:hAnsi="Verdana"/>
          <w:color w:val="000000"/>
        </w:rPr>
        <w:t>.</w:t>
      </w:r>
      <w:r w:rsidRPr="00B605C4">
        <w:rPr>
          <w:rFonts w:ascii="Verdana" w:hAnsi="Verdana"/>
          <w:color w:val="000000"/>
        </w:rPr>
        <w:t xml:space="preserve"> </w:t>
      </w:r>
      <w:r>
        <w:rPr>
          <w:rFonts w:ascii="Verdana" w:hAnsi="Verdana"/>
          <w:color w:val="000000"/>
        </w:rPr>
        <w:t>(1993) London and New York</w:t>
      </w:r>
      <w:r>
        <w:rPr>
          <w:rFonts w:ascii="Verdana" w:hAnsi="Verdana"/>
          <w:color w:val="000000"/>
        </w:rPr>
        <w:t xml:space="preserve"> p.4</w:t>
      </w:r>
    </w:p>
  </w:footnote>
  <w:footnote w:id="2">
    <w:p w14:paraId="2278015A" w14:textId="79979744" w:rsidR="00B605C4" w:rsidRPr="00B605C4" w:rsidRDefault="00B605C4">
      <w:pPr>
        <w:pStyle w:val="FootnoteText"/>
        <w:rPr>
          <w:rFonts w:ascii="Verdana" w:hAnsi="Verdana"/>
        </w:rPr>
      </w:pPr>
      <w:r>
        <w:rPr>
          <w:rStyle w:val="FootnoteReference"/>
        </w:rPr>
        <w:footnoteRef/>
      </w:r>
      <w:r>
        <w:t xml:space="preserve"> </w:t>
      </w:r>
      <w:r>
        <w:rPr>
          <w:rFonts w:ascii="Verdana" w:hAnsi="Verdana"/>
        </w:rPr>
        <w:t>ibid p.4</w:t>
      </w:r>
    </w:p>
  </w:footnote>
  <w:footnote w:id="3">
    <w:p w14:paraId="518B5871" w14:textId="35EFE632" w:rsidR="00B605C4" w:rsidRDefault="00B605C4">
      <w:pPr>
        <w:pStyle w:val="FootnoteText"/>
      </w:pPr>
      <w:r>
        <w:rPr>
          <w:rStyle w:val="FootnoteReference"/>
        </w:rPr>
        <w:footnoteRef/>
      </w:r>
      <w:r>
        <w:t xml:space="preserve"> </w:t>
      </w:r>
      <w:r w:rsidRPr="00B605C4">
        <w:rPr>
          <w:rFonts w:ascii="Verdana" w:hAnsi="Verdana"/>
        </w:rPr>
        <w:t>M.</w:t>
      </w:r>
      <w:r>
        <w:t xml:space="preserve"> </w:t>
      </w:r>
      <w:r w:rsidRPr="0033353A">
        <w:rPr>
          <w:rFonts w:ascii="Verdana" w:hAnsi="Verdana"/>
          <w:color w:val="000000"/>
        </w:rPr>
        <w:t>Mills,</w:t>
      </w:r>
      <w:r w:rsidRPr="0033353A">
        <w:rPr>
          <w:rFonts w:ascii="Verdana" w:hAnsi="Verdana"/>
          <w:i/>
          <w:iCs/>
          <w:color w:val="000000"/>
        </w:rPr>
        <w:t xml:space="preserve"> </w:t>
      </w:r>
      <w:r w:rsidRPr="0033353A">
        <w:rPr>
          <w:rFonts w:ascii="Verdana" w:hAnsi="Verdana"/>
          <w:i/>
          <w:iCs/>
          <w:color w:val="000000"/>
        </w:rPr>
        <w:t>Biblical Morality: Moral perspectives in Old Testament narratives</w:t>
      </w:r>
      <w:r w:rsidRPr="0033353A">
        <w:rPr>
          <w:rFonts w:ascii="Verdana" w:hAnsi="Verdana"/>
          <w:color w:val="000000"/>
        </w:rPr>
        <w:t>.</w:t>
      </w:r>
      <w:r w:rsidRPr="00B605C4">
        <w:rPr>
          <w:rFonts w:ascii="Verdana" w:hAnsi="Verdana"/>
          <w:color w:val="000000"/>
        </w:rPr>
        <w:t xml:space="preserve"> </w:t>
      </w:r>
      <w:r w:rsidRPr="0033353A">
        <w:rPr>
          <w:rFonts w:ascii="Verdana" w:hAnsi="Verdana"/>
          <w:color w:val="000000"/>
        </w:rPr>
        <w:t>(2001) Aldershot</w:t>
      </w:r>
      <w:r>
        <w:rPr>
          <w:rFonts w:ascii="Verdana" w:hAnsi="Verdana"/>
          <w:color w:val="000000"/>
        </w:rPr>
        <w:t xml:space="preserve"> p.29</w:t>
      </w:r>
    </w:p>
  </w:footnote>
  <w:footnote w:id="4">
    <w:p w14:paraId="0159C954" w14:textId="5426E85F" w:rsidR="00B605C4" w:rsidRPr="00B605C4" w:rsidRDefault="00B605C4">
      <w:pPr>
        <w:pStyle w:val="FootnoteText"/>
        <w:rPr>
          <w:rFonts w:ascii="Verdana" w:hAnsi="Verdana"/>
        </w:rPr>
      </w:pPr>
      <w:r>
        <w:rPr>
          <w:rStyle w:val="FootnoteReference"/>
        </w:rPr>
        <w:footnoteRef/>
      </w:r>
      <w:r>
        <w:t xml:space="preserve"> </w:t>
      </w:r>
      <w:r>
        <w:rPr>
          <w:rFonts w:ascii="Verdana" w:hAnsi="Verdana"/>
        </w:rPr>
        <w:t>North, Abraham p.4</w:t>
      </w:r>
    </w:p>
  </w:footnote>
  <w:footnote w:id="5">
    <w:p w14:paraId="07642790" w14:textId="724A9504" w:rsidR="006A75CC" w:rsidRDefault="006A75CC">
      <w:pPr>
        <w:pStyle w:val="FootnoteText"/>
      </w:pPr>
      <w:r>
        <w:rPr>
          <w:rStyle w:val="FootnoteReference"/>
        </w:rPr>
        <w:footnoteRef/>
      </w:r>
      <w:r>
        <w:t xml:space="preserve"> </w:t>
      </w:r>
      <w:r>
        <w:rPr>
          <w:rFonts w:ascii="Verdana" w:hAnsi="Verdana"/>
        </w:rPr>
        <w:t>ibid p.4</w:t>
      </w:r>
    </w:p>
  </w:footnote>
  <w:footnote w:id="6">
    <w:p w14:paraId="79C4258B" w14:textId="01F7CD0A" w:rsidR="006A75CC" w:rsidRDefault="006A75CC">
      <w:pPr>
        <w:pStyle w:val="FootnoteText"/>
      </w:pPr>
      <w:r>
        <w:rPr>
          <w:rStyle w:val="FootnoteReference"/>
        </w:rPr>
        <w:footnoteRef/>
      </w:r>
      <w:r>
        <w:t xml:space="preserve"> </w:t>
      </w:r>
      <w:r>
        <w:rPr>
          <w:rFonts w:ascii="Verdana" w:hAnsi="Verdana"/>
        </w:rPr>
        <w:t xml:space="preserve">J. D. </w:t>
      </w:r>
      <w:r w:rsidRPr="0033353A">
        <w:rPr>
          <w:rFonts w:ascii="Verdana" w:hAnsi="Verdana"/>
          <w:color w:val="000000"/>
        </w:rPr>
        <w:t xml:space="preserve">Levenson, Genesis. In: Berlin, A. and </w:t>
      </w:r>
      <w:proofErr w:type="spellStart"/>
      <w:r w:rsidRPr="0033353A">
        <w:rPr>
          <w:rFonts w:ascii="Verdana" w:hAnsi="Verdana"/>
          <w:color w:val="000000"/>
        </w:rPr>
        <w:t>Brettler</w:t>
      </w:r>
      <w:proofErr w:type="spellEnd"/>
      <w:r w:rsidRPr="0033353A">
        <w:rPr>
          <w:rFonts w:ascii="Verdana" w:hAnsi="Verdana"/>
          <w:color w:val="000000"/>
        </w:rPr>
        <w:t>, M. Z. </w:t>
      </w:r>
      <w:r w:rsidRPr="0033353A">
        <w:rPr>
          <w:rFonts w:ascii="Verdana" w:hAnsi="Verdana"/>
          <w:i/>
          <w:iCs/>
          <w:color w:val="000000"/>
        </w:rPr>
        <w:t>The Jewish Study Bible</w:t>
      </w:r>
      <w:r w:rsidRPr="0033353A">
        <w:rPr>
          <w:rFonts w:ascii="Verdana" w:hAnsi="Verdana"/>
          <w:color w:val="000000"/>
        </w:rPr>
        <w:t>. (2014) New York</w:t>
      </w:r>
      <w:r>
        <w:rPr>
          <w:rFonts w:ascii="Verdana" w:hAnsi="Verdana"/>
          <w:color w:val="000000"/>
        </w:rPr>
        <w:t xml:space="preserve"> p.33</w:t>
      </w:r>
    </w:p>
  </w:footnote>
  <w:footnote w:id="7">
    <w:p w14:paraId="017D5EF9" w14:textId="1CCA6A3A" w:rsidR="006A75CC" w:rsidRPr="006A75CC" w:rsidRDefault="006A75CC">
      <w:pPr>
        <w:pStyle w:val="FootnoteText"/>
        <w:rPr>
          <w:rFonts w:ascii="Verdana" w:hAnsi="Verdana"/>
        </w:rPr>
      </w:pPr>
      <w:r>
        <w:rPr>
          <w:rStyle w:val="FootnoteReference"/>
        </w:rPr>
        <w:footnoteRef/>
      </w:r>
      <w:r>
        <w:t xml:space="preserve"> </w:t>
      </w:r>
      <w:r>
        <w:rPr>
          <w:rFonts w:ascii="Verdana" w:hAnsi="Verdana"/>
        </w:rPr>
        <w:t>Levenson, Genesis p.41</w:t>
      </w:r>
    </w:p>
  </w:footnote>
  <w:footnote w:id="8">
    <w:p w14:paraId="09A7BF1D" w14:textId="2889BF5B" w:rsidR="006A75CC" w:rsidRPr="006A75CC" w:rsidRDefault="006A75CC">
      <w:pPr>
        <w:pStyle w:val="FootnoteText"/>
        <w:rPr>
          <w:rFonts w:ascii="Verdana" w:hAnsi="Verdana"/>
        </w:rPr>
      </w:pPr>
      <w:r>
        <w:rPr>
          <w:rStyle w:val="FootnoteReference"/>
        </w:rPr>
        <w:footnoteRef/>
      </w:r>
      <w:r>
        <w:t xml:space="preserve"> </w:t>
      </w:r>
      <w:r>
        <w:rPr>
          <w:rFonts w:ascii="Verdana" w:hAnsi="Verdana"/>
        </w:rPr>
        <w:t>Levenson, Genesis p.4</w:t>
      </w:r>
      <w:r>
        <w:rPr>
          <w:rFonts w:ascii="Verdana" w:hAnsi="Verdana"/>
        </w:rPr>
        <w:t>3</w:t>
      </w:r>
    </w:p>
  </w:footnote>
  <w:footnote w:id="9">
    <w:p w14:paraId="5935C8C3" w14:textId="745714DF" w:rsidR="006A75CC" w:rsidRPr="006A75CC" w:rsidRDefault="006A75CC">
      <w:pPr>
        <w:pStyle w:val="FootnoteText"/>
        <w:rPr>
          <w:rFonts w:ascii="Verdana" w:hAnsi="Verdana"/>
        </w:rPr>
      </w:pPr>
      <w:r>
        <w:rPr>
          <w:rStyle w:val="FootnoteReference"/>
        </w:rPr>
        <w:footnoteRef/>
      </w:r>
      <w:r>
        <w:t xml:space="preserve"> </w:t>
      </w:r>
      <w:r>
        <w:rPr>
          <w:rFonts w:ascii="Verdana" w:hAnsi="Verdana"/>
        </w:rPr>
        <w:t>ibid p.42</w:t>
      </w:r>
    </w:p>
  </w:footnote>
  <w:footnote w:id="10">
    <w:p w14:paraId="36728F36" w14:textId="234F4E2B" w:rsidR="006A75CC" w:rsidRDefault="006A75CC">
      <w:pPr>
        <w:pStyle w:val="FootnoteText"/>
      </w:pPr>
      <w:r>
        <w:rPr>
          <w:rStyle w:val="FootnoteReference"/>
        </w:rPr>
        <w:footnoteRef/>
      </w:r>
      <w:r>
        <w:t xml:space="preserve"> </w:t>
      </w:r>
      <w:r>
        <w:rPr>
          <w:rFonts w:ascii="Verdana" w:hAnsi="Verdana"/>
        </w:rPr>
        <w:t>ibid p.42</w:t>
      </w:r>
    </w:p>
  </w:footnote>
  <w:footnote w:id="11">
    <w:p w14:paraId="0E27958D" w14:textId="4E219C3F" w:rsidR="006A75CC" w:rsidRDefault="006A75CC">
      <w:pPr>
        <w:pStyle w:val="FootnoteText"/>
      </w:pPr>
      <w:r>
        <w:rPr>
          <w:rStyle w:val="FootnoteReference"/>
        </w:rPr>
        <w:footnoteRef/>
      </w:r>
      <w:r>
        <w:t xml:space="preserve"> </w:t>
      </w:r>
      <w:r>
        <w:rPr>
          <w:rFonts w:ascii="Verdana" w:hAnsi="Verdana"/>
        </w:rPr>
        <w:t>ibid p.42</w:t>
      </w:r>
    </w:p>
  </w:footnote>
  <w:footnote w:id="12">
    <w:p w14:paraId="560E2063" w14:textId="5C7388DE" w:rsidR="006A75CC" w:rsidRDefault="006A75CC">
      <w:pPr>
        <w:pStyle w:val="FootnoteText"/>
      </w:pPr>
      <w:r>
        <w:rPr>
          <w:rStyle w:val="FootnoteReference"/>
        </w:rPr>
        <w:footnoteRef/>
      </w:r>
      <w:r>
        <w:t xml:space="preserve"> </w:t>
      </w:r>
      <w:r>
        <w:rPr>
          <w:rFonts w:ascii="Verdana" w:hAnsi="Verdana"/>
        </w:rPr>
        <w:t xml:space="preserve">S. </w:t>
      </w:r>
      <w:r w:rsidRPr="0033353A">
        <w:rPr>
          <w:rFonts w:ascii="Verdana" w:hAnsi="Verdana"/>
          <w:color w:val="000000"/>
        </w:rPr>
        <w:t>Weiss</w:t>
      </w:r>
      <w:r>
        <w:rPr>
          <w:rFonts w:ascii="Verdana" w:hAnsi="Verdana"/>
          <w:color w:val="000000"/>
        </w:rPr>
        <w:t xml:space="preserve"> </w:t>
      </w:r>
      <w:r w:rsidRPr="0033353A">
        <w:rPr>
          <w:rFonts w:ascii="Verdana" w:hAnsi="Verdana"/>
          <w:i/>
          <w:iCs/>
          <w:color w:val="000000"/>
        </w:rPr>
        <w:t>Ethical Ambiguity in the Hebrew Bible - Philosophical Analysis of Scriptural Narrative</w:t>
      </w:r>
      <w:r>
        <w:rPr>
          <w:rFonts w:ascii="Verdana" w:hAnsi="Verdana"/>
          <w:color w:val="000000"/>
        </w:rPr>
        <w:t xml:space="preserve"> </w:t>
      </w:r>
      <w:r w:rsidRPr="0033353A">
        <w:rPr>
          <w:rFonts w:ascii="Verdana" w:hAnsi="Verdana"/>
          <w:color w:val="000000"/>
        </w:rPr>
        <w:t>(2018) Cambridge</w:t>
      </w:r>
      <w:r>
        <w:rPr>
          <w:rFonts w:ascii="Verdana" w:hAnsi="Verdana"/>
          <w:color w:val="000000"/>
        </w:rPr>
        <w:t xml:space="preserve"> p.3</w:t>
      </w:r>
    </w:p>
  </w:footnote>
  <w:footnote w:id="13">
    <w:p w14:paraId="23C46876" w14:textId="20E9DFC1" w:rsidR="006A75CC" w:rsidRPr="006A75CC" w:rsidRDefault="006A75CC">
      <w:pPr>
        <w:pStyle w:val="FootnoteText"/>
        <w:rPr>
          <w:rFonts w:ascii="Verdana" w:hAnsi="Verdana"/>
        </w:rPr>
      </w:pPr>
      <w:r>
        <w:rPr>
          <w:rStyle w:val="FootnoteReference"/>
        </w:rPr>
        <w:footnoteRef/>
      </w:r>
      <w:r>
        <w:t xml:space="preserve"> </w:t>
      </w:r>
      <w:r>
        <w:rPr>
          <w:rFonts w:ascii="Verdana" w:hAnsi="Verdana"/>
        </w:rPr>
        <w:t xml:space="preserve">Mills </w:t>
      </w:r>
      <w:r w:rsidRPr="006A75CC">
        <w:rPr>
          <w:rFonts w:ascii="Verdana" w:hAnsi="Verdana"/>
          <w:i/>
          <w:iCs/>
        </w:rPr>
        <w:t>Biblical Morality</w:t>
      </w:r>
      <w:r>
        <w:rPr>
          <w:rFonts w:ascii="Verdana" w:hAnsi="Verdana"/>
        </w:rPr>
        <w:t xml:space="preserve"> p.29</w:t>
      </w:r>
    </w:p>
  </w:footnote>
  <w:footnote w:id="14">
    <w:p w14:paraId="7F5E70AD" w14:textId="2DA86876" w:rsidR="003F1BE5" w:rsidRDefault="003F1BE5">
      <w:pPr>
        <w:pStyle w:val="FootnoteText"/>
      </w:pPr>
      <w:r>
        <w:rPr>
          <w:rStyle w:val="FootnoteReference"/>
        </w:rPr>
        <w:footnoteRef/>
      </w:r>
      <w:r>
        <w:t xml:space="preserve"> </w:t>
      </w:r>
      <w:r>
        <w:rPr>
          <w:rFonts w:ascii="Verdana" w:hAnsi="Verdana"/>
        </w:rPr>
        <w:t xml:space="preserve">J. </w:t>
      </w:r>
      <w:r>
        <w:rPr>
          <w:rFonts w:ascii="Verdana" w:hAnsi="Verdana"/>
          <w:color w:val="000000"/>
        </w:rPr>
        <w:t xml:space="preserve">Kugel </w:t>
      </w:r>
      <w:r>
        <w:rPr>
          <w:rFonts w:ascii="Verdana" w:hAnsi="Verdana"/>
          <w:i/>
          <w:iCs/>
          <w:color w:val="000000"/>
        </w:rPr>
        <w:t>How to Read the Bible</w:t>
      </w:r>
      <w:r>
        <w:rPr>
          <w:rFonts w:ascii="Verdana" w:hAnsi="Verdana"/>
          <w:color w:val="000000"/>
        </w:rPr>
        <w:t>.</w:t>
      </w:r>
      <w:r w:rsidRPr="003F1BE5">
        <w:rPr>
          <w:rFonts w:ascii="Verdana" w:hAnsi="Verdana"/>
          <w:color w:val="000000"/>
        </w:rPr>
        <w:t xml:space="preserve"> </w:t>
      </w:r>
      <w:r>
        <w:rPr>
          <w:rFonts w:ascii="Verdana" w:hAnsi="Verdana"/>
          <w:color w:val="000000"/>
        </w:rPr>
        <w:t>(2007) New York</w:t>
      </w:r>
      <w:r>
        <w:rPr>
          <w:rFonts w:ascii="Verdana" w:hAnsi="Verdana"/>
          <w:color w:val="000000"/>
        </w:rPr>
        <w:t xml:space="preserve"> p.122</w:t>
      </w:r>
    </w:p>
  </w:footnote>
  <w:footnote w:id="15">
    <w:p w14:paraId="2D0568E4" w14:textId="5A6864CA" w:rsidR="003F1BE5" w:rsidRPr="003F1BE5" w:rsidRDefault="003F1BE5">
      <w:pPr>
        <w:pStyle w:val="FootnoteText"/>
        <w:rPr>
          <w:rFonts w:ascii="Verdana" w:hAnsi="Verdana"/>
        </w:rPr>
      </w:pPr>
      <w:r>
        <w:rPr>
          <w:rStyle w:val="FootnoteReference"/>
        </w:rPr>
        <w:footnoteRef/>
      </w:r>
      <w:r>
        <w:t xml:space="preserve"> </w:t>
      </w:r>
      <w:r>
        <w:rPr>
          <w:rFonts w:ascii="Verdana" w:hAnsi="Verdana"/>
          <w:color w:val="000000"/>
        </w:rPr>
        <w:t xml:space="preserve">Kugel </w:t>
      </w:r>
      <w:r>
        <w:rPr>
          <w:rFonts w:ascii="Verdana" w:hAnsi="Verdana"/>
          <w:i/>
          <w:iCs/>
          <w:color w:val="000000"/>
        </w:rPr>
        <w:t>How to Read the Bible</w:t>
      </w:r>
      <w:r>
        <w:rPr>
          <w:rFonts w:ascii="Verdana" w:hAnsi="Verdana"/>
          <w:color w:val="000000"/>
        </w:rPr>
        <w:t xml:space="preserve"> p.122</w:t>
      </w:r>
    </w:p>
  </w:footnote>
  <w:footnote w:id="16">
    <w:p w14:paraId="5288F9DC" w14:textId="1A8863B0" w:rsidR="003F1BE5" w:rsidRPr="003F1BE5" w:rsidRDefault="003F1BE5" w:rsidP="003F1BE5">
      <w:pPr>
        <w:rPr>
          <w:rFonts w:ascii="Verdana" w:hAnsi="Verdana"/>
          <w:color w:val="000000"/>
          <w:sz w:val="20"/>
          <w:szCs w:val="20"/>
        </w:rPr>
      </w:pPr>
      <w:r>
        <w:rPr>
          <w:rStyle w:val="FootnoteReference"/>
        </w:rPr>
        <w:footnoteRef/>
      </w:r>
      <w:r>
        <w:t xml:space="preserve"> </w:t>
      </w:r>
      <w:r>
        <w:rPr>
          <w:rFonts w:ascii="Verdana" w:hAnsi="Verdana"/>
          <w:sz w:val="20"/>
          <w:szCs w:val="20"/>
        </w:rPr>
        <w:t xml:space="preserve">B. </w:t>
      </w:r>
      <w:r>
        <w:rPr>
          <w:rFonts w:ascii="Verdana" w:hAnsi="Verdana"/>
          <w:color w:val="000000"/>
          <w:sz w:val="20"/>
          <w:szCs w:val="20"/>
        </w:rPr>
        <w:t>Geller Nathanson, Aqedah. In: Metzger, B. M. &amp; Coogan M. D. </w:t>
      </w:r>
      <w:r w:rsidRPr="008D1169">
        <w:rPr>
          <w:rFonts w:ascii="Verdana" w:hAnsi="Verdana"/>
          <w:i/>
          <w:iCs/>
          <w:color w:val="000000"/>
          <w:sz w:val="20"/>
          <w:szCs w:val="20"/>
        </w:rPr>
        <w:t xml:space="preserve">The </w:t>
      </w:r>
      <w:r>
        <w:rPr>
          <w:rFonts w:ascii="Verdana" w:hAnsi="Verdana"/>
          <w:i/>
          <w:iCs/>
          <w:color w:val="000000"/>
          <w:sz w:val="20"/>
          <w:szCs w:val="20"/>
        </w:rPr>
        <w:t>Oxford Companion to the Bible</w:t>
      </w:r>
      <w:r>
        <w:rPr>
          <w:rFonts w:ascii="Verdana" w:hAnsi="Verdana"/>
          <w:color w:val="000000"/>
          <w:sz w:val="20"/>
          <w:szCs w:val="20"/>
        </w:rPr>
        <w:t>. (1993). London and New York</w:t>
      </w:r>
      <w:r>
        <w:rPr>
          <w:rFonts w:ascii="Verdana" w:hAnsi="Verdana"/>
          <w:color w:val="000000"/>
          <w:sz w:val="20"/>
          <w:szCs w:val="20"/>
        </w:rPr>
        <w:t xml:space="preserve"> p.43</w:t>
      </w:r>
    </w:p>
  </w:footnote>
  <w:footnote w:id="17">
    <w:p w14:paraId="26F3A46F" w14:textId="21BF6639" w:rsidR="003F1BE5" w:rsidRPr="003F1BE5" w:rsidRDefault="003F1BE5">
      <w:pPr>
        <w:pStyle w:val="FootnoteText"/>
        <w:rPr>
          <w:rFonts w:ascii="Verdana" w:hAnsi="Verdana"/>
        </w:rPr>
      </w:pPr>
      <w:r>
        <w:rPr>
          <w:rStyle w:val="FootnoteReference"/>
        </w:rPr>
        <w:footnoteRef/>
      </w:r>
      <w:r>
        <w:t xml:space="preserve"> </w:t>
      </w:r>
      <w:r>
        <w:rPr>
          <w:rFonts w:ascii="Verdana" w:hAnsi="Verdana"/>
          <w:color w:val="000000"/>
        </w:rPr>
        <w:t xml:space="preserve">Kugel </w:t>
      </w:r>
      <w:r>
        <w:rPr>
          <w:rFonts w:ascii="Verdana" w:hAnsi="Verdana"/>
          <w:i/>
          <w:iCs/>
          <w:color w:val="000000"/>
        </w:rPr>
        <w:t>How to Read the Bible</w:t>
      </w:r>
      <w:r>
        <w:rPr>
          <w:rFonts w:ascii="Verdana" w:hAnsi="Verdana"/>
          <w:color w:val="000000"/>
        </w:rPr>
        <w:t xml:space="preserve"> p.12</w:t>
      </w:r>
      <w:r>
        <w:rPr>
          <w:rFonts w:ascii="Verdana" w:hAnsi="Verdana"/>
          <w:color w:val="000000"/>
        </w:rPr>
        <w:t>6</w:t>
      </w:r>
    </w:p>
  </w:footnote>
  <w:footnote w:id="18">
    <w:p w14:paraId="285C9634" w14:textId="45169807" w:rsidR="00765921" w:rsidRPr="00765921" w:rsidRDefault="00765921">
      <w:pPr>
        <w:pStyle w:val="FootnoteText"/>
        <w:rPr>
          <w:rFonts w:ascii="Verdana" w:hAnsi="Verdana"/>
        </w:rPr>
      </w:pPr>
      <w:r>
        <w:rPr>
          <w:rStyle w:val="FootnoteReference"/>
        </w:rPr>
        <w:footnoteRef/>
      </w:r>
      <w:r>
        <w:t xml:space="preserve"> </w:t>
      </w:r>
      <w:r>
        <w:rPr>
          <w:rFonts w:ascii="Verdana" w:hAnsi="Verdana"/>
        </w:rPr>
        <w:t>ibid p.127</w:t>
      </w:r>
    </w:p>
  </w:footnote>
  <w:footnote w:id="19">
    <w:p w14:paraId="1A7E5A13" w14:textId="1B5AF424" w:rsidR="00765921" w:rsidRDefault="00765921">
      <w:pPr>
        <w:pStyle w:val="FootnoteText"/>
      </w:pPr>
      <w:r>
        <w:rPr>
          <w:rStyle w:val="FootnoteReference"/>
        </w:rPr>
        <w:footnoteRef/>
      </w:r>
      <w:r>
        <w:t xml:space="preserve"> </w:t>
      </w:r>
      <w:r>
        <w:rPr>
          <w:rFonts w:ascii="Verdana" w:hAnsi="Verdana"/>
        </w:rPr>
        <w:t>ibid p.127</w:t>
      </w:r>
    </w:p>
  </w:footnote>
  <w:footnote w:id="20">
    <w:p w14:paraId="754A0AD5" w14:textId="674E24F1" w:rsidR="00765921" w:rsidRPr="00765921" w:rsidRDefault="00765921">
      <w:pPr>
        <w:pStyle w:val="FootnoteText"/>
        <w:rPr>
          <w:rFonts w:ascii="Verdana" w:hAnsi="Verdana"/>
        </w:rPr>
      </w:pPr>
      <w:r>
        <w:rPr>
          <w:rStyle w:val="FootnoteReference"/>
        </w:rPr>
        <w:footnoteRef/>
      </w:r>
      <w:r>
        <w:t xml:space="preserve"> </w:t>
      </w:r>
      <w:r>
        <w:rPr>
          <w:rFonts w:ascii="Verdana" w:hAnsi="Verdana"/>
        </w:rPr>
        <w:t>22</w:t>
      </w:r>
      <w:r w:rsidRPr="00765921">
        <w:rPr>
          <w:rFonts w:ascii="Verdana" w:hAnsi="Verdana"/>
          <w:vertAlign w:val="superscript"/>
        </w:rPr>
        <w:t>nd</w:t>
      </w:r>
      <w:r>
        <w:rPr>
          <w:rFonts w:ascii="Verdana" w:hAnsi="Verdana"/>
        </w:rPr>
        <w:t xml:space="preserve"> July 2021</w:t>
      </w:r>
    </w:p>
  </w:footnote>
  <w:footnote w:id="21">
    <w:p w14:paraId="6DCABB77" w14:textId="40B9252E" w:rsidR="00765921" w:rsidRDefault="00765921">
      <w:pPr>
        <w:pStyle w:val="FootnoteText"/>
      </w:pPr>
      <w:r>
        <w:rPr>
          <w:rStyle w:val="FootnoteReference"/>
        </w:rPr>
        <w:footnoteRef/>
      </w:r>
      <w:r>
        <w:t xml:space="preserve"> </w:t>
      </w:r>
      <w:r>
        <w:rPr>
          <w:rFonts w:ascii="Verdana" w:hAnsi="Verdana"/>
        </w:rPr>
        <w:t>Levenson, Genesis p.4</w:t>
      </w:r>
      <w:r>
        <w:rPr>
          <w:rFonts w:ascii="Verdana" w:hAnsi="Verdana"/>
        </w:rPr>
        <w:t>2</w:t>
      </w:r>
    </w:p>
  </w:footnote>
  <w:footnote w:id="22">
    <w:p w14:paraId="345E456F" w14:textId="77F17F9B" w:rsidR="00765921" w:rsidRPr="00765921" w:rsidRDefault="00765921" w:rsidP="00765921">
      <w:pPr>
        <w:contextualSpacing/>
        <w:rPr>
          <w:sz w:val="20"/>
          <w:szCs w:val="20"/>
        </w:rPr>
      </w:pPr>
      <w:r>
        <w:rPr>
          <w:rStyle w:val="FootnoteReference"/>
        </w:rPr>
        <w:footnoteRef/>
      </w:r>
      <w:r>
        <w:t xml:space="preserve"> </w:t>
      </w:r>
      <w:r w:rsidRPr="00765921">
        <w:rPr>
          <w:rFonts w:ascii="Verdana" w:hAnsi="Verdana"/>
          <w:sz w:val="20"/>
          <w:szCs w:val="20"/>
        </w:rPr>
        <w:t xml:space="preserve">E. </w:t>
      </w:r>
      <w:r w:rsidRPr="00765921">
        <w:rPr>
          <w:rFonts w:ascii="Verdana" w:hAnsi="Verdana" w:cs="Tahoma"/>
          <w:bCs/>
          <w:color w:val="212121"/>
          <w:sz w:val="20"/>
          <w:szCs w:val="20"/>
          <w:shd w:val="clear" w:color="auto" w:fill="FFFFFF"/>
        </w:rPr>
        <w:t>Isaacson “Musical Perspectives on the Binding of Isaac Story in the 20</w:t>
      </w:r>
      <w:r w:rsidRPr="00765921">
        <w:rPr>
          <w:rFonts w:ascii="Verdana" w:hAnsi="Verdana" w:cs="Tahoma"/>
          <w:bCs/>
          <w:color w:val="212121"/>
          <w:sz w:val="20"/>
          <w:szCs w:val="20"/>
          <w:shd w:val="clear" w:color="auto" w:fill="FFFFFF"/>
          <w:vertAlign w:val="superscript"/>
        </w:rPr>
        <w:t>th</w:t>
      </w:r>
      <w:r w:rsidRPr="00765921">
        <w:rPr>
          <w:rFonts w:ascii="Verdana" w:hAnsi="Verdana" w:cs="Tahoma"/>
          <w:bCs/>
          <w:color w:val="212121"/>
          <w:sz w:val="20"/>
          <w:szCs w:val="20"/>
          <w:shd w:val="clear" w:color="auto" w:fill="FFFFFF"/>
        </w:rPr>
        <w:t xml:space="preserve"> Century: </w:t>
      </w:r>
      <w:proofErr w:type="spellStart"/>
      <w:r w:rsidRPr="00765921">
        <w:rPr>
          <w:rFonts w:ascii="Verdana" w:hAnsi="Verdana" w:cs="Tahoma"/>
          <w:bCs/>
          <w:color w:val="212121"/>
          <w:sz w:val="20"/>
          <w:szCs w:val="20"/>
          <w:shd w:val="clear" w:color="auto" w:fill="FFFFFF"/>
        </w:rPr>
        <w:t>Aharon</w:t>
      </w:r>
      <w:proofErr w:type="spellEnd"/>
      <w:r w:rsidRPr="00765921">
        <w:rPr>
          <w:rFonts w:ascii="Verdana" w:hAnsi="Verdana" w:cs="Tahoma"/>
          <w:bCs/>
          <w:color w:val="212121"/>
          <w:sz w:val="20"/>
          <w:szCs w:val="20"/>
          <w:shd w:val="clear" w:color="auto" w:fill="FFFFFF"/>
        </w:rPr>
        <w:t xml:space="preserve"> </w:t>
      </w:r>
      <w:proofErr w:type="spellStart"/>
      <w:r w:rsidRPr="00765921">
        <w:rPr>
          <w:rFonts w:ascii="Verdana" w:hAnsi="Verdana" w:cs="Tahoma"/>
          <w:bCs/>
          <w:color w:val="212121"/>
          <w:sz w:val="20"/>
          <w:szCs w:val="20"/>
          <w:shd w:val="clear" w:color="auto" w:fill="FFFFFF"/>
        </w:rPr>
        <w:t>Harlap</w:t>
      </w:r>
      <w:proofErr w:type="spellEnd"/>
      <w:r w:rsidRPr="00765921">
        <w:rPr>
          <w:rFonts w:ascii="Verdana" w:hAnsi="Verdana" w:cs="Tahoma"/>
          <w:bCs/>
          <w:color w:val="212121"/>
          <w:sz w:val="20"/>
          <w:szCs w:val="20"/>
          <w:shd w:val="clear" w:color="auto" w:fill="FFFFFF"/>
        </w:rPr>
        <w:t xml:space="preserve"> and Menachem </w:t>
      </w:r>
      <w:proofErr w:type="spellStart"/>
      <w:r w:rsidRPr="00765921">
        <w:rPr>
          <w:rFonts w:ascii="Verdana" w:hAnsi="Verdana" w:cs="Tahoma"/>
          <w:bCs/>
          <w:color w:val="212121"/>
          <w:sz w:val="20"/>
          <w:szCs w:val="20"/>
          <w:shd w:val="clear" w:color="auto" w:fill="FFFFFF"/>
        </w:rPr>
        <w:t>Zur’s</w:t>
      </w:r>
      <w:proofErr w:type="spellEnd"/>
      <w:r w:rsidRPr="00765921">
        <w:rPr>
          <w:rFonts w:ascii="Verdana" w:hAnsi="Verdana" w:cs="Tahoma"/>
          <w:bCs/>
          <w:color w:val="212121"/>
          <w:sz w:val="20"/>
          <w:szCs w:val="20"/>
          <w:shd w:val="clear" w:color="auto" w:fill="FFFFFF"/>
        </w:rPr>
        <w:t xml:space="preserve"> </w:t>
      </w:r>
      <w:proofErr w:type="spellStart"/>
      <w:r w:rsidRPr="00765921">
        <w:rPr>
          <w:rFonts w:ascii="Verdana" w:hAnsi="Verdana" w:cs="Tahoma"/>
          <w:bCs/>
          <w:color w:val="212121"/>
          <w:sz w:val="20"/>
          <w:szCs w:val="20"/>
          <w:shd w:val="clear" w:color="auto" w:fill="FFFFFF"/>
        </w:rPr>
        <w:t>Akedat</w:t>
      </w:r>
      <w:proofErr w:type="spellEnd"/>
      <w:r w:rsidRPr="00765921">
        <w:rPr>
          <w:rFonts w:ascii="Verdana" w:hAnsi="Verdana" w:cs="Tahoma"/>
          <w:bCs/>
          <w:color w:val="212121"/>
          <w:sz w:val="20"/>
          <w:szCs w:val="20"/>
          <w:shd w:val="clear" w:color="auto" w:fill="FFFFFF"/>
        </w:rPr>
        <w:t xml:space="preserve"> </w:t>
      </w:r>
      <w:proofErr w:type="spellStart"/>
      <w:r w:rsidRPr="00765921">
        <w:rPr>
          <w:rFonts w:ascii="Verdana" w:hAnsi="Verdana" w:cs="Tahoma"/>
          <w:bCs/>
          <w:color w:val="212121"/>
          <w:sz w:val="20"/>
          <w:szCs w:val="20"/>
          <w:shd w:val="clear" w:color="auto" w:fill="FFFFFF"/>
        </w:rPr>
        <w:t>Ytzchak</w:t>
      </w:r>
      <w:proofErr w:type="spellEnd"/>
      <w:r w:rsidRPr="00765921">
        <w:rPr>
          <w:rFonts w:ascii="Verdana" w:hAnsi="Verdana" w:cs="Tahoma"/>
          <w:bCs/>
          <w:color w:val="212121"/>
          <w:sz w:val="20"/>
          <w:szCs w:val="20"/>
          <w:shd w:val="clear" w:color="auto" w:fill="FFFFFF"/>
        </w:rPr>
        <w:t xml:space="preserve"> and Steve Reich’s The Cave”. </w:t>
      </w:r>
      <w:r>
        <w:rPr>
          <w:rFonts w:ascii="Verdana" w:hAnsi="Verdana" w:cs="Tahoma"/>
          <w:bCs/>
          <w:color w:val="212121"/>
          <w:sz w:val="20"/>
          <w:szCs w:val="20"/>
          <w:shd w:val="clear" w:color="auto" w:fill="FFFFFF"/>
        </w:rPr>
        <w:t xml:space="preserve">(2015) </w:t>
      </w:r>
      <w:r w:rsidRPr="00765921">
        <w:rPr>
          <w:rFonts w:ascii="Verdana" w:hAnsi="Verdana"/>
          <w:sz w:val="20"/>
          <w:szCs w:val="20"/>
        </w:rPr>
        <w:t>University of Illinois at Urbana-</w:t>
      </w:r>
      <w:r w:rsidRPr="00765921">
        <w:rPr>
          <w:rFonts w:ascii="Verdana" w:hAnsi="Verdana"/>
          <w:sz w:val="20"/>
          <w:szCs w:val="20"/>
        </w:rPr>
        <w:softHyphen/>
        <w:t>Champaign</w:t>
      </w:r>
      <w:r>
        <w:rPr>
          <w:rFonts w:ascii="Verdana" w:hAnsi="Verdana"/>
          <w:sz w:val="20"/>
          <w:szCs w:val="20"/>
        </w:rPr>
        <w:t xml:space="preserve"> p.6</w:t>
      </w:r>
    </w:p>
  </w:footnote>
  <w:footnote w:id="23">
    <w:p w14:paraId="207DEBD3" w14:textId="2E0E5C23" w:rsidR="00765921" w:rsidRPr="00765921" w:rsidRDefault="00765921">
      <w:pPr>
        <w:pStyle w:val="FootnoteText"/>
        <w:rPr>
          <w:rFonts w:ascii="Verdana" w:hAnsi="Verdana"/>
        </w:rPr>
      </w:pPr>
      <w:r>
        <w:rPr>
          <w:rStyle w:val="FootnoteReference"/>
        </w:rPr>
        <w:footnoteRef/>
      </w:r>
      <w:r>
        <w:t xml:space="preserve"> </w:t>
      </w:r>
      <w:r>
        <w:rPr>
          <w:rFonts w:ascii="Verdana" w:hAnsi="Verdana"/>
        </w:rPr>
        <w:t>ibid p.6</w:t>
      </w:r>
    </w:p>
  </w:footnote>
  <w:footnote w:id="24">
    <w:p w14:paraId="302A59B8" w14:textId="142DEAD1" w:rsidR="00CD69C5" w:rsidRDefault="00CD69C5">
      <w:pPr>
        <w:pStyle w:val="FootnoteText"/>
      </w:pPr>
      <w:r>
        <w:rPr>
          <w:rStyle w:val="FootnoteReference"/>
        </w:rPr>
        <w:footnoteRef/>
      </w:r>
      <w:r>
        <w:t xml:space="preserve"> </w:t>
      </w:r>
      <w:r>
        <w:rPr>
          <w:rFonts w:ascii="Verdana" w:hAnsi="Verdana"/>
        </w:rPr>
        <w:t>ibid p.</w:t>
      </w:r>
      <w:r>
        <w:rPr>
          <w:rFonts w:ascii="Verdana" w:hAnsi="Verdana"/>
        </w:rPr>
        <w:t>7</w:t>
      </w:r>
    </w:p>
  </w:footnote>
  <w:footnote w:id="25">
    <w:p w14:paraId="489C4B72" w14:textId="40EF2FBB" w:rsidR="00CD69C5" w:rsidRPr="00CD69C5" w:rsidRDefault="00CD69C5" w:rsidP="00CD69C5">
      <w:pPr>
        <w:rPr>
          <w:rFonts w:ascii="Verdana" w:hAnsi="Verdana"/>
          <w:color w:val="000000"/>
          <w:sz w:val="20"/>
          <w:szCs w:val="20"/>
        </w:rPr>
      </w:pPr>
      <w:r>
        <w:rPr>
          <w:rStyle w:val="FootnoteReference"/>
        </w:rPr>
        <w:footnoteRef/>
      </w:r>
      <w:r>
        <w:t xml:space="preserve"> </w:t>
      </w:r>
      <w:r>
        <w:rPr>
          <w:rFonts w:ascii="Verdana" w:hAnsi="Verdana"/>
          <w:sz w:val="20"/>
          <w:szCs w:val="20"/>
        </w:rPr>
        <w:t xml:space="preserve">R. </w:t>
      </w:r>
      <w:r w:rsidRPr="0033353A">
        <w:rPr>
          <w:rFonts w:ascii="Verdana" w:hAnsi="Verdana"/>
          <w:color w:val="000000"/>
          <w:sz w:val="20"/>
          <w:szCs w:val="20"/>
        </w:rPr>
        <w:t>Green,</w:t>
      </w:r>
      <w:r>
        <w:rPr>
          <w:rFonts w:ascii="Verdana" w:hAnsi="Verdana"/>
          <w:color w:val="000000"/>
          <w:sz w:val="20"/>
          <w:szCs w:val="20"/>
        </w:rPr>
        <w:t xml:space="preserve"> </w:t>
      </w:r>
      <w:r w:rsidRPr="0033353A">
        <w:rPr>
          <w:rFonts w:ascii="Verdana" w:hAnsi="Verdana"/>
          <w:color w:val="000000"/>
          <w:sz w:val="20"/>
          <w:szCs w:val="20"/>
        </w:rPr>
        <w:t xml:space="preserve">Abraham, </w:t>
      </w:r>
      <w:proofErr w:type="gramStart"/>
      <w:r w:rsidRPr="0033353A">
        <w:rPr>
          <w:rFonts w:ascii="Verdana" w:hAnsi="Verdana"/>
          <w:color w:val="000000"/>
          <w:sz w:val="20"/>
          <w:szCs w:val="20"/>
        </w:rPr>
        <w:t>Isaac</w:t>
      </w:r>
      <w:proofErr w:type="gramEnd"/>
      <w:r w:rsidRPr="0033353A">
        <w:rPr>
          <w:rFonts w:ascii="Verdana" w:hAnsi="Verdana"/>
          <w:color w:val="000000"/>
          <w:sz w:val="20"/>
          <w:szCs w:val="20"/>
        </w:rPr>
        <w:t xml:space="preserve"> and the Jewish Tradition: An Ethical Reappraisal. (1982) </w:t>
      </w:r>
      <w:r w:rsidRPr="0033353A">
        <w:rPr>
          <w:rFonts w:ascii="Verdana" w:hAnsi="Verdana"/>
          <w:i/>
          <w:iCs/>
          <w:color w:val="000000"/>
          <w:sz w:val="20"/>
          <w:szCs w:val="20"/>
        </w:rPr>
        <w:t>The Journal of Religious Ethics</w:t>
      </w:r>
      <w:r>
        <w:rPr>
          <w:rFonts w:ascii="Verdana" w:hAnsi="Verdana"/>
          <w:color w:val="000000"/>
          <w:sz w:val="20"/>
          <w:szCs w:val="20"/>
        </w:rPr>
        <w:t xml:space="preserve"> p.4</w:t>
      </w:r>
    </w:p>
  </w:footnote>
  <w:footnote w:id="26">
    <w:p w14:paraId="566E873E" w14:textId="2B8815B2" w:rsidR="00CD69C5" w:rsidRPr="00CD69C5" w:rsidRDefault="00CD69C5" w:rsidP="00CD69C5">
      <w:pPr>
        <w:pStyle w:val="NoSpacing"/>
        <w:rPr>
          <w:rFonts w:ascii="Verdana" w:eastAsia="Times New Roman" w:hAnsi="Verdana" w:cs="Segoe UI"/>
          <w:color w:val="000000"/>
          <w:shd w:val="clear" w:color="auto" w:fill="FFFFFF"/>
        </w:rPr>
      </w:pPr>
      <w:r>
        <w:rPr>
          <w:rStyle w:val="FootnoteReference"/>
        </w:rPr>
        <w:footnoteRef/>
      </w:r>
      <w:r>
        <w:t xml:space="preserve"> </w:t>
      </w:r>
      <w:r w:rsidRPr="00CD69C5">
        <w:rPr>
          <w:rFonts w:ascii="Verdana" w:hAnsi="Verdana"/>
          <w:sz w:val="20"/>
          <w:szCs w:val="20"/>
        </w:rPr>
        <w:t>ibid p.</w:t>
      </w:r>
      <w:proofErr w:type="gramStart"/>
      <w:r w:rsidRPr="00CD69C5">
        <w:rPr>
          <w:rFonts w:ascii="Verdana" w:hAnsi="Verdana"/>
          <w:sz w:val="20"/>
          <w:szCs w:val="20"/>
        </w:rPr>
        <w:t>4;</w:t>
      </w:r>
      <w:proofErr w:type="gramEnd"/>
      <w:r w:rsidRPr="00CD69C5">
        <w:rPr>
          <w:rFonts w:ascii="Verdana" w:hAnsi="Verdana"/>
          <w:sz w:val="20"/>
          <w:szCs w:val="20"/>
        </w:rPr>
        <w:t xml:space="preserve"> </w:t>
      </w:r>
      <w:r w:rsidRPr="00CD69C5">
        <w:rPr>
          <w:rFonts w:ascii="Verdana" w:eastAsia="Times New Roman" w:hAnsi="Verdana" w:cs="Segoe UI"/>
          <w:color w:val="000000"/>
          <w:sz w:val="20"/>
          <w:szCs w:val="20"/>
          <w:shd w:val="clear" w:color="auto" w:fill="FFFFFF"/>
        </w:rPr>
        <w:t>According</w:t>
      </w:r>
      <w:r>
        <w:rPr>
          <w:rFonts w:ascii="Verdana" w:eastAsia="Times New Roman" w:hAnsi="Verdana" w:cs="Segoe UI"/>
          <w:color w:val="000000"/>
          <w:sz w:val="20"/>
          <w:szCs w:val="20"/>
          <w:shd w:val="clear" w:color="auto" w:fill="FFFFFF"/>
        </w:rPr>
        <w:t xml:space="preserve"> to Isaacson (p.6), t</w:t>
      </w:r>
      <w:r w:rsidRPr="00CD69C5">
        <w:rPr>
          <w:rFonts w:ascii="Verdana" w:eastAsia="Times New Roman" w:hAnsi="Verdana" w:cs="Segoe UI"/>
          <w:color w:val="000000"/>
          <w:sz w:val="20"/>
          <w:szCs w:val="20"/>
          <w:shd w:val="clear" w:color="auto" w:fill="FFFFFF"/>
        </w:rPr>
        <w:t>his thinking, however, has been found to be incongruent and patronising by Holocaust survivors</w:t>
      </w:r>
      <w:r>
        <w:rPr>
          <w:rFonts w:ascii="Verdana" w:eastAsia="Times New Roman" w:hAnsi="Verdana" w:cs="Segoe UI"/>
          <w:color w:val="000000"/>
          <w:sz w:val="20"/>
          <w:szCs w:val="20"/>
          <w:shd w:val="clear" w:color="auto" w:fill="FFFFFF"/>
        </w:rPr>
        <w:t>.</w:t>
      </w:r>
      <w:r w:rsidRPr="0031484D">
        <w:rPr>
          <w:rFonts w:ascii="Verdana" w:eastAsia="Times New Roman" w:hAnsi="Verdana" w:cs="Segoe UI"/>
          <w:color w:val="000000"/>
          <w:shd w:val="clear" w:color="auto" w:fill="FFFFFF"/>
        </w:rPr>
        <w:t xml:space="preserve"> </w:t>
      </w:r>
    </w:p>
  </w:footnote>
  <w:footnote w:id="27">
    <w:p w14:paraId="36D21146" w14:textId="235D2417" w:rsidR="00CD69C5" w:rsidRPr="00CD69C5" w:rsidRDefault="00CD69C5">
      <w:pPr>
        <w:pStyle w:val="FootnoteText"/>
      </w:pPr>
      <w:r>
        <w:rPr>
          <w:rStyle w:val="FootnoteReference"/>
        </w:rPr>
        <w:footnoteRef/>
      </w:r>
      <w:r>
        <w:t xml:space="preserve"> </w:t>
      </w:r>
      <w:r>
        <w:rPr>
          <w:rFonts w:ascii="Verdana" w:hAnsi="Verdana"/>
        </w:rPr>
        <w:t xml:space="preserve">S. </w:t>
      </w:r>
      <w:r w:rsidRPr="0033353A">
        <w:rPr>
          <w:rFonts w:ascii="Verdana" w:hAnsi="Verdana"/>
          <w:color w:val="000000"/>
        </w:rPr>
        <w:t>Weiss</w:t>
      </w:r>
      <w:r>
        <w:rPr>
          <w:rFonts w:ascii="Verdana" w:hAnsi="Verdana"/>
          <w:color w:val="000000"/>
        </w:rPr>
        <w:t xml:space="preserve"> </w:t>
      </w:r>
      <w:r w:rsidRPr="0033353A">
        <w:rPr>
          <w:rFonts w:ascii="Verdana" w:hAnsi="Verdana"/>
          <w:i/>
          <w:iCs/>
          <w:color w:val="000000"/>
        </w:rPr>
        <w:t>Ethical Ambiguity in the Hebrew Bible</w:t>
      </w:r>
      <w:r>
        <w:rPr>
          <w:rFonts w:ascii="Verdana" w:hAnsi="Verdana"/>
          <w:i/>
          <w:iCs/>
          <w:color w:val="000000"/>
        </w:rPr>
        <w:t xml:space="preserve"> </w:t>
      </w:r>
      <w:r>
        <w:rPr>
          <w:rFonts w:ascii="Verdana" w:hAnsi="Verdana"/>
          <w:color w:val="000000"/>
        </w:rPr>
        <w:t>p.21</w:t>
      </w:r>
    </w:p>
  </w:footnote>
  <w:footnote w:id="28">
    <w:p w14:paraId="12619680" w14:textId="55129838" w:rsidR="00CD69C5" w:rsidRPr="00CD69C5" w:rsidRDefault="00CD69C5">
      <w:pPr>
        <w:pStyle w:val="FootnoteText"/>
        <w:rPr>
          <w:rFonts w:ascii="Verdana" w:hAnsi="Verdana"/>
        </w:rPr>
      </w:pPr>
      <w:r>
        <w:rPr>
          <w:rStyle w:val="FootnoteReference"/>
        </w:rPr>
        <w:footnoteRef/>
      </w:r>
      <w:r>
        <w:t xml:space="preserve"> </w:t>
      </w:r>
      <w:r>
        <w:rPr>
          <w:rFonts w:ascii="Verdana" w:hAnsi="Verdana"/>
        </w:rPr>
        <w:t>ibid p.24</w:t>
      </w:r>
    </w:p>
  </w:footnote>
  <w:footnote w:id="29">
    <w:p w14:paraId="6D26EDCF" w14:textId="10E5BC3A" w:rsidR="00CD69C5" w:rsidRDefault="00CD69C5">
      <w:pPr>
        <w:pStyle w:val="FootnoteText"/>
      </w:pPr>
      <w:r>
        <w:rPr>
          <w:rStyle w:val="FootnoteReference"/>
        </w:rPr>
        <w:footnoteRef/>
      </w:r>
      <w:r>
        <w:t xml:space="preserve"> </w:t>
      </w:r>
      <w:r>
        <w:rPr>
          <w:rFonts w:ascii="Verdana" w:hAnsi="Verdana"/>
        </w:rPr>
        <w:t>ibid p.2</w:t>
      </w:r>
      <w:r>
        <w:rPr>
          <w:rFonts w:ascii="Verdana" w:hAnsi="Verdana"/>
        </w:rPr>
        <w:t>5</w:t>
      </w:r>
    </w:p>
  </w:footnote>
  <w:footnote w:id="30">
    <w:p w14:paraId="04E30979" w14:textId="6B8C7B9F" w:rsidR="00CD69C5" w:rsidRDefault="00CD69C5">
      <w:pPr>
        <w:pStyle w:val="FootnoteText"/>
      </w:pPr>
      <w:r>
        <w:rPr>
          <w:rStyle w:val="FootnoteReference"/>
        </w:rPr>
        <w:footnoteRef/>
      </w:r>
      <w:r>
        <w:t xml:space="preserve"> </w:t>
      </w:r>
      <w:r>
        <w:rPr>
          <w:rFonts w:ascii="Verdana" w:hAnsi="Verdana"/>
        </w:rPr>
        <w:t>ibid p.2</w:t>
      </w:r>
      <w:r>
        <w:rPr>
          <w:rFonts w:ascii="Verdana" w:hAnsi="Verdana"/>
        </w:rPr>
        <w:t>5</w:t>
      </w:r>
    </w:p>
  </w:footnote>
  <w:footnote w:id="31">
    <w:p w14:paraId="562B6AB3" w14:textId="74B3E82C" w:rsidR="00CD69C5" w:rsidRDefault="00CD69C5">
      <w:pPr>
        <w:pStyle w:val="FootnoteText"/>
      </w:pPr>
      <w:r>
        <w:rPr>
          <w:rStyle w:val="FootnoteReference"/>
        </w:rPr>
        <w:footnoteRef/>
      </w:r>
      <w:r>
        <w:t xml:space="preserve"> </w:t>
      </w:r>
      <w:r>
        <w:rPr>
          <w:rFonts w:ascii="Verdana" w:hAnsi="Verdana"/>
        </w:rPr>
        <w:t>ibid p.2</w:t>
      </w:r>
      <w:r>
        <w:rPr>
          <w:rFonts w:ascii="Verdana" w:hAnsi="Verdana"/>
        </w:rPr>
        <w:t>5</w:t>
      </w:r>
    </w:p>
  </w:footnote>
  <w:footnote w:id="32">
    <w:p w14:paraId="731EF10F" w14:textId="1506C3D6" w:rsidR="008127C8" w:rsidRDefault="008127C8">
      <w:pPr>
        <w:pStyle w:val="FootnoteText"/>
      </w:pPr>
      <w:r>
        <w:rPr>
          <w:rStyle w:val="FootnoteReference"/>
        </w:rPr>
        <w:footnoteRef/>
      </w:r>
      <w:r>
        <w:t xml:space="preserve"> </w:t>
      </w:r>
      <w:r>
        <w:rPr>
          <w:rFonts w:ascii="Verdana" w:hAnsi="Verdana"/>
        </w:rPr>
        <w:t>ibid p.2</w:t>
      </w:r>
      <w:r>
        <w:rPr>
          <w:rFonts w:ascii="Verdana" w:hAnsi="Verdana"/>
        </w:rPr>
        <w:t>6</w:t>
      </w:r>
    </w:p>
  </w:footnote>
  <w:footnote w:id="33">
    <w:p w14:paraId="18F3B387" w14:textId="5C0B7ADC" w:rsidR="008127C8" w:rsidRDefault="008127C8">
      <w:pPr>
        <w:pStyle w:val="FootnoteText"/>
      </w:pPr>
      <w:r>
        <w:rPr>
          <w:rStyle w:val="FootnoteReference"/>
        </w:rPr>
        <w:footnoteRef/>
      </w:r>
      <w:r>
        <w:t xml:space="preserve"> </w:t>
      </w:r>
      <w:r w:rsidR="00FD792F">
        <w:rPr>
          <w:rFonts w:ascii="Verdana" w:hAnsi="Verdana"/>
        </w:rPr>
        <w:t xml:space="preserve">E. </w:t>
      </w:r>
      <w:r w:rsidRPr="00765921">
        <w:rPr>
          <w:rFonts w:ascii="Verdana" w:hAnsi="Verdana" w:cs="Tahoma"/>
          <w:bCs/>
          <w:color w:val="212121"/>
          <w:shd w:val="clear" w:color="auto" w:fill="FFFFFF"/>
        </w:rPr>
        <w:t>Isaacson “Musical Perspectives on the Binding of Isaac Story in the 20</w:t>
      </w:r>
      <w:r w:rsidRPr="00765921">
        <w:rPr>
          <w:rFonts w:ascii="Verdana" w:hAnsi="Verdana" w:cs="Tahoma"/>
          <w:bCs/>
          <w:color w:val="212121"/>
          <w:shd w:val="clear" w:color="auto" w:fill="FFFFFF"/>
          <w:vertAlign w:val="superscript"/>
        </w:rPr>
        <w:t>th</w:t>
      </w:r>
      <w:r w:rsidRPr="00765921">
        <w:rPr>
          <w:rFonts w:ascii="Verdana" w:hAnsi="Verdana" w:cs="Tahoma"/>
          <w:bCs/>
          <w:color w:val="212121"/>
          <w:shd w:val="clear" w:color="auto" w:fill="FFFFFF"/>
        </w:rPr>
        <w:t xml:space="preserve"> Century</w:t>
      </w:r>
      <w:r>
        <w:rPr>
          <w:rFonts w:ascii="Verdana" w:hAnsi="Verdana" w:cs="Tahoma"/>
          <w:bCs/>
          <w:color w:val="212121"/>
          <w:shd w:val="clear" w:color="auto" w:fill="FFFFFF"/>
        </w:rPr>
        <w:t>” p.37</w:t>
      </w:r>
    </w:p>
  </w:footnote>
  <w:footnote w:id="34">
    <w:p w14:paraId="4B7A6699" w14:textId="74FB2A92" w:rsidR="008127C8" w:rsidRDefault="008127C8">
      <w:pPr>
        <w:pStyle w:val="FootnoteText"/>
      </w:pPr>
      <w:r>
        <w:rPr>
          <w:rStyle w:val="FootnoteReference"/>
        </w:rPr>
        <w:footnoteRef/>
      </w:r>
      <w:r>
        <w:t xml:space="preserve"> </w:t>
      </w:r>
      <w:r>
        <w:rPr>
          <w:rFonts w:ascii="Verdana" w:hAnsi="Verdana"/>
        </w:rPr>
        <w:t xml:space="preserve">S. </w:t>
      </w:r>
      <w:r>
        <w:rPr>
          <w:rFonts w:ascii="Verdana" w:hAnsi="Verdana"/>
          <w:color w:val="000000"/>
        </w:rPr>
        <w:t xml:space="preserve">Kierkegaard </w:t>
      </w:r>
      <w:r>
        <w:rPr>
          <w:rFonts w:ascii="Verdana" w:hAnsi="Verdana"/>
          <w:i/>
          <w:iCs/>
          <w:color w:val="000000"/>
        </w:rPr>
        <w:t>Fear and Trembling</w:t>
      </w:r>
      <w:r>
        <w:rPr>
          <w:rFonts w:ascii="Verdana" w:hAnsi="Verdana"/>
          <w:i/>
          <w:iCs/>
          <w:color w:val="000000"/>
        </w:rPr>
        <w:t xml:space="preserve"> </w:t>
      </w:r>
      <w:r>
        <w:rPr>
          <w:rFonts w:ascii="Verdana" w:hAnsi="Verdana"/>
          <w:color w:val="000000"/>
        </w:rPr>
        <w:t>(2005) London</w:t>
      </w:r>
      <w:r>
        <w:rPr>
          <w:rFonts w:ascii="Verdana" w:hAnsi="Verdana"/>
          <w:color w:val="000000"/>
        </w:rPr>
        <w:t xml:space="preserve"> p.10</w:t>
      </w:r>
    </w:p>
  </w:footnote>
  <w:footnote w:id="35">
    <w:p w14:paraId="167BF282" w14:textId="43110FFA" w:rsidR="008127C8" w:rsidRDefault="008127C8">
      <w:pPr>
        <w:pStyle w:val="FootnoteText"/>
      </w:pPr>
      <w:r>
        <w:rPr>
          <w:rStyle w:val="FootnoteReference"/>
        </w:rPr>
        <w:footnoteRef/>
      </w:r>
      <w:r>
        <w:t xml:space="preserve"> </w:t>
      </w:r>
      <w:r>
        <w:rPr>
          <w:rFonts w:ascii="Verdana" w:hAnsi="Verdana"/>
          <w:color w:val="000000"/>
        </w:rPr>
        <w:t>ibid p.10</w:t>
      </w:r>
    </w:p>
  </w:footnote>
  <w:footnote w:id="36">
    <w:p w14:paraId="0001D7AB" w14:textId="13358F06" w:rsidR="008127C8" w:rsidRDefault="008127C8">
      <w:pPr>
        <w:pStyle w:val="FootnoteText"/>
      </w:pPr>
      <w:r>
        <w:rPr>
          <w:rStyle w:val="FootnoteReference"/>
        </w:rPr>
        <w:footnoteRef/>
      </w:r>
      <w:r>
        <w:t xml:space="preserve"> </w:t>
      </w:r>
      <w:r>
        <w:rPr>
          <w:rFonts w:ascii="Verdana" w:hAnsi="Verdana"/>
          <w:color w:val="000000"/>
        </w:rPr>
        <w:t>ibid p.10</w:t>
      </w:r>
    </w:p>
  </w:footnote>
  <w:footnote w:id="37">
    <w:p w14:paraId="123BC04E" w14:textId="21B087EB" w:rsidR="008127C8" w:rsidRDefault="008127C8">
      <w:pPr>
        <w:pStyle w:val="FootnoteText"/>
      </w:pPr>
      <w:r>
        <w:rPr>
          <w:rStyle w:val="FootnoteReference"/>
        </w:rPr>
        <w:footnoteRef/>
      </w:r>
      <w:r>
        <w:t xml:space="preserve"> </w:t>
      </w:r>
      <w:r>
        <w:rPr>
          <w:rFonts w:ascii="Verdana" w:hAnsi="Verdana"/>
          <w:color w:val="000000"/>
        </w:rPr>
        <w:t>ibid p.10</w:t>
      </w:r>
    </w:p>
  </w:footnote>
  <w:footnote w:id="38">
    <w:p w14:paraId="1BD5A086" w14:textId="18B10E59" w:rsidR="008127C8" w:rsidRDefault="008127C8">
      <w:pPr>
        <w:pStyle w:val="FootnoteText"/>
      </w:pPr>
      <w:r>
        <w:rPr>
          <w:rStyle w:val="FootnoteReference"/>
        </w:rPr>
        <w:footnoteRef/>
      </w:r>
      <w:r>
        <w:t xml:space="preserve"> </w:t>
      </w:r>
      <w:r>
        <w:rPr>
          <w:rFonts w:ascii="Verdana" w:hAnsi="Verdana"/>
          <w:color w:val="000000"/>
        </w:rPr>
        <w:t>ibid p.10</w:t>
      </w:r>
    </w:p>
  </w:footnote>
  <w:footnote w:id="39">
    <w:p w14:paraId="2ECB5E0A" w14:textId="75195749" w:rsidR="008127C8" w:rsidRDefault="008127C8">
      <w:pPr>
        <w:pStyle w:val="FootnoteText"/>
      </w:pPr>
      <w:r>
        <w:rPr>
          <w:rStyle w:val="FootnoteReference"/>
        </w:rPr>
        <w:footnoteRef/>
      </w:r>
      <w:r>
        <w:t xml:space="preserve"> </w:t>
      </w:r>
      <w:r>
        <w:rPr>
          <w:rFonts w:ascii="Verdana" w:hAnsi="Verdana"/>
          <w:color w:val="000000"/>
        </w:rPr>
        <w:t>ibid p.1</w:t>
      </w:r>
      <w:r>
        <w:rPr>
          <w:rFonts w:ascii="Verdana" w:hAnsi="Verdana"/>
          <w:color w:val="000000"/>
        </w:rPr>
        <w:t>1</w:t>
      </w:r>
    </w:p>
  </w:footnote>
  <w:footnote w:id="40">
    <w:p w14:paraId="04F76D0B" w14:textId="66F3D2D8" w:rsidR="008127C8" w:rsidRDefault="008127C8">
      <w:pPr>
        <w:pStyle w:val="FootnoteText"/>
      </w:pPr>
      <w:r>
        <w:rPr>
          <w:rStyle w:val="FootnoteReference"/>
        </w:rPr>
        <w:footnoteRef/>
      </w:r>
      <w:r>
        <w:t xml:space="preserve"> </w:t>
      </w:r>
      <w:r>
        <w:rPr>
          <w:rFonts w:ascii="Verdana" w:hAnsi="Verdana"/>
          <w:color w:val="000000"/>
        </w:rPr>
        <w:t>ibid p.1</w:t>
      </w:r>
      <w:r>
        <w:rPr>
          <w:rFonts w:ascii="Verdana" w:hAnsi="Verdana"/>
          <w:color w:val="000000"/>
        </w:rPr>
        <w:t>2</w:t>
      </w:r>
    </w:p>
  </w:footnote>
  <w:footnote w:id="41">
    <w:p w14:paraId="29818EB5" w14:textId="0F75DE2B" w:rsidR="008127C8" w:rsidRDefault="008127C8">
      <w:pPr>
        <w:pStyle w:val="FootnoteText"/>
      </w:pPr>
      <w:r>
        <w:rPr>
          <w:rStyle w:val="FootnoteReference"/>
        </w:rPr>
        <w:footnoteRef/>
      </w:r>
      <w:r>
        <w:t xml:space="preserve"> </w:t>
      </w:r>
      <w:r>
        <w:rPr>
          <w:rFonts w:ascii="Verdana" w:hAnsi="Verdana"/>
          <w:color w:val="000000"/>
        </w:rPr>
        <w:t>ibid p.1</w:t>
      </w:r>
      <w:r>
        <w:rPr>
          <w:rFonts w:ascii="Verdana" w:hAnsi="Verdana"/>
          <w:color w:val="000000"/>
        </w:rPr>
        <w:t>3</w:t>
      </w:r>
    </w:p>
  </w:footnote>
  <w:footnote w:id="42">
    <w:p w14:paraId="3CB10F87" w14:textId="19DA4F81" w:rsidR="008127C8" w:rsidRDefault="008127C8">
      <w:pPr>
        <w:pStyle w:val="FootnoteText"/>
      </w:pPr>
      <w:r>
        <w:rPr>
          <w:rStyle w:val="FootnoteReference"/>
        </w:rPr>
        <w:footnoteRef/>
      </w:r>
      <w:r>
        <w:t xml:space="preserve"> </w:t>
      </w:r>
      <w:r>
        <w:rPr>
          <w:rFonts w:ascii="Verdana" w:hAnsi="Verdana"/>
        </w:rPr>
        <w:t xml:space="preserve">S. </w:t>
      </w:r>
      <w:r w:rsidRPr="0033353A">
        <w:rPr>
          <w:rFonts w:ascii="Verdana" w:hAnsi="Verdana"/>
          <w:color w:val="000000"/>
        </w:rPr>
        <w:t>Weiss</w:t>
      </w:r>
      <w:r>
        <w:rPr>
          <w:rFonts w:ascii="Verdana" w:hAnsi="Verdana"/>
          <w:color w:val="000000"/>
        </w:rPr>
        <w:t xml:space="preserve"> </w:t>
      </w:r>
      <w:r w:rsidRPr="0033353A">
        <w:rPr>
          <w:rFonts w:ascii="Verdana" w:hAnsi="Verdana"/>
          <w:i/>
          <w:iCs/>
          <w:color w:val="000000"/>
        </w:rPr>
        <w:t>Ethical Ambiguity in the Hebrew Bible</w:t>
      </w:r>
      <w:r>
        <w:rPr>
          <w:rFonts w:ascii="Verdana" w:hAnsi="Verdana"/>
          <w:i/>
          <w:iCs/>
          <w:color w:val="000000"/>
        </w:rPr>
        <w:t xml:space="preserve"> </w:t>
      </w:r>
      <w:r>
        <w:rPr>
          <w:rFonts w:ascii="Verdana" w:hAnsi="Verdana"/>
          <w:color w:val="000000"/>
        </w:rPr>
        <w:t>p.2</w:t>
      </w:r>
      <w:r>
        <w:rPr>
          <w:rFonts w:ascii="Verdana" w:hAnsi="Verdana"/>
          <w:color w:val="000000"/>
        </w:rPr>
        <w:t>6</w:t>
      </w:r>
    </w:p>
  </w:footnote>
  <w:footnote w:id="43">
    <w:p w14:paraId="62B56DF5" w14:textId="0C21E440" w:rsidR="008127C8" w:rsidRDefault="008127C8">
      <w:pPr>
        <w:pStyle w:val="FootnoteText"/>
      </w:pPr>
      <w:r>
        <w:rPr>
          <w:rStyle w:val="FootnoteReference"/>
        </w:rPr>
        <w:footnoteRef/>
      </w:r>
      <w:r>
        <w:t xml:space="preserve"> </w:t>
      </w:r>
      <w:r>
        <w:rPr>
          <w:rFonts w:ascii="Verdana" w:hAnsi="Verdana"/>
        </w:rPr>
        <w:t xml:space="preserve">J. </w:t>
      </w:r>
      <w:r>
        <w:rPr>
          <w:rFonts w:ascii="Verdana" w:hAnsi="Verdana"/>
          <w:color w:val="000000"/>
        </w:rPr>
        <w:t xml:space="preserve">Lippitt </w:t>
      </w:r>
      <w:proofErr w:type="gramStart"/>
      <w:r>
        <w:rPr>
          <w:rFonts w:ascii="Verdana" w:hAnsi="Verdana"/>
          <w:i/>
          <w:iCs/>
          <w:color w:val="000000"/>
        </w:rPr>
        <w:t>The</w:t>
      </w:r>
      <w:proofErr w:type="gramEnd"/>
      <w:r>
        <w:rPr>
          <w:rFonts w:ascii="Verdana" w:hAnsi="Verdana"/>
          <w:i/>
          <w:iCs/>
          <w:color w:val="000000"/>
        </w:rPr>
        <w:t xml:space="preserve"> Routledge Guidebook to Kierkegaard's Fear and Trembling</w:t>
      </w:r>
      <w:r>
        <w:rPr>
          <w:rFonts w:ascii="Verdana" w:hAnsi="Verdana"/>
          <w:color w:val="000000"/>
        </w:rPr>
        <w:t>. (2016)</w:t>
      </w:r>
      <w:r>
        <w:rPr>
          <w:rFonts w:ascii="Verdana" w:hAnsi="Verdana"/>
          <w:color w:val="000000"/>
        </w:rPr>
        <w:t xml:space="preserve"> </w:t>
      </w:r>
      <w:r>
        <w:rPr>
          <w:rFonts w:ascii="Verdana" w:hAnsi="Verdana"/>
          <w:color w:val="000000"/>
        </w:rPr>
        <w:t>Abingdon</w:t>
      </w:r>
      <w:r>
        <w:rPr>
          <w:rFonts w:ascii="Verdana" w:hAnsi="Verdana"/>
          <w:color w:val="000000"/>
        </w:rPr>
        <w:t xml:space="preserve"> p.14</w:t>
      </w:r>
    </w:p>
  </w:footnote>
  <w:footnote w:id="44">
    <w:p w14:paraId="5FB7F9E4" w14:textId="5229AB86" w:rsidR="008127C8" w:rsidRPr="008127C8" w:rsidRDefault="008127C8" w:rsidP="008127C8">
      <w:pPr>
        <w:rPr>
          <w:rFonts w:ascii="Verdana" w:hAnsi="Verdana"/>
          <w:color w:val="000000"/>
          <w:sz w:val="20"/>
          <w:szCs w:val="20"/>
        </w:rPr>
      </w:pPr>
      <w:r>
        <w:rPr>
          <w:rStyle w:val="FootnoteReference"/>
        </w:rPr>
        <w:footnoteRef/>
      </w:r>
      <w:r>
        <w:t xml:space="preserve"> </w:t>
      </w:r>
      <w:proofErr w:type="spellStart"/>
      <w:proofErr w:type="gramStart"/>
      <w:r w:rsidRPr="008127C8">
        <w:rPr>
          <w:rFonts w:ascii="Verdana" w:hAnsi="Verdana"/>
          <w:sz w:val="20"/>
          <w:szCs w:val="20"/>
        </w:rPr>
        <w:t>G.</w:t>
      </w:r>
      <w:r w:rsidRPr="0033353A">
        <w:rPr>
          <w:rFonts w:ascii="Verdana" w:hAnsi="Verdana"/>
          <w:color w:val="000000"/>
          <w:sz w:val="20"/>
          <w:szCs w:val="20"/>
        </w:rPr>
        <w:t>Dargan</w:t>
      </w:r>
      <w:proofErr w:type="spellEnd"/>
      <w:proofErr w:type="gramEnd"/>
      <w:r w:rsidRPr="0033353A">
        <w:rPr>
          <w:rFonts w:ascii="Verdana" w:hAnsi="Verdana"/>
          <w:color w:val="000000"/>
          <w:sz w:val="20"/>
          <w:szCs w:val="20"/>
        </w:rPr>
        <w:t xml:space="preserve"> Telos and the 'Incommensurable Gap': Ethical Suspensions in Kierkegaard and Zizek. (2014) </w:t>
      </w:r>
      <w:r w:rsidRPr="0033353A">
        <w:rPr>
          <w:rFonts w:ascii="Verdana" w:hAnsi="Verdana"/>
          <w:i/>
          <w:iCs/>
          <w:color w:val="000000"/>
          <w:sz w:val="20"/>
          <w:szCs w:val="20"/>
        </w:rPr>
        <w:t xml:space="preserve">The </w:t>
      </w:r>
      <w:proofErr w:type="spellStart"/>
      <w:r w:rsidRPr="0033353A">
        <w:rPr>
          <w:rFonts w:ascii="Verdana" w:hAnsi="Verdana"/>
          <w:i/>
          <w:iCs/>
          <w:color w:val="000000"/>
          <w:sz w:val="20"/>
          <w:szCs w:val="20"/>
        </w:rPr>
        <w:t>Heythrop</w:t>
      </w:r>
      <w:proofErr w:type="spellEnd"/>
      <w:r w:rsidRPr="0033353A">
        <w:rPr>
          <w:rFonts w:ascii="Verdana" w:hAnsi="Verdana"/>
          <w:i/>
          <w:iCs/>
          <w:color w:val="000000"/>
          <w:sz w:val="20"/>
          <w:szCs w:val="20"/>
        </w:rPr>
        <w:t xml:space="preserve"> Journal</w:t>
      </w:r>
      <w:r w:rsidRPr="0033353A">
        <w:rPr>
          <w:rFonts w:ascii="Verdana" w:hAnsi="Verdana"/>
          <w:color w:val="000000"/>
          <w:sz w:val="20"/>
          <w:szCs w:val="20"/>
        </w:rPr>
        <w:t xml:space="preserve">. </w:t>
      </w:r>
      <w:r>
        <w:rPr>
          <w:rFonts w:ascii="Verdana" w:hAnsi="Verdana"/>
          <w:color w:val="000000"/>
          <w:sz w:val="20"/>
          <w:szCs w:val="20"/>
        </w:rPr>
        <w:t>p.962</w:t>
      </w:r>
    </w:p>
  </w:footnote>
  <w:footnote w:id="45">
    <w:p w14:paraId="037C5629" w14:textId="38F213C4" w:rsidR="008127C8" w:rsidRPr="008127C8" w:rsidRDefault="008127C8">
      <w:pPr>
        <w:pStyle w:val="FootnoteText"/>
        <w:rPr>
          <w:rFonts w:ascii="Verdana" w:hAnsi="Verdana"/>
        </w:rPr>
      </w:pPr>
      <w:r>
        <w:rPr>
          <w:rStyle w:val="FootnoteReference"/>
        </w:rPr>
        <w:footnoteRef/>
      </w:r>
      <w:r>
        <w:t xml:space="preserve"> </w:t>
      </w:r>
      <w:r>
        <w:rPr>
          <w:rFonts w:ascii="Verdana" w:hAnsi="Verdana"/>
        </w:rPr>
        <w:t>ibid p.960</w:t>
      </w:r>
    </w:p>
  </w:footnote>
  <w:footnote w:id="46">
    <w:p w14:paraId="112285EE" w14:textId="0500E441" w:rsidR="008127C8" w:rsidRDefault="008127C8">
      <w:pPr>
        <w:pStyle w:val="FootnoteText"/>
      </w:pPr>
      <w:r>
        <w:rPr>
          <w:rStyle w:val="FootnoteReference"/>
        </w:rPr>
        <w:footnoteRef/>
      </w:r>
      <w:r>
        <w:t xml:space="preserve"> </w:t>
      </w:r>
      <w:r>
        <w:rPr>
          <w:rFonts w:ascii="Verdana" w:hAnsi="Verdana"/>
        </w:rPr>
        <w:t>ibid p.96</w:t>
      </w:r>
      <w:r>
        <w:rPr>
          <w:rFonts w:ascii="Verdana" w:hAnsi="Verdana"/>
        </w:rPr>
        <w:t>3</w:t>
      </w:r>
    </w:p>
  </w:footnote>
  <w:footnote w:id="47">
    <w:p w14:paraId="731E709E" w14:textId="0AF60356" w:rsidR="008127C8" w:rsidRDefault="008127C8">
      <w:pPr>
        <w:pStyle w:val="FootnoteText"/>
      </w:pPr>
      <w:r>
        <w:rPr>
          <w:rStyle w:val="FootnoteReference"/>
        </w:rPr>
        <w:footnoteRef/>
      </w:r>
      <w:r>
        <w:t xml:space="preserve"> </w:t>
      </w:r>
      <w:r>
        <w:rPr>
          <w:rFonts w:ascii="Verdana" w:hAnsi="Verdana"/>
        </w:rPr>
        <w:t>ibid p.96</w:t>
      </w:r>
      <w:r>
        <w:rPr>
          <w:rFonts w:ascii="Verdana" w:hAnsi="Verdana"/>
        </w:rPr>
        <w:t>3</w:t>
      </w:r>
    </w:p>
  </w:footnote>
  <w:footnote w:id="48">
    <w:p w14:paraId="4A699007" w14:textId="49392AAF" w:rsidR="008127C8" w:rsidRDefault="008127C8">
      <w:pPr>
        <w:pStyle w:val="FootnoteText"/>
      </w:pPr>
      <w:r>
        <w:rPr>
          <w:rStyle w:val="FootnoteReference"/>
        </w:rPr>
        <w:footnoteRef/>
      </w:r>
      <w:r>
        <w:t xml:space="preserve"> </w:t>
      </w:r>
      <w:r>
        <w:rPr>
          <w:rFonts w:ascii="Verdana" w:hAnsi="Verdana"/>
        </w:rPr>
        <w:t>ibid p.96</w:t>
      </w:r>
      <w:r>
        <w:rPr>
          <w:rFonts w:ascii="Verdana" w:hAnsi="Verdana"/>
        </w:rPr>
        <w:t>3</w:t>
      </w:r>
    </w:p>
  </w:footnote>
  <w:footnote w:id="49">
    <w:p w14:paraId="677FDB16" w14:textId="0B948A07" w:rsidR="00FD792F" w:rsidRDefault="00FD792F">
      <w:pPr>
        <w:pStyle w:val="FootnoteText"/>
      </w:pPr>
      <w:r>
        <w:rPr>
          <w:rStyle w:val="FootnoteReference"/>
        </w:rPr>
        <w:footnoteRef/>
      </w:r>
      <w:r>
        <w:t xml:space="preserve"> </w:t>
      </w:r>
      <w:r>
        <w:rPr>
          <w:rFonts w:ascii="Verdana" w:hAnsi="Verdana"/>
        </w:rPr>
        <w:t xml:space="preserve">S. </w:t>
      </w:r>
      <w:r>
        <w:rPr>
          <w:rFonts w:ascii="Verdana" w:hAnsi="Verdana"/>
          <w:color w:val="000000"/>
        </w:rPr>
        <w:t xml:space="preserve">Kierkegaard </w:t>
      </w:r>
      <w:r>
        <w:rPr>
          <w:rFonts w:ascii="Verdana" w:hAnsi="Verdana"/>
          <w:i/>
          <w:iCs/>
          <w:color w:val="000000"/>
        </w:rPr>
        <w:t xml:space="preserve">Fear and Trembling </w:t>
      </w:r>
      <w:r>
        <w:rPr>
          <w:rFonts w:ascii="Verdana" w:hAnsi="Verdana"/>
          <w:color w:val="000000"/>
        </w:rPr>
        <w:t xml:space="preserve">(2005) London </w:t>
      </w:r>
      <w:r>
        <w:rPr>
          <w:rFonts w:ascii="Verdana" w:hAnsi="Verdana"/>
          <w:color w:val="000000"/>
        </w:rPr>
        <w:t>pp.49-52</w:t>
      </w:r>
    </w:p>
  </w:footnote>
  <w:footnote w:id="50">
    <w:p w14:paraId="01AF3FA9" w14:textId="184F10A2" w:rsidR="00FD792F" w:rsidRDefault="00FD792F">
      <w:pPr>
        <w:pStyle w:val="FootnoteText"/>
      </w:pPr>
      <w:r>
        <w:rPr>
          <w:rStyle w:val="FootnoteReference"/>
        </w:rPr>
        <w:footnoteRef/>
      </w:r>
      <w:r>
        <w:t xml:space="preserve"> </w:t>
      </w:r>
      <w:r>
        <w:rPr>
          <w:rFonts w:ascii="Verdana" w:hAnsi="Verdana"/>
        </w:rPr>
        <w:t xml:space="preserve">E. </w:t>
      </w:r>
      <w:r w:rsidRPr="00765921">
        <w:rPr>
          <w:rFonts w:ascii="Verdana" w:hAnsi="Verdana" w:cs="Tahoma"/>
          <w:bCs/>
          <w:color w:val="212121"/>
          <w:shd w:val="clear" w:color="auto" w:fill="FFFFFF"/>
        </w:rPr>
        <w:t>Isaacson “Musical Perspectives on the Binding of Isaac Story in the 20</w:t>
      </w:r>
      <w:r w:rsidRPr="00765921">
        <w:rPr>
          <w:rFonts w:ascii="Verdana" w:hAnsi="Verdana" w:cs="Tahoma"/>
          <w:bCs/>
          <w:color w:val="212121"/>
          <w:shd w:val="clear" w:color="auto" w:fill="FFFFFF"/>
          <w:vertAlign w:val="superscript"/>
        </w:rPr>
        <w:t>th</w:t>
      </w:r>
      <w:r w:rsidRPr="00765921">
        <w:rPr>
          <w:rFonts w:ascii="Verdana" w:hAnsi="Verdana" w:cs="Tahoma"/>
          <w:bCs/>
          <w:color w:val="212121"/>
          <w:shd w:val="clear" w:color="auto" w:fill="FFFFFF"/>
        </w:rPr>
        <w:t xml:space="preserve"> Century</w:t>
      </w:r>
      <w:r>
        <w:rPr>
          <w:rFonts w:ascii="Verdana" w:hAnsi="Verdana" w:cs="Tahoma"/>
          <w:bCs/>
          <w:color w:val="212121"/>
          <w:shd w:val="clear" w:color="auto" w:fill="FFFFFF"/>
        </w:rPr>
        <w:t>” p.3</w:t>
      </w:r>
      <w:r>
        <w:rPr>
          <w:rFonts w:ascii="Verdana" w:hAnsi="Verdana" w:cs="Tahoma"/>
          <w:bCs/>
          <w:color w:val="212121"/>
          <w:shd w:val="clear" w:color="auto" w:fill="FFFFFF"/>
        </w:rPr>
        <w:t>8-39</w:t>
      </w:r>
    </w:p>
  </w:footnote>
  <w:footnote w:id="51">
    <w:p w14:paraId="0F31A296" w14:textId="2E8E0D08" w:rsidR="00FD792F" w:rsidRDefault="00FD792F">
      <w:pPr>
        <w:pStyle w:val="FootnoteText"/>
      </w:pPr>
      <w:r>
        <w:rPr>
          <w:rStyle w:val="FootnoteReference"/>
        </w:rPr>
        <w:footnoteRef/>
      </w:r>
      <w:r>
        <w:t xml:space="preserve"> </w:t>
      </w:r>
      <w:r>
        <w:rPr>
          <w:rFonts w:ascii="Verdana" w:hAnsi="Verdana"/>
        </w:rPr>
        <w:t xml:space="preserve">S. </w:t>
      </w:r>
      <w:r w:rsidRPr="0033353A">
        <w:rPr>
          <w:rFonts w:ascii="Verdana" w:hAnsi="Verdana"/>
          <w:color w:val="000000"/>
        </w:rPr>
        <w:t>Weiss</w:t>
      </w:r>
      <w:r>
        <w:rPr>
          <w:rFonts w:ascii="Verdana" w:hAnsi="Verdana"/>
          <w:color w:val="000000"/>
        </w:rPr>
        <w:t xml:space="preserve"> </w:t>
      </w:r>
      <w:r w:rsidRPr="0033353A">
        <w:rPr>
          <w:rFonts w:ascii="Verdana" w:hAnsi="Verdana"/>
          <w:i/>
          <w:iCs/>
          <w:color w:val="000000"/>
        </w:rPr>
        <w:t>Ethical Ambiguity in the Hebrew Bible</w:t>
      </w:r>
      <w:r>
        <w:rPr>
          <w:rFonts w:ascii="Verdana" w:hAnsi="Verdana"/>
          <w:i/>
          <w:iCs/>
          <w:color w:val="000000"/>
        </w:rPr>
        <w:t xml:space="preserve"> </w:t>
      </w:r>
      <w:r>
        <w:rPr>
          <w:rFonts w:ascii="Verdana" w:hAnsi="Verdana"/>
          <w:color w:val="000000"/>
        </w:rPr>
        <w:t>p.2</w:t>
      </w:r>
      <w:r>
        <w:rPr>
          <w:rFonts w:ascii="Verdana" w:hAnsi="Verdana"/>
          <w:color w:val="000000"/>
        </w:rPr>
        <w:t>7</w:t>
      </w:r>
    </w:p>
  </w:footnote>
  <w:footnote w:id="52">
    <w:p w14:paraId="604C4D0D" w14:textId="5BB0B237" w:rsidR="00967B01" w:rsidRDefault="00967B01">
      <w:pPr>
        <w:pStyle w:val="FootnoteText"/>
      </w:pPr>
      <w:r>
        <w:rPr>
          <w:rStyle w:val="FootnoteReference"/>
        </w:rPr>
        <w:footnoteRef/>
      </w:r>
      <w:r>
        <w:t xml:space="preserve"> </w:t>
      </w:r>
      <w:r>
        <w:rPr>
          <w:rFonts w:ascii="Verdana" w:hAnsi="Verdana"/>
        </w:rPr>
        <w:t>ibid p.</w:t>
      </w:r>
      <w:r>
        <w:rPr>
          <w:rFonts w:ascii="Verdana" w:hAnsi="Verdana"/>
        </w:rPr>
        <w:t>28</w:t>
      </w:r>
    </w:p>
  </w:footnote>
  <w:footnote w:id="53">
    <w:p w14:paraId="51B41C4C" w14:textId="14046001" w:rsidR="00A12B7B" w:rsidRDefault="00A12B7B">
      <w:pPr>
        <w:pStyle w:val="FootnoteText"/>
      </w:pPr>
      <w:r>
        <w:rPr>
          <w:rStyle w:val="FootnoteReference"/>
        </w:rPr>
        <w:footnoteRef/>
      </w:r>
      <w:r>
        <w:t xml:space="preserve"> </w:t>
      </w:r>
      <w:r>
        <w:rPr>
          <w:rFonts w:ascii="Verdana" w:hAnsi="Verdana"/>
        </w:rPr>
        <w:t>ibid p.2</w:t>
      </w:r>
      <w:r>
        <w:rPr>
          <w:rFonts w:ascii="Verdana" w:hAnsi="Verdana"/>
        </w:rPr>
        <w:t>7</w:t>
      </w:r>
    </w:p>
  </w:footnote>
  <w:footnote w:id="54">
    <w:p w14:paraId="2E2AC1BF" w14:textId="13E07ED2" w:rsidR="006A0EA3" w:rsidRPr="004525B6" w:rsidRDefault="006A0EA3" w:rsidP="004525B6">
      <w:pPr>
        <w:pStyle w:val="NoSpacing"/>
        <w:rPr>
          <w:rFonts w:ascii="Verdana" w:hAnsi="Verdana"/>
          <w:color w:val="000000"/>
          <w:sz w:val="20"/>
          <w:szCs w:val="20"/>
        </w:rPr>
      </w:pPr>
      <w:r>
        <w:rPr>
          <w:rStyle w:val="FootnoteReference"/>
        </w:rPr>
        <w:footnoteRef/>
      </w:r>
      <w:r>
        <w:t xml:space="preserve"> </w:t>
      </w:r>
      <w:proofErr w:type="spellStart"/>
      <w:proofErr w:type="gramStart"/>
      <w:r>
        <w:rPr>
          <w:rFonts w:ascii="Verdana" w:hAnsi="Verdana"/>
        </w:rPr>
        <w:t>N.</w:t>
      </w:r>
      <w:r w:rsidRPr="0033353A">
        <w:rPr>
          <w:rFonts w:ascii="Verdana" w:hAnsi="Verdana"/>
          <w:color w:val="000000"/>
          <w:sz w:val="20"/>
          <w:szCs w:val="20"/>
        </w:rPr>
        <w:t>Sarna</w:t>
      </w:r>
      <w:proofErr w:type="spellEnd"/>
      <w:proofErr w:type="gramEnd"/>
      <w:r w:rsidR="004525B6">
        <w:rPr>
          <w:rFonts w:ascii="Verdana" w:hAnsi="Verdana"/>
          <w:color w:val="000000"/>
          <w:sz w:val="20"/>
          <w:szCs w:val="20"/>
        </w:rPr>
        <w:t xml:space="preserve"> </w:t>
      </w:r>
      <w:r w:rsidRPr="0033353A">
        <w:rPr>
          <w:rFonts w:ascii="Verdana" w:hAnsi="Verdana"/>
          <w:i/>
          <w:iCs/>
          <w:color w:val="000000"/>
          <w:sz w:val="20"/>
          <w:szCs w:val="20"/>
        </w:rPr>
        <w:t>Understanding Genesis - The World of the Bible in the Light of History</w:t>
      </w:r>
      <w:r w:rsidRPr="0033353A">
        <w:rPr>
          <w:rFonts w:ascii="Verdana" w:hAnsi="Verdana"/>
          <w:color w:val="000000"/>
          <w:sz w:val="20"/>
          <w:szCs w:val="20"/>
        </w:rPr>
        <w:t>. (1970) New York</w:t>
      </w:r>
      <w:r>
        <w:rPr>
          <w:rFonts w:ascii="Verdana" w:hAnsi="Verdana"/>
          <w:color w:val="000000"/>
          <w:sz w:val="20"/>
          <w:szCs w:val="20"/>
        </w:rPr>
        <w:t xml:space="preserve"> p.163</w:t>
      </w:r>
    </w:p>
  </w:footnote>
  <w:footnote w:id="55">
    <w:p w14:paraId="04F32D07" w14:textId="645D619B" w:rsidR="004525B6" w:rsidRDefault="004525B6">
      <w:pPr>
        <w:pStyle w:val="FootnoteText"/>
      </w:pPr>
      <w:r>
        <w:rPr>
          <w:rStyle w:val="FootnoteReference"/>
        </w:rPr>
        <w:footnoteRef/>
      </w:r>
      <w:r>
        <w:t xml:space="preserve"> </w:t>
      </w:r>
      <w:r>
        <w:rPr>
          <w:rFonts w:ascii="Verdana" w:hAnsi="Verdana"/>
        </w:rPr>
        <w:t>ibid p.</w:t>
      </w:r>
      <w:r>
        <w:rPr>
          <w:rFonts w:ascii="Verdana" w:hAnsi="Verdana"/>
        </w:rPr>
        <w:t>163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DB032" w14:textId="7D9765CA" w:rsidR="0006272F" w:rsidRPr="0006272F" w:rsidRDefault="0006272F">
    <w:pPr>
      <w:pStyle w:val="Header"/>
      <w:rPr>
        <w:rFonts w:ascii="Verdana" w:hAnsi="Verdana"/>
      </w:rPr>
    </w:pPr>
    <w:r w:rsidRPr="0006272F">
      <w:rPr>
        <w:rFonts w:ascii="Verdana" w:hAnsi="Verdana"/>
      </w:rPr>
      <w:t xml:space="preserve">HPRS7015 From Patriarchs to Prophets </w:t>
    </w:r>
    <w:r w:rsidRPr="0006272F">
      <w:rPr>
        <w:rFonts w:ascii="Verdana" w:hAnsi="Verdana"/>
      </w:rPr>
      <w:tab/>
    </w:r>
    <w:r w:rsidRPr="0006272F">
      <w:rPr>
        <w:rFonts w:ascii="Verdana" w:hAnsi="Verdana"/>
      </w:rPr>
      <w:tab/>
      <w:t>Sarah Connelly 1703421</w:t>
    </w:r>
  </w:p>
  <w:p w14:paraId="200B435E" w14:textId="77777777" w:rsidR="0006272F" w:rsidRDefault="000627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97"/>
    <w:rsid w:val="00003DB4"/>
    <w:rsid w:val="000049E7"/>
    <w:rsid w:val="00007AF6"/>
    <w:rsid w:val="000157E5"/>
    <w:rsid w:val="000253E0"/>
    <w:rsid w:val="00026380"/>
    <w:rsid w:val="00026F56"/>
    <w:rsid w:val="0006272F"/>
    <w:rsid w:val="00062E9E"/>
    <w:rsid w:val="00064F3F"/>
    <w:rsid w:val="00074383"/>
    <w:rsid w:val="00087E31"/>
    <w:rsid w:val="000B26C7"/>
    <w:rsid w:val="000E2533"/>
    <w:rsid w:val="000E5127"/>
    <w:rsid w:val="000E575A"/>
    <w:rsid w:val="000E7013"/>
    <w:rsid w:val="000F4B5C"/>
    <w:rsid w:val="0011493B"/>
    <w:rsid w:val="00115AF9"/>
    <w:rsid w:val="001268DD"/>
    <w:rsid w:val="00156C46"/>
    <w:rsid w:val="00174AE8"/>
    <w:rsid w:val="001817D8"/>
    <w:rsid w:val="00185C12"/>
    <w:rsid w:val="00186232"/>
    <w:rsid w:val="001A00A8"/>
    <w:rsid w:val="001A7EBE"/>
    <w:rsid w:val="00201EA8"/>
    <w:rsid w:val="002174E4"/>
    <w:rsid w:val="00222AF7"/>
    <w:rsid w:val="00282547"/>
    <w:rsid w:val="002970BA"/>
    <w:rsid w:val="002A6821"/>
    <w:rsid w:val="002A727A"/>
    <w:rsid w:val="002C2D01"/>
    <w:rsid w:val="002C53E3"/>
    <w:rsid w:val="002D08F4"/>
    <w:rsid w:val="002D0CE6"/>
    <w:rsid w:val="002D7A32"/>
    <w:rsid w:val="002E0C38"/>
    <w:rsid w:val="002E3B1D"/>
    <w:rsid w:val="00307B88"/>
    <w:rsid w:val="00310606"/>
    <w:rsid w:val="00311BBA"/>
    <w:rsid w:val="0031484D"/>
    <w:rsid w:val="003176E4"/>
    <w:rsid w:val="00330BF5"/>
    <w:rsid w:val="00334202"/>
    <w:rsid w:val="00342135"/>
    <w:rsid w:val="00352750"/>
    <w:rsid w:val="0036150E"/>
    <w:rsid w:val="003A05EA"/>
    <w:rsid w:val="003A31DC"/>
    <w:rsid w:val="003A55EB"/>
    <w:rsid w:val="003E2B97"/>
    <w:rsid w:val="003F1BE5"/>
    <w:rsid w:val="003F3930"/>
    <w:rsid w:val="003F7CE5"/>
    <w:rsid w:val="00407574"/>
    <w:rsid w:val="0041139A"/>
    <w:rsid w:val="00440C8B"/>
    <w:rsid w:val="004525B6"/>
    <w:rsid w:val="004566D3"/>
    <w:rsid w:val="00460CBF"/>
    <w:rsid w:val="0046161A"/>
    <w:rsid w:val="004813A1"/>
    <w:rsid w:val="004903E7"/>
    <w:rsid w:val="00495025"/>
    <w:rsid w:val="004A0E9F"/>
    <w:rsid w:val="004B4690"/>
    <w:rsid w:val="004B4CC3"/>
    <w:rsid w:val="004B5D6B"/>
    <w:rsid w:val="004C14E0"/>
    <w:rsid w:val="004C170A"/>
    <w:rsid w:val="004E0251"/>
    <w:rsid w:val="005052E4"/>
    <w:rsid w:val="0051175E"/>
    <w:rsid w:val="00511B4E"/>
    <w:rsid w:val="00526CB2"/>
    <w:rsid w:val="00530BF5"/>
    <w:rsid w:val="00535174"/>
    <w:rsid w:val="00542646"/>
    <w:rsid w:val="00561624"/>
    <w:rsid w:val="00576468"/>
    <w:rsid w:val="00585990"/>
    <w:rsid w:val="005949F6"/>
    <w:rsid w:val="005B6C21"/>
    <w:rsid w:val="005C58A4"/>
    <w:rsid w:val="005C6BA2"/>
    <w:rsid w:val="005D6A01"/>
    <w:rsid w:val="00615D82"/>
    <w:rsid w:val="006211FB"/>
    <w:rsid w:val="00625825"/>
    <w:rsid w:val="00625AD5"/>
    <w:rsid w:val="006373C1"/>
    <w:rsid w:val="00642823"/>
    <w:rsid w:val="00662690"/>
    <w:rsid w:val="00667014"/>
    <w:rsid w:val="0066715D"/>
    <w:rsid w:val="006716C8"/>
    <w:rsid w:val="006A0EA3"/>
    <w:rsid w:val="006A14E9"/>
    <w:rsid w:val="006A75CC"/>
    <w:rsid w:val="006B661E"/>
    <w:rsid w:val="006B66AC"/>
    <w:rsid w:val="006C3B8F"/>
    <w:rsid w:val="006D2087"/>
    <w:rsid w:val="006D7B76"/>
    <w:rsid w:val="006E130C"/>
    <w:rsid w:val="006E3FD4"/>
    <w:rsid w:val="00710949"/>
    <w:rsid w:val="007140C8"/>
    <w:rsid w:val="00732780"/>
    <w:rsid w:val="007374C4"/>
    <w:rsid w:val="00743895"/>
    <w:rsid w:val="00751FA0"/>
    <w:rsid w:val="00764E97"/>
    <w:rsid w:val="00764FE5"/>
    <w:rsid w:val="00765921"/>
    <w:rsid w:val="00765E21"/>
    <w:rsid w:val="00776D11"/>
    <w:rsid w:val="00791503"/>
    <w:rsid w:val="007B0453"/>
    <w:rsid w:val="007D5BE4"/>
    <w:rsid w:val="007F78D5"/>
    <w:rsid w:val="008127C8"/>
    <w:rsid w:val="00824BD2"/>
    <w:rsid w:val="0084376D"/>
    <w:rsid w:val="00851AA9"/>
    <w:rsid w:val="00852393"/>
    <w:rsid w:val="00861403"/>
    <w:rsid w:val="00864FEE"/>
    <w:rsid w:val="00875F8C"/>
    <w:rsid w:val="00883DEC"/>
    <w:rsid w:val="0089702B"/>
    <w:rsid w:val="00897F6C"/>
    <w:rsid w:val="008A257F"/>
    <w:rsid w:val="008B13D8"/>
    <w:rsid w:val="008B30CE"/>
    <w:rsid w:val="008B3B37"/>
    <w:rsid w:val="008E2E14"/>
    <w:rsid w:val="008E3E6A"/>
    <w:rsid w:val="008F5920"/>
    <w:rsid w:val="00927533"/>
    <w:rsid w:val="0093770F"/>
    <w:rsid w:val="00942A48"/>
    <w:rsid w:val="00944D92"/>
    <w:rsid w:val="00957EC7"/>
    <w:rsid w:val="0096591E"/>
    <w:rsid w:val="00966B0F"/>
    <w:rsid w:val="009678A6"/>
    <w:rsid w:val="00967B01"/>
    <w:rsid w:val="009B4A4B"/>
    <w:rsid w:val="009D2C76"/>
    <w:rsid w:val="009E508F"/>
    <w:rsid w:val="009F0BEB"/>
    <w:rsid w:val="009F28DC"/>
    <w:rsid w:val="009F67E8"/>
    <w:rsid w:val="00A00118"/>
    <w:rsid w:val="00A12B7B"/>
    <w:rsid w:val="00A14923"/>
    <w:rsid w:val="00A3741D"/>
    <w:rsid w:val="00A45470"/>
    <w:rsid w:val="00A67458"/>
    <w:rsid w:val="00A675BC"/>
    <w:rsid w:val="00A7188A"/>
    <w:rsid w:val="00A72DCD"/>
    <w:rsid w:val="00A737FA"/>
    <w:rsid w:val="00A77E0D"/>
    <w:rsid w:val="00AD1DB3"/>
    <w:rsid w:val="00AE20F8"/>
    <w:rsid w:val="00B12BB7"/>
    <w:rsid w:val="00B12C8F"/>
    <w:rsid w:val="00B16AAE"/>
    <w:rsid w:val="00B359F6"/>
    <w:rsid w:val="00B442E9"/>
    <w:rsid w:val="00B46B4A"/>
    <w:rsid w:val="00B47516"/>
    <w:rsid w:val="00B55D7D"/>
    <w:rsid w:val="00B605C4"/>
    <w:rsid w:val="00B635B1"/>
    <w:rsid w:val="00B7683A"/>
    <w:rsid w:val="00B84228"/>
    <w:rsid w:val="00B859B2"/>
    <w:rsid w:val="00B91F59"/>
    <w:rsid w:val="00BA1F72"/>
    <w:rsid w:val="00BA57FA"/>
    <w:rsid w:val="00BA6999"/>
    <w:rsid w:val="00BE4424"/>
    <w:rsid w:val="00C07112"/>
    <w:rsid w:val="00C1328C"/>
    <w:rsid w:val="00C2233E"/>
    <w:rsid w:val="00C26DA7"/>
    <w:rsid w:val="00C33BD2"/>
    <w:rsid w:val="00C5220D"/>
    <w:rsid w:val="00C706D7"/>
    <w:rsid w:val="00C92A1F"/>
    <w:rsid w:val="00C96BFA"/>
    <w:rsid w:val="00CB0B12"/>
    <w:rsid w:val="00CC41D8"/>
    <w:rsid w:val="00CD2AB9"/>
    <w:rsid w:val="00CD4B63"/>
    <w:rsid w:val="00CD4FFC"/>
    <w:rsid w:val="00CD69C5"/>
    <w:rsid w:val="00CE10D6"/>
    <w:rsid w:val="00CE6FF2"/>
    <w:rsid w:val="00CE7C51"/>
    <w:rsid w:val="00CF1694"/>
    <w:rsid w:val="00D10776"/>
    <w:rsid w:val="00D10D2C"/>
    <w:rsid w:val="00D11B5E"/>
    <w:rsid w:val="00D23C7E"/>
    <w:rsid w:val="00D267CC"/>
    <w:rsid w:val="00D34152"/>
    <w:rsid w:val="00D45964"/>
    <w:rsid w:val="00D46C88"/>
    <w:rsid w:val="00D53AD1"/>
    <w:rsid w:val="00D6673C"/>
    <w:rsid w:val="00D74912"/>
    <w:rsid w:val="00D84A4C"/>
    <w:rsid w:val="00D96150"/>
    <w:rsid w:val="00D9676E"/>
    <w:rsid w:val="00DA6250"/>
    <w:rsid w:val="00DB729C"/>
    <w:rsid w:val="00DC1F4D"/>
    <w:rsid w:val="00DC76F1"/>
    <w:rsid w:val="00DC79C8"/>
    <w:rsid w:val="00DD5DDF"/>
    <w:rsid w:val="00DE4836"/>
    <w:rsid w:val="00E131A1"/>
    <w:rsid w:val="00E5734D"/>
    <w:rsid w:val="00E65AF2"/>
    <w:rsid w:val="00E872F4"/>
    <w:rsid w:val="00EB0D23"/>
    <w:rsid w:val="00EB3EDD"/>
    <w:rsid w:val="00EC747D"/>
    <w:rsid w:val="00ED24D6"/>
    <w:rsid w:val="00ED3AB9"/>
    <w:rsid w:val="00EE1E85"/>
    <w:rsid w:val="00EE4DC0"/>
    <w:rsid w:val="00EE543D"/>
    <w:rsid w:val="00F2278A"/>
    <w:rsid w:val="00F36BB2"/>
    <w:rsid w:val="00F5009E"/>
    <w:rsid w:val="00F52C93"/>
    <w:rsid w:val="00F66E52"/>
    <w:rsid w:val="00F70F92"/>
    <w:rsid w:val="00F95E9F"/>
    <w:rsid w:val="00F9609B"/>
    <w:rsid w:val="00FC1CFC"/>
    <w:rsid w:val="00FC55BD"/>
    <w:rsid w:val="00FD7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1C129F"/>
  <w15:chartTrackingRefBased/>
  <w15:docId w15:val="{6F888C6D-1667-D34C-A161-39A44201F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966B0F"/>
  </w:style>
  <w:style w:type="character" w:customStyle="1" w:styleId="apple-converted-space">
    <w:name w:val="apple-converted-space"/>
    <w:basedOn w:val="DefaultParagraphFont"/>
    <w:rsid w:val="00966B0F"/>
  </w:style>
  <w:style w:type="character" w:customStyle="1" w:styleId="small-caps">
    <w:name w:val="small-caps"/>
    <w:basedOn w:val="DefaultParagraphFont"/>
    <w:rsid w:val="00966B0F"/>
  </w:style>
  <w:style w:type="character" w:customStyle="1" w:styleId="indent-1-breaks">
    <w:name w:val="indent-1-breaks"/>
    <w:basedOn w:val="DefaultParagraphFont"/>
    <w:rsid w:val="007B0453"/>
  </w:style>
  <w:style w:type="paragraph" w:styleId="Header">
    <w:name w:val="header"/>
    <w:basedOn w:val="Normal"/>
    <w:link w:val="HeaderChar"/>
    <w:uiPriority w:val="99"/>
    <w:unhideWhenUsed/>
    <w:rsid w:val="0006272F"/>
    <w:pPr>
      <w:tabs>
        <w:tab w:val="center" w:pos="4513"/>
        <w:tab w:val="right" w:pos="9026"/>
      </w:tabs>
    </w:pPr>
  </w:style>
  <w:style w:type="character" w:customStyle="1" w:styleId="HeaderChar">
    <w:name w:val="Header Char"/>
    <w:basedOn w:val="DefaultParagraphFont"/>
    <w:link w:val="Header"/>
    <w:uiPriority w:val="99"/>
    <w:rsid w:val="0006272F"/>
  </w:style>
  <w:style w:type="paragraph" w:styleId="Footer">
    <w:name w:val="footer"/>
    <w:basedOn w:val="Normal"/>
    <w:link w:val="FooterChar"/>
    <w:uiPriority w:val="99"/>
    <w:unhideWhenUsed/>
    <w:rsid w:val="0006272F"/>
    <w:pPr>
      <w:tabs>
        <w:tab w:val="center" w:pos="4513"/>
        <w:tab w:val="right" w:pos="9026"/>
      </w:tabs>
    </w:pPr>
  </w:style>
  <w:style w:type="character" w:customStyle="1" w:styleId="FooterChar">
    <w:name w:val="Footer Char"/>
    <w:basedOn w:val="DefaultParagraphFont"/>
    <w:link w:val="Footer"/>
    <w:uiPriority w:val="99"/>
    <w:rsid w:val="0006272F"/>
  </w:style>
  <w:style w:type="paragraph" w:styleId="NoSpacing">
    <w:name w:val="No Spacing"/>
    <w:uiPriority w:val="1"/>
    <w:qFormat/>
    <w:rsid w:val="0006272F"/>
  </w:style>
  <w:style w:type="paragraph" w:styleId="FootnoteText">
    <w:name w:val="footnote text"/>
    <w:basedOn w:val="Normal"/>
    <w:link w:val="FootnoteTextChar"/>
    <w:uiPriority w:val="99"/>
    <w:semiHidden/>
    <w:unhideWhenUsed/>
    <w:rsid w:val="00B605C4"/>
    <w:rPr>
      <w:sz w:val="20"/>
      <w:szCs w:val="20"/>
    </w:rPr>
  </w:style>
  <w:style w:type="character" w:customStyle="1" w:styleId="FootnoteTextChar">
    <w:name w:val="Footnote Text Char"/>
    <w:basedOn w:val="DefaultParagraphFont"/>
    <w:link w:val="FootnoteText"/>
    <w:uiPriority w:val="99"/>
    <w:semiHidden/>
    <w:rsid w:val="00B605C4"/>
    <w:rPr>
      <w:sz w:val="20"/>
      <w:szCs w:val="20"/>
    </w:rPr>
  </w:style>
  <w:style w:type="character" w:styleId="FootnoteReference">
    <w:name w:val="footnote reference"/>
    <w:basedOn w:val="DefaultParagraphFont"/>
    <w:uiPriority w:val="99"/>
    <w:semiHidden/>
    <w:unhideWhenUsed/>
    <w:rsid w:val="00B605C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602514">
      <w:bodyDiv w:val="1"/>
      <w:marLeft w:val="0"/>
      <w:marRight w:val="0"/>
      <w:marTop w:val="0"/>
      <w:marBottom w:val="0"/>
      <w:divBdr>
        <w:top w:val="none" w:sz="0" w:space="0" w:color="auto"/>
        <w:left w:val="none" w:sz="0" w:space="0" w:color="auto"/>
        <w:bottom w:val="none" w:sz="0" w:space="0" w:color="auto"/>
        <w:right w:val="none" w:sz="0" w:space="0" w:color="auto"/>
      </w:divBdr>
      <w:divsChild>
        <w:div w:id="1475833106">
          <w:marLeft w:val="0"/>
          <w:marRight w:val="0"/>
          <w:marTop w:val="0"/>
          <w:marBottom w:val="0"/>
          <w:divBdr>
            <w:top w:val="none" w:sz="0" w:space="0" w:color="auto"/>
            <w:left w:val="none" w:sz="0" w:space="0" w:color="auto"/>
            <w:bottom w:val="none" w:sz="0" w:space="0" w:color="auto"/>
            <w:right w:val="none" w:sz="0" w:space="0" w:color="auto"/>
          </w:divBdr>
          <w:divsChild>
            <w:div w:id="1892229546">
              <w:marLeft w:val="0"/>
              <w:marRight w:val="0"/>
              <w:marTop w:val="0"/>
              <w:marBottom w:val="0"/>
              <w:divBdr>
                <w:top w:val="none" w:sz="0" w:space="0" w:color="auto"/>
                <w:left w:val="none" w:sz="0" w:space="0" w:color="auto"/>
                <w:bottom w:val="none" w:sz="0" w:space="0" w:color="auto"/>
                <w:right w:val="none" w:sz="0" w:space="0" w:color="auto"/>
              </w:divBdr>
              <w:divsChild>
                <w:div w:id="730813999">
                  <w:marLeft w:val="0"/>
                  <w:marRight w:val="0"/>
                  <w:marTop w:val="0"/>
                  <w:marBottom w:val="0"/>
                  <w:divBdr>
                    <w:top w:val="none" w:sz="0" w:space="0" w:color="auto"/>
                    <w:left w:val="none" w:sz="0" w:space="0" w:color="auto"/>
                    <w:bottom w:val="none" w:sz="0" w:space="0" w:color="auto"/>
                    <w:right w:val="none" w:sz="0" w:space="0" w:color="auto"/>
                  </w:divBdr>
                  <w:divsChild>
                    <w:div w:id="1371804478">
                      <w:marLeft w:val="0"/>
                      <w:marRight w:val="0"/>
                      <w:marTop w:val="0"/>
                      <w:marBottom w:val="0"/>
                      <w:divBdr>
                        <w:top w:val="none" w:sz="0" w:space="0" w:color="auto"/>
                        <w:left w:val="none" w:sz="0" w:space="0" w:color="auto"/>
                        <w:bottom w:val="none" w:sz="0" w:space="0" w:color="auto"/>
                        <w:right w:val="none" w:sz="0" w:space="0" w:color="auto"/>
                      </w:divBdr>
                      <w:divsChild>
                        <w:div w:id="31622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0302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8</Pages>
  <Words>3109</Words>
  <Characters>15298</Characters>
  <Application>Microsoft Office Word</Application>
  <DocSecurity>0</DocSecurity>
  <Lines>268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Magdalen Connelly (1703421)</dc:creator>
  <cp:keywords/>
  <dc:description/>
  <cp:lastModifiedBy>Connelly S</cp:lastModifiedBy>
  <cp:revision>23</cp:revision>
  <dcterms:created xsi:type="dcterms:W3CDTF">2021-07-28T07:12:00Z</dcterms:created>
  <dcterms:modified xsi:type="dcterms:W3CDTF">2021-07-28T22:05:00Z</dcterms:modified>
</cp:coreProperties>
</file>