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15BF6" w14:textId="1A9EB477" w:rsidR="003B79F8" w:rsidRPr="003B79F8" w:rsidRDefault="003B79F8" w:rsidP="003B79F8">
      <w:pPr>
        <w:jc w:val="center"/>
        <w:outlineLvl w:val="2"/>
        <w:rPr>
          <w:rFonts w:ascii="Times New Roman" w:eastAsia="Times New Roman" w:hAnsi="Times New Roman" w:cs="Times New Roman"/>
          <w:b/>
          <w:bCs/>
          <w:color w:val="1F1F1F"/>
          <w:kern w:val="0"/>
          <w:sz w:val="32"/>
          <w:szCs w:val="32"/>
          <w:lang w:eastAsia="en-GB"/>
          <w14:ligatures w14:val="none"/>
        </w:rPr>
      </w:pPr>
      <w:r w:rsidRPr="003B79F8">
        <w:rPr>
          <w:rFonts w:ascii="Times New Roman" w:eastAsia="Times New Roman" w:hAnsi="Times New Roman" w:cs="Times New Roman"/>
          <w:b/>
          <w:bCs/>
          <w:color w:val="1F1F1F"/>
          <w:kern w:val="0"/>
          <w:sz w:val="32"/>
          <w:szCs w:val="32"/>
          <w:lang w:eastAsia="en-GB"/>
          <w14:ligatures w14:val="none"/>
        </w:rPr>
        <w:t>Deflagration and Detonation</w:t>
      </w:r>
    </w:p>
    <w:p w14:paraId="3DE0E45F" w14:textId="77777777" w:rsidR="003B79F8" w:rsidRPr="003B79F8" w:rsidRDefault="003B79F8" w:rsidP="003B79F8">
      <w:pPr>
        <w:rPr>
          <w:rFonts w:ascii="Times New Roman" w:eastAsia="Times New Roman" w:hAnsi="Times New Roman" w:cs="Times New Roman"/>
          <w:color w:val="1F1F1F"/>
          <w:kern w:val="0"/>
          <w:sz w:val="30"/>
          <w:szCs w:val="30"/>
          <w:lang w:eastAsia="en-GB"/>
          <w14:ligatures w14:val="none"/>
        </w:rPr>
      </w:pPr>
    </w:p>
    <w:p w14:paraId="75D6012F" w14:textId="77777777" w:rsid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b/>
          <w:bCs/>
          <w:color w:val="1F1F1F"/>
          <w:kern w:val="0"/>
          <w:sz w:val="30"/>
          <w:szCs w:val="30"/>
          <w:lang w:eastAsia="en-GB"/>
          <w14:ligatures w14:val="none"/>
        </w:rPr>
        <w:t>Explosives are those substances that have their own supply of oxygen in their molecules</w:t>
      </w:r>
      <w:r w:rsidRPr="003B79F8">
        <w:rPr>
          <w:rFonts w:ascii="Times New Roman" w:eastAsia="Times New Roman" w:hAnsi="Times New Roman" w:cs="Times New Roman"/>
          <w:color w:val="1F1F1F"/>
          <w:kern w:val="0"/>
          <w:sz w:val="30"/>
          <w:szCs w:val="30"/>
          <w:lang w:eastAsia="en-GB"/>
          <w14:ligatures w14:val="none"/>
        </w:rPr>
        <w:t xml:space="preserve">. When they are initiated, they may either burn violently (deflagrate) or explode disastrously generating shock waves (detonate). </w:t>
      </w:r>
    </w:p>
    <w:p w14:paraId="2D1E850B" w14:textId="77777777" w:rsid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5461D39E" w14:textId="2DF863EF"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So, w</w:t>
      </w:r>
      <w:r w:rsidRPr="003B79F8">
        <w:rPr>
          <w:rFonts w:ascii="Times New Roman" w:eastAsia="Times New Roman" w:hAnsi="Times New Roman" w:cs="Times New Roman"/>
          <w:color w:val="1F1F1F"/>
          <w:kern w:val="0"/>
          <w:sz w:val="30"/>
          <w:szCs w:val="30"/>
          <w:lang w:eastAsia="en-GB"/>
          <w14:ligatures w14:val="none"/>
        </w:rPr>
        <w:t>hat are the differences between deflagration and detonation?</w:t>
      </w:r>
    </w:p>
    <w:p w14:paraId="347540D9"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63B19C69" w14:textId="791B9CD1" w:rsidR="003B79F8" w:rsidRPr="003B79F8" w:rsidRDefault="003B79F8" w:rsidP="003B79F8">
      <w:pPr>
        <w:jc w:val="both"/>
        <w:rPr>
          <w:rFonts w:ascii="Times New Roman" w:eastAsia="Times New Roman" w:hAnsi="Times New Roman" w:cs="Times New Roman"/>
          <w:b/>
          <w:bCs/>
          <w:color w:val="1F1F1F"/>
          <w:kern w:val="0"/>
          <w:sz w:val="30"/>
          <w:szCs w:val="30"/>
          <w:lang w:eastAsia="en-GB"/>
          <w14:ligatures w14:val="none"/>
        </w:rPr>
      </w:pPr>
      <w:r w:rsidRPr="003B79F8">
        <w:rPr>
          <w:rFonts w:ascii="Times New Roman" w:eastAsia="Times New Roman" w:hAnsi="Times New Roman" w:cs="Times New Roman"/>
          <w:b/>
          <w:bCs/>
          <w:color w:val="1F1F1F"/>
          <w:kern w:val="0"/>
          <w:sz w:val="30"/>
          <w:szCs w:val="30"/>
          <w:lang w:eastAsia="en-GB"/>
          <w14:ligatures w14:val="none"/>
        </w:rPr>
        <w:t>Deflagration</w:t>
      </w:r>
    </w:p>
    <w:p w14:paraId="6BD4E249"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3774B7B1" w14:textId="4D062D7D"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Pr>
          <w:rFonts w:ascii="Times New Roman" w:eastAsia="Times New Roman" w:hAnsi="Times New Roman" w:cs="Times New Roman"/>
          <w:color w:val="1F1F1F"/>
          <w:kern w:val="0"/>
          <w:sz w:val="30"/>
          <w:szCs w:val="30"/>
          <w:lang w:eastAsia="en-GB"/>
          <w14:ligatures w14:val="none"/>
        </w:rPr>
        <w:t xml:space="preserve">Consider </w:t>
      </w:r>
      <w:r w:rsidRPr="003B79F8">
        <w:rPr>
          <w:rFonts w:ascii="Times New Roman" w:eastAsia="Times New Roman" w:hAnsi="Times New Roman" w:cs="Times New Roman"/>
          <w:color w:val="1F1F1F"/>
          <w:kern w:val="0"/>
          <w:sz w:val="30"/>
          <w:szCs w:val="30"/>
          <w:lang w:eastAsia="en-GB"/>
          <w14:ligatures w14:val="none"/>
        </w:rPr>
        <w:t>a stick of propellant</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 xml:space="preserve">made of nitrocellulose (NC) and </w:t>
      </w:r>
      <w:proofErr w:type="spellStart"/>
      <w:r w:rsidRPr="003B79F8">
        <w:rPr>
          <w:rFonts w:ascii="Times New Roman" w:eastAsia="Times New Roman" w:hAnsi="Times New Roman" w:cs="Times New Roman"/>
          <w:color w:val="1F1F1F"/>
          <w:kern w:val="0"/>
          <w:sz w:val="30"/>
          <w:szCs w:val="30"/>
          <w:lang w:eastAsia="en-GB"/>
          <w14:ligatures w14:val="none"/>
        </w:rPr>
        <w:t>nitroglycerine</w:t>
      </w:r>
      <w:proofErr w:type="spellEnd"/>
      <w:r w:rsidRPr="003B79F8">
        <w:rPr>
          <w:rFonts w:ascii="Times New Roman" w:eastAsia="Times New Roman" w:hAnsi="Times New Roman" w:cs="Times New Roman"/>
          <w:color w:val="1F1F1F"/>
          <w:kern w:val="0"/>
          <w:sz w:val="30"/>
          <w:szCs w:val="30"/>
          <w:lang w:eastAsia="en-GB"/>
          <w14:ligatures w14:val="none"/>
        </w:rPr>
        <w:t xml:space="preserve"> (NG; i.e., a </w:t>
      </w:r>
      <w:r w:rsidRPr="003B79F8">
        <w:rPr>
          <w:rFonts w:ascii="Times New Roman" w:eastAsia="Times New Roman" w:hAnsi="Times New Roman" w:cs="Times New Roman"/>
          <w:i/>
          <w:iCs/>
          <w:color w:val="1F1F1F"/>
          <w:kern w:val="0"/>
          <w:sz w:val="30"/>
          <w:szCs w:val="30"/>
          <w:lang w:eastAsia="en-GB"/>
          <w14:ligatures w14:val="none"/>
        </w:rPr>
        <w:t>“</w:t>
      </w:r>
      <w:proofErr w:type="gramStart"/>
      <w:r w:rsidRPr="003B79F8">
        <w:rPr>
          <w:rFonts w:ascii="Times New Roman" w:eastAsia="Times New Roman" w:hAnsi="Times New Roman" w:cs="Times New Roman"/>
          <w:i/>
          <w:iCs/>
          <w:color w:val="1F1F1F"/>
          <w:kern w:val="0"/>
          <w:sz w:val="30"/>
          <w:szCs w:val="30"/>
          <w:lang w:eastAsia="en-GB"/>
          <w14:ligatures w14:val="none"/>
        </w:rPr>
        <w:t>double-base</w:t>
      </w:r>
      <w:proofErr w:type="gramEnd"/>
      <w:r w:rsidRPr="003B79F8">
        <w:rPr>
          <w:rFonts w:ascii="Times New Roman" w:eastAsia="Times New Roman" w:hAnsi="Times New Roman" w:cs="Times New Roman"/>
          <w:i/>
          <w:iCs/>
          <w:color w:val="1F1F1F"/>
          <w:kern w:val="0"/>
          <w:sz w:val="30"/>
          <w:szCs w:val="30"/>
          <w:lang w:eastAsia="en-GB"/>
          <w14:ligatures w14:val="none"/>
        </w:rPr>
        <w:t>”</w:t>
      </w:r>
      <w:r w:rsidRPr="003B79F8">
        <w:rPr>
          <w:rFonts w:ascii="Times New Roman" w:eastAsia="Times New Roman" w:hAnsi="Times New Roman" w:cs="Times New Roman"/>
          <w:color w:val="1F1F1F"/>
          <w:kern w:val="0"/>
          <w:sz w:val="30"/>
          <w:szCs w:val="30"/>
          <w:lang w:eastAsia="en-GB"/>
          <w14:ligatures w14:val="none"/>
        </w:rPr>
        <w:t xml:space="preserve"> propellant). </w:t>
      </w:r>
    </w:p>
    <w:p w14:paraId="0D2B5F1A"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480039C7" w14:textId="4BAD0BAC"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When it is ignited at one of its ends, it burns rather vigorously, layer by layer. The salient points of a deflagration process are indicated in Figure </w:t>
      </w:r>
      <w:r w:rsidRPr="003B79F8">
        <w:rPr>
          <w:rFonts w:ascii="Times New Roman" w:eastAsia="Times New Roman" w:hAnsi="Times New Roman" w:cs="Times New Roman"/>
          <w:color w:val="1F1F1F"/>
          <w:kern w:val="0"/>
          <w:sz w:val="30"/>
          <w:szCs w:val="30"/>
          <w:lang w:eastAsia="en-GB"/>
          <w14:ligatures w14:val="none"/>
        </w:rPr>
        <w:t>1</w:t>
      </w:r>
      <w:r w:rsidRPr="003B79F8">
        <w:rPr>
          <w:rFonts w:ascii="Times New Roman" w:eastAsia="Times New Roman" w:hAnsi="Times New Roman" w:cs="Times New Roman"/>
          <w:color w:val="1F1F1F"/>
          <w:kern w:val="0"/>
          <w:sz w:val="30"/>
          <w:szCs w:val="30"/>
          <w:lang w:eastAsia="en-GB"/>
          <w14:ligatures w14:val="none"/>
        </w:rPr>
        <w:t>.1.</w:t>
      </w:r>
    </w:p>
    <w:p w14:paraId="4BB557EA" w14:textId="5ACBD3CB" w:rsidR="003B79F8" w:rsidRPr="003B79F8" w:rsidRDefault="003B79F8" w:rsidP="003B79F8">
      <w:pPr>
        <w:jc w:val="center"/>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fldChar w:fldCharType="begin"/>
      </w:r>
      <w:r w:rsidRPr="003B79F8">
        <w:rPr>
          <w:rFonts w:ascii="Times New Roman" w:eastAsia="Times New Roman" w:hAnsi="Times New Roman" w:cs="Times New Roman"/>
          <w:color w:val="1F1F1F"/>
          <w:kern w:val="0"/>
          <w:sz w:val="30"/>
          <w:szCs w:val="30"/>
          <w:lang w:eastAsia="en-GB"/>
          <w14:ligatures w14:val="none"/>
        </w:rPr>
        <w:instrText xml:space="preserve"> INCLUDEPICTURE "/Users/g.collett/Library/Group Containers/UBF8T346G9.ms/WebArchiveCopyPasteTempFiles/com.microsoft.Word/3-s2.0-B9780128015766000033-f03-01-9780128015766.jpg" \* MERGEFORMATINET </w:instrText>
      </w:r>
      <w:r w:rsidRPr="003B79F8">
        <w:rPr>
          <w:rFonts w:ascii="Times New Roman" w:eastAsia="Times New Roman" w:hAnsi="Times New Roman" w:cs="Times New Roman"/>
          <w:color w:val="1F1F1F"/>
          <w:kern w:val="0"/>
          <w:sz w:val="30"/>
          <w:szCs w:val="30"/>
          <w:lang w:eastAsia="en-GB"/>
          <w14:ligatures w14:val="none"/>
        </w:rPr>
        <w:fldChar w:fldCharType="separate"/>
      </w:r>
      <w:r w:rsidRPr="003B79F8">
        <w:rPr>
          <w:rFonts w:ascii="Times New Roman" w:eastAsia="Times New Roman" w:hAnsi="Times New Roman" w:cs="Times New Roman"/>
          <w:noProof/>
          <w:color w:val="1F1F1F"/>
          <w:kern w:val="0"/>
          <w:sz w:val="30"/>
          <w:szCs w:val="30"/>
          <w:lang w:eastAsia="en-GB"/>
          <w14:ligatures w14:val="none"/>
        </w:rPr>
        <w:drawing>
          <wp:inline distT="0" distB="0" distL="0" distR="0" wp14:anchorId="19A4B9A9" wp14:editId="754E6028">
            <wp:extent cx="3242945" cy="2887345"/>
            <wp:effectExtent l="0" t="0" r="0" b="0"/>
            <wp:docPr id="10569255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42945" cy="2887345"/>
                    </a:xfrm>
                    <a:prstGeom prst="rect">
                      <a:avLst/>
                    </a:prstGeom>
                    <a:noFill/>
                    <a:ln>
                      <a:noFill/>
                    </a:ln>
                  </pic:spPr>
                </pic:pic>
              </a:graphicData>
            </a:graphic>
          </wp:inline>
        </w:drawing>
      </w:r>
      <w:r w:rsidRPr="003B79F8">
        <w:rPr>
          <w:rFonts w:ascii="Times New Roman" w:eastAsia="Times New Roman" w:hAnsi="Times New Roman" w:cs="Times New Roman"/>
          <w:color w:val="1F1F1F"/>
          <w:kern w:val="0"/>
          <w:sz w:val="30"/>
          <w:szCs w:val="30"/>
          <w:lang w:eastAsia="en-GB"/>
          <w14:ligatures w14:val="none"/>
        </w:rPr>
        <w:fldChar w:fldCharType="end"/>
      </w:r>
    </w:p>
    <w:p w14:paraId="06FA96EF" w14:textId="48A5907D"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567D0A04" w14:textId="24373B90" w:rsidR="003B79F8" w:rsidRPr="003B79F8" w:rsidRDefault="003B79F8" w:rsidP="003B79F8">
      <w:pPr>
        <w:jc w:val="center"/>
        <w:rPr>
          <w:rFonts w:ascii="Times New Roman" w:eastAsia="Times New Roman" w:hAnsi="Times New Roman" w:cs="Times New Roman"/>
          <w:color w:val="707070"/>
          <w:kern w:val="0"/>
          <w:bdr w:val="single" w:sz="12" w:space="9" w:color="DCDCDC" w:frame="1"/>
          <w:lang w:eastAsia="en-GB"/>
          <w14:ligatures w14:val="none"/>
        </w:rPr>
      </w:pPr>
      <w:r w:rsidRPr="003B79F8">
        <w:rPr>
          <w:rFonts w:ascii="Times New Roman" w:eastAsia="Times New Roman" w:hAnsi="Times New Roman" w:cs="Times New Roman"/>
          <w:color w:val="707070"/>
          <w:kern w:val="0"/>
          <w:bdr w:val="single" w:sz="12" w:space="9" w:color="DCDCDC" w:frame="1"/>
          <w:lang w:eastAsia="en-GB"/>
          <w14:ligatures w14:val="none"/>
        </w:rPr>
        <w:t>Figure </w:t>
      </w:r>
      <w:r w:rsidRPr="003B79F8">
        <w:rPr>
          <w:rFonts w:ascii="Times New Roman" w:eastAsia="Times New Roman" w:hAnsi="Times New Roman" w:cs="Times New Roman"/>
          <w:color w:val="707070"/>
          <w:kern w:val="0"/>
          <w:bdr w:val="single" w:sz="12" w:space="9" w:color="DCDCDC" w:frame="1"/>
          <w:lang w:eastAsia="en-GB"/>
          <w14:ligatures w14:val="none"/>
        </w:rPr>
        <w:t>1</w:t>
      </w:r>
      <w:r w:rsidRPr="003B79F8">
        <w:rPr>
          <w:rFonts w:ascii="Times New Roman" w:eastAsia="Times New Roman" w:hAnsi="Times New Roman" w:cs="Times New Roman"/>
          <w:color w:val="707070"/>
          <w:kern w:val="0"/>
          <w:bdr w:val="single" w:sz="12" w:space="9" w:color="DCDCDC" w:frame="1"/>
          <w:lang w:eastAsia="en-GB"/>
          <w14:ligatures w14:val="none"/>
        </w:rPr>
        <w:t>.1. Deflagration of a Propellant Stick.</w:t>
      </w:r>
    </w:p>
    <w:p w14:paraId="59F605B0"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15F62854" w14:textId="12A4DE6F"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Deflagration has the following characteristics:</w:t>
      </w:r>
    </w:p>
    <w:p w14:paraId="1E03A95F"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0595B3FE" w14:textId="4E452813"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1.The propellant burns layer by layer.</w:t>
      </w:r>
    </w:p>
    <w:p w14:paraId="41363B2D"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1E18F4C4" w14:textId="5EDEDA35"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2.</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There are different zones existing above the burning surface as shown, varying in temperature, pressure, concentration, and composition of gaseous products.</w:t>
      </w:r>
    </w:p>
    <w:p w14:paraId="311B99DC"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34B5B3CE" w14:textId="766A161A"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3</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The hot gaseous products emerge away from the regressing surface.</w:t>
      </w:r>
    </w:p>
    <w:p w14:paraId="7C43C678"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0804713F" w14:textId="05507FCE"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4.</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 xml:space="preserve">The most important characteristic of deflagration is that the rate of deflagration (or the rate of recession of a burning surface, often expressed in </w:t>
      </w:r>
      <w:proofErr w:type="spellStart"/>
      <w:r w:rsidRPr="003B79F8">
        <w:rPr>
          <w:rFonts w:ascii="Times New Roman" w:eastAsia="Times New Roman" w:hAnsi="Times New Roman" w:cs="Times New Roman"/>
          <w:color w:val="1F1F1F"/>
          <w:kern w:val="0"/>
          <w:sz w:val="30"/>
          <w:szCs w:val="30"/>
          <w:lang w:eastAsia="en-GB"/>
          <w14:ligatures w14:val="none"/>
        </w:rPr>
        <w:t>millimeters</w:t>
      </w:r>
      <w:proofErr w:type="spellEnd"/>
      <w:r w:rsidRPr="003B79F8">
        <w:rPr>
          <w:rFonts w:ascii="Times New Roman" w:eastAsia="Times New Roman" w:hAnsi="Times New Roman" w:cs="Times New Roman"/>
          <w:color w:val="1F1F1F"/>
          <w:kern w:val="0"/>
          <w:sz w:val="30"/>
          <w:szCs w:val="30"/>
          <w:lang w:eastAsia="en-GB"/>
          <w14:ligatures w14:val="none"/>
        </w:rPr>
        <w:t xml:space="preserve"> per second at a given pressure) is much below the sonic velocity of the material (i.e., the velocity of sound through the propellant material).</w:t>
      </w:r>
    </w:p>
    <w:p w14:paraId="7B113D7D"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1B428729" w14:textId="6EB39969"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5.</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 xml:space="preserve">The process of deflagration is sustained by thermal feedback from the flame to the surface temperature by means of </w:t>
      </w:r>
      <w:r w:rsidRPr="003B79F8">
        <w:rPr>
          <w:rFonts w:ascii="Times New Roman" w:eastAsia="Times New Roman" w:hAnsi="Times New Roman" w:cs="Times New Roman"/>
          <w:b/>
          <w:bCs/>
          <w:i/>
          <w:iCs/>
          <w:color w:val="1F1F1F"/>
          <w:kern w:val="0"/>
          <w:sz w:val="30"/>
          <w:szCs w:val="30"/>
          <w:lang w:eastAsia="en-GB"/>
          <w14:ligatures w14:val="none"/>
        </w:rPr>
        <w:t>conduction, convection, and radiation</w:t>
      </w:r>
      <w:r w:rsidRPr="003B79F8">
        <w:rPr>
          <w:rFonts w:ascii="Times New Roman" w:eastAsia="Times New Roman" w:hAnsi="Times New Roman" w:cs="Times New Roman"/>
          <w:color w:val="1F1F1F"/>
          <w:kern w:val="0"/>
          <w:sz w:val="30"/>
          <w:szCs w:val="30"/>
          <w:lang w:eastAsia="en-GB"/>
          <w14:ligatures w14:val="none"/>
        </w:rPr>
        <w:t>.</w:t>
      </w:r>
    </w:p>
    <w:p w14:paraId="3A4F36B7"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1CB908F9" w14:textId="0A08904E"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6.</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The rate of regression (or burning rate, r) heavily depends on the pressure of the surrounding gases (P), and, according to Vielle's law, a double-base propellant nearly obeys the equation</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r=</w:t>
      </w:r>
      <w:proofErr w:type="spellStart"/>
      <w:r w:rsidRPr="003B79F8">
        <w:rPr>
          <w:rFonts w:ascii="Times New Roman" w:eastAsia="Times New Roman" w:hAnsi="Times New Roman" w:cs="Times New Roman"/>
          <w:color w:val="1F1F1F"/>
          <w:kern w:val="0"/>
          <w:sz w:val="30"/>
          <w:szCs w:val="30"/>
          <w:lang w:eastAsia="en-GB"/>
          <w14:ligatures w14:val="none"/>
        </w:rPr>
        <w:t>bP</w:t>
      </w:r>
      <w:r w:rsidRPr="003B79F8">
        <w:rPr>
          <w:rFonts w:ascii="Times New Roman" w:eastAsia="Times New Roman" w:hAnsi="Times New Roman" w:cs="Times New Roman"/>
          <w:color w:val="1F1F1F"/>
          <w:kern w:val="0"/>
          <w:sz w:val="30"/>
          <w:szCs w:val="30"/>
          <w:vertAlign w:val="superscript"/>
          <w:lang w:eastAsia="en-GB"/>
          <w14:ligatures w14:val="none"/>
        </w:rPr>
        <w:t>n</w:t>
      </w:r>
      <w:proofErr w:type="spellEnd"/>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where </w:t>
      </w:r>
      <w:r w:rsidRPr="003B79F8">
        <w:rPr>
          <w:rFonts w:ascii="Times New Roman" w:eastAsia="Times New Roman" w:hAnsi="Times New Roman" w:cs="Times New Roman"/>
          <w:i/>
          <w:iCs/>
          <w:color w:val="1F1F1F"/>
          <w:kern w:val="0"/>
          <w:sz w:val="30"/>
          <w:szCs w:val="30"/>
          <w:lang w:eastAsia="en-GB"/>
          <w14:ligatures w14:val="none"/>
        </w:rPr>
        <w:t>n</w:t>
      </w:r>
      <w:r w:rsidRPr="003B79F8">
        <w:rPr>
          <w:rFonts w:ascii="Times New Roman" w:eastAsia="Times New Roman" w:hAnsi="Times New Roman" w:cs="Times New Roman"/>
          <w:color w:val="1F1F1F"/>
          <w:kern w:val="0"/>
          <w:sz w:val="30"/>
          <w:szCs w:val="30"/>
          <w:lang w:eastAsia="en-GB"/>
          <w14:ligatures w14:val="none"/>
        </w:rPr>
        <w:t> is the pressure exponent and b is a constant. The value of n depends on the propellant composition, the pressure</w:t>
      </w:r>
    </w:p>
    <w:p w14:paraId="32789E9E"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722F554C" w14:textId="3C12581A" w:rsidR="003B79F8" w:rsidRPr="003B79F8" w:rsidRDefault="003B79F8" w:rsidP="003B79F8">
      <w:pPr>
        <w:jc w:val="both"/>
        <w:rPr>
          <w:rFonts w:ascii="Times New Roman" w:eastAsia="Times New Roman" w:hAnsi="Times New Roman" w:cs="Times New Roman"/>
          <w:b/>
          <w:bCs/>
          <w:color w:val="1F1F1F"/>
          <w:kern w:val="0"/>
          <w:sz w:val="30"/>
          <w:szCs w:val="30"/>
          <w:lang w:eastAsia="en-GB"/>
          <w14:ligatures w14:val="none"/>
        </w:rPr>
      </w:pPr>
      <w:r w:rsidRPr="003B79F8">
        <w:rPr>
          <w:rFonts w:ascii="Times New Roman" w:eastAsia="Times New Roman" w:hAnsi="Times New Roman" w:cs="Times New Roman"/>
          <w:b/>
          <w:bCs/>
          <w:color w:val="1F1F1F"/>
          <w:kern w:val="0"/>
          <w:sz w:val="30"/>
          <w:szCs w:val="30"/>
          <w:lang w:eastAsia="en-GB"/>
          <w14:ligatures w14:val="none"/>
        </w:rPr>
        <w:t>Detonation</w:t>
      </w:r>
    </w:p>
    <w:p w14:paraId="49CC5E5B"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0DEAE8BA" w14:textId="0B0C2FF3"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When a cylindrical stick of trinitrotoluene (TNT) is detonated using a detonator, the following characteristics are noted during the process of detonation (see Figure </w:t>
      </w:r>
      <w:r w:rsidRPr="003B79F8">
        <w:rPr>
          <w:rFonts w:ascii="Times New Roman" w:eastAsia="Times New Roman" w:hAnsi="Times New Roman" w:cs="Times New Roman"/>
          <w:color w:val="1F1F1F"/>
          <w:kern w:val="0"/>
          <w:sz w:val="30"/>
          <w:szCs w:val="30"/>
          <w:lang w:eastAsia="en-GB"/>
          <w14:ligatures w14:val="none"/>
        </w:rPr>
        <w:t>1</w:t>
      </w:r>
      <w:r w:rsidRPr="003B79F8">
        <w:rPr>
          <w:rFonts w:ascii="Times New Roman" w:eastAsia="Times New Roman" w:hAnsi="Times New Roman" w:cs="Times New Roman"/>
          <w:color w:val="1F1F1F"/>
          <w:kern w:val="0"/>
          <w:sz w:val="30"/>
          <w:szCs w:val="30"/>
          <w:lang w:eastAsia="en-GB"/>
          <w14:ligatures w14:val="none"/>
        </w:rPr>
        <w:t>.2):</w:t>
      </w:r>
    </w:p>
    <w:p w14:paraId="03E8959B"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07EED488" w14:textId="15596E46" w:rsidR="003B79F8" w:rsidRPr="003B79F8" w:rsidRDefault="003B79F8" w:rsidP="003B79F8">
      <w:pPr>
        <w:jc w:val="center"/>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fldChar w:fldCharType="begin"/>
      </w:r>
      <w:r w:rsidRPr="003B79F8">
        <w:rPr>
          <w:rFonts w:ascii="Times New Roman" w:eastAsia="Times New Roman" w:hAnsi="Times New Roman" w:cs="Times New Roman"/>
          <w:color w:val="1F1F1F"/>
          <w:kern w:val="0"/>
          <w:sz w:val="30"/>
          <w:szCs w:val="30"/>
          <w:lang w:eastAsia="en-GB"/>
          <w14:ligatures w14:val="none"/>
        </w:rPr>
        <w:instrText xml:space="preserve"> INCLUDEPICTURE "/Users/g.collett/Library/Group Containers/UBF8T346G9.ms/WebArchiveCopyPasteTempFiles/com.microsoft.Word/3-s2.0-B9780128015766000033-f03-02-9780128015766.jpg" \* MERGEFORMATINET </w:instrText>
      </w:r>
      <w:r w:rsidRPr="003B79F8">
        <w:rPr>
          <w:rFonts w:ascii="Times New Roman" w:eastAsia="Times New Roman" w:hAnsi="Times New Roman" w:cs="Times New Roman"/>
          <w:color w:val="1F1F1F"/>
          <w:kern w:val="0"/>
          <w:sz w:val="30"/>
          <w:szCs w:val="30"/>
          <w:lang w:eastAsia="en-GB"/>
          <w14:ligatures w14:val="none"/>
        </w:rPr>
        <w:fldChar w:fldCharType="separate"/>
      </w:r>
      <w:r w:rsidRPr="003B79F8">
        <w:rPr>
          <w:rFonts w:ascii="Times New Roman" w:eastAsia="Times New Roman" w:hAnsi="Times New Roman" w:cs="Times New Roman"/>
          <w:noProof/>
          <w:color w:val="1F1F1F"/>
          <w:kern w:val="0"/>
          <w:sz w:val="30"/>
          <w:szCs w:val="30"/>
          <w:lang w:eastAsia="en-GB"/>
          <w14:ligatures w14:val="none"/>
        </w:rPr>
        <w:drawing>
          <wp:inline distT="0" distB="0" distL="0" distR="0" wp14:anchorId="5F735784" wp14:editId="7B70116D">
            <wp:extent cx="4546600" cy="2099945"/>
            <wp:effectExtent l="0" t="0" r="0" b="0"/>
            <wp:docPr id="1026283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46600" cy="2099945"/>
                    </a:xfrm>
                    <a:prstGeom prst="rect">
                      <a:avLst/>
                    </a:prstGeom>
                    <a:noFill/>
                    <a:ln>
                      <a:noFill/>
                    </a:ln>
                  </pic:spPr>
                </pic:pic>
              </a:graphicData>
            </a:graphic>
          </wp:inline>
        </w:drawing>
      </w:r>
      <w:r w:rsidRPr="003B79F8">
        <w:rPr>
          <w:rFonts w:ascii="Times New Roman" w:eastAsia="Times New Roman" w:hAnsi="Times New Roman" w:cs="Times New Roman"/>
          <w:color w:val="1F1F1F"/>
          <w:kern w:val="0"/>
          <w:sz w:val="30"/>
          <w:szCs w:val="30"/>
          <w:lang w:eastAsia="en-GB"/>
          <w14:ligatures w14:val="none"/>
        </w:rPr>
        <w:fldChar w:fldCharType="end"/>
      </w:r>
    </w:p>
    <w:p w14:paraId="705C23C8" w14:textId="6D982D2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19D5A4F6" w14:textId="361C76A8" w:rsidR="003B79F8" w:rsidRPr="003B79F8" w:rsidRDefault="003B79F8" w:rsidP="003B79F8">
      <w:pPr>
        <w:jc w:val="center"/>
        <w:rPr>
          <w:rFonts w:ascii="Times New Roman" w:eastAsia="Times New Roman" w:hAnsi="Times New Roman" w:cs="Times New Roman"/>
          <w:color w:val="707070"/>
          <w:kern w:val="0"/>
          <w:bdr w:val="single" w:sz="12" w:space="9" w:color="DCDCDC" w:frame="1"/>
          <w:lang w:eastAsia="en-GB"/>
          <w14:ligatures w14:val="none"/>
        </w:rPr>
      </w:pPr>
      <w:r w:rsidRPr="003B79F8">
        <w:rPr>
          <w:rFonts w:ascii="Times New Roman" w:eastAsia="Times New Roman" w:hAnsi="Times New Roman" w:cs="Times New Roman"/>
          <w:color w:val="707070"/>
          <w:kern w:val="0"/>
          <w:bdr w:val="single" w:sz="12" w:space="9" w:color="DCDCDC" w:frame="1"/>
          <w:lang w:eastAsia="en-GB"/>
          <w14:ligatures w14:val="none"/>
        </w:rPr>
        <w:t>Figure </w:t>
      </w:r>
      <w:r w:rsidRPr="003B79F8">
        <w:rPr>
          <w:rFonts w:ascii="Times New Roman" w:eastAsia="Times New Roman" w:hAnsi="Times New Roman" w:cs="Times New Roman"/>
          <w:color w:val="707070"/>
          <w:kern w:val="0"/>
          <w:bdr w:val="single" w:sz="12" w:space="9" w:color="DCDCDC" w:frame="1"/>
          <w:lang w:eastAsia="en-GB"/>
          <w14:ligatures w14:val="none"/>
        </w:rPr>
        <w:t>1</w:t>
      </w:r>
      <w:r w:rsidRPr="003B79F8">
        <w:rPr>
          <w:rFonts w:ascii="Times New Roman" w:eastAsia="Times New Roman" w:hAnsi="Times New Roman" w:cs="Times New Roman"/>
          <w:color w:val="707070"/>
          <w:kern w:val="0"/>
          <w:bdr w:val="single" w:sz="12" w:space="9" w:color="DCDCDC" w:frame="1"/>
          <w:lang w:eastAsia="en-GB"/>
          <w14:ligatures w14:val="none"/>
        </w:rPr>
        <w:t>.2. Detonation of an Explosive.</w:t>
      </w:r>
    </w:p>
    <w:p w14:paraId="1D8E70E9" w14:textId="77777777" w:rsidR="003B79F8" w:rsidRPr="003B79F8" w:rsidRDefault="003B79F8" w:rsidP="003B79F8">
      <w:pPr>
        <w:jc w:val="both"/>
        <w:rPr>
          <w:rFonts w:ascii="Times New Roman" w:eastAsia="Times New Roman" w:hAnsi="Times New Roman" w:cs="Times New Roman"/>
          <w:color w:val="707070"/>
          <w:kern w:val="0"/>
          <w:bdr w:val="single" w:sz="12" w:space="9" w:color="DCDCDC" w:frame="1"/>
          <w:lang w:eastAsia="en-GB"/>
          <w14:ligatures w14:val="none"/>
        </w:rPr>
      </w:pPr>
    </w:p>
    <w:p w14:paraId="7E70FDBA" w14:textId="77777777" w:rsidR="003B79F8" w:rsidRPr="003B79F8" w:rsidRDefault="003B79F8" w:rsidP="003B79F8">
      <w:pPr>
        <w:jc w:val="both"/>
        <w:rPr>
          <w:rFonts w:ascii="Times New Roman" w:eastAsia="Times New Roman" w:hAnsi="Times New Roman" w:cs="Times New Roman"/>
          <w:color w:val="707070"/>
          <w:kern w:val="0"/>
          <w:bdr w:val="single" w:sz="12" w:space="9" w:color="DCDCDC" w:frame="1"/>
          <w:lang w:eastAsia="en-GB"/>
          <w14:ligatures w14:val="none"/>
        </w:rPr>
      </w:pPr>
    </w:p>
    <w:p w14:paraId="7D5B3428" w14:textId="77777777" w:rsidR="003B79F8" w:rsidRPr="003B79F8" w:rsidRDefault="003B79F8" w:rsidP="003B79F8">
      <w:pPr>
        <w:jc w:val="both"/>
        <w:rPr>
          <w:rFonts w:ascii="Times New Roman" w:eastAsia="Times New Roman" w:hAnsi="Times New Roman" w:cs="Times New Roman"/>
          <w:color w:val="707070"/>
          <w:kern w:val="0"/>
          <w:bdr w:val="single" w:sz="12" w:space="9" w:color="DCDCDC" w:frame="1"/>
          <w:lang w:eastAsia="en-GB"/>
          <w14:ligatures w14:val="none"/>
        </w:rPr>
      </w:pPr>
    </w:p>
    <w:p w14:paraId="35914D74" w14:textId="27A9788F"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lastRenderedPageBreak/>
        <w:t>1.</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The detonation is accompanied by the production of a shock wave.</w:t>
      </w:r>
    </w:p>
    <w:p w14:paraId="61D3C720"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38462538" w14:textId="531BAACA"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2.</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The wave front of the shock wave has a high temperature and pressure gradient (shock zone), which instantaneously initiates chemical decomposition of the shocked explosive layer of the undetonated explosive. The chemical reaction of explosion is completed in the chemical reaction zone. The shock zone is very narrow (</w:t>
      </w:r>
      <w:r w:rsidRPr="003B79F8">
        <w:rPr>
          <w:rFonts w:ascii="Cambria Math" w:eastAsia="Times New Roman" w:hAnsi="Cambria Math" w:cs="Cambria Math"/>
          <w:color w:val="1F1F1F"/>
          <w:kern w:val="0"/>
          <w:sz w:val="30"/>
          <w:szCs w:val="30"/>
          <w:lang w:eastAsia="en-GB"/>
          <w14:ligatures w14:val="none"/>
        </w:rPr>
        <w:t>∼</w:t>
      </w:r>
      <w:r w:rsidRPr="003B79F8">
        <w:rPr>
          <w:rFonts w:ascii="Times New Roman" w:eastAsia="Times New Roman" w:hAnsi="Times New Roman" w:cs="Times New Roman"/>
          <w:color w:val="1F1F1F"/>
          <w:kern w:val="0"/>
          <w:sz w:val="30"/>
          <w:szCs w:val="30"/>
          <w:lang w:eastAsia="en-GB"/>
          <w14:ligatures w14:val="none"/>
        </w:rPr>
        <w:t>10</w:t>
      </w:r>
      <w:r w:rsidRPr="003B79F8">
        <w:rPr>
          <w:rFonts w:ascii="Times New Roman" w:eastAsia="Times New Roman" w:hAnsi="Times New Roman" w:cs="Times New Roman"/>
          <w:color w:val="1F1F1F"/>
          <w:kern w:val="0"/>
          <w:sz w:val="23"/>
          <w:szCs w:val="23"/>
          <w:vertAlign w:val="superscript"/>
          <w:lang w:eastAsia="en-GB"/>
          <w14:ligatures w14:val="none"/>
        </w:rPr>
        <w:t>−5</w:t>
      </w:r>
      <w:r w:rsidRPr="003B79F8">
        <w:rPr>
          <w:rFonts w:ascii="Times New Roman" w:eastAsia="Times New Roman" w:hAnsi="Times New Roman" w:cs="Times New Roman"/>
          <w:color w:val="1F1F1F"/>
          <w:kern w:val="0"/>
          <w:sz w:val="30"/>
          <w:szCs w:val="30"/>
          <w:lang w:eastAsia="en-GB"/>
          <w14:ligatures w14:val="none"/>
        </w:rPr>
        <w:t xml:space="preserve"> cm) as compared with the chemical reaction zone (varies from 0.1 to 1.0 cm), and </w:t>
      </w:r>
      <w:proofErr w:type="gramStart"/>
      <w:r w:rsidRPr="003B79F8">
        <w:rPr>
          <w:rFonts w:ascii="Times New Roman" w:eastAsia="Times New Roman" w:hAnsi="Times New Roman" w:cs="Times New Roman"/>
          <w:color w:val="1F1F1F"/>
          <w:kern w:val="0"/>
          <w:sz w:val="30"/>
          <w:szCs w:val="30"/>
          <w:lang w:eastAsia="en-GB"/>
          <w14:ligatures w14:val="none"/>
        </w:rPr>
        <w:t>both of these</w:t>
      </w:r>
      <w:proofErr w:type="gramEnd"/>
      <w:r w:rsidRPr="003B79F8">
        <w:rPr>
          <w:rFonts w:ascii="Times New Roman" w:eastAsia="Times New Roman" w:hAnsi="Times New Roman" w:cs="Times New Roman"/>
          <w:color w:val="1F1F1F"/>
          <w:kern w:val="0"/>
          <w:sz w:val="30"/>
          <w:szCs w:val="30"/>
          <w:lang w:eastAsia="en-GB"/>
          <w14:ligatures w14:val="none"/>
        </w:rPr>
        <w:t xml:space="preserve"> zones together form the detonation zone.</w:t>
      </w:r>
    </w:p>
    <w:p w14:paraId="4CFA07EE"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2DC7DFB6" w14:textId="51CD531B"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3.</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The gaseous products flow in the same direction as that of the propagation of detonation.</w:t>
      </w:r>
    </w:p>
    <w:p w14:paraId="2117616B"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4E0738A9" w14:textId="47B90C3D"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4.</w:t>
      </w:r>
      <w:r w:rsidRPr="003B79F8">
        <w:rPr>
          <w:rFonts w:ascii="Times New Roman" w:eastAsia="Times New Roman" w:hAnsi="Times New Roman" w:cs="Times New Roman"/>
          <w:color w:val="1F1F1F"/>
          <w:kern w:val="0"/>
          <w:sz w:val="30"/>
          <w:szCs w:val="30"/>
          <w:lang w:eastAsia="en-GB"/>
          <w14:ligatures w14:val="none"/>
        </w:rPr>
        <w:t xml:space="preserve"> </w:t>
      </w:r>
      <w:r w:rsidRPr="003B79F8">
        <w:rPr>
          <w:rFonts w:ascii="Times New Roman" w:eastAsia="Times New Roman" w:hAnsi="Times New Roman" w:cs="Times New Roman"/>
          <w:color w:val="1F1F1F"/>
          <w:kern w:val="0"/>
          <w:sz w:val="30"/>
          <w:szCs w:val="30"/>
          <w:lang w:eastAsia="en-GB"/>
          <w14:ligatures w14:val="none"/>
        </w:rPr>
        <w:t>The rate of propagation of the detonation front (velocity of detonation (VOD)) is more than the sonic velocity of the material (i.e., the velocity of sound in undetonated TNT). The VOD varies from 1500 to more than 9000 m/s for different explosives.</w:t>
      </w:r>
    </w:p>
    <w:p w14:paraId="58382D9B"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21CC2903" w14:textId="07987746" w:rsidR="003B79F8" w:rsidRPr="003B79F8" w:rsidRDefault="003B79F8" w:rsidP="003B79F8">
      <w:pPr>
        <w:jc w:val="both"/>
        <w:rPr>
          <w:rFonts w:ascii="Times New Roman" w:eastAsia="Times New Roman" w:hAnsi="Times New Roman" w:cs="Times New Roman"/>
          <w:b/>
          <w:bCs/>
          <w:color w:val="1F1F1F"/>
          <w:kern w:val="0"/>
          <w:sz w:val="30"/>
          <w:szCs w:val="30"/>
          <w:lang w:eastAsia="en-GB"/>
          <w14:ligatures w14:val="none"/>
        </w:rPr>
      </w:pPr>
      <w:r w:rsidRPr="003B79F8">
        <w:rPr>
          <w:rFonts w:ascii="Times New Roman" w:eastAsia="Times New Roman" w:hAnsi="Times New Roman" w:cs="Times New Roman"/>
          <w:b/>
          <w:bCs/>
          <w:color w:val="1F1F1F"/>
          <w:kern w:val="0"/>
          <w:sz w:val="30"/>
          <w:szCs w:val="30"/>
          <w:lang w:eastAsia="en-GB"/>
          <w14:ligatures w14:val="none"/>
        </w:rPr>
        <w:t>Summary of Differences</w:t>
      </w:r>
    </w:p>
    <w:p w14:paraId="356EB360"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06158ED4" w14:textId="2D293B14"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r w:rsidRPr="003B79F8">
        <w:rPr>
          <w:rFonts w:ascii="Times New Roman" w:eastAsia="Times New Roman" w:hAnsi="Times New Roman" w:cs="Times New Roman"/>
          <w:color w:val="1F1F1F"/>
          <w:kern w:val="0"/>
          <w:sz w:val="30"/>
          <w:szCs w:val="30"/>
          <w:lang w:eastAsia="en-GB"/>
          <w14:ligatures w14:val="none"/>
        </w:rPr>
        <w:t xml:space="preserve">The important differences between deflagration and detonation are summed up in Table </w:t>
      </w:r>
      <w:r w:rsidRPr="003B79F8">
        <w:rPr>
          <w:rFonts w:ascii="Times New Roman" w:eastAsia="Times New Roman" w:hAnsi="Times New Roman" w:cs="Times New Roman"/>
          <w:color w:val="1F1F1F"/>
          <w:kern w:val="0"/>
          <w:sz w:val="30"/>
          <w:szCs w:val="30"/>
          <w:lang w:eastAsia="en-GB"/>
          <w14:ligatures w14:val="none"/>
        </w:rPr>
        <w:t>1</w:t>
      </w:r>
      <w:r w:rsidRPr="003B79F8">
        <w:rPr>
          <w:rFonts w:ascii="Times New Roman" w:eastAsia="Times New Roman" w:hAnsi="Times New Roman" w:cs="Times New Roman"/>
          <w:color w:val="1F1F1F"/>
          <w:kern w:val="0"/>
          <w:sz w:val="30"/>
          <w:szCs w:val="30"/>
          <w:lang w:eastAsia="en-GB"/>
          <w14:ligatures w14:val="none"/>
        </w:rPr>
        <w:t>.1.</w:t>
      </w:r>
    </w:p>
    <w:p w14:paraId="27973C69" w14:textId="77777777" w:rsidR="003B79F8" w:rsidRPr="003B79F8" w:rsidRDefault="003B79F8" w:rsidP="003B79F8">
      <w:pPr>
        <w:jc w:val="both"/>
        <w:rPr>
          <w:rFonts w:ascii="Times New Roman" w:eastAsia="Times New Roman" w:hAnsi="Times New Roman" w:cs="Times New Roman"/>
          <w:color w:val="1F1F1F"/>
          <w:kern w:val="0"/>
          <w:sz w:val="30"/>
          <w:szCs w:val="30"/>
          <w:lang w:eastAsia="en-GB"/>
          <w14:ligatures w14:val="none"/>
        </w:rPr>
      </w:pPr>
    </w:p>
    <w:p w14:paraId="04150FEB" w14:textId="3B41218A" w:rsidR="003B79F8" w:rsidRDefault="003B79F8" w:rsidP="003B79F8">
      <w:pPr>
        <w:ind w:left="360"/>
        <w:jc w:val="center"/>
        <w:rPr>
          <w:rFonts w:ascii="Times New Roman" w:eastAsia="Times New Roman" w:hAnsi="Times New Roman" w:cs="Times New Roman"/>
          <w:color w:val="707070"/>
          <w:kern w:val="0"/>
          <w:sz w:val="16"/>
          <w:szCs w:val="16"/>
          <w:bdr w:val="single" w:sz="12" w:space="9" w:color="DCDCDC" w:frame="1"/>
          <w:lang w:eastAsia="en-GB"/>
          <w14:ligatures w14:val="none"/>
        </w:rPr>
      </w:pPr>
      <w:r w:rsidRPr="003B79F8">
        <w:rPr>
          <w:rFonts w:ascii="Times New Roman" w:eastAsia="Times New Roman" w:hAnsi="Times New Roman" w:cs="Times New Roman"/>
          <w:color w:val="707070"/>
          <w:kern w:val="0"/>
          <w:sz w:val="20"/>
          <w:szCs w:val="20"/>
          <w:bdr w:val="single" w:sz="12" w:space="9" w:color="DCDCDC" w:frame="1"/>
          <w:lang w:eastAsia="en-GB"/>
          <w14:ligatures w14:val="none"/>
        </w:rPr>
        <w:t xml:space="preserve">Table </w:t>
      </w:r>
      <w:r w:rsidRPr="003B79F8">
        <w:rPr>
          <w:rFonts w:ascii="Times New Roman" w:eastAsia="Times New Roman" w:hAnsi="Times New Roman" w:cs="Times New Roman"/>
          <w:color w:val="707070"/>
          <w:kern w:val="0"/>
          <w:sz w:val="20"/>
          <w:szCs w:val="20"/>
          <w:bdr w:val="single" w:sz="12" w:space="9" w:color="DCDCDC" w:frame="1"/>
          <w:lang w:eastAsia="en-GB"/>
          <w14:ligatures w14:val="none"/>
        </w:rPr>
        <w:t>1</w:t>
      </w:r>
      <w:r w:rsidRPr="003B79F8">
        <w:rPr>
          <w:rFonts w:ascii="Times New Roman" w:eastAsia="Times New Roman" w:hAnsi="Times New Roman" w:cs="Times New Roman"/>
          <w:color w:val="707070"/>
          <w:kern w:val="0"/>
          <w:sz w:val="20"/>
          <w:szCs w:val="20"/>
          <w:bdr w:val="single" w:sz="12" w:space="9" w:color="DCDCDC" w:frame="1"/>
          <w:lang w:eastAsia="en-GB"/>
          <w14:ligatures w14:val="none"/>
        </w:rPr>
        <w:t>.1</w:t>
      </w:r>
      <w:r w:rsidRPr="003B79F8">
        <w:rPr>
          <w:rFonts w:ascii="Times New Roman" w:eastAsia="Times New Roman" w:hAnsi="Times New Roman" w:cs="Times New Roman"/>
          <w:color w:val="707070"/>
          <w:kern w:val="0"/>
          <w:sz w:val="16"/>
          <w:szCs w:val="16"/>
          <w:bdr w:val="single" w:sz="12" w:space="9" w:color="DCDCDC" w:frame="1"/>
          <w:lang w:eastAsia="en-GB"/>
          <w14:ligatures w14:val="none"/>
        </w:rPr>
        <w:t>. Comparison of deflagration vs detonation.</w:t>
      </w:r>
    </w:p>
    <w:p w14:paraId="7A9088B8" w14:textId="77777777" w:rsidR="00284873" w:rsidRPr="003B79F8" w:rsidRDefault="00284873" w:rsidP="003B79F8">
      <w:pPr>
        <w:ind w:left="360"/>
        <w:jc w:val="center"/>
        <w:rPr>
          <w:rFonts w:ascii="Times New Roman" w:eastAsia="Times New Roman" w:hAnsi="Times New Roman" w:cs="Times New Roman"/>
          <w:color w:val="707070"/>
          <w:kern w:val="0"/>
          <w:sz w:val="16"/>
          <w:szCs w:val="16"/>
          <w:bdr w:val="single" w:sz="12" w:space="9" w:color="DCDCDC" w:frame="1"/>
          <w:lang w:eastAsia="en-GB"/>
          <w14:ligatures w14:val="none"/>
        </w:rPr>
      </w:pPr>
    </w:p>
    <w:tbl>
      <w:tblPr>
        <w:tblW w:w="7931" w:type="dxa"/>
        <w:jc w:val="center"/>
        <w:tblBorders>
          <w:top w:val="single" w:sz="6" w:space="0" w:color="F5F5F5"/>
          <w:bottom w:val="single" w:sz="6" w:space="0" w:color="F5F5F5"/>
        </w:tblBorders>
        <w:tblCellMar>
          <w:left w:w="0" w:type="dxa"/>
          <w:right w:w="0" w:type="dxa"/>
        </w:tblCellMar>
        <w:tblLook w:val="04A0" w:firstRow="1" w:lastRow="0" w:firstColumn="1" w:lastColumn="0" w:noHBand="0" w:noVBand="1"/>
      </w:tblPr>
      <w:tblGrid>
        <w:gridCol w:w="3672"/>
        <w:gridCol w:w="4259"/>
      </w:tblGrid>
      <w:tr w:rsidR="00284873" w:rsidRPr="003B79F8" w14:paraId="4B09D193" w14:textId="77777777" w:rsidTr="00284873">
        <w:trPr>
          <w:tblHeader/>
          <w:jc w:val="center"/>
        </w:trPr>
        <w:tc>
          <w:tcPr>
            <w:tcW w:w="0" w:type="auto"/>
            <w:tcBorders>
              <w:bottom w:val="single" w:sz="6" w:space="0" w:color="F5F5F5"/>
              <w:right w:val="nil"/>
            </w:tcBorders>
            <w:tcMar>
              <w:top w:w="75" w:type="dxa"/>
              <w:left w:w="75" w:type="dxa"/>
              <w:bottom w:w="75" w:type="dxa"/>
              <w:right w:w="75" w:type="dxa"/>
            </w:tcMar>
            <w:hideMark/>
          </w:tcPr>
          <w:p w14:paraId="0B4BCFBB" w14:textId="77777777" w:rsidR="00284873" w:rsidRPr="003B79F8" w:rsidRDefault="00284873" w:rsidP="00284873">
            <w:pPr>
              <w:jc w:val="center"/>
              <w:rPr>
                <w:rFonts w:ascii="Times New Roman" w:eastAsia="Times New Roman" w:hAnsi="Times New Roman" w:cs="Times New Roman"/>
                <w:b/>
                <w:bCs/>
                <w:kern w:val="0"/>
                <w:lang w:eastAsia="en-GB"/>
                <w14:ligatures w14:val="none"/>
              </w:rPr>
            </w:pPr>
            <w:r w:rsidRPr="003B79F8">
              <w:rPr>
                <w:rFonts w:ascii="Times New Roman" w:eastAsia="Times New Roman" w:hAnsi="Times New Roman" w:cs="Times New Roman"/>
                <w:b/>
                <w:bCs/>
                <w:kern w:val="0"/>
                <w:lang w:eastAsia="en-GB"/>
                <w14:ligatures w14:val="none"/>
              </w:rPr>
              <w:t>Deflagration</w:t>
            </w:r>
          </w:p>
        </w:tc>
        <w:tc>
          <w:tcPr>
            <w:tcW w:w="0" w:type="auto"/>
            <w:tcBorders>
              <w:bottom w:val="single" w:sz="6" w:space="0" w:color="F5F5F5"/>
              <w:right w:val="nil"/>
            </w:tcBorders>
            <w:tcMar>
              <w:top w:w="75" w:type="dxa"/>
              <w:left w:w="75" w:type="dxa"/>
              <w:bottom w:w="75" w:type="dxa"/>
              <w:right w:w="75" w:type="dxa"/>
            </w:tcMar>
            <w:hideMark/>
          </w:tcPr>
          <w:p w14:paraId="766CE7E9" w14:textId="77777777" w:rsidR="00284873" w:rsidRPr="003B79F8" w:rsidRDefault="00284873" w:rsidP="00284873">
            <w:pPr>
              <w:jc w:val="center"/>
              <w:rPr>
                <w:rFonts w:ascii="Times New Roman" w:eastAsia="Times New Roman" w:hAnsi="Times New Roman" w:cs="Times New Roman"/>
                <w:b/>
                <w:bCs/>
                <w:kern w:val="0"/>
                <w:lang w:eastAsia="en-GB"/>
                <w14:ligatures w14:val="none"/>
              </w:rPr>
            </w:pPr>
            <w:r w:rsidRPr="003B79F8">
              <w:rPr>
                <w:rFonts w:ascii="Times New Roman" w:eastAsia="Times New Roman" w:hAnsi="Times New Roman" w:cs="Times New Roman"/>
                <w:b/>
                <w:bCs/>
                <w:kern w:val="0"/>
                <w:lang w:eastAsia="en-GB"/>
                <w14:ligatures w14:val="none"/>
              </w:rPr>
              <w:t>Detonation</w:t>
            </w:r>
          </w:p>
        </w:tc>
      </w:tr>
      <w:tr w:rsidR="00284873" w:rsidRPr="003B79F8" w14:paraId="5E363FD3" w14:textId="77777777" w:rsidTr="00284873">
        <w:trPr>
          <w:jc w:val="center"/>
        </w:trPr>
        <w:tc>
          <w:tcPr>
            <w:tcW w:w="0" w:type="auto"/>
            <w:tcBorders>
              <w:bottom w:val="nil"/>
              <w:right w:val="nil"/>
            </w:tcBorders>
            <w:tcMar>
              <w:top w:w="75" w:type="dxa"/>
              <w:left w:w="75" w:type="dxa"/>
              <w:bottom w:w="75" w:type="dxa"/>
              <w:right w:w="75" w:type="dxa"/>
            </w:tcMar>
            <w:hideMark/>
          </w:tcPr>
          <w:p w14:paraId="3FA8157C" w14:textId="77777777" w:rsidR="00284873" w:rsidRPr="003B79F8" w:rsidRDefault="00284873" w:rsidP="003B79F8">
            <w:pPr>
              <w:jc w:val="both"/>
              <w:rPr>
                <w:rFonts w:ascii="Times New Roman" w:eastAsia="Times New Roman" w:hAnsi="Times New Roman" w:cs="Times New Roman"/>
                <w:kern w:val="0"/>
                <w:lang w:eastAsia="en-GB"/>
                <w14:ligatures w14:val="none"/>
              </w:rPr>
            </w:pPr>
            <w:r w:rsidRPr="003B79F8">
              <w:rPr>
                <w:rFonts w:ascii="Times New Roman" w:eastAsia="Times New Roman" w:hAnsi="Times New Roman" w:cs="Times New Roman"/>
                <w:kern w:val="0"/>
                <w:lang w:eastAsia="en-GB"/>
                <w14:ligatures w14:val="none"/>
              </w:rPr>
              <w:t>It is a </w:t>
            </w:r>
            <w:r w:rsidRPr="003B79F8">
              <w:rPr>
                <w:rFonts w:ascii="Times New Roman" w:eastAsia="Times New Roman" w:hAnsi="Times New Roman" w:cs="Times New Roman"/>
                <w:b/>
                <w:bCs/>
                <w:kern w:val="0"/>
                <w:lang w:eastAsia="en-GB"/>
                <w14:ligatures w14:val="none"/>
              </w:rPr>
              <w:t>s</w:t>
            </w:r>
            <w:r w:rsidRPr="003B79F8">
              <w:rPr>
                <w:rFonts w:ascii="Times New Roman" w:eastAsia="Times New Roman" w:hAnsi="Times New Roman" w:cs="Times New Roman"/>
                <w:kern w:val="0"/>
                <w:lang w:eastAsia="en-GB"/>
                <w14:ligatures w14:val="none"/>
              </w:rPr>
              <w:t>urface phenomenon (i.e., its propagation is by layer-to-layer burning).</w:t>
            </w:r>
          </w:p>
        </w:tc>
        <w:tc>
          <w:tcPr>
            <w:tcW w:w="0" w:type="auto"/>
            <w:tcBorders>
              <w:bottom w:val="nil"/>
              <w:right w:val="nil"/>
            </w:tcBorders>
            <w:tcMar>
              <w:top w:w="75" w:type="dxa"/>
              <w:left w:w="75" w:type="dxa"/>
              <w:bottom w:w="75" w:type="dxa"/>
              <w:right w:w="75" w:type="dxa"/>
            </w:tcMar>
            <w:hideMark/>
          </w:tcPr>
          <w:p w14:paraId="2E4D1548" w14:textId="77777777" w:rsidR="00284873" w:rsidRPr="003B79F8" w:rsidRDefault="00284873" w:rsidP="003B79F8">
            <w:pPr>
              <w:jc w:val="both"/>
              <w:rPr>
                <w:rFonts w:ascii="Times New Roman" w:eastAsia="Times New Roman" w:hAnsi="Times New Roman" w:cs="Times New Roman"/>
                <w:kern w:val="0"/>
                <w:lang w:eastAsia="en-GB"/>
                <w14:ligatures w14:val="none"/>
              </w:rPr>
            </w:pPr>
            <w:r w:rsidRPr="003B79F8">
              <w:rPr>
                <w:rFonts w:ascii="Times New Roman" w:eastAsia="Times New Roman" w:hAnsi="Times New Roman" w:cs="Times New Roman"/>
                <w:kern w:val="0"/>
                <w:lang w:eastAsia="en-GB"/>
                <w14:ligatures w14:val="none"/>
              </w:rPr>
              <w:t>It is a </w:t>
            </w:r>
            <w:r w:rsidRPr="003B79F8">
              <w:rPr>
                <w:rFonts w:ascii="Times New Roman" w:eastAsia="Times New Roman" w:hAnsi="Times New Roman" w:cs="Times New Roman"/>
                <w:b/>
                <w:bCs/>
                <w:kern w:val="0"/>
                <w:lang w:eastAsia="en-GB"/>
                <w14:ligatures w14:val="none"/>
              </w:rPr>
              <w:t>s</w:t>
            </w:r>
            <w:r w:rsidRPr="003B79F8">
              <w:rPr>
                <w:rFonts w:ascii="Times New Roman" w:eastAsia="Times New Roman" w:hAnsi="Times New Roman" w:cs="Times New Roman"/>
                <w:kern w:val="0"/>
                <w:lang w:eastAsia="en-GB"/>
                <w14:ligatures w14:val="none"/>
              </w:rPr>
              <w:t>hock-wave phenomenon (i.e., high-speed shock wave traveling through the explosive medium propagates detonation).</w:t>
            </w:r>
          </w:p>
        </w:tc>
      </w:tr>
      <w:tr w:rsidR="00284873" w:rsidRPr="003B79F8" w14:paraId="1E6B2F6C" w14:textId="77777777" w:rsidTr="00284873">
        <w:trPr>
          <w:jc w:val="center"/>
        </w:trPr>
        <w:tc>
          <w:tcPr>
            <w:tcW w:w="0" w:type="auto"/>
            <w:tcBorders>
              <w:bottom w:val="nil"/>
              <w:right w:val="nil"/>
            </w:tcBorders>
            <w:tcMar>
              <w:top w:w="75" w:type="dxa"/>
              <w:left w:w="75" w:type="dxa"/>
              <w:bottom w:w="75" w:type="dxa"/>
              <w:right w:w="75" w:type="dxa"/>
            </w:tcMar>
            <w:hideMark/>
          </w:tcPr>
          <w:p w14:paraId="1BA771A3" w14:textId="77777777" w:rsidR="00284873" w:rsidRPr="003B79F8" w:rsidRDefault="00284873" w:rsidP="003B79F8">
            <w:pPr>
              <w:jc w:val="both"/>
              <w:rPr>
                <w:rFonts w:ascii="Times New Roman" w:eastAsia="Times New Roman" w:hAnsi="Times New Roman" w:cs="Times New Roman"/>
                <w:kern w:val="0"/>
                <w:lang w:eastAsia="en-GB"/>
                <w14:ligatures w14:val="none"/>
              </w:rPr>
            </w:pPr>
            <w:r w:rsidRPr="003B79F8">
              <w:rPr>
                <w:rFonts w:ascii="Times New Roman" w:eastAsia="Times New Roman" w:hAnsi="Times New Roman" w:cs="Times New Roman"/>
                <w:kern w:val="0"/>
                <w:lang w:eastAsia="en-GB"/>
                <w14:ligatures w14:val="none"/>
              </w:rPr>
              <w:t>The rate of deflagration is lower than the sonic velocity in the medium.</w:t>
            </w:r>
          </w:p>
        </w:tc>
        <w:tc>
          <w:tcPr>
            <w:tcW w:w="0" w:type="auto"/>
            <w:tcBorders>
              <w:bottom w:val="nil"/>
              <w:right w:val="nil"/>
            </w:tcBorders>
            <w:tcMar>
              <w:top w:w="75" w:type="dxa"/>
              <w:left w:w="75" w:type="dxa"/>
              <w:bottom w:w="75" w:type="dxa"/>
              <w:right w:w="75" w:type="dxa"/>
            </w:tcMar>
            <w:hideMark/>
          </w:tcPr>
          <w:p w14:paraId="01BF2E98" w14:textId="77777777" w:rsidR="00284873" w:rsidRPr="003B79F8" w:rsidRDefault="00284873" w:rsidP="003B79F8">
            <w:pPr>
              <w:jc w:val="both"/>
              <w:rPr>
                <w:rFonts w:ascii="Times New Roman" w:eastAsia="Times New Roman" w:hAnsi="Times New Roman" w:cs="Times New Roman"/>
                <w:kern w:val="0"/>
                <w:lang w:eastAsia="en-GB"/>
                <w14:ligatures w14:val="none"/>
              </w:rPr>
            </w:pPr>
            <w:r w:rsidRPr="003B79F8">
              <w:rPr>
                <w:rFonts w:ascii="Times New Roman" w:eastAsia="Times New Roman" w:hAnsi="Times New Roman" w:cs="Times New Roman"/>
                <w:kern w:val="0"/>
                <w:lang w:eastAsia="en-GB"/>
                <w14:ligatures w14:val="none"/>
              </w:rPr>
              <w:t>The rate of detonation is higher than the sonic velocity in the medium.</w:t>
            </w:r>
          </w:p>
        </w:tc>
      </w:tr>
      <w:tr w:rsidR="00284873" w:rsidRPr="003B79F8" w14:paraId="03715D2F" w14:textId="77777777" w:rsidTr="00284873">
        <w:trPr>
          <w:jc w:val="center"/>
        </w:trPr>
        <w:tc>
          <w:tcPr>
            <w:tcW w:w="0" w:type="auto"/>
            <w:tcBorders>
              <w:bottom w:val="nil"/>
              <w:right w:val="nil"/>
            </w:tcBorders>
            <w:tcMar>
              <w:top w:w="75" w:type="dxa"/>
              <w:left w:w="75" w:type="dxa"/>
              <w:bottom w:w="75" w:type="dxa"/>
              <w:right w:w="75" w:type="dxa"/>
            </w:tcMar>
            <w:hideMark/>
          </w:tcPr>
          <w:p w14:paraId="5712417E" w14:textId="77777777" w:rsidR="00284873" w:rsidRPr="003B79F8" w:rsidRDefault="00284873" w:rsidP="003B79F8">
            <w:pPr>
              <w:jc w:val="both"/>
              <w:rPr>
                <w:rFonts w:ascii="Times New Roman" w:eastAsia="Times New Roman" w:hAnsi="Times New Roman" w:cs="Times New Roman"/>
                <w:kern w:val="0"/>
                <w:lang w:eastAsia="en-GB"/>
                <w14:ligatures w14:val="none"/>
              </w:rPr>
            </w:pPr>
            <w:r w:rsidRPr="003B79F8">
              <w:rPr>
                <w:rFonts w:ascii="Times New Roman" w:eastAsia="Times New Roman" w:hAnsi="Times New Roman" w:cs="Times New Roman"/>
                <w:kern w:val="0"/>
                <w:lang w:eastAsia="en-GB"/>
                <w14:ligatures w14:val="none"/>
              </w:rPr>
              <w:t>The products of deflagration go away from (opposite to) the direction of propagation of deflagration.</w:t>
            </w:r>
          </w:p>
        </w:tc>
        <w:tc>
          <w:tcPr>
            <w:tcW w:w="0" w:type="auto"/>
            <w:tcBorders>
              <w:bottom w:val="nil"/>
              <w:right w:val="nil"/>
            </w:tcBorders>
            <w:tcMar>
              <w:top w:w="75" w:type="dxa"/>
              <w:left w:w="75" w:type="dxa"/>
              <w:bottom w:w="75" w:type="dxa"/>
              <w:right w:w="75" w:type="dxa"/>
            </w:tcMar>
            <w:hideMark/>
          </w:tcPr>
          <w:p w14:paraId="726763ED" w14:textId="77777777" w:rsidR="00284873" w:rsidRPr="003B79F8" w:rsidRDefault="00284873" w:rsidP="003B79F8">
            <w:pPr>
              <w:jc w:val="both"/>
              <w:rPr>
                <w:rFonts w:ascii="Times New Roman" w:eastAsia="Times New Roman" w:hAnsi="Times New Roman" w:cs="Times New Roman"/>
                <w:kern w:val="0"/>
                <w:lang w:eastAsia="en-GB"/>
                <w14:ligatures w14:val="none"/>
              </w:rPr>
            </w:pPr>
            <w:r w:rsidRPr="003B79F8">
              <w:rPr>
                <w:rFonts w:ascii="Times New Roman" w:eastAsia="Times New Roman" w:hAnsi="Times New Roman" w:cs="Times New Roman"/>
                <w:kern w:val="0"/>
                <w:lang w:eastAsia="en-GB"/>
                <w14:ligatures w14:val="none"/>
              </w:rPr>
              <w:t>The products of detonation travel in the same direction as that of the propagation of detonation.</w:t>
            </w:r>
          </w:p>
        </w:tc>
      </w:tr>
    </w:tbl>
    <w:p w14:paraId="6E600C07" w14:textId="77777777" w:rsidR="004A0D6F" w:rsidRPr="003B79F8" w:rsidRDefault="004A0D6F" w:rsidP="003B79F8">
      <w:pPr>
        <w:jc w:val="both"/>
        <w:rPr>
          <w:rFonts w:ascii="Times New Roman" w:hAnsi="Times New Roman" w:cs="Times New Roman"/>
        </w:rPr>
      </w:pPr>
    </w:p>
    <w:sectPr w:rsidR="004A0D6F" w:rsidRPr="003B7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9F8"/>
    <w:rsid w:val="001B6563"/>
    <w:rsid w:val="00284873"/>
    <w:rsid w:val="003B79F8"/>
    <w:rsid w:val="004A0D6F"/>
    <w:rsid w:val="00BD71BB"/>
    <w:rsid w:val="00ED4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C48AFC"/>
  <w15:chartTrackingRefBased/>
  <w15:docId w15:val="{45FF04A1-5F3C-A348-9358-C5E3DB1ED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B79F8"/>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B79F8"/>
    <w:rPr>
      <w:rFonts w:ascii="Times New Roman" w:eastAsia="Times New Roman" w:hAnsi="Times New Roman" w:cs="Times New Roman"/>
      <w:b/>
      <w:bCs/>
      <w:kern w:val="0"/>
      <w:sz w:val="27"/>
      <w:szCs w:val="27"/>
      <w:lang w:eastAsia="en-GB"/>
      <w14:ligatures w14:val="none"/>
    </w:rPr>
  </w:style>
  <w:style w:type="character" w:customStyle="1" w:styleId="apple-converted-space">
    <w:name w:val="apple-converted-space"/>
    <w:basedOn w:val="DefaultParagraphFont"/>
    <w:rsid w:val="003B79F8"/>
  </w:style>
  <w:style w:type="paragraph" w:styleId="NormalWeb">
    <w:name w:val="Normal (Web)"/>
    <w:basedOn w:val="Normal"/>
    <w:uiPriority w:val="99"/>
    <w:semiHidden/>
    <w:unhideWhenUsed/>
    <w:rsid w:val="003B79F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opic-highlight">
    <w:name w:val="topic-highlight"/>
    <w:basedOn w:val="DefaultParagraphFont"/>
    <w:rsid w:val="003B79F8"/>
  </w:style>
  <w:style w:type="character" w:customStyle="1" w:styleId="anchor-text">
    <w:name w:val="anchor-text"/>
    <w:basedOn w:val="DefaultParagraphFont"/>
    <w:rsid w:val="003B79F8"/>
  </w:style>
  <w:style w:type="character" w:customStyle="1" w:styleId="label">
    <w:name w:val="label"/>
    <w:basedOn w:val="DefaultParagraphFont"/>
    <w:rsid w:val="003B79F8"/>
  </w:style>
  <w:style w:type="character" w:customStyle="1" w:styleId="math">
    <w:name w:val="math"/>
    <w:basedOn w:val="DefaultParagraphFont"/>
    <w:rsid w:val="003B79F8"/>
  </w:style>
  <w:style w:type="character" w:styleId="Emphasis">
    <w:name w:val="Emphasis"/>
    <w:basedOn w:val="DefaultParagraphFont"/>
    <w:uiPriority w:val="20"/>
    <w:qFormat/>
    <w:rsid w:val="003B79F8"/>
    <w:rPr>
      <w:i/>
      <w:iCs/>
    </w:rPr>
  </w:style>
  <w:style w:type="character" w:styleId="Strong">
    <w:name w:val="Strong"/>
    <w:basedOn w:val="DefaultParagraphFont"/>
    <w:uiPriority w:val="22"/>
    <w:qFormat/>
    <w:rsid w:val="003B79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336746">
      <w:bodyDiv w:val="1"/>
      <w:marLeft w:val="0"/>
      <w:marRight w:val="0"/>
      <w:marTop w:val="0"/>
      <w:marBottom w:val="0"/>
      <w:divBdr>
        <w:top w:val="none" w:sz="0" w:space="0" w:color="auto"/>
        <w:left w:val="none" w:sz="0" w:space="0" w:color="auto"/>
        <w:bottom w:val="none" w:sz="0" w:space="0" w:color="auto"/>
        <w:right w:val="none" w:sz="0" w:space="0" w:color="auto"/>
      </w:divBdr>
      <w:divsChild>
        <w:div w:id="1949196635">
          <w:marLeft w:val="0"/>
          <w:marRight w:val="0"/>
          <w:marTop w:val="0"/>
          <w:marBottom w:val="0"/>
          <w:divBdr>
            <w:top w:val="none" w:sz="0" w:space="0" w:color="auto"/>
            <w:left w:val="none" w:sz="0" w:space="0" w:color="auto"/>
            <w:bottom w:val="none" w:sz="0" w:space="0" w:color="auto"/>
            <w:right w:val="none" w:sz="0" w:space="0" w:color="auto"/>
          </w:divBdr>
          <w:divsChild>
            <w:div w:id="1875076022">
              <w:marLeft w:val="0"/>
              <w:marRight w:val="0"/>
              <w:marTop w:val="0"/>
              <w:marBottom w:val="0"/>
              <w:divBdr>
                <w:top w:val="none" w:sz="0" w:space="0" w:color="auto"/>
                <w:left w:val="none" w:sz="0" w:space="0" w:color="auto"/>
                <w:bottom w:val="none" w:sz="0" w:space="0" w:color="auto"/>
                <w:right w:val="none" w:sz="0" w:space="0" w:color="auto"/>
              </w:divBdr>
              <w:divsChild>
                <w:div w:id="892619797">
                  <w:marLeft w:val="0"/>
                  <w:marRight w:val="0"/>
                  <w:marTop w:val="0"/>
                  <w:marBottom w:val="0"/>
                  <w:divBdr>
                    <w:top w:val="none" w:sz="0" w:space="0" w:color="auto"/>
                    <w:left w:val="none" w:sz="0" w:space="0" w:color="auto"/>
                    <w:bottom w:val="none" w:sz="0" w:space="0" w:color="auto"/>
                    <w:right w:val="none" w:sz="0" w:space="0" w:color="auto"/>
                  </w:divBdr>
                </w:div>
                <w:div w:id="188123852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0105377">
          <w:marLeft w:val="0"/>
          <w:marRight w:val="0"/>
          <w:marTop w:val="0"/>
          <w:marBottom w:val="0"/>
          <w:divBdr>
            <w:top w:val="none" w:sz="0" w:space="0" w:color="auto"/>
            <w:left w:val="none" w:sz="0" w:space="0" w:color="auto"/>
            <w:bottom w:val="none" w:sz="0" w:space="0" w:color="auto"/>
            <w:right w:val="none" w:sz="0" w:space="0" w:color="auto"/>
          </w:divBdr>
          <w:divsChild>
            <w:div w:id="65499264">
              <w:marLeft w:val="0"/>
              <w:marRight w:val="0"/>
              <w:marTop w:val="120"/>
              <w:marBottom w:val="120"/>
              <w:divBdr>
                <w:top w:val="none" w:sz="0" w:space="0" w:color="auto"/>
                <w:left w:val="none" w:sz="0" w:space="0" w:color="auto"/>
                <w:bottom w:val="none" w:sz="0" w:space="0" w:color="auto"/>
                <w:right w:val="none" w:sz="0" w:space="0" w:color="auto"/>
              </w:divBdr>
            </w:div>
          </w:divsChild>
        </w:div>
        <w:div w:id="43066914">
          <w:marLeft w:val="0"/>
          <w:marRight w:val="0"/>
          <w:marTop w:val="0"/>
          <w:marBottom w:val="0"/>
          <w:divBdr>
            <w:top w:val="none" w:sz="0" w:space="0" w:color="auto"/>
            <w:left w:val="none" w:sz="0" w:space="0" w:color="auto"/>
            <w:bottom w:val="none" w:sz="0" w:space="0" w:color="auto"/>
            <w:right w:val="none" w:sz="0" w:space="0" w:color="auto"/>
          </w:divBdr>
          <w:divsChild>
            <w:div w:id="1183937024">
              <w:marLeft w:val="0"/>
              <w:marRight w:val="0"/>
              <w:marTop w:val="0"/>
              <w:marBottom w:val="0"/>
              <w:divBdr>
                <w:top w:val="none" w:sz="0" w:space="0" w:color="auto"/>
                <w:left w:val="none" w:sz="0" w:space="0" w:color="auto"/>
                <w:bottom w:val="none" w:sz="0" w:space="0" w:color="auto"/>
                <w:right w:val="none" w:sz="0" w:space="0" w:color="auto"/>
              </w:divBdr>
              <w:divsChild>
                <w:div w:id="835728466">
                  <w:marLeft w:val="0"/>
                  <w:marRight w:val="0"/>
                  <w:marTop w:val="0"/>
                  <w:marBottom w:val="0"/>
                  <w:divBdr>
                    <w:top w:val="none" w:sz="0" w:space="0" w:color="auto"/>
                    <w:left w:val="none" w:sz="0" w:space="0" w:color="auto"/>
                    <w:bottom w:val="none" w:sz="0" w:space="0" w:color="auto"/>
                    <w:right w:val="none" w:sz="0" w:space="0" w:color="auto"/>
                  </w:divBdr>
                  <w:divsChild>
                    <w:div w:id="955985421">
                      <w:marLeft w:val="0"/>
                      <w:marRight w:val="0"/>
                      <w:marTop w:val="0"/>
                      <w:marBottom w:val="0"/>
                      <w:divBdr>
                        <w:top w:val="none" w:sz="0" w:space="0" w:color="auto"/>
                        <w:left w:val="none" w:sz="0" w:space="0" w:color="auto"/>
                        <w:bottom w:val="none" w:sz="0" w:space="0" w:color="auto"/>
                        <w:right w:val="none" w:sz="0" w:space="0" w:color="auto"/>
                      </w:divBdr>
                    </w:div>
                    <w:div w:id="89354704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746070018">
          <w:marLeft w:val="0"/>
          <w:marRight w:val="0"/>
          <w:marTop w:val="0"/>
          <w:marBottom w:val="0"/>
          <w:divBdr>
            <w:top w:val="none" w:sz="0" w:space="0" w:color="auto"/>
            <w:left w:val="none" w:sz="0" w:space="0" w:color="auto"/>
            <w:bottom w:val="none" w:sz="0" w:space="0" w:color="auto"/>
            <w:right w:val="none" w:sz="0" w:space="0" w:color="auto"/>
          </w:divBdr>
          <w:divsChild>
            <w:div w:id="1899198330">
              <w:marLeft w:val="0"/>
              <w:marRight w:val="0"/>
              <w:marTop w:val="240"/>
              <w:marBottom w:val="240"/>
              <w:divBdr>
                <w:top w:val="single" w:sz="12" w:space="0" w:color="F5F5F5"/>
                <w:left w:val="none" w:sz="0" w:space="0" w:color="auto"/>
                <w:bottom w:val="single" w:sz="12" w:space="0" w:color="F5F5F5"/>
                <w:right w:val="none" w:sz="0" w:space="0" w:color="auto"/>
              </w:divBdr>
              <w:divsChild>
                <w:div w:id="21270025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599</Words>
  <Characters>3420</Characters>
  <Application>Microsoft Office Word</Application>
  <DocSecurity>0</DocSecurity>
  <Lines>28</Lines>
  <Paragraphs>8</Paragraphs>
  <ScaleCrop>false</ScaleCrop>
  <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Collett</dc:creator>
  <cp:keywords/>
  <dc:description/>
  <cp:lastModifiedBy>Gareth Collett</cp:lastModifiedBy>
  <cp:revision>2</cp:revision>
  <dcterms:created xsi:type="dcterms:W3CDTF">2023-10-10T21:59:00Z</dcterms:created>
  <dcterms:modified xsi:type="dcterms:W3CDTF">2023-10-10T22:13:00Z</dcterms:modified>
</cp:coreProperties>
</file>