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4A0B7" w14:textId="77777777" w:rsidR="0091446F" w:rsidRDefault="0091446F" w:rsidP="0091446F">
      <w:pPr>
        <w:pStyle w:val="Heading1"/>
      </w:pPr>
      <w:bookmarkStart w:id="0" w:name="_Toc216893491"/>
      <w:r>
        <w:t>Chapter 3: Methods and Search Strategy</w:t>
      </w:r>
      <w:bookmarkEnd w:id="0"/>
    </w:p>
    <w:p w14:paraId="21F64235" w14:textId="77777777" w:rsidR="0091446F" w:rsidRDefault="0091446F" w:rsidP="0091446F">
      <w:pPr>
        <w:pStyle w:val="Heading2"/>
      </w:pPr>
      <w:bookmarkStart w:id="1" w:name="_Toc216893492"/>
      <w:r>
        <w:t>3.1 Introduction</w:t>
      </w:r>
      <w:bookmarkEnd w:id="1"/>
    </w:p>
    <w:p w14:paraId="7F56A7CB" w14:textId="77777777" w:rsidR="0091446F" w:rsidRDefault="0091446F" w:rsidP="0091446F">
      <w:pPr>
        <w:spacing w:line="360" w:lineRule="auto"/>
        <w:rPr>
          <w:rFonts w:ascii="Arial" w:hAnsi="Arial" w:cs="Arial"/>
          <w:sz w:val="22"/>
          <w:szCs w:val="22"/>
        </w:rPr>
      </w:pPr>
      <w:r>
        <w:rPr>
          <w:rFonts w:ascii="Arial" w:hAnsi="Arial" w:cs="Arial"/>
          <w:sz w:val="22"/>
          <w:szCs w:val="22"/>
        </w:rPr>
        <w:t>This chapter outlines the methodological framework adopted to investigate the mental health consequences of Female Genital Mutilation (FGM) among survivors residing in the United Kingdom. Given the sensitivity of the topic and the ethical challenges associated with direct engagement with survivors, a secondary qualitative research design was selected. This approach enables the collation, synthesis, and critical appraisal of existing literature, including peer</w:t>
      </w:r>
      <w:r>
        <w:rPr>
          <w:rFonts w:ascii="Cambria Math" w:hAnsi="Cambria Math" w:cs="Cambria Math"/>
          <w:sz w:val="22"/>
          <w:szCs w:val="22"/>
        </w:rPr>
        <w:noBreakHyphen/>
      </w:r>
      <w:r>
        <w:rPr>
          <w:rFonts w:ascii="Arial" w:hAnsi="Arial" w:cs="Arial"/>
          <w:sz w:val="22"/>
          <w:szCs w:val="22"/>
        </w:rPr>
        <w:t>reviewed journal articles, systematic reviews, government reports, and policy documents.</w:t>
      </w:r>
    </w:p>
    <w:p w14:paraId="3A700DF5" w14:textId="77777777" w:rsidR="0091446F" w:rsidRDefault="0091446F" w:rsidP="0091446F">
      <w:pPr>
        <w:spacing w:line="360" w:lineRule="auto"/>
        <w:rPr>
          <w:rFonts w:ascii="Arial" w:hAnsi="Arial" w:cs="Arial"/>
          <w:sz w:val="22"/>
          <w:szCs w:val="22"/>
        </w:rPr>
      </w:pPr>
      <w:r>
        <w:rPr>
          <w:rFonts w:ascii="Arial" w:hAnsi="Arial" w:cs="Arial"/>
          <w:sz w:val="22"/>
          <w:szCs w:val="22"/>
        </w:rPr>
        <w:t>The chapter explains the rationale for this design, details the search strategy employed, sets out inclusion and exclusion criteria, and describes the coding and thematic analysis process. It also discusses the application of the CRAAP test for source evaluation, ethical considerations, and limitations inherent in the methodology. By expanding on these elements, the chapter demonstrates the robustness of the research design and its suitability for addressing the dissertation’s aims and objectives.</w:t>
      </w:r>
    </w:p>
    <w:p w14:paraId="77D4498A" w14:textId="77777777" w:rsidR="0091446F" w:rsidRDefault="0091446F" w:rsidP="0091446F">
      <w:pPr>
        <w:pStyle w:val="Heading2"/>
      </w:pPr>
      <w:bookmarkStart w:id="2" w:name="_Toc216893493"/>
      <w:r>
        <w:t>3.2 Research Approach</w:t>
      </w:r>
      <w:bookmarkEnd w:id="2"/>
    </w:p>
    <w:p w14:paraId="261635A9" w14:textId="77777777" w:rsidR="0091446F" w:rsidRDefault="0091446F" w:rsidP="0091446F">
      <w:pPr>
        <w:spacing w:line="360" w:lineRule="auto"/>
        <w:rPr>
          <w:rFonts w:ascii="Arial" w:hAnsi="Arial" w:cs="Arial"/>
          <w:sz w:val="22"/>
          <w:szCs w:val="22"/>
        </w:rPr>
      </w:pPr>
      <w:r>
        <w:rPr>
          <w:rFonts w:ascii="Arial" w:hAnsi="Arial" w:cs="Arial"/>
          <w:sz w:val="22"/>
          <w:szCs w:val="22"/>
        </w:rPr>
        <w:t>The dissertation adopts a qualitative secondary research design, which is particularly suited to topics involving vulnerable populations where direct data collection may pose ethical risks. Secondary research allows for the integration of diverse perspectives and findings, thereby providing a holistic understanding of the psychological impact of FGM. According to Cohen, Manion and Morrison (2018), qualitative secondary research is valuable for synthesising knowledge across disciplines and contexts, enabling researchers to identify gaps and propose recommendations.</w:t>
      </w:r>
    </w:p>
    <w:p w14:paraId="3D15580E" w14:textId="77777777" w:rsidR="0091446F" w:rsidRDefault="0091446F" w:rsidP="0091446F">
      <w:pPr>
        <w:spacing w:line="360" w:lineRule="auto"/>
        <w:rPr>
          <w:rFonts w:ascii="Arial" w:hAnsi="Arial" w:cs="Arial"/>
          <w:sz w:val="22"/>
          <w:szCs w:val="22"/>
        </w:rPr>
      </w:pPr>
      <w:r>
        <w:rPr>
          <w:rFonts w:ascii="Arial" w:hAnsi="Arial" w:cs="Arial"/>
          <w:sz w:val="22"/>
          <w:szCs w:val="22"/>
        </w:rPr>
        <w:t>Recent methodological literature emphasises that secondary qualitative analysis can generate new insights by reinterpreting existing data through fresh theoretical lenses (Largan &amp; Morris, 2024; Greenwood, 2024). This approach is especially relevant in health and social care research, where survivor voices are often mediated through service providers and advocacy organisations. By critically analysing published studies, this dissertation seeks to highlight recurring themes such as trauma, depression, anxiety, post</w:t>
      </w:r>
      <w:r>
        <w:rPr>
          <w:rFonts w:ascii="Cambria Math" w:hAnsi="Cambria Math" w:cs="Cambria Math"/>
          <w:sz w:val="22"/>
          <w:szCs w:val="22"/>
        </w:rPr>
        <w:noBreakHyphen/>
      </w:r>
      <w:r>
        <w:rPr>
          <w:rFonts w:ascii="Arial" w:hAnsi="Arial" w:cs="Arial"/>
          <w:sz w:val="22"/>
          <w:szCs w:val="22"/>
        </w:rPr>
        <w:t>traumatic stress disorder (PTSD), and barriers to accessing culturally competent care.</w:t>
      </w:r>
    </w:p>
    <w:p w14:paraId="76DFEBBF" w14:textId="77777777" w:rsidR="0091446F" w:rsidRDefault="0091446F" w:rsidP="0091446F">
      <w:pPr>
        <w:spacing w:line="360" w:lineRule="auto"/>
        <w:rPr>
          <w:rFonts w:ascii="Arial" w:hAnsi="Arial" w:cs="Arial"/>
          <w:sz w:val="22"/>
          <w:szCs w:val="22"/>
        </w:rPr>
      </w:pPr>
      <w:r>
        <w:rPr>
          <w:rFonts w:ascii="Arial" w:hAnsi="Arial" w:cs="Arial"/>
          <w:sz w:val="22"/>
          <w:szCs w:val="22"/>
        </w:rPr>
        <w:t xml:space="preserve">The choice of secondary research also reflects practical considerations. Conducting primary research with survivors of FGM would require extensive ethical safeguards, including </w:t>
      </w:r>
      <w:r>
        <w:rPr>
          <w:rFonts w:ascii="Arial" w:hAnsi="Arial" w:cs="Arial"/>
          <w:sz w:val="22"/>
          <w:szCs w:val="22"/>
        </w:rPr>
        <w:lastRenderedPageBreak/>
        <w:t>trauma</w:t>
      </w:r>
      <w:r>
        <w:rPr>
          <w:rFonts w:ascii="Cambria Math" w:hAnsi="Cambria Math" w:cs="Cambria Math"/>
          <w:sz w:val="22"/>
          <w:szCs w:val="22"/>
        </w:rPr>
        <w:noBreakHyphen/>
      </w:r>
      <w:r>
        <w:rPr>
          <w:rFonts w:ascii="Arial" w:hAnsi="Arial" w:cs="Arial"/>
          <w:sz w:val="22"/>
          <w:szCs w:val="22"/>
        </w:rPr>
        <w:t>informed interview techniques, specialist support services, and long</w:t>
      </w:r>
      <w:r>
        <w:rPr>
          <w:rFonts w:ascii="Cambria Math" w:hAnsi="Cambria Math" w:cs="Cambria Math"/>
          <w:sz w:val="22"/>
          <w:szCs w:val="22"/>
        </w:rPr>
        <w:noBreakHyphen/>
      </w:r>
      <w:r>
        <w:rPr>
          <w:rFonts w:ascii="Arial" w:hAnsi="Arial" w:cs="Arial"/>
          <w:sz w:val="22"/>
          <w:szCs w:val="22"/>
        </w:rPr>
        <w:t>term follow</w:t>
      </w:r>
      <w:r>
        <w:rPr>
          <w:rFonts w:ascii="Cambria Math" w:hAnsi="Cambria Math" w:cs="Cambria Math"/>
          <w:sz w:val="22"/>
          <w:szCs w:val="22"/>
        </w:rPr>
        <w:noBreakHyphen/>
      </w:r>
      <w:r>
        <w:rPr>
          <w:rFonts w:ascii="Arial" w:hAnsi="Arial" w:cs="Arial"/>
          <w:sz w:val="22"/>
          <w:szCs w:val="22"/>
        </w:rPr>
        <w:t>up. Given the constraints of an undergraduate dissertation, secondary research provides a feasible and ethically responsible alternative.</w:t>
      </w:r>
    </w:p>
    <w:p w14:paraId="0763F65A" w14:textId="77777777" w:rsidR="0091446F" w:rsidRDefault="0091446F" w:rsidP="0091446F">
      <w:pPr>
        <w:pStyle w:val="Heading2"/>
      </w:pPr>
      <w:bookmarkStart w:id="3" w:name="_Toc216893494"/>
      <w:r>
        <w:t>3.3 Search Strategy</w:t>
      </w:r>
      <w:bookmarkEnd w:id="3"/>
    </w:p>
    <w:p w14:paraId="20EE86D5" w14:textId="77777777" w:rsidR="0091446F" w:rsidRDefault="0091446F" w:rsidP="0091446F">
      <w:pPr>
        <w:spacing w:line="360" w:lineRule="auto"/>
        <w:rPr>
          <w:rFonts w:ascii="Arial" w:hAnsi="Arial" w:cs="Arial"/>
          <w:sz w:val="22"/>
          <w:szCs w:val="22"/>
        </w:rPr>
      </w:pPr>
      <w:r>
        <w:rPr>
          <w:rFonts w:ascii="Arial" w:hAnsi="Arial" w:cs="Arial"/>
          <w:sz w:val="22"/>
          <w:szCs w:val="22"/>
        </w:rPr>
        <w:t>A systematic search strategy was employed to ensure comprehensive coverage of relevant literature. Databases included PubMed, CINAHL, PsycINFO, Google Scholar, NHS Digital, and the NIHR Journals Library. These were selected for their breadth of coverage in health, psychology, and policy research.</w:t>
      </w:r>
    </w:p>
    <w:p w14:paraId="79B74C54" w14:textId="77777777" w:rsidR="0091446F" w:rsidRDefault="0091446F" w:rsidP="0091446F">
      <w:pPr>
        <w:spacing w:line="360" w:lineRule="auto"/>
        <w:rPr>
          <w:rFonts w:ascii="Arial" w:hAnsi="Arial" w:cs="Arial"/>
          <w:sz w:val="22"/>
          <w:szCs w:val="22"/>
        </w:rPr>
      </w:pPr>
      <w:r>
        <w:rPr>
          <w:rFonts w:ascii="Arial" w:hAnsi="Arial" w:cs="Arial"/>
          <w:sz w:val="22"/>
          <w:szCs w:val="22"/>
        </w:rPr>
        <w:t>Keywords and Boolean operators were carefully constructed to capture the intersection of FGM, mental health, and UK-based contexts:</w:t>
      </w:r>
    </w:p>
    <w:p w14:paraId="07F82024" w14:textId="77777777" w:rsidR="0091446F" w:rsidRDefault="0091446F" w:rsidP="0091446F">
      <w:pPr>
        <w:pStyle w:val="ListParagraph"/>
        <w:numPr>
          <w:ilvl w:val="0"/>
          <w:numId w:val="1"/>
        </w:numPr>
        <w:spacing w:line="360" w:lineRule="auto"/>
        <w:rPr>
          <w:rFonts w:ascii="Arial" w:hAnsi="Arial" w:cs="Arial"/>
          <w:sz w:val="22"/>
          <w:szCs w:val="22"/>
        </w:rPr>
      </w:pPr>
      <w:r>
        <w:rPr>
          <w:rFonts w:ascii="Arial" w:hAnsi="Arial" w:cs="Arial"/>
          <w:sz w:val="22"/>
          <w:szCs w:val="22"/>
        </w:rPr>
        <w:t>“Female Genital Mutilation” OR “FGM”</w:t>
      </w:r>
    </w:p>
    <w:p w14:paraId="54F5AEAA" w14:textId="77777777" w:rsidR="0091446F" w:rsidRDefault="0091446F" w:rsidP="0091446F">
      <w:pPr>
        <w:pStyle w:val="ListParagraph"/>
        <w:numPr>
          <w:ilvl w:val="0"/>
          <w:numId w:val="1"/>
        </w:numPr>
        <w:spacing w:line="360" w:lineRule="auto"/>
        <w:rPr>
          <w:rFonts w:ascii="Arial" w:hAnsi="Arial" w:cs="Arial"/>
          <w:sz w:val="22"/>
          <w:szCs w:val="22"/>
        </w:rPr>
      </w:pPr>
      <w:r>
        <w:rPr>
          <w:rFonts w:ascii="Arial" w:hAnsi="Arial" w:cs="Arial"/>
          <w:sz w:val="22"/>
          <w:szCs w:val="22"/>
        </w:rPr>
        <w:t>“Mental health” OR “PTSD” OR “depression” OR “anxiety”</w:t>
      </w:r>
    </w:p>
    <w:p w14:paraId="703A8254" w14:textId="77777777" w:rsidR="0091446F" w:rsidRDefault="0091446F" w:rsidP="0091446F">
      <w:pPr>
        <w:pStyle w:val="ListParagraph"/>
        <w:numPr>
          <w:ilvl w:val="0"/>
          <w:numId w:val="1"/>
        </w:numPr>
        <w:spacing w:line="360" w:lineRule="auto"/>
        <w:rPr>
          <w:rFonts w:ascii="Arial" w:hAnsi="Arial" w:cs="Arial"/>
          <w:sz w:val="22"/>
          <w:szCs w:val="22"/>
        </w:rPr>
      </w:pPr>
      <w:r>
        <w:rPr>
          <w:rFonts w:ascii="Arial" w:hAnsi="Arial" w:cs="Arial"/>
          <w:sz w:val="22"/>
          <w:szCs w:val="22"/>
        </w:rPr>
        <w:t>“UK” OR “United Kingdom”</w:t>
      </w:r>
    </w:p>
    <w:p w14:paraId="0FA6B0CD" w14:textId="77777777" w:rsidR="0091446F" w:rsidRDefault="0091446F" w:rsidP="0091446F">
      <w:pPr>
        <w:pStyle w:val="ListParagraph"/>
        <w:numPr>
          <w:ilvl w:val="0"/>
          <w:numId w:val="1"/>
        </w:numPr>
        <w:spacing w:line="360" w:lineRule="auto"/>
        <w:rPr>
          <w:rFonts w:ascii="Arial" w:hAnsi="Arial" w:cs="Arial"/>
          <w:sz w:val="22"/>
          <w:szCs w:val="22"/>
        </w:rPr>
      </w:pPr>
      <w:r>
        <w:rPr>
          <w:rFonts w:ascii="Arial" w:hAnsi="Arial" w:cs="Arial"/>
          <w:sz w:val="22"/>
          <w:szCs w:val="22"/>
        </w:rPr>
        <w:t>“Support services” OR “NHS” OR “trauma-informed care”</w:t>
      </w:r>
    </w:p>
    <w:p w14:paraId="08D96BB0" w14:textId="77777777" w:rsidR="0091446F" w:rsidRDefault="0091446F" w:rsidP="0091446F">
      <w:pPr>
        <w:spacing w:line="360" w:lineRule="auto"/>
        <w:rPr>
          <w:rFonts w:ascii="Arial" w:hAnsi="Arial" w:cs="Arial"/>
          <w:sz w:val="22"/>
          <w:szCs w:val="22"/>
        </w:rPr>
      </w:pPr>
      <w:r>
        <w:rPr>
          <w:rFonts w:ascii="Arial" w:hAnsi="Arial" w:cs="Arial"/>
          <w:sz w:val="22"/>
          <w:szCs w:val="22"/>
        </w:rPr>
        <w:t>Filters were applied to restrict results to 2014–2025, English-language publications, and UK relevance. This period was chosen to reflect contemporary policy developments, including the introduction of mandatory reporting duties in 2015 and the expansion of NHS FGM clinics (National FGM Centre, 2019).</w:t>
      </w:r>
    </w:p>
    <w:p w14:paraId="1804EFCB" w14:textId="77777777" w:rsidR="0091446F" w:rsidRDefault="0091446F" w:rsidP="0091446F">
      <w:pPr>
        <w:spacing w:line="360" w:lineRule="auto"/>
        <w:rPr>
          <w:rFonts w:ascii="Arial" w:hAnsi="Arial" w:cs="Arial"/>
          <w:sz w:val="22"/>
          <w:szCs w:val="22"/>
        </w:rPr>
      </w:pPr>
      <w:r>
        <w:rPr>
          <w:rFonts w:ascii="Arial" w:hAnsi="Arial" w:cs="Arial"/>
          <w:sz w:val="22"/>
          <w:szCs w:val="22"/>
        </w:rPr>
        <w:t>The search yielded approximately 250 initial results. After screening titles and abstracts, 75 sources were shortlisted for full-text review. Following the application of inclusion and exclusion criteria, 42 sources were retained for thematic analysis.</w:t>
      </w:r>
    </w:p>
    <w:p w14:paraId="107002B6" w14:textId="77777777" w:rsidR="0091446F" w:rsidRDefault="0091446F" w:rsidP="0091446F">
      <w:pPr>
        <w:pStyle w:val="Heading2"/>
      </w:pPr>
      <w:bookmarkStart w:id="4" w:name="_Toc216893495"/>
      <w:r>
        <w:t>3.4 Inclusion and Exclusion Criteria</w:t>
      </w:r>
      <w:bookmarkEnd w:id="4"/>
    </w:p>
    <w:p w14:paraId="3424A9EE" w14:textId="77777777" w:rsidR="0091446F" w:rsidRDefault="0091446F" w:rsidP="0091446F">
      <w:pPr>
        <w:spacing w:line="360" w:lineRule="auto"/>
        <w:rPr>
          <w:rFonts w:ascii="Arial" w:hAnsi="Arial" w:cs="Arial"/>
          <w:sz w:val="22"/>
          <w:szCs w:val="22"/>
        </w:rPr>
      </w:pPr>
      <w:r>
        <w:rPr>
          <w:rFonts w:ascii="Arial" w:hAnsi="Arial" w:cs="Arial"/>
          <w:sz w:val="22"/>
          <w:szCs w:val="22"/>
        </w:rPr>
        <w:t>Inclusion criteria:</w:t>
      </w:r>
    </w:p>
    <w:p w14:paraId="7D97D092" w14:textId="77777777" w:rsidR="0091446F" w:rsidRDefault="0091446F" w:rsidP="0091446F">
      <w:pPr>
        <w:pStyle w:val="ListParagraph"/>
        <w:numPr>
          <w:ilvl w:val="0"/>
          <w:numId w:val="2"/>
        </w:numPr>
        <w:spacing w:line="360" w:lineRule="auto"/>
        <w:rPr>
          <w:rFonts w:ascii="Arial" w:hAnsi="Arial" w:cs="Arial"/>
          <w:sz w:val="22"/>
          <w:szCs w:val="22"/>
        </w:rPr>
      </w:pPr>
      <w:r>
        <w:rPr>
          <w:rFonts w:ascii="Arial" w:hAnsi="Arial" w:cs="Arial"/>
          <w:sz w:val="22"/>
          <w:szCs w:val="22"/>
        </w:rPr>
        <w:t>Published between 2014–2025.</w:t>
      </w:r>
    </w:p>
    <w:p w14:paraId="44296B52" w14:textId="77777777" w:rsidR="0091446F" w:rsidRDefault="0091446F" w:rsidP="0091446F">
      <w:pPr>
        <w:pStyle w:val="ListParagraph"/>
        <w:numPr>
          <w:ilvl w:val="0"/>
          <w:numId w:val="2"/>
        </w:numPr>
        <w:spacing w:line="360" w:lineRule="auto"/>
        <w:rPr>
          <w:rFonts w:ascii="Arial" w:hAnsi="Arial" w:cs="Arial"/>
          <w:sz w:val="22"/>
          <w:szCs w:val="22"/>
        </w:rPr>
      </w:pPr>
      <w:r>
        <w:rPr>
          <w:rFonts w:ascii="Arial" w:hAnsi="Arial" w:cs="Arial"/>
          <w:sz w:val="22"/>
          <w:szCs w:val="22"/>
        </w:rPr>
        <w:t>UK-based or applicable to the UK context.</w:t>
      </w:r>
    </w:p>
    <w:p w14:paraId="0407136A" w14:textId="77777777" w:rsidR="0091446F" w:rsidRDefault="0091446F" w:rsidP="0091446F">
      <w:pPr>
        <w:pStyle w:val="ListParagraph"/>
        <w:numPr>
          <w:ilvl w:val="0"/>
          <w:numId w:val="2"/>
        </w:numPr>
        <w:spacing w:line="360" w:lineRule="auto"/>
        <w:rPr>
          <w:rFonts w:ascii="Arial" w:hAnsi="Arial" w:cs="Arial"/>
          <w:sz w:val="22"/>
          <w:szCs w:val="22"/>
        </w:rPr>
      </w:pPr>
      <w:r>
        <w:rPr>
          <w:rFonts w:ascii="Arial" w:hAnsi="Arial" w:cs="Arial"/>
          <w:sz w:val="22"/>
          <w:szCs w:val="22"/>
        </w:rPr>
        <w:t>Peer-reviewed journal articles, systematic reviews, government reports, or policy documents.</w:t>
      </w:r>
    </w:p>
    <w:p w14:paraId="1E808F32" w14:textId="77777777" w:rsidR="0091446F" w:rsidRDefault="0091446F" w:rsidP="0091446F">
      <w:pPr>
        <w:pStyle w:val="ListParagraph"/>
        <w:numPr>
          <w:ilvl w:val="0"/>
          <w:numId w:val="2"/>
        </w:numPr>
        <w:spacing w:line="360" w:lineRule="auto"/>
        <w:rPr>
          <w:rFonts w:ascii="Arial" w:hAnsi="Arial" w:cs="Arial"/>
          <w:sz w:val="22"/>
          <w:szCs w:val="22"/>
        </w:rPr>
      </w:pPr>
      <w:r>
        <w:rPr>
          <w:rFonts w:ascii="Arial" w:hAnsi="Arial" w:cs="Arial"/>
          <w:sz w:val="22"/>
          <w:szCs w:val="22"/>
        </w:rPr>
        <w:t>Explicit focus on mental health outcomes or psychosocial support for FGM survivors.</w:t>
      </w:r>
    </w:p>
    <w:p w14:paraId="450221CB" w14:textId="77777777" w:rsidR="0091446F" w:rsidRDefault="0091446F" w:rsidP="0091446F">
      <w:pPr>
        <w:spacing w:line="360" w:lineRule="auto"/>
        <w:rPr>
          <w:rFonts w:ascii="Arial" w:hAnsi="Arial" w:cs="Arial"/>
          <w:sz w:val="22"/>
          <w:szCs w:val="22"/>
        </w:rPr>
      </w:pPr>
      <w:r>
        <w:rPr>
          <w:rFonts w:ascii="Arial" w:hAnsi="Arial" w:cs="Arial"/>
          <w:sz w:val="22"/>
          <w:szCs w:val="22"/>
        </w:rPr>
        <w:t>Exclusion criteria:</w:t>
      </w:r>
    </w:p>
    <w:p w14:paraId="7DD73E29" w14:textId="77777777" w:rsidR="0091446F" w:rsidRDefault="0091446F" w:rsidP="0091446F">
      <w:pPr>
        <w:pStyle w:val="ListParagraph"/>
        <w:numPr>
          <w:ilvl w:val="0"/>
          <w:numId w:val="3"/>
        </w:numPr>
        <w:spacing w:line="360" w:lineRule="auto"/>
        <w:rPr>
          <w:rFonts w:ascii="Arial" w:hAnsi="Arial" w:cs="Arial"/>
          <w:sz w:val="22"/>
          <w:szCs w:val="22"/>
        </w:rPr>
      </w:pPr>
      <w:r>
        <w:rPr>
          <w:rFonts w:ascii="Arial" w:hAnsi="Arial" w:cs="Arial"/>
          <w:sz w:val="22"/>
          <w:szCs w:val="22"/>
        </w:rPr>
        <w:t>Non-English language publications.</w:t>
      </w:r>
    </w:p>
    <w:p w14:paraId="4578ADCB" w14:textId="77777777" w:rsidR="0091446F" w:rsidRDefault="0091446F" w:rsidP="0091446F">
      <w:pPr>
        <w:pStyle w:val="ListParagraph"/>
        <w:numPr>
          <w:ilvl w:val="0"/>
          <w:numId w:val="3"/>
        </w:numPr>
        <w:spacing w:line="360" w:lineRule="auto"/>
        <w:rPr>
          <w:rFonts w:ascii="Arial" w:hAnsi="Arial" w:cs="Arial"/>
          <w:sz w:val="22"/>
          <w:szCs w:val="22"/>
        </w:rPr>
      </w:pPr>
      <w:r>
        <w:rPr>
          <w:rFonts w:ascii="Arial" w:hAnsi="Arial" w:cs="Arial"/>
          <w:sz w:val="22"/>
          <w:szCs w:val="22"/>
        </w:rPr>
        <w:t>Studies focusing solely on physical health outcomes (e.g., obstetric complications).</w:t>
      </w:r>
    </w:p>
    <w:p w14:paraId="41B02B2C" w14:textId="77777777" w:rsidR="0091446F" w:rsidRDefault="0091446F" w:rsidP="0091446F">
      <w:pPr>
        <w:pStyle w:val="ListParagraph"/>
        <w:numPr>
          <w:ilvl w:val="0"/>
          <w:numId w:val="3"/>
        </w:numPr>
        <w:spacing w:line="360" w:lineRule="auto"/>
        <w:rPr>
          <w:rFonts w:ascii="Arial" w:hAnsi="Arial" w:cs="Arial"/>
          <w:sz w:val="22"/>
          <w:szCs w:val="22"/>
        </w:rPr>
      </w:pPr>
      <w:r>
        <w:rPr>
          <w:rFonts w:ascii="Arial" w:hAnsi="Arial" w:cs="Arial"/>
          <w:sz w:val="22"/>
          <w:szCs w:val="22"/>
        </w:rPr>
        <w:t>Non-peer-reviewed blogs, opinion pieces, or anecdotal reports.</w:t>
      </w:r>
    </w:p>
    <w:p w14:paraId="1E751C71" w14:textId="77777777" w:rsidR="0091446F" w:rsidRDefault="0091446F" w:rsidP="0091446F">
      <w:pPr>
        <w:spacing w:line="360" w:lineRule="auto"/>
        <w:rPr>
          <w:rFonts w:ascii="Arial" w:hAnsi="Arial" w:cs="Arial"/>
          <w:sz w:val="22"/>
          <w:szCs w:val="22"/>
        </w:rPr>
      </w:pPr>
      <w:r>
        <w:rPr>
          <w:rFonts w:ascii="Arial" w:hAnsi="Arial" w:cs="Arial"/>
          <w:sz w:val="22"/>
          <w:szCs w:val="22"/>
        </w:rPr>
        <w:lastRenderedPageBreak/>
        <w:t>This rigorous filtering ensured that the final dataset was both credible and relevant to the research question.</w:t>
      </w:r>
    </w:p>
    <w:p w14:paraId="0DD0CC48" w14:textId="77777777" w:rsidR="0091446F" w:rsidRDefault="0091446F" w:rsidP="0091446F">
      <w:pPr>
        <w:pStyle w:val="Heading2"/>
      </w:pPr>
      <w:bookmarkStart w:id="5" w:name="_Toc216893496"/>
      <w:r>
        <w:t>3.5 Source Tracking and Coding</w:t>
      </w:r>
      <w:bookmarkEnd w:id="5"/>
    </w:p>
    <w:p w14:paraId="1E39A699" w14:textId="77777777" w:rsidR="0091446F" w:rsidRDefault="0091446F" w:rsidP="0091446F">
      <w:pPr>
        <w:spacing w:line="360" w:lineRule="auto"/>
        <w:rPr>
          <w:rFonts w:ascii="Arial" w:hAnsi="Arial" w:cs="Arial"/>
          <w:sz w:val="22"/>
          <w:szCs w:val="22"/>
        </w:rPr>
      </w:pPr>
      <w:r>
        <w:rPr>
          <w:rFonts w:ascii="Arial" w:hAnsi="Arial" w:cs="Arial"/>
          <w:sz w:val="22"/>
          <w:szCs w:val="22"/>
        </w:rPr>
        <w:t>A source tracking table was created to document bibliographic details, methodological approaches, and key findings. Each source was coded thematically using NVivo software. Recurring themes included:</w:t>
      </w:r>
    </w:p>
    <w:p w14:paraId="24B8F727" w14:textId="77777777" w:rsidR="0091446F" w:rsidRDefault="0091446F" w:rsidP="0091446F">
      <w:pPr>
        <w:pStyle w:val="ListParagraph"/>
        <w:numPr>
          <w:ilvl w:val="0"/>
          <w:numId w:val="4"/>
        </w:numPr>
        <w:spacing w:line="360" w:lineRule="auto"/>
        <w:rPr>
          <w:rFonts w:ascii="Arial" w:hAnsi="Arial" w:cs="Arial"/>
          <w:sz w:val="22"/>
          <w:szCs w:val="22"/>
        </w:rPr>
      </w:pPr>
      <w:r>
        <w:rPr>
          <w:rFonts w:ascii="Arial" w:hAnsi="Arial" w:cs="Arial"/>
          <w:sz w:val="22"/>
          <w:szCs w:val="22"/>
        </w:rPr>
        <w:t>Psychological outcomes: PTSD, depression, anxiety, and complex trauma (McAndrew, Warne &amp; Mulongo, 2020).</w:t>
      </w:r>
    </w:p>
    <w:p w14:paraId="66EE5627" w14:textId="77777777" w:rsidR="0091446F" w:rsidRDefault="0091446F" w:rsidP="0091446F">
      <w:pPr>
        <w:pStyle w:val="ListParagraph"/>
        <w:numPr>
          <w:ilvl w:val="0"/>
          <w:numId w:val="4"/>
        </w:numPr>
        <w:spacing w:line="360" w:lineRule="auto"/>
        <w:rPr>
          <w:rFonts w:ascii="Arial" w:hAnsi="Arial" w:cs="Arial"/>
          <w:sz w:val="22"/>
          <w:szCs w:val="22"/>
        </w:rPr>
      </w:pPr>
      <w:r>
        <w:rPr>
          <w:rFonts w:ascii="Arial" w:hAnsi="Arial" w:cs="Arial"/>
          <w:sz w:val="22"/>
          <w:szCs w:val="22"/>
        </w:rPr>
        <w:t>Barriers to care: stigma, lack of cultural competence, language barriers (Mulongo et al., 2023).</w:t>
      </w:r>
    </w:p>
    <w:p w14:paraId="606BFED7" w14:textId="77777777" w:rsidR="0091446F" w:rsidRDefault="0091446F" w:rsidP="0091446F">
      <w:pPr>
        <w:pStyle w:val="ListParagraph"/>
        <w:numPr>
          <w:ilvl w:val="0"/>
          <w:numId w:val="4"/>
        </w:numPr>
        <w:spacing w:line="360" w:lineRule="auto"/>
        <w:rPr>
          <w:rFonts w:ascii="Arial" w:hAnsi="Arial" w:cs="Arial"/>
          <w:sz w:val="22"/>
          <w:szCs w:val="22"/>
        </w:rPr>
      </w:pPr>
      <w:r>
        <w:rPr>
          <w:rFonts w:ascii="Arial" w:hAnsi="Arial" w:cs="Arial"/>
          <w:sz w:val="22"/>
          <w:szCs w:val="22"/>
        </w:rPr>
        <w:t>Cultural competence: need for trauma-informed and culturally sensitive NHS services (Inglis et al., 2024).</w:t>
      </w:r>
    </w:p>
    <w:p w14:paraId="2A1C74CB" w14:textId="77777777" w:rsidR="0091446F" w:rsidRDefault="0091446F" w:rsidP="0091446F">
      <w:pPr>
        <w:pStyle w:val="ListParagraph"/>
        <w:numPr>
          <w:ilvl w:val="0"/>
          <w:numId w:val="4"/>
        </w:numPr>
        <w:spacing w:line="360" w:lineRule="auto"/>
        <w:rPr>
          <w:rFonts w:ascii="Arial" w:hAnsi="Arial" w:cs="Arial"/>
          <w:sz w:val="22"/>
          <w:szCs w:val="22"/>
        </w:rPr>
      </w:pPr>
      <w:r>
        <w:rPr>
          <w:rFonts w:ascii="Arial" w:hAnsi="Arial" w:cs="Arial"/>
          <w:sz w:val="22"/>
          <w:szCs w:val="22"/>
        </w:rPr>
        <w:t>Policy gaps: limited integration of FGM-specific mental health services into mainstream NHS provision (Women and Equalities Committee, 2025).</w:t>
      </w:r>
    </w:p>
    <w:p w14:paraId="20B95ECC" w14:textId="77777777" w:rsidR="0091446F" w:rsidRDefault="0091446F" w:rsidP="0091446F">
      <w:pPr>
        <w:spacing w:line="360" w:lineRule="auto"/>
        <w:rPr>
          <w:rFonts w:ascii="Arial" w:hAnsi="Arial" w:cs="Arial"/>
          <w:sz w:val="22"/>
          <w:szCs w:val="22"/>
        </w:rPr>
      </w:pPr>
      <w:r>
        <w:rPr>
          <w:rFonts w:ascii="Arial" w:hAnsi="Arial" w:cs="Arial"/>
          <w:sz w:val="22"/>
          <w:szCs w:val="22"/>
        </w:rPr>
        <w:t>This thematic coding allowed for the identification of patterns across diverse sources, highlighting both consensus and divergence in the literature.</w:t>
      </w:r>
    </w:p>
    <w:p w14:paraId="027683CB" w14:textId="77777777" w:rsidR="0091446F" w:rsidRDefault="0091446F" w:rsidP="0091446F">
      <w:pPr>
        <w:pStyle w:val="Heading2"/>
      </w:pPr>
      <w:bookmarkStart w:id="6" w:name="_Toc216893497"/>
      <w:r>
        <w:t>Source Tracking Table</w:t>
      </w:r>
      <w:bookmarkEnd w:id="6"/>
    </w:p>
    <w:tbl>
      <w:tblPr>
        <w:tblStyle w:val="TableGrid"/>
        <w:tblW w:w="0" w:type="auto"/>
        <w:tblInd w:w="0" w:type="dxa"/>
        <w:tblLook w:val="04A0" w:firstRow="1" w:lastRow="0" w:firstColumn="1" w:lastColumn="0" w:noHBand="0" w:noVBand="1"/>
      </w:tblPr>
      <w:tblGrid>
        <w:gridCol w:w="1399"/>
        <w:gridCol w:w="699"/>
        <w:gridCol w:w="1653"/>
        <w:gridCol w:w="1300"/>
        <w:gridCol w:w="1031"/>
        <w:gridCol w:w="1471"/>
        <w:gridCol w:w="1463"/>
      </w:tblGrid>
      <w:tr w:rsidR="0091446F" w14:paraId="06492ABD" w14:textId="77777777">
        <w:tc>
          <w:tcPr>
            <w:tcW w:w="1407" w:type="dxa"/>
            <w:tcBorders>
              <w:top w:val="single" w:sz="4" w:space="0" w:color="auto"/>
              <w:left w:val="single" w:sz="4" w:space="0" w:color="auto"/>
              <w:bottom w:val="single" w:sz="4" w:space="0" w:color="auto"/>
              <w:right w:val="single" w:sz="4" w:space="0" w:color="auto"/>
            </w:tcBorders>
            <w:hideMark/>
          </w:tcPr>
          <w:p w14:paraId="17AAA165" w14:textId="77777777" w:rsidR="0091446F" w:rsidRDefault="0091446F">
            <w:pPr>
              <w:spacing w:line="240" w:lineRule="auto"/>
              <w:rPr>
                <w:b/>
                <w:bCs/>
              </w:rPr>
            </w:pPr>
            <w:r>
              <w:rPr>
                <w:b/>
                <w:bCs/>
              </w:rPr>
              <w:t>Author(s)</w:t>
            </w:r>
          </w:p>
        </w:tc>
        <w:tc>
          <w:tcPr>
            <w:tcW w:w="856" w:type="dxa"/>
            <w:tcBorders>
              <w:top w:val="single" w:sz="4" w:space="0" w:color="auto"/>
              <w:left w:val="single" w:sz="4" w:space="0" w:color="auto"/>
              <w:bottom w:val="single" w:sz="4" w:space="0" w:color="auto"/>
              <w:right w:val="single" w:sz="4" w:space="0" w:color="auto"/>
            </w:tcBorders>
            <w:hideMark/>
          </w:tcPr>
          <w:p w14:paraId="07FE5E56" w14:textId="77777777" w:rsidR="0091446F" w:rsidRDefault="0091446F">
            <w:pPr>
              <w:spacing w:line="240" w:lineRule="auto"/>
              <w:rPr>
                <w:b/>
                <w:bCs/>
              </w:rPr>
            </w:pPr>
            <w:r>
              <w:rPr>
                <w:b/>
                <w:bCs/>
              </w:rPr>
              <w:t>Year</w:t>
            </w:r>
          </w:p>
        </w:tc>
        <w:tc>
          <w:tcPr>
            <w:tcW w:w="1508" w:type="dxa"/>
            <w:tcBorders>
              <w:top w:val="single" w:sz="4" w:space="0" w:color="auto"/>
              <w:left w:val="single" w:sz="4" w:space="0" w:color="auto"/>
              <w:bottom w:val="single" w:sz="4" w:space="0" w:color="auto"/>
              <w:right w:val="single" w:sz="4" w:space="0" w:color="auto"/>
            </w:tcBorders>
            <w:hideMark/>
          </w:tcPr>
          <w:p w14:paraId="4475CE07" w14:textId="77777777" w:rsidR="0091446F" w:rsidRDefault="0091446F">
            <w:pPr>
              <w:spacing w:line="240" w:lineRule="auto"/>
              <w:rPr>
                <w:b/>
                <w:bCs/>
              </w:rPr>
            </w:pPr>
            <w:r>
              <w:rPr>
                <w:b/>
                <w:bCs/>
              </w:rPr>
              <w:t>Title</w:t>
            </w:r>
          </w:p>
        </w:tc>
        <w:tc>
          <w:tcPr>
            <w:tcW w:w="1307" w:type="dxa"/>
            <w:tcBorders>
              <w:top w:val="single" w:sz="4" w:space="0" w:color="auto"/>
              <w:left w:val="single" w:sz="4" w:space="0" w:color="auto"/>
              <w:bottom w:val="single" w:sz="4" w:space="0" w:color="auto"/>
              <w:right w:val="single" w:sz="4" w:space="0" w:color="auto"/>
            </w:tcBorders>
            <w:hideMark/>
          </w:tcPr>
          <w:p w14:paraId="766DB2A3" w14:textId="77777777" w:rsidR="0091446F" w:rsidRDefault="0091446F">
            <w:pPr>
              <w:spacing w:line="240" w:lineRule="auto"/>
              <w:rPr>
                <w:b/>
                <w:bCs/>
              </w:rPr>
            </w:pPr>
            <w:r>
              <w:rPr>
                <w:b/>
                <w:bCs/>
              </w:rPr>
              <w:t>Type of Study</w:t>
            </w:r>
          </w:p>
        </w:tc>
        <w:tc>
          <w:tcPr>
            <w:tcW w:w="988" w:type="dxa"/>
            <w:tcBorders>
              <w:top w:val="single" w:sz="4" w:space="0" w:color="auto"/>
              <w:left w:val="single" w:sz="4" w:space="0" w:color="auto"/>
              <w:bottom w:val="single" w:sz="4" w:space="0" w:color="auto"/>
              <w:right w:val="single" w:sz="4" w:space="0" w:color="auto"/>
            </w:tcBorders>
            <w:hideMark/>
          </w:tcPr>
          <w:p w14:paraId="696B1E15" w14:textId="77777777" w:rsidR="0091446F" w:rsidRDefault="0091446F">
            <w:pPr>
              <w:spacing w:line="240" w:lineRule="auto"/>
              <w:rPr>
                <w:b/>
                <w:bCs/>
              </w:rPr>
            </w:pPr>
            <w:r>
              <w:rPr>
                <w:b/>
                <w:bCs/>
              </w:rPr>
              <w:t>UK Context</w:t>
            </w:r>
          </w:p>
        </w:tc>
        <w:tc>
          <w:tcPr>
            <w:tcW w:w="1479" w:type="dxa"/>
            <w:tcBorders>
              <w:top w:val="single" w:sz="4" w:space="0" w:color="auto"/>
              <w:left w:val="single" w:sz="4" w:space="0" w:color="auto"/>
              <w:bottom w:val="single" w:sz="4" w:space="0" w:color="auto"/>
              <w:right w:val="single" w:sz="4" w:space="0" w:color="auto"/>
            </w:tcBorders>
            <w:hideMark/>
          </w:tcPr>
          <w:p w14:paraId="4D6E0A08" w14:textId="77777777" w:rsidR="0091446F" w:rsidRDefault="0091446F">
            <w:pPr>
              <w:spacing w:line="240" w:lineRule="auto"/>
              <w:rPr>
                <w:b/>
                <w:bCs/>
              </w:rPr>
            </w:pPr>
            <w:r>
              <w:rPr>
                <w:b/>
                <w:bCs/>
              </w:rPr>
              <w:t>Key Findings</w:t>
            </w:r>
          </w:p>
        </w:tc>
        <w:tc>
          <w:tcPr>
            <w:tcW w:w="1471" w:type="dxa"/>
            <w:tcBorders>
              <w:top w:val="single" w:sz="4" w:space="0" w:color="auto"/>
              <w:left w:val="single" w:sz="4" w:space="0" w:color="auto"/>
              <w:bottom w:val="single" w:sz="4" w:space="0" w:color="auto"/>
              <w:right w:val="single" w:sz="4" w:space="0" w:color="auto"/>
            </w:tcBorders>
            <w:hideMark/>
          </w:tcPr>
          <w:p w14:paraId="1183BF28" w14:textId="77777777" w:rsidR="0091446F" w:rsidRDefault="0091446F">
            <w:pPr>
              <w:spacing w:line="240" w:lineRule="auto"/>
              <w:rPr>
                <w:b/>
                <w:bCs/>
              </w:rPr>
            </w:pPr>
            <w:r>
              <w:rPr>
                <w:b/>
                <w:bCs/>
              </w:rPr>
              <w:t>Relevance</w:t>
            </w:r>
          </w:p>
        </w:tc>
      </w:tr>
      <w:tr w:rsidR="0091446F" w14:paraId="30A8FC0E" w14:textId="77777777">
        <w:tc>
          <w:tcPr>
            <w:tcW w:w="1407" w:type="dxa"/>
            <w:tcBorders>
              <w:top w:val="single" w:sz="4" w:space="0" w:color="auto"/>
              <w:left w:val="single" w:sz="4" w:space="0" w:color="auto"/>
              <w:bottom w:val="single" w:sz="4" w:space="0" w:color="auto"/>
              <w:right w:val="single" w:sz="4" w:space="0" w:color="auto"/>
            </w:tcBorders>
            <w:hideMark/>
          </w:tcPr>
          <w:p w14:paraId="3FF959E5" w14:textId="77777777" w:rsidR="0091446F" w:rsidRDefault="0091446F">
            <w:pPr>
              <w:spacing w:line="240" w:lineRule="auto"/>
            </w:pPr>
            <w:r>
              <w:t>Mulongo et al.</w:t>
            </w:r>
          </w:p>
        </w:tc>
        <w:tc>
          <w:tcPr>
            <w:tcW w:w="856" w:type="dxa"/>
            <w:tcBorders>
              <w:top w:val="single" w:sz="4" w:space="0" w:color="auto"/>
              <w:left w:val="single" w:sz="4" w:space="0" w:color="auto"/>
              <w:bottom w:val="single" w:sz="4" w:space="0" w:color="auto"/>
              <w:right w:val="single" w:sz="4" w:space="0" w:color="auto"/>
            </w:tcBorders>
            <w:hideMark/>
          </w:tcPr>
          <w:p w14:paraId="5BFA79BC" w14:textId="77777777" w:rsidR="0091446F" w:rsidRDefault="0091446F">
            <w:pPr>
              <w:spacing w:line="240" w:lineRule="auto"/>
            </w:pPr>
            <w:r>
              <w:t>2014</w:t>
            </w:r>
          </w:p>
        </w:tc>
        <w:tc>
          <w:tcPr>
            <w:tcW w:w="1508" w:type="dxa"/>
            <w:tcBorders>
              <w:top w:val="single" w:sz="4" w:space="0" w:color="auto"/>
              <w:left w:val="single" w:sz="4" w:space="0" w:color="auto"/>
              <w:bottom w:val="single" w:sz="4" w:space="0" w:color="auto"/>
              <w:right w:val="single" w:sz="4" w:space="0" w:color="auto"/>
            </w:tcBorders>
            <w:hideMark/>
          </w:tcPr>
          <w:p w14:paraId="331D0F71" w14:textId="77777777" w:rsidR="0091446F" w:rsidRDefault="0091446F">
            <w:pPr>
              <w:spacing w:line="240" w:lineRule="auto"/>
            </w:pPr>
            <w:r>
              <w:t>Psychological impact of FGM/C</w:t>
            </w:r>
          </w:p>
        </w:tc>
        <w:tc>
          <w:tcPr>
            <w:tcW w:w="1307" w:type="dxa"/>
            <w:tcBorders>
              <w:top w:val="single" w:sz="4" w:space="0" w:color="auto"/>
              <w:left w:val="single" w:sz="4" w:space="0" w:color="auto"/>
              <w:bottom w:val="single" w:sz="4" w:space="0" w:color="auto"/>
              <w:right w:val="single" w:sz="4" w:space="0" w:color="auto"/>
            </w:tcBorders>
            <w:hideMark/>
          </w:tcPr>
          <w:p w14:paraId="7CE63C56" w14:textId="77777777" w:rsidR="0091446F" w:rsidRDefault="0091446F">
            <w:pPr>
              <w:spacing w:line="240" w:lineRule="auto"/>
            </w:pPr>
            <w:r>
              <w:t>Narrative review</w:t>
            </w:r>
          </w:p>
        </w:tc>
        <w:tc>
          <w:tcPr>
            <w:tcW w:w="988" w:type="dxa"/>
            <w:tcBorders>
              <w:top w:val="single" w:sz="4" w:space="0" w:color="auto"/>
              <w:left w:val="single" w:sz="4" w:space="0" w:color="auto"/>
              <w:bottom w:val="single" w:sz="4" w:space="0" w:color="auto"/>
              <w:right w:val="single" w:sz="4" w:space="0" w:color="auto"/>
            </w:tcBorders>
            <w:hideMark/>
          </w:tcPr>
          <w:p w14:paraId="27A5AABA" w14:textId="77777777" w:rsidR="0091446F" w:rsidRDefault="0091446F">
            <w:pPr>
              <w:spacing w:line="240" w:lineRule="auto"/>
            </w:pPr>
            <w:r>
              <w:t>Yes</w:t>
            </w:r>
          </w:p>
        </w:tc>
        <w:tc>
          <w:tcPr>
            <w:tcW w:w="1479" w:type="dxa"/>
            <w:tcBorders>
              <w:top w:val="single" w:sz="4" w:space="0" w:color="auto"/>
              <w:left w:val="single" w:sz="4" w:space="0" w:color="auto"/>
              <w:bottom w:val="single" w:sz="4" w:space="0" w:color="auto"/>
              <w:right w:val="single" w:sz="4" w:space="0" w:color="auto"/>
            </w:tcBorders>
            <w:hideMark/>
          </w:tcPr>
          <w:p w14:paraId="1993623C" w14:textId="77777777" w:rsidR="0091446F" w:rsidRDefault="0091446F">
            <w:pPr>
              <w:spacing w:line="240" w:lineRule="auto"/>
            </w:pPr>
            <w:r>
              <w:t>PTSD, depression, anxiety</w:t>
            </w:r>
          </w:p>
        </w:tc>
        <w:tc>
          <w:tcPr>
            <w:tcW w:w="1471" w:type="dxa"/>
            <w:tcBorders>
              <w:top w:val="single" w:sz="4" w:space="0" w:color="auto"/>
              <w:left w:val="single" w:sz="4" w:space="0" w:color="auto"/>
              <w:bottom w:val="single" w:sz="4" w:space="0" w:color="auto"/>
              <w:right w:val="single" w:sz="4" w:space="0" w:color="auto"/>
            </w:tcBorders>
            <w:hideMark/>
          </w:tcPr>
          <w:p w14:paraId="462C6845" w14:textId="77777777" w:rsidR="0091446F" w:rsidRDefault="0091446F">
            <w:pPr>
              <w:spacing w:line="240" w:lineRule="auto"/>
            </w:pPr>
            <w:r>
              <w:t>Mental health outcomes</w:t>
            </w:r>
          </w:p>
        </w:tc>
      </w:tr>
      <w:tr w:rsidR="0091446F" w14:paraId="3A3BA1B6" w14:textId="77777777">
        <w:tc>
          <w:tcPr>
            <w:tcW w:w="1407" w:type="dxa"/>
            <w:tcBorders>
              <w:top w:val="single" w:sz="4" w:space="0" w:color="auto"/>
              <w:left w:val="single" w:sz="4" w:space="0" w:color="auto"/>
              <w:bottom w:val="single" w:sz="4" w:space="0" w:color="auto"/>
              <w:right w:val="single" w:sz="4" w:space="0" w:color="auto"/>
            </w:tcBorders>
            <w:hideMark/>
          </w:tcPr>
          <w:p w14:paraId="5DDA6885" w14:textId="77777777" w:rsidR="0091446F" w:rsidRDefault="0091446F">
            <w:pPr>
              <w:spacing w:line="240" w:lineRule="auto"/>
            </w:pPr>
            <w:r>
              <w:t>Jones et al.</w:t>
            </w:r>
          </w:p>
        </w:tc>
        <w:tc>
          <w:tcPr>
            <w:tcW w:w="856" w:type="dxa"/>
            <w:tcBorders>
              <w:top w:val="single" w:sz="4" w:space="0" w:color="auto"/>
              <w:left w:val="single" w:sz="4" w:space="0" w:color="auto"/>
              <w:bottom w:val="single" w:sz="4" w:space="0" w:color="auto"/>
              <w:right w:val="single" w:sz="4" w:space="0" w:color="auto"/>
            </w:tcBorders>
            <w:hideMark/>
          </w:tcPr>
          <w:p w14:paraId="1EE8A271" w14:textId="77777777" w:rsidR="0091446F" w:rsidRDefault="0091446F">
            <w:pPr>
              <w:spacing w:line="240" w:lineRule="auto"/>
            </w:pPr>
            <w:r>
              <w:t>2023</w:t>
            </w:r>
          </w:p>
        </w:tc>
        <w:tc>
          <w:tcPr>
            <w:tcW w:w="1508" w:type="dxa"/>
            <w:tcBorders>
              <w:top w:val="single" w:sz="4" w:space="0" w:color="auto"/>
              <w:left w:val="single" w:sz="4" w:space="0" w:color="auto"/>
              <w:bottom w:val="single" w:sz="4" w:space="0" w:color="auto"/>
              <w:right w:val="single" w:sz="4" w:space="0" w:color="auto"/>
            </w:tcBorders>
            <w:hideMark/>
          </w:tcPr>
          <w:p w14:paraId="5DAC80A5" w14:textId="77777777" w:rsidR="0091446F" w:rsidRDefault="0091446F">
            <w:pPr>
              <w:spacing w:line="240" w:lineRule="auto"/>
            </w:pPr>
            <w:r>
              <w:t>FGM Sister Study</w:t>
            </w:r>
          </w:p>
        </w:tc>
        <w:tc>
          <w:tcPr>
            <w:tcW w:w="1307" w:type="dxa"/>
            <w:tcBorders>
              <w:top w:val="single" w:sz="4" w:space="0" w:color="auto"/>
              <w:left w:val="single" w:sz="4" w:space="0" w:color="auto"/>
              <w:bottom w:val="single" w:sz="4" w:space="0" w:color="auto"/>
              <w:right w:val="single" w:sz="4" w:space="0" w:color="auto"/>
            </w:tcBorders>
            <w:hideMark/>
          </w:tcPr>
          <w:p w14:paraId="3DD0319A" w14:textId="77777777" w:rsidR="0091446F" w:rsidRDefault="0091446F">
            <w:pPr>
              <w:spacing w:line="240" w:lineRule="auto"/>
            </w:pPr>
            <w:r>
              <w:t>Qualitative</w:t>
            </w:r>
          </w:p>
        </w:tc>
        <w:tc>
          <w:tcPr>
            <w:tcW w:w="988" w:type="dxa"/>
            <w:tcBorders>
              <w:top w:val="single" w:sz="4" w:space="0" w:color="auto"/>
              <w:left w:val="single" w:sz="4" w:space="0" w:color="auto"/>
              <w:bottom w:val="single" w:sz="4" w:space="0" w:color="auto"/>
              <w:right w:val="single" w:sz="4" w:space="0" w:color="auto"/>
            </w:tcBorders>
            <w:hideMark/>
          </w:tcPr>
          <w:p w14:paraId="770BBDDA" w14:textId="77777777" w:rsidR="0091446F" w:rsidRDefault="0091446F">
            <w:pPr>
              <w:spacing w:line="240" w:lineRule="auto"/>
            </w:pPr>
            <w:r>
              <w:t>Yes</w:t>
            </w:r>
          </w:p>
        </w:tc>
        <w:tc>
          <w:tcPr>
            <w:tcW w:w="1479" w:type="dxa"/>
            <w:tcBorders>
              <w:top w:val="single" w:sz="4" w:space="0" w:color="auto"/>
              <w:left w:val="single" w:sz="4" w:space="0" w:color="auto"/>
              <w:bottom w:val="single" w:sz="4" w:space="0" w:color="auto"/>
              <w:right w:val="single" w:sz="4" w:space="0" w:color="auto"/>
            </w:tcBorders>
            <w:hideMark/>
          </w:tcPr>
          <w:p w14:paraId="187F5D64" w14:textId="77777777" w:rsidR="0091446F" w:rsidRDefault="0091446F">
            <w:pPr>
              <w:spacing w:line="240" w:lineRule="auto"/>
            </w:pPr>
            <w:r>
              <w:t>Survivor views on NHS services</w:t>
            </w:r>
          </w:p>
        </w:tc>
        <w:tc>
          <w:tcPr>
            <w:tcW w:w="1471" w:type="dxa"/>
            <w:tcBorders>
              <w:top w:val="single" w:sz="4" w:space="0" w:color="auto"/>
              <w:left w:val="single" w:sz="4" w:space="0" w:color="auto"/>
              <w:bottom w:val="single" w:sz="4" w:space="0" w:color="auto"/>
              <w:right w:val="single" w:sz="4" w:space="0" w:color="auto"/>
            </w:tcBorders>
            <w:hideMark/>
          </w:tcPr>
          <w:p w14:paraId="692E8F48" w14:textId="77777777" w:rsidR="0091446F" w:rsidRDefault="0091446F">
            <w:pPr>
              <w:spacing w:line="240" w:lineRule="auto"/>
            </w:pPr>
            <w:r>
              <w:t>Service provision gaps</w:t>
            </w:r>
          </w:p>
        </w:tc>
      </w:tr>
      <w:tr w:rsidR="0091446F" w14:paraId="50773FE2" w14:textId="77777777">
        <w:tc>
          <w:tcPr>
            <w:tcW w:w="1407" w:type="dxa"/>
            <w:tcBorders>
              <w:top w:val="single" w:sz="4" w:space="0" w:color="auto"/>
              <w:left w:val="single" w:sz="4" w:space="0" w:color="auto"/>
              <w:bottom w:val="single" w:sz="4" w:space="0" w:color="auto"/>
              <w:right w:val="single" w:sz="4" w:space="0" w:color="auto"/>
            </w:tcBorders>
            <w:hideMark/>
          </w:tcPr>
          <w:p w14:paraId="1CB793D1" w14:textId="77777777" w:rsidR="0091446F" w:rsidRDefault="0091446F">
            <w:pPr>
              <w:spacing w:line="240" w:lineRule="auto"/>
            </w:pPr>
            <w:r>
              <w:t>Warne &amp; Mulongo</w:t>
            </w:r>
          </w:p>
        </w:tc>
        <w:tc>
          <w:tcPr>
            <w:tcW w:w="856" w:type="dxa"/>
            <w:tcBorders>
              <w:top w:val="single" w:sz="4" w:space="0" w:color="auto"/>
              <w:left w:val="single" w:sz="4" w:space="0" w:color="auto"/>
              <w:bottom w:val="single" w:sz="4" w:space="0" w:color="auto"/>
              <w:right w:val="single" w:sz="4" w:space="0" w:color="auto"/>
            </w:tcBorders>
            <w:hideMark/>
          </w:tcPr>
          <w:p w14:paraId="49AE8474" w14:textId="77777777" w:rsidR="0091446F" w:rsidRDefault="0091446F">
            <w:pPr>
              <w:spacing w:line="240" w:lineRule="auto"/>
            </w:pPr>
            <w:r>
              <w:t>2020</w:t>
            </w:r>
          </w:p>
        </w:tc>
        <w:tc>
          <w:tcPr>
            <w:tcW w:w="1508" w:type="dxa"/>
            <w:tcBorders>
              <w:top w:val="single" w:sz="4" w:space="0" w:color="auto"/>
              <w:left w:val="single" w:sz="4" w:space="0" w:color="auto"/>
              <w:bottom w:val="single" w:sz="4" w:space="0" w:color="auto"/>
              <w:right w:val="single" w:sz="4" w:space="0" w:color="auto"/>
            </w:tcBorders>
            <w:hideMark/>
          </w:tcPr>
          <w:p w14:paraId="471C3393" w14:textId="77777777" w:rsidR="0091446F" w:rsidRDefault="0091446F">
            <w:pPr>
              <w:spacing w:line="240" w:lineRule="auto"/>
            </w:pPr>
            <w:r>
              <w:t>Emotional support for FGM survivors</w:t>
            </w:r>
          </w:p>
        </w:tc>
        <w:tc>
          <w:tcPr>
            <w:tcW w:w="1307" w:type="dxa"/>
            <w:tcBorders>
              <w:top w:val="single" w:sz="4" w:space="0" w:color="auto"/>
              <w:left w:val="single" w:sz="4" w:space="0" w:color="auto"/>
              <w:bottom w:val="single" w:sz="4" w:space="0" w:color="auto"/>
              <w:right w:val="single" w:sz="4" w:space="0" w:color="auto"/>
            </w:tcBorders>
            <w:hideMark/>
          </w:tcPr>
          <w:p w14:paraId="1FF37BA6" w14:textId="77777777" w:rsidR="0091446F" w:rsidRDefault="0091446F">
            <w:pPr>
              <w:spacing w:line="240" w:lineRule="auto"/>
            </w:pPr>
            <w:r>
              <w:t>Mixed methods</w:t>
            </w:r>
          </w:p>
        </w:tc>
        <w:tc>
          <w:tcPr>
            <w:tcW w:w="988" w:type="dxa"/>
            <w:tcBorders>
              <w:top w:val="single" w:sz="4" w:space="0" w:color="auto"/>
              <w:left w:val="single" w:sz="4" w:space="0" w:color="auto"/>
              <w:bottom w:val="single" w:sz="4" w:space="0" w:color="auto"/>
              <w:right w:val="single" w:sz="4" w:space="0" w:color="auto"/>
            </w:tcBorders>
            <w:hideMark/>
          </w:tcPr>
          <w:p w14:paraId="5ADB62B3" w14:textId="77777777" w:rsidR="0091446F" w:rsidRDefault="0091446F">
            <w:pPr>
              <w:spacing w:line="240" w:lineRule="auto"/>
            </w:pPr>
            <w:r>
              <w:t>Yes</w:t>
            </w:r>
          </w:p>
        </w:tc>
        <w:tc>
          <w:tcPr>
            <w:tcW w:w="1479" w:type="dxa"/>
            <w:tcBorders>
              <w:top w:val="single" w:sz="4" w:space="0" w:color="auto"/>
              <w:left w:val="single" w:sz="4" w:space="0" w:color="auto"/>
              <w:bottom w:val="single" w:sz="4" w:space="0" w:color="auto"/>
              <w:right w:val="single" w:sz="4" w:space="0" w:color="auto"/>
            </w:tcBorders>
            <w:hideMark/>
          </w:tcPr>
          <w:p w14:paraId="2D664D3D" w14:textId="77777777" w:rsidR="0091446F" w:rsidRDefault="0091446F">
            <w:pPr>
              <w:spacing w:line="240" w:lineRule="auto"/>
            </w:pPr>
            <w:r>
              <w:t>Value of emotional support</w:t>
            </w:r>
          </w:p>
        </w:tc>
        <w:tc>
          <w:tcPr>
            <w:tcW w:w="1471" w:type="dxa"/>
            <w:tcBorders>
              <w:top w:val="single" w:sz="4" w:space="0" w:color="auto"/>
              <w:left w:val="single" w:sz="4" w:space="0" w:color="auto"/>
              <w:bottom w:val="single" w:sz="4" w:space="0" w:color="auto"/>
              <w:right w:val="single" w:sz="4" w:space="0" w:color="auto"/>
            </w:tcBorders>
            <w:hideMark/>
          </w:tcPr>
          <w:p w14:paraId="48ADD954" w14:textId="77777777" w:rsidR="0091446F" w:rsidRDefault="0091446F">
            <w:pPr>
              <w:spacing w:line="240" w:lineRule="auto"/>
            </w:pPr>
            <w:r>
              <w:t>Trauma-informed care</w:t>
            </w:r>
          </w:p>
        </w:tc>
      </w:tr>
      <w:tr w:rsidR="0091446F" w14:paraId="5AB7A369" w14:textId="77777777">
        <w:tc>
          <w:tcPr>
            <w:tcW w:w="1407" w:type="dxa"/>
            <w:tcBorders>
              <w:top w:val="single" w:sz="4" w:space="0" w:color="auto"/>
              <w:left w:val="single" w:sz="4" w:space="0" w:color="auto"/>
              <w:bottom w:val="single" w:sz="4" w:space="0" w:color="auto"/>
              <w:right w:val="single" w:sz="4" w:space="0" w:color="auto"/>
            </w:tcBorders>
            <w:hideMark/>
          </w:tcPr>
          <w:p w14:paraId="09DAAF2D" w14:textId="77777777" w:rsidR="0091446F" w:rsidRDefault="0091446F">
            <w:pPr>
              <w:spacing w:line="240" w:lineRule="auto"/>
            </w:pPr>
            <w:r>
              <w:t>NHS Digital</w:t>
            </w:r>
          </w:p>
        </w:tc>
        <w:tc>
          <w:tcPr>
            <w:tcW w:w="856" w:type="dxa"/>
            <w:tcBorders>
              <w:top w:val="single" w:sz="4" w:space="0" w:color="auto"/>
              <w:left w:val="single" w:sz="4" w:space="0" w:color="auto"/>
              <w:bottom w:val="single" w:sz="4" w:space="0" w:color="auto"/>
              <w:right w:val="single" w:sz="4" w:space="0" w:color="auto"/>
            </w:tcBorders>
            <w:hideMark/>
          </w:tcPr>
          <w:p w14:paraId="257EFE4E" w14:textId="77777777" w:rsidR="0091446F" w:rsidRDefault="0091446F">
            <w:pPr>
              <w:spacing w:line="240" w:lineRule="auto"/>
            </w:pPr>
            <w:r>
              <w:t>2024</w:t>
            </w:r>
          </w:p>
        </w:tc>
        <w:tc>
          <w:tcPr>
            <w:tcW w:w="1508" w:type="dxa"/>
            <w:tcBorders>
              <w:top w:val="single" w:sz="4" w:space="0" w:color="auto"/>
              <w:left w:val="single" w:sz="4" w:space="0" w:color="auto"/>
              <w:bottom w:val="single" w:sz="4" w:space="0" w:color="auto"/>
              <w:right w:val="single" w:sz="4" w:space="0" w:color="auto"/>
            </w:tcBorders>
            <w:hideMark/>
          </w:tcPr>
          <w:p w14:paraId="13EECF94" w14:textId="77777777" w:rsidR="0091446F" w:rsidRDefault="0091446F">
            <w:pPr>
              <w:spacing w:line="240" w:lineRule="auto"/>
            </w:pPr>
            <w:r>
              <w:t>FGM Enhanced Dataset</w:t>
            </w:r>
          </w:p>
        </w:tc>
        <w:tc>
          <w:tcPr>
            <w:tcW w:w="1307" w:type="dxa"/>
            <w:tcBorders>
              <w:top w:val="single" w:sz="4" w:space="0" w:color="auto"/>
              <w:left w:val="single" w:sz="4" w:space="0" w:color="auto"/>
              <w:bottom w:val="single" w:sz="4" w:space="0" w:color="auto"/>
              <w:right w:val="single" w:sz="4" w:space="0" w:color="auto"/>
            </w:tcBorders>
            <w:hideMark/>
          </w:tcPr>
          <w:p w14:paraId="4B9E210E" w14:textId="77777777" w:rsidR="0091446F" w:rsidRDefault="0091446F">
            <w:pPr>
              <w:spacing w:line="240" w:lineRule="auto"/>
            </w:pPr>
            <w:r>
              <w:t>Statistical report</w:t>
            </w:r>
          </w:p>
        </w:tc>
        <w:tc>
          <w:tcPr>
            <w:tcW w:w="988" w:type="dxa"/>
            <w:tcBorders>
              <w:top w:val="single" w:sz="4" w:space="0" w:color="auto"/>
              <w:left w:val="single" w:sz="4" w:space="0" w:color="auto"/>
              <w:bottom w:val="single" w:sz="4" w:space="0" w:color="auto"/>
              <w:right w:val="single" w:sz="4" w:space="0" w:color="auto"/>
            </w:tcBorders>
            <w:hideMark/>
          </w:tcPr>
          <w:p w14:paraId="0C66EA16" w14:textId="77777777" w:rsidR="0091446F" w:rsidRDefault="0091446F">
            <w:pPr>
              <w:spacing w:line="240" w:lineRule="auto"/>
            </w:pPr>
            <w:r>
              <w:t>Yes</w:t>
            </w:r>
          </w:p>
        </w:tc>
        <w:tc>
          <w:tcPr>
            <w:tcW w:w="1479" w:type="dxa"/>
            <w:tcBorders>
              <w:top w:val="single" w:sz="4" w:space="0" w:color="auto"/>
              <w:left w:val="single" w:sz="4" w:space="0" w:color="auto"/>
              <w:bottom w:val="single" w:sz="4" w:space="0" w:color="auto"/>
              <w:right w:val="single" w:sz="4" w:space="0" w:color="auto"/>
            </w:tcBorders>
            <w:hideMark/>
          </w:tcPr>
          <w:p w14:paraId="632EF2DB" w14:textId="77777777" w:rsidR="0091446F" w:rsidRDefault="0091446F">
            <w:pPr>
              <w:spacing w:line="240" w:lineRule="auto"/>
            </w:pPr>
            <w:r>
              <w:t>6,655 new cases, postcode variation</w:t>
            </w:r>
          </w:p>
        </w:tc>
        <w:tc>
          <w:tcPr>
            <w:tcW w:w="1471" w:type="dxa"/>
            <w:tcBorders>
              <w:top w:val="single" w:sz="4" w:space="0" w:color="auto"/>
              <w:left w:val="single" w:sz="4" w:space="0" w:color="auto"/>
              <w:bottom w:val="single" w:sz="4" w:space="0" w:color="auto"/>
              <w:right w:val="single" w:sz="4" w:space="0" w:color="auto"/>
            </w:tcBorders>
            <w:hideMark/>
          </w:tcPr>
          <w:p w14:paraId="1B27A37D" w14:textId="77777777" w:rsidR="0091446F" w:rsidRDefault="0091446F">
            <w:pPr>
              <w:spacing w:line="240" w:lineRule="auto"/>
            </w:pPr>
            <w:r>
              <w:t>National prevalence</w:t>
            </w:r>
          </w:p>
        </w:tc>
      </w:tr>
      <w:tr w:rsidR="0091446F" w14:paraId="747300EE" w14:textId="77777777">
        <w:tc>
          <w:tcPr>
            <w:tcW w:w="1407" w:type="dxa"/>
            <w:tcBorders>
              <w:top w:val="single" w:sz="4" w:space="0" w:color="auto"/>
              <w:left w:val="single" w:sz="4" w:space="0" w:color="auto"/>
              <w:bottom w:val="single" w:sz="4" w:space="0" w:color="auto"/>
              <w:right w:val="single" w:sz="4" w:space="0" w:color="auto"/>
            </w:tcBorders>
            <w:hideMark/>
          </w:tcPr>
          <w:p w14:paraId="5204EB67" w14:textId="77777777" w:rsidR="0091446F" w:rsidRDefault="0091446F">
            <w:pPr>
              <w:spacing w:line="240" w:lineRule="auto"/>
            </w:pPr>
            <w:r>
              <w:t xml:space="preserve">University of </w:t>
            </w:r>
            <w:r>
              <w:lastRenderedPageBreak/>
              <w:t>Birmingham</w:t>
            </w:r>
          </w:p>
        </w:tc>
        <w:tc>
          <w:tcPr>
            <w:tcW w:w="856" w:type="dxa"/>
            <w:tcBorders>
              <w:top w:val="single" w:sz="4" w:space="0" w:color="auto"/>
              <w:left w:val="single" w:sz="4" w:space="0" w:color="auto"/>
              <w:bottom w:val="single" w:sz="4" w:space="0" w:color="auto"/>
              <w:right w:val="single" w:sz="4" w:space="0" w:color="auto"/>
            </w:tcBorders>
            <w:hideMark/>
          </w:tcPr>
          <w:p w14:paraId="21C7BCB7" w14:textId="77777777" w:rsidR="0091446F" w:rsidRDefault="0091446F">
            <w:pPr>
              <w:spacing w:line="240" w:lineRule="auto"/>
            </w:pPr>
            <w:r>
              <w:lastRenderedPageBreak/>
              <w:t>2023</w:t>
            </w:r>
          </w:p>
        </w:tc>
        <w:tc>
          <w:tcPr>
            <w:tcW w:w="1508" w:type="dxa"/>
            <w:tcBorders>
              <w:top w:val="single" w:sz="4" w:space="0" w:color="auto"/>
              <w:left w:val="single" w:sz="4" w:space="0" w:color="auto"/>
              <w:bottom w:val="single" w:sz="4" w:space="0" w:color="auto"/>
              <w:right w:val="single" w:sz="4" w:space="0" w:color="auto"/>
            </w:tcBorders>
            <w:hideMark/>
          </w:tcPr>
          <w:p w14:paraId="069F7A59" w14:textId="77777777" w:rsidR="0091446F" w:rsidRDefault="0091446F">
            <w:pPr>
              <w:spacing w:line="240" w:lineRule="auto"/>
            </w:pPr>
            <w:r>
              <w:t>Postcode lottery in FGM care</w:t>
            </w:r>
          </w:p>
        </w:tc>
        <w:tc>
          <w:tcPr>
            <w:tcW w:w="1307" w:type="dxa"/>
            <w:tcBorders>
              <w:top w:val="single" w:sz="4" w:space="0" w:color="auto"/>
              <w:left w:val="single" w:sz="4" w:space="0" w:color="auto"/>
              <w:bottom w:val="single" w:sz="4" w:space="0" w:color="auto"/>
              <w:right w:val="single" w:sz="4" w:space="0" w:color="auto"/>
            </w:tcBorders>
            <w:hideMark/>
          </w:tcPr>
          <w:p w14:paraId="2F254ED9" w14:textId="77777777" w:rsidR="0091446F" w:rsidRDefault="0091446F">
            <w:pPr>
              <w:spacing w:line="240" w:lineRule="auto"/>
            </w:pPr>
            <w:r>
              <w:t>Survey study</w:t>
            </w:r>
          </w:p>
        </w:tc>
        <w:tc>
          <w:tcPr>
            <w:tcW w:w="988" w:type="dxa"/>
            <w:tcBorders>
              <w:top w:val="single" w:sz="4" w:space="0" w:color="auto"/>
              <w:left w:val="single" w:sz="4" w:space="0" w:color="auto"/>
              <w:bottom w:val="single" w:sz="4" w:space="0" w:color="auto"/>
              <w:right w:val="single" w:sz="4" w:space="0" w:color="auto"/>
            </w:tcBorders>
            <w:hideMark/>
          </w:tcPr>
          <w:p w14:paraId="454E9C3F" w14:textId="77777777" w:rsidR="0091446F" w:rsidRDefault="0091446F">
            <w:pPr>
              <w:spacing w:line="240" w:lineRule="auto"/>
            </w:pPr>
            <w:r>
              <w:t>Yes</w:t>
            </w:r>
          </w:p>
        </w:tc>
        <w:tc>
          <w:tcPr>
            <w:tcW w:w="1479" w:type="dxa"/>
            <w:tcBorders>
              <w:top w:val="single" w:sz="4" w:space="0" w:color="auto"/>
              <w:left w:val="single" w:sz="4" w:space="0" w:color="auto"/>
              <w:bottom w:val="single" w:sz="4" w:space="0" w:color="auto"/>
              <w:right w:val="single" w:sz="4" w:space="0" w:color="auto"/>
            </w:tcBorders>
            <w:hideMark/>
          </w:tcPr>
          <w:p w14:paraId="73CCE650" w14:textId="77777777" w:rsidR="0091446F" w:rsidRDefault="0091446F">
            <w:pPr>
              <w:spacing w:line="240" w:lineRule="auto"/>
            </w:pPr>
            <w:r>
              <w:t>Regional disparities in support</w:t>
            </w:r>
          </w:p>
        </w:tc>
        <w:tc>
          <w:tcPr>
            <w:tcW w:w="1471" w:type="dxa"/>
            <w:tcBorders>
              <w:top w:val="single" w:sz="4" w:space="0" w:color="auto"/>
              <w:left w:val="single" w:sz="4" w:space="0" w:color="auto"/>
              <w:bottom w:val="single" w:sz="4" w:space="0" w:color="auto"/>
              <w:right w:val="single" w:sz="4" w:space="0" w:color="auto"/>
            </w:tcBorders>
            <w:hideMark/>
          </w:tcPr>
          <w:p w14:paraId="16AC8B91" w14:textId="77777777" w:rsidR="0091446F" w:rsidRDefault="0091446F">
            <w:pPr>
              <w:spacing w:line="240" w:lineRule="auto"/>
            </w:pPr>
            <w:r>
              <w:t>Access barriers</w:t>
            </w:r>
          </w:p>
        </w:tc>
      </w:tr>
      <w:tr w:rsidR="0091446F" w14:paraId="2FC90818" w14:textId="77777777">
        <w:tc>
          <w:tcPr>
            <w:tcW w:w="1407" w:type="dxa"/>
            <w:tcBorders>
              <w:top w:val="single" w:sz="4" w:space="0" w:color="auto"/>
              <w:left w:val="single" w:sz="4" w:space="0" w:color="auto"/>
              <w:bottom w:val="single" w:sz="4" w:space="0" w:color="auto"/>
              <w:right w:val="single" w:sz="4" w:space="0" w:color="auto"/>
            </w:tcBorders>
            <w:hideMark/>
          </w:tcPr>
          <w:p w14:paraId="7AF7A0B2" w14:textId="77777777" w:rsidR="0091446F" w:rsidRDefault="0091446F">
            <w:pPr>
              <w:spacing w:line="240" w:lineRule="auto"/>
            </w:pPr>
            <w:r>
              <w:t>O’Neill &amp; Pallitto</w:t>
            </w:r>
          </w:p>
        </w:tc>
        <w:tc>
          <w:tcPr>
            <w:tcW w:w="856" w:type="dxa"/>
            <w:tcBorders>
              <w:top w:val="single" w:sz="4" w:space="0" w:color="auto"/>
              <w:left w:val="single" w:sz="4" w:space="0" w:color="auto"/>
              <w:bottom w:val="single" w:sz="4" w:space="0" w:color="auto"/>
              <w:right w:val="single" w:sz="4" w:space="0" w:color="auto"/>
            </w:tcBorders>
            <w:hideMark/>
          </w:tcPr>
          <w:p w14:paraId="08DCBEC9" w14:textId="77777777" w:rsidR="0091446F" w:rsidRDefault="0091446F">
            <w:pPr>
              <w:spacing w:line="240" w:lineRule="auto"/>
            </w:pPr>
            <w:r>
              <w:t>2021</w:t>
            </w:r>
          </w:p>
        </w:tc>
        <w:tc>
          <w:tcPr>
            <w:tcW w:w="1508" w:type="dxa"/>
            <w:tcBorders>
              <w:top w:val="single" w:sz="4" w:space="0" w:color="auto"/>
              <w:left w:val="single" w:sz="4" w:space="0" w:color="auto"/>
              <w:bottom w:val="single" w:sz="4" w:space="0" w:color="auto"/>
              <w:right w:val="single" w:sz="4" w:space="0" w:color="auto"/>
            </w:tcBorders>
            <w:hideMark/>
          </w:tcPr>
          <w:p w14:paraId="178FCAB6" w14:textId="77777777" w:rsidR="0091446F" w:rsidRDefault="0091446F">
            <w:pPr>
              <w:spacing w:line="240" w:lineRule="auto"/>
            </w:pPr>
            <w:r>
              <w:t>Psychosocial consequences of FGM</w:t>
            </w:r>
          </w:p>
        </w:tc>
        <w:tc>
          <w:tcPr>
            <w:tcW w:w="1307" w:type="dxa"/>
            <w:tcBorders>
              <w:top w:val="single" w:sz="4" w:space="0" w:color="auto"/>
              <w:left w:val="single" w:sz="4" w:space="0" w:color="auto"/>
              <w:bottom w:val="single" w:sz="4" w:space="0" w:color="auto"/>
              <w:right w:val="single" w:sz="4" w:space="0" w:color="auto"/>
            </w:tcBorders>
            <w:hideMark/>
          </w:tcPr>
          <w:p w14:paraId="0260699C" w14:textId="77777777" w:rsidR="0091446F" w:rsidRDefault="0091446F">
            <w:pPr>
              <w:spacing w:line="240" w:lineRule="auto"/>
            </w:pPr>
            <w:r>
              <w:t>Systematic review</w:t>
            </w:r>
          </w:p>
        </w:tc>
        <w:tc>
          <w:tcPr>
            <w:tcW w:w="988" w:type="dxa"/>
            <w:tcBorders>
              <w:top w:val="single" w:sz="4" w:space="0" w:color="auto"/>
              <w:left w:val="single" w:sz="4" w:space="0" w:color="auto"/>
              <w:bottom w:val="single" w:sz="4" w:space="0" w:color="auto"/>
              <w:right w:val="single" w:sz="4" w:space="0" w:color="auto"/>
            </w:tcBorders>
            <w:hideMark/>
          </w:tcPr>
          <w:p w14:paraId="47C02FB5" w14:textId="77777777" w:rsidR="0091446F" w:rsidRDefault="0091446F">
            <w:pPr>
              <w:spacing w:line="240" w:lineRule="auto"/>
            </w:pPr>
            <w:r>
              <w:t>Partial</w:t>
            </w:r>
          </w:p>
        </w:tc>
        <w:tc>
          <w:tcPr>
            <w:tcW w:w="1479" w:type="dxa"/>
            <w:tcBorders>
              <w:top w:val="single" w:sz="4" w:space="0" w:color="auto"/>
              <w:left w:val="single" w:sz="4" w:space="0" w:color="auto"/>
              <w:bottom w:val="single" w:sz="4" w:space="0" w:color="auto"/>
              <w:right w:val="single" w:sz="4" w:space="0" w:color="auto"/>
            </w:tcBorders>
            <w:hideMark/>
          </w:tcPr>
          <w:p w14:paraId="32F308C6" w14:textId="77777777" w:rsidR="0091446F" w:rsidRDefault="0091446F">
            <w:pPr>
              <w:spacing w:line="240" w:lineRule="auto"/>
            </w:pPr>
            <w:r>
              <w:t>Emotional detachment, shame</w:t>
            </w:r>
          </w:p>
        </w:tc>
        <w:tc>
          <w:tcPr>
            <w:tcW w:w="1471" w:type="dxa"/>
            <w:tcBorders>
              <w:top w:val="single" w:sz="4" w:space="0" w:color="auto"/>
              <w:left w:val="single" w:sz="4" w:space="0" w:color="auto"/>
              <w:bottom w:val="single" w:sz="4" w:space="0" w:color="auto"/>
              <w:right w:val="single" w:sz="4" w:space="0" w:color="auto"/>
            </w:tcBorders>
            <w:hideMark/>
          </w:tcPr>
          <w:p w14:paraId="30A4727E" w14:textId="77777777" w:rsidR="0091446F" w:rsidRDefault="0091446F">
            <w:pPr>
              <w:spacing w:line="240" w:lineRule="auto"/>
            </w:pPr>
            <w:r>
              <w:t>Theoretical framework</w:t>
            </w:r>
          </w:p>
        </w:tc>
      </w:tr>
      <w:tr w:rsidR="0091446F" w14:paraId="4AE337F8" w14:textId="77777777">
        <w:tc>
          <w:tcPr>
            <w:tcW w:w="1407" w:type="dxa"/>
            <w:tcBorders>
              <w:top w:val="single" w:sz="4" w:space="0" w:color="auto"/>
              <w:left w:val="single" w:sz="4" w:space="0" w:color="auto"/>
              <w:bottom w:val="single" w:sz="4" w:space="0" w:color="auto"/>
              <w:right w:val="single" w:sz="4" w:space="0" w:color="auto"/>
            </w:tcBorders>
            <w:hideMark/>
          </w:tcPr>
          <w:p w14:paraId="4E483CA9" w14:textId="77777777" w:rsidR="0091446F" w:rsidRDefault="0091446F">
            <w:pPr>
              <w:spacing w:line="240" w:lineRule="auto"/>
            </w:pPr>
            <w:r>
              <w:t>WHO</w:t>
            </w:r>
          </w:p>
        </w:tc>
        <w:tc>
          <w:tcPr>
            <w:tcW w:w="856" w:type="dxa"/>
            <w:tcBorders>
              <w:top w:val="single" w:sz="4" w:space="0" w:color="auto"/>
              <w:left w:val="single" w:sz="4" w:space="0" w:color="auto"/>
              <w:bottom w:val="single" w:sz="4" w:space="0" w:color="auto"/>
              <w:right w:val="single" w:sz="4" w:space="0" w:color="auto"/>
            </w:tcBorders>
            <w:hideMark/>
          </w:tcPr>
          <w:p w14:paraId="444C0539" w14:textId="77777777" w:rsidR="0091446F" w:rsidRDefault="0091446F">
            <w:pPr>
              <w:spacing w:line="240" w:lineRule="auto"/>
            </w:pPr>
            <w:r>
              <w:t>2023</w:t>
            </w:r>
          </w:p>
        </w:tc>
        <w:tc>
          <w:tcPr>
            <w:tcW w:w="1508" w:type="dxa"/>
            <w:tcBorders>
              <w:top w:val="single" w:sz="4" w:space="0" w:color="auto"/>
              <w:left w:val="single" w:sz="4" w:space="0" w:color="auto"/>
              <w:bottom w:val="single" w:sz="4" w:space="0" w:color="auto"/>
              <w:right w:val="single" w:sz="4" w:space="0" w:color="auto"/>
            </w:tcBorders>
            <w:hideMark/>
          </w:tcPr>
          <w:p w14:paraId="33712FC7" w14:textId="77777777" w:rsidR="0091446F" w:rsidRDefault="0091446F">
            <w:pPr>
              <w:spacing w:line="240" w:lineRule="auto"/>
            </w:pPr>
            <w:r>
              <w:t>FGM Fact Sheet</w:t>
            </w:r>
          </w:p>
        </w:tc>
        <w:tc>
          <w:tcPr>
            <w:tcW w:w="1307" w:type="dxa"/>
            <w:tcBorders>
              <w:top w:val="single" w:sz="4" w:space="0" w:color="auto"/>
              <w:left w:val="single" w:sz="4" w:space="0" w:color="auto"/>
              <w:bottom w:val="single" w:sz="4" w:space="0" w:color="auto"/>
              <w:right w:val="single" w:sz="4" w:space="0" w:color="auto"/>
            </w:tcBorders>
            <w:hideMark/>
          </w:tcPr>
          <w:p w14:paraId="1842B77E" w14:textId="77777777" w:rsidR="0091446F" w:rsidRDefault="0091446F">
            <w:pPr>
              <w:spacing w:line="240" w:lineRule="auto"/>
            </w:pPr>
            <w:r>
              <w:t>Global guidance</w:t>
            </w:r>
          </w:p>
        </w:tc>
        <w:tc>
          <w:tcPr>
            <w:tcW w:w="988" w:type="dxa"/>
            <w:tcBorders>
              <w:top w:val="single" w:sz="4" w:space="0" w:color="auto"/>
              <w:left w:val="single" w:sz="4" w:space="0" w:color="auto"/>
              <w:bottom w:val="single" w:sz="4" w:space="0" w:color="auto"/>
              <w:right w:val="single" w:sz="4" w:space="0" w:color="auto"/>
            </w:tcBorders>
            <w:hideMark/>
          </w:tcPr>
          <w:p w14:paraId="52861A37" w14:textId="77777777" w:rsidR="0091446F" w:rsidRDefault="0091446F">
            <w:pPr>
              <w:spacing w:line="240" w:lineRule="auto"/>
            </w:pPr>
            <w:r>
              <w:t>Partial</w:t>
            </w:r>
          </w:p>
        </w:tc>
        <w:tc>
          <w:tcPr>
            <w:tcW w:w="1479" w:type="dxa"/>
            <w:tcBorders>
              <w:top w:val="single" w:sz="4" w:space="0" w:color="auto"/>
              <w:left w:val="single" w:sz="4" w:space="0" w:color="auto"/>
              <w:bottom w:val="single" w:sz="4" w:space="0" w:color="auto"/>
              <w:right w:val="single" w:sz="4" w:space="0" w:color="auto"/>
            </w:tcBorders>
            <w:hideMark/>
          </w:tcPr>
          <w:p w14:paraId="7DA887B8" w14:textId="77777777" w:rsidR="0091446F" w:rsidRDefault="0091446F">
            <w:pPr>
              <w:spacing w:line="240" w:lineRule="auto"/>
            </w:pPr>
            <w:r>
              <w:t>Definition, global prevalence</w:t>
            </w:r>
          </w:p>
        </w:tc>
        <w:tc>
          <w:tcPr>
            <w:tcW w:w="1471" w:type="dxa"/>
            <w:tcBorders>
              <w:top w:val="single" w:sz="4" w:space="0" w:color="auto"/>
              <w:left w:val="single" w:sz="4" w:space="0" w:color="auto"/>
              <w:bottom w:val="single" w:sz="4" w:space="0" w:color="auto"/>
              <w:right w:val="single" w:sz="4" w:space="0" w:color="auto"/>
            </w:tcBorders>
            <w:hideMark/>
          </w:tcPr>
          <w:p w14:paraId="456B9295" w14:textId="77777777" w:rsidR="0091446F" w:rsidRDefault="0091446F">
            <w:pPr>
              <w:spacing w:line="240" w:lineRule="auto"/>
            </w:pPr>
            <w:r>
              <w:t>Background context</w:t>
            </w:r>
          </w:p>
        </w:tc>
      </w:tr>
      <w:tr w:rsidR="0091446F" w14:paraId="3B623765" w14:textId="77777777">
        <w:tc>
          <w:tcPr>
            <w:tcW w:w="1407" w:type="dxa"/>
            <w:tcBorders>
              <w:top w:val="single" w:sz="4" w:space="0" w:color="auto"/>
              <w:left w:val="single" w:sz="4" w:space="0" w:color="auto"/>
              <w:bottom w:val="single" w:sz="4" w:space="0" w:color="auto"/>
              <w:right w:val="single" w:sz="4" w:space="0" w:color="auto"/>
            </w:tcBorders>
            <w:hideMark/>
          </w:tcPr>
          <w:p w14:paraId="09E6F6C5" w14:textId="77777777" w:rsidR="0091446F" w:rsidRDefault="0091446F">
            <w:pPr>
              <w:spacing w:line="240" w:lineRule="auto"/>
            </w:pPr>
            <w:r>
              <w:t>UNICEF</w:t>
            </w:r>
          </w:p>
        </w:tc>
        <w:tc>
          <w:tcPr>
            <w:tcW w:w="856" w:type="dxa"/>
            <w:tcBorders>
              <w:top w:val="single" w:sz="4" w:space="0" w:color="auto"/>
              <w:left w:val="single" w:sz="4" w:space="0" w:color="auto"/>
              <w:bottom w:val="single" w:sz="4" w:space="0" w:color="auto"/>
              <w:right w:val="single" w:sz="4" w:space="0" w:color="auto"/>
            </w:tcBorders>
            <w:hideMark/>
          </w:tcPr>
          <w:p w14:paraId="7C959697" w14:textId="77777777" w:rsidR="0091446F" w:rsidRDefault="0091446F">
            <w:pPr>
              <w:spacing w:line="240" w:lineRule="auto"/>
            </w:pPr>
            <w:r>
              <w:t>2021</w:t>
            </w:r>
          </w:p>
        </w:tc>
        <w:tc>
          <w:tcPr>
            <w:tcW w:w="1508" w:type="dxa"/>
            <w:tcBorders>
              <w:top w:val="single" w:sz="4" w:space="0" w:color="auto"/>
              <w:left w:val="single" w:sz="4" w:space="0" w:color="auto"/>
              <w:bottom w:val="single" w:sz="4" w:space="0" w:color="auto"/>
              <w:right w:val="single" w:sz="4" w:space="0" w:color="auto"/>
            </w:tcBorders>
            <w:hideMark/>
          </w:tcPr>
          <w:p w14:paraId="11BF1372" w14:textId="77777777" w:rsidR="0091446F" w:rsidRDefault="0091446F">
            <w:pPr>
              <w:spacing w:line="240" w:lineRule="auto"/>
            </w:pPr>
            <w:r>
              <w:t>FGM: A Global Concern</w:t>
            </w:r>
          </w:p>
        </w:tc>
        <w:tc>
          <w:tcPr>
            <w:tcW w:w="1307" w:type="dxa"/>
            <w:tcBorders>
              <w:top w:val="single" w:sz="4" w:space="0" w:color="auto"/>
              <w:left w:val="single" w:sz="4" w:space="0" w:color="auto"/>
              <w:bottom w:val="single" w:sz="4" w:space="0" w:color="auto"/>
              <w:right w:val="single" w:sz="4" w:space="0" w:color="auto"/>
            </w:tcBorders>
            <w:hideMark/>
          </w:tcPr>
          <w:p w14:paraId="6A59C82A" w14:textId="77777777" w:rsidR="0091446F" w:rsidRDefault="0091446F">
            <w:pPr>
              <w:spacing w:line="240" w:lineRule="auto"/>
            </w:pPr>
            <w:r>
              <w:t>Policy report</w:t>
            </w:r>
          </w:p>
        </w:tc>
        <w:tc>
          <w:tcPr>
            <w:tcW w:w="988" w:type="dxa"/>
            <w:tcBorders>
              <w:top w:val="single" w:sz="4" w:space="0" w:color="auto"/>
              <w:left w:val="single" w:sz="4" w:space="0" w:color="auto"/>
              <w:bottom w:val="single" w:sz="4" w:space="0" w:color="auto"/>
              <w:right w:val="single" w:sz="4" w:space="0" w:color="auto"/>
            </w:tcBorders>
            <w:hideMark/>
          </w:tcPr>
          <w:p w14:paraId="1160E59A" w14:textId="77777777" w:rsidR="0091446F" w:rsidRDefault="0091446F">
            <w:pPr>
              <w:spacing w:line="240" w:lineRule="auto"/>
            </w:pPr>
            <w:r>
              <w:t>Partial</w:t>
            </w:r>
          </w:p>
        </w:tc>
        <w:tc>
          <w:tcPr>
            <w:tcW w:w="1479" w:type="dxa"/>
            <w:tcBorders>
              <w:top w:val="single" w:sz="4" w:space="0" w:color="auto"/>
              <w:left w:val="single" w:sz="4" w:space="0" w:color="auto"/>
              <w:bottom w:val="single" w:sz="4" w:space="0" w:color="auto"/>
              <w:right w:val="single" w:sz="4" w:space="0" w:color="auto"/>
            </w:tcBorders>
            <w:hideMark/>
          </w:tcPr>
          <w:p w14:paraId="4D54FF77" w14:textId="77777777" w:rsidR="0091446F" w:rsidRDefault="0091446F">
            <w:pPr>
              <w:spacing w:line="240" w:lineRule="auto"/>
            </w:pPr>
            <w:r>
              <w:t>Cultural framing of FGM</w:t>
            </w:r>
          </w:p>
        </w:tc>
        <w:tc>
          <w:tcPr>
            <w:tcW w:w="1471" w:type="dxa"/>
            <w:tcBorders>
              <w:top w:val="single" w:sz="4" w:space="0" w:color="auto"/>
              <w:left w:val="single" w:sz="4" w:space="0" w:color="auto"/>
              <w:bottom w:val="single" w:sz="4" w:space="0" w:color="auto"/>
              <w:right w:val="single" w:sz="4" w:space="0" w:color="auto"/>
            </w:tcBorders>
            <w:hideMark/>
          </w:tcPr>
          <w:p w14:paraId="50D94CC0" w14:textId="77777777" w:rsidR="0091446F" w:rsidRDefault="0091446F">
            <w:pPr>
              <w:spacing w:line="240" w:lineRule="auto"/>
            </w:pPr>
            <w:r>
              <w:t>International perspective</w:t>
            </w:r>
          </w:p>
        </w:tc>
      </w:tr>
    </w:tbl>
    <w:p w14:paraId="41F3E8C5" w14:textId="77777777" w:rsidR="0091446F" w:rsidRDefault="0091446F" w:rsidP="0091446F"/>
    <w:p w14:paraId="4535A78E" w14:textId="77777777" w:rsidR="0091446F" w:rsidRDefault="0091446F" w:rsidP="0091446F">
      <w:pPr>
        <w:pStyle w:val="Heading2"/>
      </w:pPr>
      <w:bookmarkStart w:id="7" w:name="_Toc216893498"/>
      <w:r>
        <w:t>Thematic Coding Table</w:t>
      </w:r>
      <w:bookmarkEnd w:id="7"/>
    </w:p>
    <w:tbl>
      <w:tblPr>
        <w:tblStyle w:val="TableGrid"/>
        <w:tblW w:w="0" w:type="auto"/>
        <w:tblInd w:w="0" w:type="dxa"/>
        <w:tblLook w:val="04A0" w:firstRow="1" w:lastRow="0" w:firstColumn="1" w:lastColumn="0" w:noHBand="0" w:noVBand="1"/>
      </w:tblPr>
      <w:tblGrid>
        <w:gridCol w:w="2254"/>
        <w:gridCol w:w="2254"/>
        <w:gridCol w:w="2254"/>
        <w:gridCol w:w="2254"/>
      </w:tblGrid>
      <w:tr w:rsidR="0091446F" w14:paraId="1874D62D" w14:textId="77777777">
        <w:tc>
          <w:tcPr>
            <w:tcW w:w="2254" w:type="dxa"/>
            <w:tcBorders>
              <w:top w:val="single" w:sz="4" w:space="0" w:color="auto"/>
              <w:left w:val="single" w:sz="4" w:space="0" w:color="auto"/>
              <w:bottom w:val="single" w:sz="4" w:space="0" w:color="auto"/>
              <w:right w:val="single" w:sz="4" w:space="0" w:color="auto"/>
            </w:tcBorders>
            <w:hideMark/>
          </w:tcPr>
          <w:p w14:paraId="3669D232" w14:textId="77777777" w:rsidR="0091446F" w:rsidRDefault="0091446F">
            <w:pPr>
              <w:spacing w:line="240" w:lineRule="auto"/>
              <w:rPr>
                <w:b/>
                <w:bCs/>
              </w:rPr>
            </w:pPr>
            <w:r>
              <w:rPr>
                <w:b/>
                <w:bCs/>
              </w:rPr>
              <w:t>Theme</w:t>
            </w:r>
          </w:p>
        </w:tc>
        <w:tc>
          <w:tcPr>
            <w:tcW w:w="2254" w:type="dxa"/>
            <w:tcBorders>
              <w:top w:val="single" w:sz="4" w:space="0" w:color="auto"/>
              <w:left w:val="single" w:sz="4" w:space="0" w:color="auto"/>
              <w:bottom w:val="single" w:sz="4" w:space="0" w:color="auto"/>
              <w:right w:val="single" w:sz="4" w:space="0" w:color="auto"/>
            </w:tcBorders>
            <w:hideMark/>
          </w:tcPr>
          <w:p w14:paraId="14B19950" w14:textId="77777777" w:rsidR="0091446F" w:rsidRDefault="0091446F">
            <w:pPr>
              <w:spacing w:line="240" w:lineRule="auto"/>
              <w:rPr>
                <w:b/>
                <w:bCs/>
              </w:rPr>
            </w:pPr>
            <w:r>
              <w:rPr>
                <w:b/>
                <w:bCs/>
              </w:rPr>
              <w:t>Subthemes</w:t>
            </w:r>
          </w:p>
        </w:tc>
        <w:tc>
          <w:tcPr>
            <w:tcW w:w="2254" w:type="dxa"/>
            <w:tcBorders>
              <w:top w:val="single" w:sz="4" w:space="0" w:color="auto"/>
              <w:left w:val="single" w:sz="4" w:space="0" w:color="auto"/>
              <w:bottom w:val="single" w:sz="4" w:space="0" w:color="auto"/>
              <w:right w:val="single" w:sz="4" w:space="0" w:color="auto"/>
            </w:tcBorders>
            <w:hideMark/>
          </w:tcPr>
          <w:p w14:paraId="7C536109" w14:textId="77777777" w:rsidR="0091446F" w:rsidRDefault="0091446F">
            <w:pPr>
              <w:spacing w:line="240" w:lineRule="auto"/>
              <w:rPr>
                <w:b/>
                <w:bCs/>
              </w:rPr>
            </w:pPr>
            <w:r>
              <w:rPr>
                <w:b/>
                <w:bCs/>
              </w:rPr>
              <w:t>Supporting Sources</w:t>
            </w:r>
          </w:p>
        </w:tc>
        <w:tc>
          <w:tcPr>
            <w:tcW w:w="2254" w:type="dxa"/>
            <w:tcBorders>
              <w:top w:val="single" w:sz="4" w:space="0" w:color="auto"/>
              <w:left w:val="single" w:sz="4" w:space="0" w:color="auto"/>
              <w:bottom w:val="single" w:sz="4" w:space="0" w:color="auto"/>
              <w:right w:val="single" w:sz="4" w:space="0" w:color="auto"/>
            </w:tcBorders>
            <w:hideMark/>
          </w:tcPr>
          <w:p w14:paraId="25BE8158" w14:textId="77777777" w:rsidR="0091446F" w:rsidRDefault="0091446F">
            <w:pPr>
              <w:spacing w:line="240" w:lineRule="auto"/>
              <w:rPr>
                <w:b/>
                <w:bCs/>
              </w:rPr>
            </w:pPr>
            <w:r>
              <w:rPr>
                <w:b/>
                <w:bCs/>
              </w:rPr>
              <w:t>Summary</w:t>
            </w:r>
          </w:p>
        </w:tc>
      </w:tr>
      <w:tr w:rsidR="0091446F" w14:paraId="021F6128" w14:textId="77777777">
        <w:tc>
          <w:tcPr>
            <w:tcW w:w="2254" w:type="dxa"/>
            <w:tcBorders>
              <w:top w:val="single" w:sz="4" w:space="0" w:color="auto"/>
              <w:left w:val="single" w:sz="4" w:space="0" w:color="auto"/>
              <w:bottom w:val="single" w:sz="4" w:space="0" w:color="auto"/>
              <w:right w:val="single" w:sz="4" w:space="0" w:color="auto"/>
            </w:tcBorders>
            <w:hideMark/>
          </w:tcPr>
          <w:p w14:paraId="55494195" w14:textId="77777777" w:rsidR="0091446F" w:rsidRDefault="0091446F">
            <w:pPr>
              <w:spacing w:line="240" w:lineRule="auto"/>
            </w:pPr>
            <w:r>
              <w:t>Psychological Consequences</w:t>
            </w:r>
          </w:p>
        </w:tc>
        <w:tc>
          <w:tcPr>
            <w:tcW w:w="2254" w:type="dxa"/>
            <w:tcBorders>
              <w:top w:val="single" w:sz="4" w:space="0" w:color="auto"/>
              <w:left w:val="single" w:sz="4" w:space="0" w:color="auto"/>
              <w:bottom w:val="single" w:sz="4" w:space="0" w:color="auto"/>
              <w:right w:val="single" w:sz="4" w:space="0" w:color="auto"/>
            </w:tcBorders>
            <w:hideMark/>
          </w:tcPr>
          <w:p w14:paraId="7665C4AC" w14:textId="77777777" w:rsidR="0091446F" w:rsidRDefault="0091446F">
            <w:pPr>
              <w:spacing w:line="240" w:lineRule="auto"/>
            </w:pPr>
            <w:r>
              <w:t>PTSD, depression, anxiety, somatic symptoms</w:t>
            </w:r>
          </w:p>
        </w:tc>
        <w:tc>
          <w:tcPr>
            <w:tcW w:w="2254" w:type="dxa"/>
            <w:tcBorders>
              <w:top w:val="single" w:sz="4" w:space="0" w:color="auto"/>
              <w:left w:val="single" w:sz="4" w:space="0" w:color="auto"/>
              <w:bottom w:val="single" w:sz="4" w:space="0" w:color="auto"/>
              <w:right w:val="single" w:sz="4" w:space="0" w:color="auto"/>
            </w:tcBorders>
            <w:hideMark/>
          </w:tcPr>
          <w:p w14:paraId="3936E8A1" w14:textId="77777777" w:rsidR="0091446F" w:rsidRDefault="0091446F">
            <w:pPr>
              <w:spacing w:line="240" w:lineRule="auto"/>
            </w:pPr>
            <w:r>
              <w:t>Mulongo et al., Warne &amp; Mulongo, Jones et al.</w:t>
            </w:r>
          </w:p>
        </w:tc>
        <w:tc>
          <w:tcPr>
            <w:tcW w:w="2254" w:type="dxa"/>
            <w:tcBorders>
              <w:top w:val="single" w:sz="4" w:space="0" w:color="auto"/>
              <w:left w:val="single" w:sz="4" w:space="0" w:color="auto"/>
              <w:bottom w:val="single" w:sz="4" w:space="0" w:color="auto"/>
              <w:right w:val="single" w:sz="4" w:space="0" w:color="auto"/>
            </w:tcBorders>
            <w:hideMark/>
          </w:tcPr>
          <w:p w14:paraId="0A8742EE" w14:textId="77777777" w:rsidR="0091446F" w:rsidRDefault="0091446F">
            <w:pPr>
              <w:spacing w:line="240" w:lineRule="auto"/>
            </w:pPr>
            <w:r>
              <w:t>Survivors experience long-term trauma and emotional distress.</w:t>
            </w:r>
          </w:p>
        </w:tc>
      </w:tr>
      <w:tr w:rsidR="0091446F" w14:paraId="07E39EAD" w14:textId="77777777">
        <w:tc>
          <w:tcPr>
            <w:tcW w:w="2254" w:type="dxa"/>
            <w:tcBorders>
              <w:top w:val="single" w:sz="4" w:space="0" w:color="auto"/>
              <w:left w:val="single" w:sz="4" w:space="0" w:color="auto"/>
              <w:bottom w:val="single" w:sz="4" w:space="0" w:color="auto"/>
              <w:right w:val="single" w:sz="4" w:space="0" w:color="auto"/>
            </w:tcBorders>
            <w:hideMark/>
          </w:tcPr>
          <w:p w14:paraId="08DEF3F5" w14:textId="77777777" w:rsidR="0091446F" w:rsidRDefault="0091446F">
            <w:pPr>
              <w:spacing w:line="240" w:lineRule="auto"/>
            </w:pPr>
            <w:r>
              <w:t>Barriers to Support</w:t>
            </w:r>
          </w:p>
        </w:tc>
        <w:tc>
          <w:tcPr>
            <w:tcW w:w="2254" w:type="dxa"/>
            <w:tcBorders>
              <w:top w:val="single" w:sz="4" w:space="0" w:color="auto"/>
              <w:left w:val="single" w:sz="4" w:space="0" w:color="auto"/>
              <w:bottom w:val="single" w:sz="4" w:space="0" w:color="auto"/>
              <w:right w:val="single" w:sz="4" w:space="0" w:color="auto"/>
            </w:tcBorders>
            <w:hideMark/>
          </w:tcPr>
          <w:p w14:paraId="6C41A8DD" w14:textId="77777777" w:rsidR="0091446F" w:rsidRDefault="0091446F">
            <w:pPr>
              <w:spacing w:line="240" w:lineRule="auto"/>
            </w:pPr>
            <w:r>
              <w:t>Stigma, language, postcode lottery</w:t>
            </w:r>
          </w:p>
        </w:tc>
        <w:tc>
          <w:tcPr>
            <w:tcW w:w="2254" w:type="dxa"/>
            <w:tcBorders>
              <w:top w:val="single" w:sz="4" w:space="0" w:color="auto"/>
              <w:left w:val="single" w:sz="4" w:space="0" w:color="auto"/>
              <w:bottom w:val="single" w:sz="4" w:space="0" w:color="auto"/>
              <w:right w:val="single" w:sz="4" w:space="0" w:color="auto"/>
            </w:tcBorders>
            <w:hideMark/>
          </w:tcPr>
          <w:p w14:paraId="2DF81339" w14:textId="77777777" w:rsidR="0091446F" w:rsidRDefault="0091446F">
            <w:pPr>
              <w:spacing w:line="240" w:lineRule="auto"/>
            </w:pPr>
            <w:r>
              <w:t>University of Birmingham, Jones et al., NHS Digital</w:t>
            </w:r>
          </w:p>
        </w:tc>
        <w:tc>
          <w:tcPr>
            <w:tcW w:w="2254" w:type="dxa"/>
            <w:tcBorders>
              <w:top w:val="single" w:sz="4" w:space="0" w:color="auto"/>
              <w:left w:val="single" w:sz="4" w:space="0" w:color="auto"/>
              <w:bottom w:val="single" w:sz="4" w:space="0" w:color="auto"/>
              <w:right w:val="single" w:sz="4" w:space="0" w:color="auto"/>
            </w:tcBorders>
            <w:hideMark/>
          </w:tcPr>
          <w:p w14:paraId="21064075" w14:textId="77777777" w:rsidR="0091446F" w:rsidRDefault="0091446F">
            <w:pPr>
              <w:spacing w:line="240" w:lineRule="auto"/>
            </w:pPr>
            <w:r>
              <w:t>Survivors face systemic and cultural obstacles to accessing care.</w:t>
            </w:r>
          </w:p>
        </w:tc>
      </w:tr>
      <w:tr w:rsidR="0091446F" w14:paraId="2A8F120F" w14:textId="77777777">
        <w:tc>
          <w:tcPr>
            <w:tcW w:w="2254" w:type="dxa"/>
            <w:tcBorders>
              <w:top w:val="single" w:sz="4" w:space="0" w:color="auto"/>
              <w:left w:val="single" w:sz="4" w:space="0" w:color="auto"/>
              <w:bottom w:val="single" w:sz="4" w:space="0" w:color="auto"/>
              <w:right w:val="single" w:sz="4" w:space="0" w:color="auto"/>
            </w:tcBorders>
            <w:hideMark/>
          </w:tcPr>
          <w:p w14:paraId="424B01FA" w14:textId="77777777" w:rsidR="0091446F" w:rsidRDefault="0091446F">
            <w:pPr>
              <w:spacing w:line="240" w:lineRule="auto"/>
            </w:pPr>
            <w:r>
              <w:t>Gaps in Care</w:t>
            </w:r>
          </w:p>
        </w:tc>
        <w:tc>
          <w:tcPr>
            <w:tcW w:w="2254" w:type="dxa"/>
            <w:tcBorders>
              <w:top w:val="single" w:sz="4" w:space="0" w:color="auto"/>
              <w:left w:val="single" w:sz="4" w:space="0" w:color="auto"/>
              <w:bottom w:val="single" w:sz="4" w:space="0" w:color="auto"/>
              <w:right w:val="single" w:sz="4" w:space="0" w:color="auto"/>
            </w:tcBorders>
            <w:hideMark/>
          </w:tcPr>
          <w:p w14:paraId="5297B753" w14:textId="77777777" w:rsidR="0091446F" w:rsidRDefault="0091446F">
            <w:pPr>
              <w:spacing w:line="240" w:lineRule="auto"/>
            </w:pPr>
            <w:r>
              <w:t>Lack of training, policy limitations, survivor exclusion</w:t>
            </w:r>
          </w:p>
        </w:tc>
        <w:tc>
          <w:tcPr>
            <w:tcW w:w="2254" w:type="dxa"/>
            <w:tcBorders>
              <w:top w:val="single" w:sz="4" w:space="0" w:color="auto"/>
              <w:left w:val="single" w:sz="4" w:space="0" w:color="auto"/>
              <w:bottom w:val="single" w:sz="4" w:space="0" w:color="auto"/>
              <w:right w:val="single" w:sz="4" w:space="0" w:color="auto"/>
            </w:tcBorders>
            <w:hideMark/>
          </w:tcPr>
          <w:p w14:paraId="2160CD63" w14:textId="77777777" w:rsidR="0091446F" w:rsidRDefault="0091446F">
            <w:pPr>
              <w:spacing w:line="240" w:lineRule="auto"/>
            </w:pPr>
            <w:r>
              <w:t>Home Office, NHS England, Jones et al.</w:t>
            </w:r>
          </w:p>
        </w:tc>
        <w:tc>
          <w:tcPr>
            <w:tcW w:w="2254" w:type="dxa"/>
            <w:tcBorders>
              <w:top w:val="single" w:sz="4" w:space="0" w:color="auto"/>
              <w:left w:val="single" w:sz="4" w:space="0" w:color="auto"/>
              <w:bottom w:val="single" w:sz="4" w:space="0" w:color="auto"/>
              <w:right w:val="single" w:sz="4" w:space="0" w:color="auto"/>
            </w:tcBorders>
            <w:hideMark/>
          </w:tcPr>
          <w:p w14:paraId="19B40777" w14:textId="77777777" w:rsidR="0091446F" w:rsidRDefault="0091446F">
            <w:pPr>
              <w:spacing w:line="240" w:lineRule="auto"/>
            </w:pPr>
            <w:r>
              <w:t>Services often overlook emotional recovery and cultural sensitivity.</w:t>
            </w:r>
          </w:p>
        </w:tc>
      </w:tr>
    </w:tbl>
    <w:p w14:paraId="4DB49B45" w14:textId="77777777" w:rsidR="0091446F" w:rsidRDefault="0091446F" w:rsidP="0091446F"/>
    <w:p w14:paraId="24B58D65" w14:textId="77777777" w:rsidR="0091446F" w:rsidRDefault="0091446F" w:rsidP="0091446F">
      <w:pPr>
        <w:pStyle w:val="Heading2"/>
      </w:pPr>
      <w:bookmarkStart w:id="8" w:name="_Toc216893499"/>
      <w:r>
        <w:t>3.6 CRAAP Test</w:t>
      </w:r>
      <w:bookmarkEnd w:id="8"/>
    </w:p>
    <w:p w14:paraId="63FE21AC" w14:textId="77777777" w:rsidR="0091446F" w:rsidRDefault="0091446F" w:rsidP="0091446F">
      <w:pPr>
        <w:spacing w:line="360" w:lineRule="auto"/>
        <w:rPr>
          <w:rFonts w:ascii="Arial" w:hAnsi="Arial" w:cs="Arial"/>
          <w:sz w:val="22"/>
          <w:szCs w:val="22"/>
        </w:rPr>
      </w:pPr>
      <w:r>
        <w:rPr>
          <w:rFonts w:ascii="Arial" w:hAnsi="Arial" w:cs="Arial"/>
          <w:sz w:val="22"/>
          <w:szCs w:val="22"/>
        </w:rPr>
        <w:t>All sources were evaluated using the CRAAP test (Currency, Relevance, Authority, Accuracy, Purpose) (George, 2021; Blakeslee, 2004).</w:t>
      </w:r>
    </w:p>
    <w:p w14:paraId="275EB65A" w14:textId="77777777" w:rsidR="0091446F" w:rsidRDefault="0091446F" w:rsidP="0091446F">
      <w:pPr>
        <w:pStyle w:val="ListParagraph"/>
        <w:numPr>
          <w:ilvl w:val="0"/>
          <w:numId w:val="5"/>
        </w:numPr>
        <w:spacing w:line="360" w:lineRule="auto"/>
        <w:rPr>
          <w:rFonts w:ascii="Arial" w:hAnsi="Arial" w:cs="Arial"/>
          <w:sz w:val="22"/>
          <w:szCs w:val="22"/>
        </w:rPr>
      </w:pPr>
      <w:r>
        <w:rPr>
          <w:rFonts w:ascii="Arial" w:hAnsi="Arial" w:cs="Arial"/>
          <w:sz w:val="22"/>
          <w:szCs w:val="22"/>
        </w:rPr>
        <w:t>Currency: Sources were assessed for timeliness. For example, NHS Digital (2024) provides the most recent dataset on FGM prevalence, ensuring up</w:t>
      </w:r>
      <w:r>
        <w:rPr>
          <w:rFonts w:ascii="Cambria Math" w:hAnsi="Cambria Math" w:cs="Cambria Math"/>
          <w:sz w:val="22"/>
          <w:szCs w:val="22"/>
        </w:rPr>
        <w:noBreakHyphen/>
      </w:r>
      <w:r>
        <w:rPr>
          <w:rFonts w:ascii="Arial" w:hAnsi="Arial" w:cs="Arial"/>
          <w:sz w:val="22"/>
          <w:szCs w:val="22"/>
        </w:rPr>
        <w:t>to</w:t>
      </w:r>
      <w:r>
        <w:rPr>
          <w:rFonts w:ascii="Cambria Math" w:hAnsi="Cambria Math" w:cs="Cambria Math"/>
          <w:sz w:val="22"/>
          <w:szCs w:val="22"/>
        </w:rPr>
        <w:noBreakHyphen/>
      </w:r>
      <w:r>
        <w:rPr>
          <w:rFonts w:ascii="Arial" w:hAnsi="Arial" w:cs="Arial"/>
          <w:sz w:val="22"/>
          <w:szCs w:val="22"/>
        </w:rPr>
        <w:t>date analysis.</w:t>
      </w:r>
    </w:p>
    <w:p w14:paraId="77865FA0" w14:textId="77777777" w:rsidR="0091446F" w:rsidRDefault="0091446F" w:rsidP="0091446F">
      <w:pPr>
        <w:pStyle w:val="ListParagraph"/>
        <w:numPr>
          <w:ilvl w:val="0"/>
          <w:numId w:val="5"/>
        </w:numPr>
        <w:spacing w:line="360" w:lineRule="auto"/>
        <w:rPr>
          <w:rFonts w:ascii="Arial" w:hAnsi="Arial" w:cs="Arial"/>
          <w:sz w:val="22"/>
          <w:szCs w:val="22"/>
        </w:rPr>
      </w:pPr>
      <w:r>
        <w:rPr>
          <w:rFonts w:ascii="Arial" w:hAnsi="Arial" w:cs="Arial"/>
          <w:sz w:val="22"/>
          <w:szCs w:val="22"/>
        </w:rPr>
        <w:t>Relevance: Sources were checked for direct applicability to the UK context. Jones et al. (2023) was particularly relevant as it captured survivor views on NHS services.</w:t>
      </w:r>
    </w:p>
    <w:p w14:paraId="790F8185" w14:textId="77777777" w:rsidR="0091446F" w:rsidRDefault="0091446F" w:rsidP="0091446F">
      <w:pPr>
        <w:pStyle w:val="ListParagraph"/>
        <w:numPr>
          <w:ilvl w:val="0"/>
          <w:numId w:val="5"/>
        </w:numPr>
        <w:spacing w:line="360" w:lineRule="auto"/>
        <w:rPr>
          <w:rFonts w:ascii="Arial" w:hAnsi="Arial" w:cs="Arial"/>
          <w:sz w:val="22"/>
          <w:szCs w:val="22"/>
        </w:rPr>
      </w:pPr>
      <w:r>
        <w:rPr>
          <w:rFonts w:ascii="Arial" w:hAnsi="Arial" w:cs="Arial"/>
          <w:sz w:val="22"/>
          <w:szCs w:val="22"/>
        </w:rPr>
        <w:t>Authority: Sources were evaluated for credibility. WHO (2024) and NHS England (2025) were considered authoritative due to their institutional standing.</w:t>
      </w:r>
    </w:p>
    <w:p w14:paraId="62E8CA05" w14:textId="77777777" w:rsidR="0091446F" w:rsidRDefault="0091446F" w:rsidP="0091446F">
      <w:pPr>
        <w:pStyle w:val="ListParagraph"/>
        <w:numPr>
          <w:ilvl w:val="0"/>
          <w:numId w:val="5"/>
        </w:numPr>
        <w:spacing w:line="360" w:lineRule="auto"/>
        <w:rPr>
          <w:rFonts w:ascii="Arial" w:hAnsi="Arial" w:cs="Arial"/>
          <w:sz w:val="22"/>
          <w:szCs w:val="22"/>
        </w:rPr>
      </w:pPr>
      <w:r>
        <w:rPr>
          <w:rFonts w:ascii="Arial" w:hAnsi="Arial" w:cs="Arial"/>
          <w:sz w:val="22"/>
          <w:szCs w:val="22"/>
        </w:rPr>
        <w:t>Accuracy: Sources were cross</w:t>
      </w:r>
      <w:r>
        <w:rPr>
          <w:rFonts w:ascii="Cambria Math" w:hAnsi="Cambria Math" w:cs="Cambria Math"/>
          <w:sz w:val="22"/>
          <w:szCs w:val="22"/>
        </w:rPr>
        <w:noBreakHyphen/>
      </w:r>
      <w:r>
        <w:rPr>
          <w:rFonts w:ascii="Arial" w:hAnsi="Arial" w:cs="Arial"/>
          <w:sz w:val="22"/>
          <w:szCs w:val="22"/>
        </w:rPr>
        <w:t>checked against other literature to ensure reliability. For instance, Mulongo et al. (2014) was corroborated by Warne &amp; Mulongo (2020).</w:t>
      </w:r>
    </w:p>
    <w:p w14:paraId="179B01A7" w14:textId="77777777" w:rsidR="0091446F" w:rsidRDefault="0091446F" w:rsidP="0091446F">
      <w:pPr>
        <w:pStyle w:val="ListParagraph"/>
        <w:numPr>
          <w:ilvl w:val="0"/>
          <w:numId w:val="5"/>
        </w:numPr>
        <w:spacing w:line="360" w:lineRule="auto"/>
        <w:rPr>
          <w:rFonts w:ascii="Arial" w:hAnsi="Arial" w:cs="Arial"/>
          <w:sz w:val="22"/>
          <w:szCs w:val="22"/>
        </w:rPr>
      </w:pPr>
      <w:r>
        <w:rPr>
          <w:rFonts w:ascii="Arial" w:hAnsi="Arial" w:cs="Arial"/>
          <w:sz w:val="22"/>
          <w:szCs w:val="22"/>
        </w:rPr>
        <w:lastRenderedPageBreak/>
        <w:t>Purpose: Sources were analysed for bias. Advocacy reports such as FORWARD UK (2024) were recognised as survivor</w:t>
      </w:r>
      <w:r>
        <w:rPr>
          <w:rFonts w:ascii="Cambria Math" w:hAnsi="Cambria Math" w:cs="Cambria Math"/>
          <w:sz w:val="22"/>
          <w:szCs w:val="22"/>
        </w:rPr>
        <w:noBreakHyphen/>
      </w:r>
      <w:r>
        <w:rPr>
          <w:rFonts w:ascii="Arial" w:hAnsi="Arial" w:cs="Arial"/>
          <w:sz w:val="22"/>
          <w:szCs w:val="22"/>
        </w:rPr>
        <w:t>led, offering valuable perspectives but requiring critical appraisal of advocacy framing.</w:t>
      </w:r>
    </w:p>
    <w:p w14:paraId="309B235C" w14:textId="77777777" w:rsidR="0091446F" w:rsidRDefault="0091446F" w:rsidP="0091446F">
      <w:pPr>
        <w:spacing w:line="360" w:lineRule="auto"/>
        <w:rPr>
          <w:rFonts w:ascii="Arial" w:hAnsi="Arial" w:cs="Arial"/>
          <w:sz w:val="22"/>
          <w:szCs w:val="22"/>
        </w:rPr>
      </w:pPr>
    </w:p>
    <w:p w14:paraId="4AA84308" w14:textId="77777777" w:rsidR="0091446F" w:rsidRDefault="0091446F" w:rsidP="0091446F">
      <w:pPr>
        <w:spacing w:line="360" w:lineRule="auto"/>
        <w:rPr>
          <w:rFonts w:ascii="Arial" w:hAnsi="Arial" w:cs="Arial"/>
          <w:sz w:val="22"/>
          <w:szCs w:val="22"/>
        </w:rPr>
      </w:pPr>
      <w:r>
        <w:rPr>
          <w:rFonts w:ascii="Arial" w:hAnsi="Arial" w:cs="Arial"/>
          <w:sz w:val="22"/>
          <w:szCs w:val="22"/>
        </w:rPr>
        <w:t>By applying the CRAAP test, the dissertation ensured that only credible, relevant, and accurate sources were included in the analysis.</w:t>
      </w:r>
    </w:p>
    <w:p w14:paraId="3420761B" w14:textId="77777777" w:rsidR="0091446F" w:rsidRDefault="0091446F" w:rsidP="0091446F">
      <w:pPr>
        <w:pStyle w:val="Heading2"/>
      </w:pPr>
      <w:bookmarkStart w:id="9" w:name="_Toc216893500"/>
      <w:r>
        <w:t>CRAAP Test</w:t>
      </w:r>
      <w:bookmarkEnd w:id="9"/>
    </w:p>
    <w:tbl>
      <w:tblPr>
        <w:tblStyle w:val="TableGrid"/>
        <w:tblW w:w="0" w:type="auto"/>
        <w:tblInd w:w="0" w:type="dxa"/>
        <w:tblLook w:val="04A0" w:firstRow="1" w:lastRow="0" w:firstColumn="1" w:lastColumn="0" w:noHBand="0" w:noVBand="1"/>
      </w:tblPr>
      <w:tblGrid>
        <w:gridCol w:w="1502"/>
        <w:gridCol w:w="1502"/>
        <w:gridCol w:w="1503"/>
        <w:gridCol w:w="1503"/>
        <w:gridCol w:w="1503"/>
        <w:gridCol w:w="1503"/>
      </w:tblGrid>
      <w:tr w:rsidR="0091446F" w14:paraId="6BE0CB62" w14:textId="77777777">
        <w:tc>
          <w:tcPr>
            <w:tcW w:w="1502" w:type="dxa"/>
            <w:tcBorders>
              <w:top w:val="single" w:sz="4" w:space="0" w:color="auto"/>
              <w:left w:val="single" w:sz="4" w:space="0" w:color="auto"/>
              <w:bottom w:val="single" w:sz="4" w:space="0" w:color="auto"/>
              <w:right w:val="single" w:sz="4" w:space="0" w:color="auto"/>
            </w:tcBorders>
            <w:hideMark/>
          </w:tcPr>
          <w:p w14:paraId="5C5FA85F" w14:textId="77777777" w:rsidR="0091446F" w:rsidRDefault="0091446F">
            <w:pPr>
              <w:spacing w:line="240" w:lineRule="auto"/>
              <w:rPr>
                <w:b/>
                <w:bCs/>
              </w:rPr>
            </w:pPr>
            <w:r>
              <w:rPr>
                <w:b/>
                <w:bCs/>
              </w:rPr>
              <w:t>Source</w:t>
            </w:r>
          </w:p>
        </w:tc>
        <w:tc>
          <w:tcPr>
            <w:tcW w:w="1502" w:type="dxa"/>
            <w:tcBorders>
              <w:top w:val="single" w:sz="4" w:space="0" w:color="auto"/>
              <w:left w:val="single" w:sz="4" w:space="0" w:color="auto"/>
              <w:bottom w:val="single" w:sz="4" w:space="0" w:color="auto"/>
              <w:right w:val="single" w:sz="4" w:space="0" w:color="auto"/>
            </w:tcBorders>
            <w:hideMark/>
          </w:tcPr>
          <w:p w14:paraId="5CCB380D" w14:textId="77777777" w:rsidR="0091446F" w:rsidRDefault="0091446F">
            <w:pPr>
              <w:spacing w:line="240" w:lineRule="auto"/>
              <w:rPr>
                <w:b/>
                <w:bCs/>
              </w:rPr>
            </w:pPr>
            <w:r>
              <w:rPr>
                <w:b/>
                <w:bCs/>
              </w:rPr>
              <w:t>Currency</w:t>
            </w:r>
          </w:p>
        </w:tc>
        <w:tc>
          <w:tcPr>
            <w:tcW w:w="1503" w:type="dxa"/>
            <w:tcBorders>
              <w:top w:val="single" w:sz="4" w:space="0" w:color="auto"/>
              <w:left w:val="single" w:sz="4" w:space="0" w:color="auto"/>
              <w:bottom w:val="single" w:sz="4" w:space="0" w:color="auto"/>
              <w:right w:val="single" w:sz="4" w:space="0" w:color="auto"/>
            </w:tcBorders>
            <w:hideMark/>
          </w:tcPr>
          <w:p w14:paraId="7B322801" w14:textId="77777777" w:rsidR="0091446F" w:rsidRDefault="0091446F">
            <w:pPr>
              <w:spacing w:line="240" w:lineRule="auto"/>
              <w:rPr>
                <w:b/>
                <w:bCs/>
              </w:rPr>
            </w:pPr>
            <w:r>
              <w:rPr>
                <w:b/>
                <w:bCs/>
              </w:rPr>
              <w:t>Relevance</w:t>
            </w:r>
          </w:p>
        </w:tc>
        <w:tc>
          <w:tcPr>
            <w:tcW w:w="1503" w:type="dxa"/>
            <w:tcBorders>
              <w:top w:val="single" w:sz="4" w:space="0" w:color="auto"/>
              <w:left w:val="single" w:sz="4" w:space="0" w:color="auto"/>
              <w:bottom w:val="single" w:sz="4" w:space="0" w:color="auto"/>
              <w:right w:val="single" w:sz="4" w:space="0" w:color="auto"/>
            </w:tcBorders>
            <w:hideMark/>
          </w:tcPr>
          <w:p w14:paraId="4E35B409" w14:textId="77777777" w:rsidR="0091446F" w:rsidRDefault="0091446F">
            <w:pPr>
              <w:spacing w:line="240" w:lineRule="auto"/>
              <w:rPr>
                <w:b/>
                <w:bCs/>
              </w:rPr>
            </w:pPr>
            <w:r>
              <w:rPr>
                <w:b/>
                <w:bCs/>
              </w:rPr>
              <w:t>Authority</w:t>
            </w:r>
          </w:p>
        </w:tc>
        <w:tc>
          <w:tcPr>
            <w:tcW w:w="1503" w:type="dxa"/>
            <w:tcBorders>
              <w:top w:val="single" w:sz="4" w:space="0" w:color="auto"/>
              <w:left w:val="single" w:sz="4" w:space="0" w:color="auto"/>
              <w:bottom w:val="single" w:sz="4" w:space="0" w:color="auto"/>
              <w:right w:val="single" w:sz="4" w:space="0" w:color="auto"/>
            </w:tcBorders>
            <w:hideMark/>
          </w:tcPr>
          <w:p w14:paraId="7D4898E7" w14:textId="77777777" w:rsidR="0091446F" w:rsidRDefault="0091446F">
            <w:pPr>
              <w:spacing w:line="240" w:lineRule="auto"/>
              <w:rPr>
                <w:b/>
                <w:bCs/>
              </w:rPr>
            </w:pPr>
            <w:r>
              <w:rPr>
                <w:b/>
                <w:bCs/>
              </w:rPr>
              <w:t>Accuracy</w:t>
            </w:r>
          </w:p>
        </w:tc>
        <w:tc>
          <w:tcPr>
            <w:tcW w:w="1503" w:type="dxa"/>
            <w:tcBorders>
              <w:top w:val="single" w:sz="4" w:space="0" w:color="auto"/>
              <w:left w:val="single" w:sz="4" w:space="0" w:color="auto"/>
              <w:bottom w:val="single" w:sz="4" w:space="0" w:color="auto"/>
              <w:right w:val="single" w:sz="4" w:space="0" w:color="auto"/>
            </w:tcBorders>
            <w:hideMark/>
          </w:tcPr>
          <w:p w14:paraId="651EDBBD" w14:textId="77777777" w:rsidR="0091446F" w:rsidRDefault="0091446F">
            <w:pPr>
              <w:spacing w:line="240" w:lineRule="auto"/>
              <w:rPr>
                <w:b/>
                <w:bCs/>
              </w:rPr>
            </w:pPr>
            <w:r>
              <w:rPr>
                <w:b/>
                <w:bCs/>
              </w:rPr>
              <w:t>Purpose</w:t>
            </w:r>
          </w:p>
        </w:tc>
      </w:tr>
      <w:tr w:rsidR="0091446F" w14:paraId="0703C86C" w14:textId="77777777">
        <w:tc>
          <w:tcPr>
            <w:tcW w:w="1502" w:type="dxa"/>
            <w:tcBorders>
              <w:top w:val="single" w:sz="4" w:space="0" w:color="auto"/>
              <w:left w:val="single" w:sz="4" w:space="0" w:color="auto"/>
              <w:bottom w:val="single" w:sz="4" w:space="0" w:color="auto"/>
              <w:right w:val="single" w:sz="4" w:space="0" w:color="auto"/>
            </w:tcBorders>
            <w:hideMark/>
          </w:tcPr>
          <w:p w14:paraId="29E753C2" w14:textId="77777777" w:rsidR="0091446F" w:rsidRDefault="0091446F">
            <w:pPr>
              <w:spacing w:line="240" w:lineRule="auto"/>
            </w:pPr>
            <w:r>
              <w:t>Mulongo et al. (2014)</w:t>
            </w:r>
          </w:p>
        </w:tc>
        <w:tc>
          <w:tcPr>
            <w:tcW w:w="1502" w:type="dxa"/>
            <w:tcBorders>
              <w:top w:val="single" w:sz="4" w:space="0" w:color="auto"/>
              <w:left w:val="single" w:sz="4" w:space="0" w:color="auto"/>
              <w:bottom w:val="single" w:sz="4" w:space="0" w:color="auto"/>
              <w:right w:val="single" w:sz="4" w:space="0" w:color="auto"/>
            </w:tcBorders>
            <w:hideMark/>
          </w:tcPr>
          <w:p w14:paraId="2A84F559" w14:textId="77777777" w:rsidR="0091446F" w:rsidRDefault="0091446F">
            <w:pPr>
              <w:spacing w:line="240" w:lineRule="auto"/>
            </w:pPr>
            <w:r>
              <w:t>✓</w:t>
            </w:r>
          </w:p>
        </w:tc>
        <w:tc>
          <w:tcPr>
            <w:tcW w:w="1503" w:type="dxa"/>
            <w:tcBorders>
              <w:top w:val="single" w:sz="4" w:space="0" w:color="auto"/>
              <w:left w:val="single" w:sz="4" w:space="0" w:color="auto"/>
              <w:bottom w:val="single" w:sz="4" w:space="0" w:color="auto"/>
              <w:right w:val="single" w:sz="4" w:space="0" w:color="auto"/>
            </w:tcBorders>
            <w:hideMark/>
          </w:tcPr>
          <w:p w14:paraId="49C50FD4" w14:textId="77777777" w:rsidR="0091446F" w:rsidRDefault="0091446F">
            <w:pPr>
              <w:spacing w:line="240" w:lineRule="auto"/>
            </w:pPr>
            <w:r>
              <w:t>✓</w:t>
            </w:r>
          </w:p>
        </w:tc>
        <w:tc>
          <w:tcPr>
            <w:tcW w:w="1503" w:type="dxa"/>
            <w:tcBorders>
              <w:top w:val="single" w:sz="4" w:space="0" w:color="auto"/>
              <w:left w:val="single" w:sz="4" w:space="0" w:color="auto"/>
              <w:bottom w:val="single" w:sz="4" w:space="0" w:color="auto"/>
              <w:right w:val="single" w:sz="4" w:space="0" w:color="auto"/>
            </w:tcBorders>
            <w:hideMark/>
          </w:tcPr>
          <w:p w14:paraId="27FD1035" w14:textId="77777777" w:rsidR="0091446F" w:rsidRDefault="0091446F">
            <w:pPr>
              <w:spacing w:line="240" w:lineRule="auto"/>
            </w:pPr>
            <w:r>
              <w:t>✓</w:t>
            </w:r>
          </w:p>
        </w:tc>
        <w:tc>
          <w:tcPr>
            <w:tcW w:w="1503" w:type="dxa"/>
            <w:tcBorders>
              <w:top w:val="single" w:sz="4" w:space="0" w:color="auto"/>
              <w:left w:val="single" w:sz="4" w:space="0" w:color="auto"/>
              <w:bottom w:val="single" w:sz="4" w:space="0" w:color="auto"/>
              <w:right w:val="single" w:sz="4" w:space="0" w:color="auto"/>
            </w:tcBorders>
            <w:hideMark/>
          </w:tcPr>
          <w:p w14:paraId="32639314" w14:textId="77777777" w:rsidR="0091446F" w:rsidRDefault="0091446F">
            <w:pPr>
              <w:spacing w:line="240" w:lineRule="auto"/>
            </w:pPr>
            <w:r>
              <w:t>✓</w:t>
            </w:r>
          </w:p>
        </w:tc>
        <w:tc>
          <w:tcPr>
            <w:tcW w:w="1503" w:type="dxa"/>
            <w:tcBorders>
              <w:top w:val="single" w:sz="4" w:space="0" w:color="auto"/>
              <w:left w:val="single" w:sz="4" w:space="0" w:color="auto"/>
              <w:bottom w:val="single" w:sz="4" w:space="0" w:color="auto"/>
              <w:right w:val="single" w:sz="4" w:space="0" w:color="auto"/>
            </w:tcBorders>
            <w:hideMark/>
          </w:tcPr>
          <w:p w14:paraId="310E273B" w14:textId="77777777" w:rsidR="0091446F" w:rsidRDefault="0091446F">
            <w:pPr>
              <w:spacing w:line="240" w:lineRule="auto"/>
            </w:pPr>
            <w:r>
              <w:t>Academic</w:t>
            </w:r>
          </w:p>
        </w:tc>
      </w:tr>
      <w:tr w:rsidR="0091446F" w14:paraId="4400D887" w14:textId="77777777">
        <w:tc>
          <w:tcPr>
            <w:tcW w:w="1502" w:type="dxa"/>
            <w:tcBorders>
              <w:top w:val="single" w:sz="4" w:space="0" w:color="auto"/>
              <w:left w:val="single" w:sz="4" w:space="0" w:color="auto"/>
              <w:bottom w:val="single" w:sz="4" w:space="0" w:color="auto"/>
              <w:right w:val="single" w:sz="4" w:space="0" w:color="auto"/>
            </w:tcBorders>
            <w:hideMark/>
          </w:tcPr>
          <w:p w14:paraId="372C7D60" w14:textId="77777777" w:rsidR="0091446F" w:rsidRDefault="0091446F">
            <w:pPr>
              <w:spacing w:line="240" w:lineRule="auto"/>
            </w:pPr>
            <w:r>
              <w:t>Jones et al. (2023)</w:t>
            </w:r>
          </w:p>
        </w:tc>
        <w:tc>
          <w:tcPr>
            <w:tcW w:w="1502" w:type="dxa"/>
            <w:tcBorders>
              <w:top w:val="single" w:sz="4" w:space="0" w:color="auto"/>
              <w:left w:val="single" w:sz="4" w:space="0" w:color="auto"/>
              <w:bottom w:val="single" w:sz="4" w:space="0" w:color="auto"/>
              <w:right w:val="single" w:sz="4" w:space="0" w:color="auto"/>
            </w:tcBorders>
            <w:hideMark/>
          </w:tcPr>
          <w:p w14:paraId="40D290CF" w14:textId="77777777" w:rsidR="0091446F" w:rsidRDefault="0091446F">
            <w:pPr>
              <w:spacing w:line="240" w:lineRule="auto"/>
            </w:pPr>
            <w:r>
              <w:t>✓</w:t>
            </w:r>
          </w:p>
        </w:tc>
        <w:tc>
          <w:tcPr>
            <w:tcW w:w="1503" w:type="dxa"/>
            <w:tcBorders>
              <w:top w:val="single" w:sz="4" w:space="0" w:color="auto"/>
              <w:left w:val="single" w:sz="4" w:space="0" w:color="auto"/>
              <w:bottom w:val="single" w:sz="4" w:space="0" w:color="auto"/>
              <w:right w:val="single" w:sz="4" w:space="0" w:color="auto"/>
            </w:tcBorders>
            <w:hideMark/>
          </w:tcPr>
          <w:p w14:paraId="690A333B" w14:textId="77777777" w:rsidR="0091446F" w:rsidRDefault="0091446F">
            <w:pPr>
              <w:spacing w:line="240" w:lineRule="auto"/>
            </w:pPr>
            <w:r>
              <w:t>✓</w:t>
            </w:r>
          </w:p>
        </w:tc>
        <w:tc>
          <w:tcPr>
            <w:tcW w:w="1503" w:type="dxa"/>
            <w:tcBorders>
              <w:top w:val="single" w:sz="4" w:space="0" w:color="auto"/>
              <w:left w:val="single" w:sz="4" w:space="0" w:color="auto"/>
              <w:bottom w:val="single" w:sz="4" w:space="0" w:color="auto"/>
              <w:right w:val="single" w:sz="4" w:space="0" w:color="auto"/>
            </w:tcBorders>
            <w:hideMark/>
          </w:tcPr>
          <w:p w14:paraId="475C5D10" w14:textId="77777777" w:rsidR="0091446F" w:rsidRDefault="0091446F">
            <w:pPr>
              <w:spacing w:line="240" w:lineRule="auto"/>
            </w:pPr>
            <w:r>
              <w:t>✓</w:t>
            </w:r>
          </w:p>
        </w:tc>
        <w:tc>
          <w:tcPr>
            <w:tcW w:w="1503" w:type="dxa"/>
            <w:tcBorders>
              <w:top w:val="single" w:sz="4" w:space="0" w:color="auto"/>
              <w:left w:val="single" w:sz="4" w:space="0" w:color="auto"/>
              <w:bottom w:val="single" w:sz="4" w:space="0" w:color="auto"/>
              <w:right w:val="single" w:sz="4" w:space="0" w:color="auto"/>
            </w:tcBorders>
            <w:hideMark/>
          </w:tcPr>
          <w:p w14:paraId="3D6B079A" w14:textId="77777777" w:rsidR="0091446F" w:rsidRDefault="0091446F">
            <w:pPr>
              <w:spacing w:line="240" w:lineRule="auto"/>
            </w:pPr>
            <w:r>
              <w:t>✓</w:t>
            </w:r>
          </w:p>
        </w:tc>
        <w:tc>
          <w:tcPr>
            <w:tcW w:w="1503" w:type="dxa"/>
            <w:tcBorders>
              <w:top w:val="single" w:sz="4" w:space="0" w:color="auto"/>
              <w:left w:val="single" w:sz="4" w:space="0" w:color="auto"/>
              <w:bottom w:val="single" w:sz="4" w:space="0" w:color="auto"/>
              <w:right w:val="single" w:sz="4" w:space="0" w:color="auto"/>
            </w:tcBorders>
            <w:hideMark/>
          </w:tcPr>
          <w:p w14:paraId="4E0F8226" w14:textId="77777777" w:rsidR="0091446F" w:rsidRDefault="0091446F">
            <w:pPr>
              <w:spacing w:line="240" w:lineRule="auto"/>
            </w:pPr>
            <w:r>
              <w:t>Research</w:t>
            </w:r>
          </w:p>
        </w:tc>
      </w:tr>
      <w:tr w:rsidR="0091446F" w14:paraId="54903ECD" w14:textId="77777777">
        <w:tc>
          <w:tcPr>
            <w:tcW w:w="1502" w:type="dxa"/>
            <w:tcBorders>
              <w:top w:val="single" w:sz="4" w:space="0" w:color="auto"/>
              <w:left w:val="single" w:sz="4" w:space="0" w:color="auto"/>
              <w:bottom w:val="single" w:sz="4" w:space="0" w:color="auto"/>
              <w:right w:val="single" w:sz="4" w:space="0" w:color="auto"/>
            </w:tcBorders>
            <w:hideMark/>
          </w:tcPr>
          <w:p w14:paraId="6F7F7C05" w14:textId="77777777" w:rsidR="0091446F" w:rsidRDefault="0091446F">
            <w:pPr>
              <w:spacing w:line="240" w:lineRule="auto"/>
            </w:pPr>
            <w:r>
              <w:t>NHS Digital (2024)</w:t>
            </w:r>
          </w:p>
        </w:tc>
        <w:tc>
          <w:tcPr>
            <w:tcW w:w="1502" w:type="dxa"/>
            <w:tcBorders>
              <w:top w:val="single" w:sz="4" w:space="0" w:color="auto"/>
              <w:left w:val="single" w:sz="4" w:space="0" w:color="auto"/>
              <w:bottom w:val="single" w:sz="4" w:space="0" w:color="auto"/>
              <w:right w:val="single" w:sz="4" w:space="0" w:color="auto"/>
            </w:tcBorders>
            <w:hideMark/>
          </w:tcPr>
          <w:p w14:paraId="08C5C8E0" w14:textId="77777777" w:rsidR="0091446F" w:rsidRDefault="0091446F">
            <w:pPr>
              <w:spacing w:line="240" w:lineRule="auto"/>
            </w:pPr>
            <w:r>
              <w:t>✓</w:t>
            </w:r>
          </w:p>
        </w:tc>
        <w:tc>
          <w:tcPr>
            <w:tcW w:w="1503" w:type="dxa"/>
            <w:tcBorders>
              <w:top w:val="single" w:sz="4" w:space="0" w:color="auto"/>
              <w:left w:val="single" w:sz="4" w:space="0" w:color="auto"/>
              <w:bottom w:val="single" w:sz="4" w:space="0" w:color="auto"/>
              <w:right w:val="single" w:sz="4" w:space="0" w:color="auto"/>
            </w:tcBorders>
            <w:hideMark/>
          </w:tcPr>
          <w:p w14:paraId="26B7F2FF" w14:textId="77777777" w:rsidR="0091446F" w:rsidRDefault="0091446F">
            <w:pPr>
              <w:spacing w:line="240" w:lineRule="auto"/>
            </w:pPr>
            <w:r>
              <w:t>✓</w:t>
            </w:r>
          </w:p>
        </w:tc>
        <w:tc>
          <w:tcPr>
            <w:tcW w:w="1503" w:type="dxa"/>
            <w:tcBorders>
              <w:top w:val="single" w:sz="4" w:space="0" w:color="auto"/>
              <w:left w:val="single" w:sz="4" w:space="0" w:color="auto"/>
              <w:bottom w:val="single" w:sz="4" w:space="0" w:color="auto"/>
              <w:right w:val="single" w:sz="4" w:space="0" w:color="auto"/>
            </w:tcBorders>
            <w:hideMark/>
          </w:tcPr>
          <w:p w14:paraId="79F1EE42" w14:textId="77777777" w:rsidR="0091446F" w:rsidRDefault="0091446F">
            <w:pPr>
              <w:spacing w:line="240" w:lineRule="auto"/>
            </w:pPr>
            <w:r>
              <w:t>✓</w:t>
            </w:r>
          </w:p>
        </w:tc>
        <w:tc>
          <w:tcPr>
            <w:tcW w:w="1503" w:type="dxa"/>
            <w:tcBorders>
              <w:top w:val="single" w:sz="4" w:space="0" w:color="auto"/>
              <w:left w:val="single" w:sz="4" w:space="0" w:color="auto"/>
              <w:bottom w:val="single" w:sz="4" w:space="0" w:color="auto"/>
              <w:right w:val="single" w:sz="4" w:space="0" w:color="auto"/>
            </w:tcBorders>
            <w:hideMark/>
          </w:tcPr>
          <w:p w14:paraId="514E6112" w14:textId="77777777" w:rsidR="0091446F" w:rsidRDefault="0091446F">
            <w:pPr>
              <w:spacing w:line="240" w:lineRule="auto"/>
            </w:pPr>
            <w:r>
              <w:t>✓</w:t>
            </w:r>
          </w:p>
        </w:tc>
        <w:tc>
          <w:tcPr>
            <w:tcW w:w="1503" w:type="dxa"/>
            <w:tcBorders>
              <w:top w:val="single" w:sz="4" w:space="0" w:color="auto"/>
              <w:left w:val="single" w:sz="4" w:space="0" w:color="auto"/>
              <w:bottom w:val="single" w:sz="4" w:space="0" w:color="auto"/>
              <w:right w:val="single" w:sz="4" w:space="0" w:color="auto"/>
            </w:tcBorders>
            <w:hideMark/>
          </w:tcPr>
          <w:p w14:paraId="46EEDC8F" w14:textId="77777777" w:rsidR="0091446F" w:rsidRDefault="0091446F">
            <w:pPr>
              <w:spacing w:line="240" w:lineRule="auto"/>
            </w:pPr>
            <w:r>
              <w:t>Government</w:t>
            </w:r>
          </w:p>
        </w:tc>
      </w:tr>
      <w:tr w:rsidR="0091446F" w14:paraId="22C00EAD" w14:textId="77777777">
        <w:tc>
          <w:tcPr>
            <w:tcW w:w="1502" w:type="dxa"/>
            <w:tcBorders>
              <w:top w:val="single" w:sz="4" w:space="0" w:color="auto"/>
              <w:left w:val="single" w:sz="4" w:space="0" w:color="auto"/>
              <w:bottom w:val="single" w:sz="4" w:space="0" w:color="auto"/>
              <w:right w:val="single" w:sz="4" w:space="0" w:color="auto"/>
            </w:tcBorders>
            <w:hideMark/>
          </w:tcPr>
          <w:p w14:paraId="3CC62B0B" w14:textId="77777777" w:rsidR="0091446F" w:rsidRDefault="0091446F">
            <w:pPr>
              <w:spacing w:line="240" w:lineRule="auto"/>
            </w:pPr>
            <w:r>
              <w:t>WHO (2023)</w:t>
            </w:r>
          </w:p>
        </w:tc>
        <w:tc>
          <w:tcPr>
            <w:tcW w:w="1502" w:type="dxa"/>
            <w:tcBorders>
              <w:top w:val="single" w:sz="4" w:space="0" w:color="auto"/>
              <w:left w:val="single" w:sz="4" w:space="0" w:color="auto"/>
              <w:bottom w:val="single" w:sz="4" w:space="0" w:color="auto"/>
              <w:right w:val="single" w:sz="4" w:space="0" w:color="auto"/>
            </w:tcBorders>
            <w:hideMark/>
          </w:tcPr>
          <w:p w14:paraId="196E2668" w14:textId="77777777" w:rsidR="0091446F" w:rsidRDefault="0091446F">
            <w:pPr>
              <w:spacing w:line="240" w:lineRule="auto"/>
            </w:pPr>
            <w:r>
              <w:t>✓</w:t>
            </w:r>
          </w:p>
        </w:tc>
        <w:tc>
          <w:tcPr>
            <w:tcW w:w="1503" w:type="dxa"/>
            <w:tcBorders>
              <w:top w:val="single" w:sz="4" w:space="0" w:color="auto"/>
              <w:left w:val="single" w:sz="4" w:space="0" w:color="auto"/>
              <w:bottom w:val="single" w:sz="4" w:space="0" w:color="auto"/>
              <w:right w:val="single" w:sz="4" w:space="0" w:color="auto"/>
            </w:tcBorders>
            <w:hideMark/>
          </w:tcPr>
          <w:p w14:paraId="31C41C5A" w14:textId="77777777" w:rsidR="0091446F" w:rsidRDefault="0091446F">
            <w:pPr>
              <w:spacing w:line="240" w:lineRule="auto"/>
            </w:pPr>
            <w:r>
              <w:t>✓</w:t>
            </w:r>
          </w:p>
        </w:tc>
        <w:tc>
          <w:tcPr>
            <w:tcW w:w="1503" w:type="dxa"/>
            <w:tcBorders>
              <w:top w:val="single" w:sz="4" w:space="0" w:color="auto"/>
              <w:left w:val="single" w:sz="4" w:space="0" w:color="auto"/>
              <w:bottom w:val="single" w:sz="4" w:space="0" w:color="auto"/>
              <w:right w:val="single" w:sz="4" w:space="0" w:color="auto"/>
            </w:tcBorders>
            <w:hideMark/>
          </w:tcPr>
          <w:p w14:paraId="4B8087DB" w14:textId="77777777" w:rsidR="0091446F" w:rsidRDefault="0091446F">
            <w:pPr>
              <w:spacing w:line="240" w:lineRule="auto"/>
            </w:pPr>
            <w:r>
              <w:t>✓</w:t>
            </w:r>
          </w:p>
        </w:tc>
        <w:tc>
          <w:tcPr>
            <w:tcW w:w="1503" w:type="dxa"/>
            <w:tcBorders>
              <w:top w:val="single" w:sz="4" w:space="0" w:color="auto"/>
              <w:left w:val="single" w:sz="4" w:space="0" w:color="auto"/>
              <w:bottom w:val="single" w:sz="4" w:space="0" w:color="auto"/>
              <w:right w:val="single" w:sz="4" w:space="0" w:color="auto"/>
            </w:tcBorders>
            <w:hideMark/>
          </w:tcPr>
          <w:p w14:paraId="1CE8AA43" w14:textId="77777777" w:rsidR="0091446F" w:rsidRDefault="0091446F">
            <w:pPr>
              <w:spacing w:line="240" w:lineRule="auto"/>
            </w:pPr>
            <w:r>
              <w:t>✓</w:t>
            </w:r>
          </w:p>
        </w:tc>
        <w:tc>
          <w:tcPr>
            <w:tcW w:w="1503" w:type="dxa"/>
            <w:tcBorders>
              <w:top w:val="single" w:sz="4" w:space="0" w:color="auto"/>
              <w:left w:val="single" w:sz="4" w:space="0" w:color="auto"/>
              <w:bottom w:val="single" w:sz="4" w:space="0" w:color="auto"/>
              <w:right w:val="single" w:sz="4" w:space="0" w:color="auto"/>
            </w:tcBorders>
            <w:hideMark/>
          </w:tcPr>
          <w:p w14:paraId="24D88DAE" w14:textId="77777777" w:rsidR="0091446F" w:rsidRDefault="0091446F">
            <w:pPr>
              <w:spacing w:line="240" w:lineRule="auto"/>
            </w:pPr>
            <w:r>
              <w:t>Global guidance</w:t>
            </w:r>
          </w:p>
        </w:tc>
      </w:tr>
      <w:tr w:rsidR="0091446F" w14:paraId="1FD68F77" w14:textId="77777777">
        <w:tc>
          <w:tcPr>
            <w:tcW w:w="1502" w:type="dxa"/>
            <w:tcBorders>
              <w:top w:val="single" w:sz="4" w:space="0" w:color="auto"/>
              <w:left w:val="single" w:sz="4" w:space="0" w:color="auto"/>
              <w:bottom w:val="single" w:sz="4" w:space="0" w:color="auto"/>
              <w:right w:val="single" w:sz="4" w:space="0" w:color="auto"/>
            </w:tcBorders>
            <w:hideMark/>
          </w:tcPr>
          <w:p w14:paraId="3CFFBABF" w14:textId="77777777" w:rsidR="0091446F" w:rsidRDefault="0091446F">
            <w:pPr>
              <w:spacing w:line="240" w:lineRule="auto"/>
            </w:pPr>
            <w:r>
              <w:t>University of Birmingham (2023)</w:t>
            </w:r>
          </w:p>
        </w:tc>
        <w:tc>
          <w:tcPr>
            <w:tcW w:w="1502" w:type="dxa"/>
            <w:tcBorders>
              <w:top w:val="single" w:sz="4" w:space="0" w:color="auto"/>
              <w:left w:val="single" w:sz="4" w:space="0" w:color="auto"/>
              <w:bottom w:val="single" w:sz="4" w:space="0" w:color="auto"/>
              <w:right w:val="single" w:sz="4" w:space="0" w:color="auto"/>
            </w:tcBorders>
            <w:hideMark/>
          </w:tcPr>
          <w:p w14:paraId="39ABF832" w14:textId="77777777" w:rsidR="0091446F" w:rsidRDefault="0091446F">
            <w:pPr>
              <w:spacing w:line="240" w:lineRule="auto"/>
            </w:pPr>
            <w:r>
              <w:t>✓</w:t>
            </w:r>
          </w:p>
        </w:tc>
        <w:tc>
          <w:tcPr>
            <w:tcW w:w="1503" w:type="dxa"/>
            <w:tcBorders>
              <w:top w:val="single" w:sz="4" w:space="0" w:color="auto"/>
              <w:left w:val="single" w:sz="4" w:space="0" w:color="auto"/>
              <w:bottom w:val="single" w:sz="4" w:space="0" w:color="auto"/>
              <w:right w:val="single" w:sz="4" w:space="0" w:color="auto"/>
            </w:tcBorders>
            <w:hideMark/>
          </w:tcPr>
          <w:p w14:paraId="155D6298" w14:textId="77777777" w:rsidR="0091446F" w:rsidRDefault="0091446F">
            <w:pPr>
              <w:spacing w:line="240" w:lineRule="auto"/>
            </w:pPr>
            <w:r>
              <w:t>✓</w:t>
            </w:r>
          </w:p>
        </w:tc>
        <w:tc>
          <w:tcPr>
            <w:tcW w:w="1503" w:type="dxa"/>
            <w:tcBorders>
              <w:top w:val="single" w:sz="4" w:space="0" w:color="auto"/>
              <w:left w:val="single" w:sz="4" w:space="0" w:color="auto"/>
              <w:bottom w:val="single" w:sz="4" w:space="0" w:color="auto"/>
              <w:right w:val="single" w:sz="4" w:space="0" w:color="auto"/>
            </w:tcBorders>
            <w:hideMark/>
          </w:tcPr>
          <w:p w14:paraId="3A9C1F2F" w14:textId="77777777" w:rsidR="0091446F" w:rsidRDefault="0091446F">
            <w:pPr>
              <w:spacing w:line="240" w:lineRule="auto"/>
            </w:pPr>
            <w:r>
              <w:t>✓</w:t>
            </w:r>
          </w:p>
        </w:tc>
        <w:tc>
          <w:tcPr>
            <w:tcW w:w="1503" w:type="dxa"/>
            <w:tcBorders>
              <w:top w:val="single" w:sz="4" w:space="0" w:color="auto"/>
              <w:left w:val="single" w:sz="4" w:space="0" w:color="auto"/>
              <w:bottom w:val="single" w:sz="4" w:space="0" w:color="auto"/>
              <w:right w:val="single" w:sz="4" w:space="0" w:color="auto"/>
            </w:tcBorders>
            <w:hideMark/>
          </w:tcPr>
          <w:p w14:paraId="1265303C" w14:textId="77777777" w:rsidR="0091446F" w:rsidRDefault="0091446F">
            <w:pPr>
              <w:spacing w:line="240" w:lineRule="auto"/>
            </w:pPr>
            <w:r>
              <w:t>✓</w:t>
            </w:r>
          </w:p>
        </w:tc>
        <w:tc>
          <w:tcPr>
            <w:tcW w:w="1503" w:type="dxa"/>
            <w:tcBorders>
              <w:top w:val="single" w:sz="4" w:space="0" w:color="auto"/>
              <w:left w:val="single" w:sz="4" w:space="0" w:color="auto"/>
              <w:bottom w:val="single" w:sz="4" w:space="0" w:color="auto"/>
              <w:right w:val="single" w:sz="4" w:space="0" w:color="auto"/>
            </w:tcBorders>
            <w:hideMark/>
          </w:tcPr>
          <w:p w14:paraId="4EF81F53" w14:textId="77777777" w:rsidR="0091446F" w:rsidRDefault="0091446F">
            <w:pPr>
              <w:spacing w:line="240" w:lineRule="auto"/>
            </w:pPr>
            <w:r>
              <w:t>Academic</w:t>
            </w:r>
          </w:p>
        </w:tc>
      </w:tr>
    </w:tbl>
    <w:p w14:paraId="054A99AE" w14:textId="77777777" w:rsidR="0091446F" w:rsidRDefault="0091446F" w:rsidP="0091446F"/>
    <w:p w14:paraId="19F66CB3" w14:textId="77777777" w:rsidR="0091446F" w:rsidRDefault="0091446F" w:rsidP="0091446F">
      <w:pPr>
        <w:pStyle w:val="Heading2"/>
      </w:pPr>
      <w:bookmarkStart w:id="10" w:name="_Toc216893501"/>
      <w:r>
        <w:t>3.7 Ethical Considerations</w:t>
      </w:r>
      <w:bookmarkEnd w:id="10"/>
    </w:p>
    <w:p w14:paraId="1DB4C341" w14:textId="77777777" w:rsidR="0091446F" w:rsidRDefault="0091446F" w:rsidP="0091446F">
      <w:pPr>
        <w:spacing w:line="360" w:lineRule="auto"/>
        <w:rPr>
          <w:rFonts w:ascii="Arial" w:hAnsi="Arial" w:cs="Arial"/>
          <w:sz w:val="22"/>
          <w:szCs w:val="22"/>
        </w:rPr>
      </w:pPr>
      <w:r>
        <w:rPr>
          <w:rFonts w:ascii="Arial" w:hAnsi="Arial" w:cs="Arial"/>
          <w:sz w:val="22"/>
          <w:szCs w:val="22"/>
        </w:rPr>
        <w:t>Ethical considerations were central to the choice of methodology. Conducting primary research with survivors of FGM would risk traumatisation and require specialist support. Secondary research avoids these risks while still enabling meaningful analysis.</w:t>
      </w:r>
    </w:p>
    <w:p w14:paraId="3AB35F3E" w14:textId="77777777" w:rsidR="0091446F" w:rsidRDefault="0091446F" w:rsidP="0091446F">
      <w:pPr>
        <w:spacing w:line="360" w:lineRule="auto"/>
        <w:rPr>
          <w:rFonts w:ascii="Arial" w:hAnsi="Arial" w:cs="Arial"/>
          <w:sz w:val="22"/>
          <w:szCs w:val="22"/>
        </w:rPr>
      </w:pPr>
      <w:r>
        <w:rPr>
          <w:rFonts w:ascii="Arial" w:hAnsi="Arial" w:cs="Arial"/>
          <w:sz w:val="22"/>
          <w:szCs w:val="22"/>
        </w:rPr>
        <w:t>The use of survivor</w:t>
      </w:r>
      <w:r>
        <w:rPr>
          <w:rFonts w:ascii="Cambria Math" w:hAnsi="Cambria Math" w:cs="Cambria Math"/>
          <w:sz w:val="22"/>
          <w:szCs w:val="22"/>
        </w:rPr>
        <w:noBreakHyphen/>
      </w:r>
      <w:r>
        <w:rPr>
          <w:rFonts w:ascii="Arial" w:hAnsi="Arial" w:cs="Arial"/>
          <w:sz w:val="22"/>
          <w:szCs w:val="22"/>
        </w:rPr>
        <w:t>led reports (e.g., FORWARD UK, 2024; Women’s Aid, 2025) was managed sensitively, recognising the importance of survivor voices while critically appraising advocacy perspectives. The dissertation also ensured that all sources were properly cited, maintaining academic integrity.</w:t>
      </w:r>
    </w:p>
    <w:p w14:paraId="0E59A412" w14:textId="77777777" w:rsidR="0091446F" w:rsidRDefault="0091446F" w:rsidP="0091446F">
      <w:pPr>
        <w:spacing w:line="360" w:lineRule="auto"/>
        <w:rPr>
          <w:rFonts w:ascii="Arial" w:hAnsi="Arial" w:cs="Arial"/>
          <w:sz w:val="22"/>
          <w:szCs w:val="22"/>
        </w:rPr>
      </w:pPr>
      <w:r>
        <w:rPr>
          <w:rFonts w:ascii="Arial" w:hAnsi="Arial" w:cs="Arial"/>
          <w:sz w:val="22"/>
          <w:szCs w:val="22"/>
        </w:rPr>
        <w:t>As a secondary research project, no direct engagement with survivors was undertaken. This avoided potential traumatisation and safeguarded participant dignity. Ethical considerations included:</w:t>
      </w:r>
    </w:p>
    <w:p w14:paraId="1FF7F226" w14:textId="77777777" w:rsidR="0091446F" w:rsidRDefault="0091446F" w:rsidP="0091446F">
      <w:pPr>
        <w:pStyle w:val="ListParagraph"/>
        <w:numPr>
          <w:ilvl w:val="0"/>
          <w:numId w:val="6"/>
        </w:numPr>
        <w:spacing w:line="360" w:lineRule="auto"/>
        <w:rPr>
          <w:rFonts w:ascii="Arial" w:hAnsi="Arial" w:cs="Arial"/>
          <w:sz w:val="22"/>
          <w:szCs w:val="22"/>
        </w:rPr>
      </w:pPr>
      <w:r>
        <w:rPr>
          <w:rFonts w:ascii="Arial" w:hAnsi="Arial" w:cs="Arial"/>
          <w:sz w:val="22"/>
          <w:szCs w:val="22"/>
        </w:rPr>
        <w:t>Respectful language: avoiding sensationalist or stigmatising terminology.</w:t>
      </w:r>
    </w:p>
    <w:p w14:paraId="06116AB5" w14:textId="77777777" w:rsidR="0091446F" w:rsidRDefault="0091446F" w:rsidP="0091446F">
      <w:pPr>
        <w:pStyle w:val="ListParagraph"/>
        <w:numPr>
          <w:ilvl w:val="0"/>
          <w:numId w:val="6"/>
        </w:numPr>
        <w:spacing w:line="360" w:lineRule="auto"/>
        <w:rPr>
          <w:rFonts w:ascii="Arial" w:hAnsi="Arial" w:cs="Arial"/>
          <w:sz w:val="22"/>
          <w:szCs w:val="22"/>
        </w:rPr>
      </w:pPr>
      <w:r>
        <w:rPr>
          <w:rFonts w:ascii="Arial" w:hAnsi="Arial" w:cs="Arial"/>
          <w:sz w:val="22"/>
          <w:szCs w:val="22"/>
        </w:rPr>
        <w:t>Academic integrity: all sources cited using the UWTSD Harvard style.</w:t>
      </w:r>
    </w:p>
    <w:p w14:paraId="65375F7E" w14:textId="77777777" w:rsidR="0091446F" w:rsidRDefault="0091446F" w:rsidP="0091446F">
      <w:pPr>
        <w:pStyle w:val="ListParagraph"/>
        <w:numPr>
          <w:ilvl w:val="0"/>
          <w:numId w:val="6"/>
        </w:numPr>
        <w:spacing w:line="360" w:lineRule="auto"/>
        <w:rPr>
          <w:rFonts w:ascii="Arial" w:hAnsi="Arial" w:cs="Arial"/>
          <w:sz w:val="22"/>
          <w:szCs w:val="22"/>
        </w:rPr>
      </w:pPr>
      <w:r>
        <w:rPr>
          <w:rFonts w:ascii="Arial" w:hAnsi="Arial" w:cs="Arial"/>
          <w:sz w:val="22"/>
          <w:szCs w:val="22"/>
        </w:rPr>
        <w:t>Sensitivity to survivor experiences: prioritising dignity and agency in interpretation (Coho et al., 2019).</w:t>
      </w:r>
    </w:p>
    <w:p w14:paraId="18575864" w14:textId="77777777" w:rsidR="0091446F" w:rsidRDefault="0091446F" w:rsidP="0091446F">
      <w:pPr>
        <w:pStyle w:val="ListParagraph"/>
        <w:numPr>
          <w:ilvl w:val="0"/>
          <w:numId w:val="6"/>
        </w:numPr>
        <w:spacing w:line="360" w:lineRule="auto"/>
        <w:rPr>
          <w:rFonts w:ascii="Arial" w:hAnsi="Arial" w:cs="Arial"/>
          <w:sz w:val="22"/>
          <w:szCs w:val="22"/>
        </w:rPr>
      </w:pPr>
      <w:r>
        <w:rPr>
          <w:rFonts w:ascii="Arial" w:hAnsi="Arial" w:cs="Arial"/>
          <w:sz w:val="22"/>
          <w:szCs w:val="22"/>
        </w:rPr>
        <w:lastRenderedPageBreak/>
        <w:t>Trauma-informed lens: recognising that FGM is a form of gender-based violence with lifelong psychological consequences (NHS England, 2025).</w:t>
      </w:r>
    </w:p>
    <w:p w14:paraId="69E6B237" w14:textId="77777777" w:rsidR="0091446F" w:rsidRDefault="0091446F" w:rsidP="0091446F">
      <w:pPr>
        <w:pStyle w:val="Heading2"/>
      </w:pPr>
      <w:bookmarkStart w:id="11" w:name="_Toc216893502"/>
      <w:r>
        <w:t>3.8 Limitations</w:t>
      </w:r>
      <w:bookmarkEnd w:id="11"/>
    </w:p>
    <w:p w14:paraId="524FE988" w14:textId="77777777" w:rsidR="0091446F" w:rsidRDefault="0091446F" w:rsidP="0091446F">
      <w:pPr>
        <w:spacing w:line="360" w:lineRule="auto"/>
        <w:rPr>
          <w:rFonts w:ascii="Arial" w:hAnsi="Arial" w:cs="Arial"/>
          <w:sz w:val="22"/>
          <w:szCs w:val="22"/>
        </w:rPr>
      </w:pPr>
      <w:r>
        <w:rPr>
          <w:rFonts w:ascii="Arial" w:hAnsi="Arial" w:cs="Arial"/>
          <w:sz w:val="22"/>
          <w:szCs w:val="22"/>
        </w:rPr>
        <w:t>While secondary research offers ethical advantages, it also has limitations. Survivor experiences are mediated through published studies, which may not fully capture diversity or nuance. Many studies rely on small qualitative samples, limiting generalisability (Mulongo et al., 2014).</w:t>
      </w:r>
    </w:p>
    <w:p w14:paraId="5EBEE26B" w14:textId="77777777" w:rsidR="0091446F" w:rsidRDefault="0091446F" w:rsidP="0091446F">
      <w:pPr>
        <w:spacing w:line="360" w:lineRule="auto"/>
        <w:rPr>
          <w:rFonts w:ascii="Arial" w:hAnsi="Arial" w:cs="Arial"/>
          <w:sz w:val="22"/>
          <w:szCs w:val="22"/>
        </w:rPr>
      </w:pPr>
      <w:r>
        <w:rPr>
          <w:rFonts w:ascii="Arial" w:hAnsi="Arial" w:cs="Arial"/>
          <w:sz w:val="22"/>
          <w:szCs w:val="22"/>
        </w:rPr>
        <w:t>Furthermore, policy documents often present idealised frameworks rather than lived realities. For example, NHS England (2025) acknowledges the need for trauma</w:t>
      </w:r>
      <w:r>
        <w:rPr>
          <w:rFonts w:ascii="Cambria Math" w:hAnsi="Cambria Math" w:cs="Cambria Math"/>
          <w:sz w:val="22"/>
          <w:szCs w:val="22"/>
        </w:rPr>
        <w:noBreakHyphen/>
      </w:r>
      <w:r>
        <w:rPr>
          <w:rFonts w:ascii="Arial" w:hAnsi="Arial" w:cs="Arial"/>
          <w:sz w:val="22"/>
          <w:szCs w:val="22"/>
        </w:rPr>
        <w:t>informed care but does not provide detailed evidence of implementation. This highlights the gap between policy rhetoric and practice. As a result, several limitations were acknowledged:</w:t>
      </w:r>
    </w:p>
    <w:p w14:paraId="5C00FECF" w14:textId="77777777" w:rsidR="0091446F" w:rsidRDefault="0091446F" w:rsidP="0091446F">
      <w:pPr>
        <w:pStyle w:val="ListParagraph"/>
        <w:numPr>
          <w:ilvl w:val="0"/>
          <w:numId w:val="7"/>
        </w:numPr>
        <w:spacing w:line="360" w:lineRule="auto"/>
        <w:rPr>
          <w:rFonts w:ascii="Arial" w:hAnsi="Arial" w:cs="Arial"/>
          <w:sz w:val="22"/>
          <w:szCs w:val="22"/>
        </w:rPr>
      </w:pPr>
      <w:r>
        <w:rPr>
          <w:rFonts w:ascii="Arial" w:hAnsi="Arial" w:cs="Arial"/>
          <w:sz w:val="22"/>
          <w:szCs w:val="22"/>
        </w:rPr>
        <w:t>No direct engagement with survivors: reliance on published accounts may limit the depth of insight.</w:t>
      </w:r>
    </w:p>
    <w:p w14:paraId="2D3C202B" w14:textId="77777777" w:rsidR="0091446F" w:rsidRDefault="0091446F" w:rsidP="0091446F">
      <w:pPr>
        <w:pStyle w:val="ListParagraph"/>
        <w:numPr>
          <w:ilvl w:val="0"/>
          <w:numId w:val="7"/>
        </w:numPr>
        <w:spacing w:line="360" w:lineRule="auto"/>
        <w:rPr>
          <w:rFonts w:ascii="Arial" w:hAnsi="Arial" w:cs="Arial"/>
          <w:sz w:val="22"/>
          <w:szCs w:val="22"/>
        </w:rPr>
      </w:pPr>
      <w:r>
        <w:rPr>
          <w:rFonts w:ascii="Arial" w:hAnsi="Arial" w:cs="Arial"/>
          <w:sz w:val="22"/>
          <w:szCs w:val="22"/>
        </w:rPr>
        <w:t>Dependence on existing literature: research gaps, particularly longitudinal studies, constrain conclusions.</w:t>
      </w:r>
    </w:p>
    <w:p w14:paraId="76AAEAB5" w14:textId="77777777" w:rsidR="0091446F" w:rsidRDefault="0091446F" w:rsidP="0091446F">
      <w:pPr>
        <w:pStyle w:val="ListParagraph"/>
        <w:numPr>
          <w:ilvl w:val="0"/>
          <w:numId w:val="7"/>
        </w:numPr>
        <w:spacing w:line="360" w:lineRule="auto"/>
        <w:rPr>
          <w:rFonts w:ascii="Arial" w:hAnsi="Arial" w:cs="Arial"/>
          <w:sz w:val="22"/>
          <w:szCs w:val="22"/>
        </w:rPr>
      </w:pPr>
      <w:r>
        <w:rPr>
          <w:rFonts w:ascii="Arial" w:hAnsi="Arial" w:cs="Arial"/>
          <w:sz w:val="22"/>
          <w:szCs w:val="22"/>
        </w:rPr>
        <w:t>Small sample sizes: some qualitative studies involved fewer than 20 participants, limiting generalisability (National FGM Centre, 2019).</w:t>
      </w:r>
    </w:p>
    <w:p w14:paraId="15FB20D6" w14:textId="77777777" w:rsidR="0091446F" w:rsidRDefault="0091446F" w:rsidP="0091446F">
      <w:pPr>
        <w:pStyle w:val="ListParagraph"/>
        <w:numPr>
          <w:ilvl w:val="0"/>
          <w:numId w:val="7"/>
        </w:numPr>
        <w:spacing w:line="360" w:lineRule="auto"/>
        <w:rPr>
          <w:rFonts w:ascii="Arial" w:hAnsi="Arial" w:cs="Arial"/>
          <w:sz w:val="22"/>
          <w:szCs w:val="22"/>
        </w:rPr>
      </w:pPr>
      <w:r>
        <w:rPr>
          <w:rFonts w:ascii="Arial" w:hAnsi="Arial" w:cs="Arial"/>
          <w:sz w:val="22"/>
          <w:szCs w:val="22"/>
        </w:rPr>
        <w:t>Potential publication bias: studies highlighting severe trauma may be more likely to be published than those reporting resilience.</w:t>
      </w:r>
    </w:p>
    <w:p w14:paraId="5E27679D" w14:textId="77777777" w:rsidR="0091446F" w:rsidRDefault="0091446F" w:rsidP="0091446F">
      <w:pPr>
        <w:spacing w:line="360" w:lineRule="auto"/>
        <w:rPr>
          <w:rFonts w:ascii="Arial" w:hAnsi="Arial" w:cs="Arial"/>
          <w:sz w:val="22"/>
          <w:szCs w:val="22"/>
        </w:rPr>
      </w:pPr>
      <w:r>
        <w:rPr>
          <w:rFonts w:ascii="Arial" w:hAnsi="Arial" w:cs="Arial"/>
          <w:sz w:val="22"/>
          <w:szCs w:val="22"/>
        </w:rPr>
        <w:t>Finally, reliance on secondary data means that the dissertation cannot generate new empirical insights. Future research should prioritise survivor</w:t>
      </w:r>
      <w:r>
        <w:rPr>
          <w:rFonts w:ascii="Cambria Math" w:hAnsi="Cambria Math" w:cs="Cambria Math"/>
          <w:sz w:val="22"/>
          <w:szCs w:val="22"/>
        </w:rPr>
        <w:noBreakHyphen/>
      </w:r>
      <w:r>
        <w:rPr>
          <w:rFonts w:ascii="Arial" w:hAnsi="Arial" w:cs="Arial"/>
          <w:sz w:val="22"/>
          <w:szCs w:val="22"/>
        </w:rPr>
        <w:t>led methodologies, ensuring that survivors are co</w:t>
      </w:r>
      <w:r>
        <w:rPr>
          <w:rFonts w:ascii="Cambria Math" w:hAnsi="Cambria Math" w:cs="Cambria Math"/>
          <w:sz w:val="22"/>
          <w:szCs w:val="22"/>
        </w:rPr>
        <w:noBreakHyphen/>
      </w:r>
      <w:r>
        <w:rPr>
          <w:rFonts w:ascii="Arial" w:hAnsi="Arial" w:cs="Arial"/>
          <w:sz w:val="22"/>
          <w:szCs w:val="22"/>
        </w:rPr>
        <w:t>creators of knowledge rather than subjects of study.</w:t>
      </w:r>
    </w:p>
    <w:p w14:paraId="28BEE2E1" w14:textId="77777777" w:rsidR="0091446F" w:rsidRDefault="0091446F" w:rsidP="0091446F">
      <w:pPr>
        <w:pStyle w:val="Heading2"/>
      </w:pPr>
      <w:bookmarkStart w:id="12" w:name="_Toc216893503"/>
      <w:r>
        <w:t>3.9 Conclusion</w:t>
      </w:r>
      <w:bookmarkEnd w:id="12"/>
    </w:p>
    <w:p w14:paraId="3E129A58" w14:textId="77777777" w:rsidR="0091446F" w:rsidRDefault="0091446F" w:rsidP="0091446F">
      <w:pPr>
        <w:spacing w:line="360" w:lineRule="auto"/>
        <w:rPr>
          <w:rFonts w:ascii="Arial" w:hAnsi="Arial" w:cs="Arial"/>
          <w:sz w:val="22"/>
          <w:szCs w:val="22"/>
        </w:rPr>
      </w:pPr>
      <w:r>
        <w:rPr>
          <w:rFonts w:ascii="Arial" w:hAnsi="Arial" w:cs="Arial"/>
          <w:sz w:val="22"/>
          <w:szCs w:val="22"/>
        </w:rPr>
        <w:t>This chapter has outlined the methodological approach, search strategy, inclusion/exclusion criteria, coding process, CRAAP evaluation, ethical considerations, and limitations. By adopting a qualitative secondary research design, the dissertation ensures a robust and ethically sound exploration of the mental health consequences of FGM among UK survivors. Thematic analysis of the selected literature will be presented in Chapter 4, focusing on psychological outcomes, barriers to care, and policy implications.</w:t>
      </w:r>
    </w:p>
    <w:p w14:paraId="39DADC03" w14:textId="77777777" w:rsidR="00675AC4" w:rsidRDefault="00675AC4"/>
    <w:sectPr w:rsidR="00675A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86468"/>
    <w:multiLevelType w:val="hybridMultilevel"/>
    <w:tmpl w:val="8508E6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A960842"/>
    <w:multiLevelType w:val="hybridMultilevel"/>
    <w:tmpl w:val="FF889A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0902059"/>
    <w:multiLevelType w:val="hybridMultilevel"/>
    <w:tmpl w:val="327E8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CFD485D"/>
    <w:multiLevelType w:val="hybridMultilevel"/>
    <w:tmpl w:val="C622BF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4E10FE6"/>
    <w:multiLevelType w:val="hybridMultilevel"/>
    <w:tmpl w:val="2F1A85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A176A10"/>
    <w:multiLevelType w:val="hybridMultilevel"/>
    <w:tmpl w:val="890CFA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A12560D"/>
    <w:multiLevelType w:val="hybridMultilevel"/>
    <w:tmpl w:val="D36C67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798332328">
    <w:abstractNumId w:val="4"/>
    <w:lvlOverride w:ilvl="0"/>
    <w:lvlOverride w:ilvl="1"/>
    <w:lvlOverride w:ilvl="2"/>
    <w:lvlOverride w:ilvl="3"/>
    <w:lvlOverride w:ilvl="4"/>
    <w:lvlOverride w:ilvl="5"/>
    <w:lvlOverride w:ilvl="6"/>
    <w:lvlOverride w:ilvl="7"/>
    <w:lvlOverride w:ilvl="8"/>
  </w:num>
  <w:num w:numId="2" w16cid:durableId="1414595043">
    <w:abstractNumId w:val="6"/>
    <w:lvlOverride w:ilvl="0"/>
    <w:lvlOverride w:ilvl="1"/>
    <w:lvlOverride w:ilvl="2"/>
    <w:lvlOverride w:ilvl="3"/>
    <w:lvlOverride w:ilvl="4"/>
    <w:lvlOverride w:ilvl="5"/>
    <w:lvlOverride w:ilvl="6"/>
    <w:lvlOverride w:ilvl="7"/>
    <w:lvlOverride w:ilvl="8"/>
  </w:num>
  <w:num w:numId="3" w16cid:durableId="2010280809">
    <w:abstractNumId w:val="0"/>
    <w:lvlOverride w:ilvl="0"/>
    <w:lvlOverride w:ilvl="1"/>
    <w:lvlOverride w:ilvl="2"/>
    <w:lvlOverride w:ilvl="3"/>
    <w:lvlOverride w:ilvl="4"/>
    <w:lvlOverride w:ilvl="5"/>
    <w:lvlOverride w:ilvl="6"/>
    <w:lvlOverride w:ilvl="7"/>
    <w:lvlOverride w:ilvl="8"/>
  </w:num>
  <w:num w:numId="4" w16cid:durableId="40789914">
    <w:abstractNumId w:val="3"/>
    <w:lvlOverride w:ilvl="0"/>
    <w:lvlOverride w:ilvl="1"/>
    <w:lvlOverride w:ilvl="2"/>
    <w:lvlOverride w:ilvl="3"/>
    <w:lvlOverride w:ilvl="4"/>
    <w:lvlOverride w:ilvl="5"/>
    <w:lvlOverride w:ilvl="6"/>
    <w:lvlOverride w:ilvl="7"/>
    <w:lvlOverride w:ilvl="8"/>
  </w:num>
  <w:num w:numId="5" w16cid:durableId="1023824717">
    <w:abstractNumId w:val="2"/>
    <w:lvlOverride w:ilvl="0"/>
    <w:lvlOverride w:ilvl="1"/>
    <w:lvlOverride w:ilvl="2"/>
    <w:lvlOverride w:ilvl="3"/>
    <w:lvlOverride w:ilvl="4"/>
    <w:lvlOverride w:ilvl="5"/>
    <w:lvlOverride w:ilvl="6"/>
    <w:lvlOverride w:ilvl="7"/>
    <w:lvlOverride w:ilvl="8"/>
  </w:num>
  <w:num w:numId="6" w16cid:durableId="351734122">
    <w:abstractNumId w:val="5"/>
    <w:lvlOverride w:ilvl="0"/>
    <w:lvlOverride w:ilvl="1"/>
    <w:lvlOverride w:ilvl="2"/>
    <w:lvlOverride w:ilvl="3"/>
    <w:lvlOverride w:ilvl="4"/>
    <w:lvlOverride w:ilvl="5"/>
    <w:lvlOverride w:ilvl="6"/>
    <w:lvlOverride w:ilvl="7"/>
    <w:lvlOverride w:ilvl="8"/>
  </w:num>
  <w:num w:numId="7" w16cid:durableId="149359532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46F"/>
    <w:rsid w:val="00505B9D"/>
    <w:rsid w:val="00675AC4"/>
    <w:rsid w:val="0091446F"/>
    <w:rsid w:val="00B832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71E27"/>
  <w15:chartTrackingRefBased/>
  <w15:docId w15:val="{2ECACD41-9851-488F-A6CF-40FC9C77D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46F"/>
    <w:pPr>
      <w:spacing w:line="276" w:lineRule="auto"/>
    </w:pPr>
  </w:style>
  <w:style w:type="paragraph" w:styleId="Heading1">
    <w:name w:val="heading 1"/>
    <w:basedOn w:val="Normal"/>
    <w:next w:val="Normal"/>
    <w:link w:val="Heading1Char"/>
    <w:uiPriority w:val="9"/>
    <w:qFormat/>
    <w:rsid w:val="009144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44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44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44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44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44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44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44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44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44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44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44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44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44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44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44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44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446F"/>
    <w:rPr>
      <w:rFonts w:eastAsiaTheme="majorEastAsia" w:cstheme="majorBidi"/>
      <w:color w:val="272727" w:themeColor="text1" w:themeTint="D8"/>
    </w:rPr>
  </w:style>
  <w:style w:type="paragraph" w:styleId="Title">
    <w:name w:val="Title"/>
    <w:basedOn w:val="Normal"/>
    <w:next w:val="Normal"/>
    <w:link w:val="TitleChar"/>
    <w:uiPriority w:val="10"/>
    <w:qFormat/>
    <w:rsid w:val="009144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44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44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44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446F"/>
    <w:pPr>
      <w:spacing w:before="160"/>
      <w:jc w:val="center"/>
    </w:pPr>
    <w:rPr>
      <w:i/>
      <w:iCs/>
      <w:color w:val="404040" w:themeColor="text1" w:themeTint="BF"/>
    </w:rPr>
  </w:style>
  <w:style w:type="character" w:customStyle="1" w:styleId="QuoteChar">
    <w:name w:val="Quote Char"/>
    <w:basedOn w:val="DefaultParagraphFont"/>
    <w:link w:val="Quote"/>
    <w:uiPriority w:val="29"/>
    <w:rsid w:val="0091446F"/>
    <w:rPr>
      <w:i/>
      <w:iCs/>
      <w:color w:val="404040" w:themeColor="text1" w:themeTint="BF"/>
    </w:rPr>
  </w:style>
  <w:style w:type="paragraph" w:styleId="ListParagraph">
    <w:name w:val="List Paragraph"/>
    <w:basedOn w:val="Normal"/>
    <w:uiPriority w:val="34"/>
    <w:qFormat/>
    <w:rsid w:val="0091446F"/>
    <w:pPr>
      <w:ind w:left="720"/>
      <w:contextualSpacing/>
    </w:pPr>
  </w:style>
  <w:style w:type="character" w:styleId="IntenseEmphasis">
    <w:name w:val="Intense Emphasis"/>
    <w:basedOn w:val="DefaultParagraphFont"/>
    <w:uiPriority w:val="21"/>
    <w:qFormat/>
    <w:rsid w:val="0091446F"/>
    <w:rPr>
      <w:i/>
      <w:iCs/>
      <w:color w:val="0F4761" w:themeColor="accent1" w:themeShade="BF"/>
    </w:rPr>
  </w:style>
  <w:style w:type="paragraph" w:styleId="IntenseQuote">
    <w:name w:val="Intense Quote"/>
    <w:basedOn w:val="Normal"/>
    <w:next w:val="Normal"/>
    <w:link w:val="IntenseQuoteChar"/>
    <w:uiPriority w:val="30"/>
    <w:qFormat/>
    <w:rsid w:val="009144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446F"/>
    <w:rPr>
      <w:i/>
      <w:iCs/>
      <w:color w:val="0F4761" w:themeColor="accent1" w:themeShade="BF"/>
    </w:rPr>
  </w:style>
  <w:style w:type="character" w:styleId="IntenseReference">
    <w:name w:val="Intense Reference"/>
    <w:basedOn w:val="DefaultParagraphFont"/>
    <w:uiPriority w:val="32"/>
    <w:qFormat/>
    <w:rsid w:val="0091446F"/>
    <w:rPr>
      <w:b/>
      <w:bCs/>
      <w:smallCaps/>
      <w:color w:val="0F4761" w:themeColor="accent1" w:themeShade="BF"/>
      <w:spacing w:val="5"/>
    </w:rPr>
  </w:style>
  <w:style w:type="table" w:styleId="TableGrid">
    <w:name w:val="Table Grid"/>
    <w:basedOn w:val="TableNormal"/>
    <w:uiPriority w:val="39"/>
    <w:rsid w:val="0091446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1707</Words>
  <Characters>9730</Characters>
  <Application>Microsoft Office Word</Application>
  <DocSecurity>0</DocSecurity>
  <Lines>81</Lines>
  <Paragraphs>22</Paragraphs>
  <ScaleCrop>false</ScaleCrop>
  <Company/>
  <LinksUpToDate>false</LinksUpToDate>
  <CharactersWithSpaces>11415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Misbah Khan</dc:creator>
  <cp:keywords/>
  <dc:description/>
  <cp:lastModifiedBy>Misbah Khan</cp:lastModifiedBy>
  <cp:revision>1</cp:revision>
  <dcterms:created xsi:type="dcterms:W3CDTF">2026-02-20T19:52:00Z</dcterms:created>
  <dcterms:modified xsi:type="dcterms:W3CDTF">2026-02-20T19:53:00Z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a9b410ec-339a-4ce0-8bd7-daec43f722bc</vt:lpwstr>
  </property>
</Properties>
</file>