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52D62C" w14:textId="2A8DEFEB" w:rsidR="00E17179" w:rsidRDefault="003B6C4A">
      <w:pPr>
        <w:rPr>
          <w:rFonts w:ascii="Broadway" w:hAnsi="Broadway"/>
          <w:b/>
          <w:bCs/>
          <w:sz w:val="72"/>
          <w:szCs w:val="72"/>
        </w:rPr>
      </w:pPr>
      <w:r>
        <w:rPr>
          <w:rFonts w:ascii="Broadway" w:hAnsi="Broadway"/>
          <w:b/>
          <w:bCs/>
          <w:sz w:val="72"/>
          <w:szCs w:val="72"/>
        </w:rPr>
        <w:t xml:space="preserve">    </w:t>
      </w:r>
      <w:r w:rsidRPr="003B6C4A">
        <w:rPr>
          <w:rFonts w:ascii="Broadway" w:hAnsi="Broadway"/>
          <w:b/>
          <w:bCs/>
          <w:sz w:val="72"/>
          <w:szCs w:val="72"/>
        </w:rPr>
        <w:t>Corporate Finance</w:t>
      </w:r>
    </w:p>
    <w:p w14:paraId="1ECD01A2" w14:textId="77777777" w:rsidR="003B6C4A" w:rsidRDefault="003B6C4A">
      <w:pPr>
        <w:rPr>
          <w:rFonts w:ascii="Broadway" w:hAnsi="Broadway"/>
          <w:b/>
          <w:bCs/>
          <w:sz w:val="72"/>
          <w:szCs w:val="72"/>
        </w:rPr>
      </w:pPr>
    </w:p>
    <w:p w14:paraId="3D56D7AE" w14:textId="77777777" w:rsidR="003B6C4A" w:rsidRDefault="003B6C4A">
      <w:pPr>
        <w:rPr>
          <w:rFonts w:ascii="Broadway" w:hAnsi="Broadway"/>
          <w:b/>
          <w:bCs/>
          <w:sz w:val="72"/>
          <w:szCs w:val="72"/>
        </w:rPr>
      </w:pPr>
    </w:p>
    <w:p w14:paraId="6B007249" w14:textId="264DEC57" w:rsidR="003B6C4A" w:rsidRDefault="003B6C4A">
      <w:pPr>
        <w:rPr>
          <w:rFonts w:ascii="Broadway" w:hAnsi="Broadway"/>
          <w:b/>
          <w:bCs/>
          <w:sz w:val="72"/>
          <w:szCs w:val="72"/>
        </w:rPr>
      </w:pPr>
      <w:r>
        <w:rPr>
          <w:rFonts w:ascii="Broadway" w:hAnsi="Broadway"/>
          <w:b/>
          <w:bCs/>
          <w:sz w:val="72"/>
          <w:szCs w:val="72"/>
        </w:rPr>
        <w:t xml:space="preserve">         Assignment-1</w:t>
      </w:r>
    </w:p>
    <w:p w14:paraId="767CCE4B" w14:textId="77777777" w:rsidR="003B6C4A" w:rsidRDefault="003B6C4A">
      <w:pPr>
        <w:rPr>
          <w:rFonts w:ascii="Broadway" w:hAnsi="Broadway"/>
          <w:b/>
          <w:bCs/>
          <w:sz w:val="72"/>
          <w:szCs w:val="72"/>
        </w:rPr>
      </w:pPr>
    </w:p>
    <w:p w14:paraId="6A6FB020" w14:textId="77777777" w:rsidR="003B6C4A" w:rsidRDefault="003B6C4A">
      <w:pPr>
        <w:rPr>
          <w:rFonts w:ascii="Broadway" w:hAnsi="Broadway"/>
          <w:b/>
          <w:bCs/>
          <w:sz w:val="72"/>
          <w:szCs w:val="72"/>
        </w:rPr>
      </w:pPr>
    </w:p>
    <w:p w14:paraId="68A085A1" w14:textId="77777777" w:rsidR="003B6C4A" w:rsidRDefault="003B6C4A">
      <w:pPr>
        <w:rPr>
          <w:rFonts w:ascii="Broadway" w:hAnsi="Broadway"/>
          <w:b/>
          <w:bCs/>
          <w:sz w:val="72"/>
          <w:szCs w:val="72"/>
        </w:rPr>
      </w:pPr>
    </w:p>
    <w:p w14:paraId="5ADD24A8" w14:textId="77777777" w:rsidR="003B6C4A" w:rsidRDefault="003B6C4A">
      <w:pPr>
        <w:rPr>
          <w:rFonts w:ascii="Broadway" w:hAnsi="Broadway"/>
          <w:b/>
          <w:bCs/>
          <w:sz w:val="72"/>
          <w:szCs w:val="72"/>
        </w:rPr>
      </w:pPr>
    </w:p>
    <w:p w14:paraId="15DDDA41" w14:textId="5DF7BC33" w:rsidR="003B6C4A" w:rsidRDefault="003B6C4A">
      <w:pPr>
        <w:rPr>
          <w:rFonts w:ascii="Bodoni MT Black" w:hAnsi="Bodoni MT Black"/>
          <w:b/>
          <w:bCs/>
          <w:sz w:val="40"/>
          <w:szCs w:val="40"/>
        </w:rPr>
      </w:pPr>
      <w:r w:rsidRPr="003B6C4A">
        <w:rPr>
          <w:rFonts w:ascii="Bodoni MT Black" w:hAnsi="Bodoni MT Black"/>
          <w:b/>
          <w:bCs/>
          <w:sz w:val="40"/>
          <w:szCs w:val="40"/>
        </w:rPr>
        <w:t>Student’s Name: Bikash Roy</w:t>
      </w:r>
    </w:p>
    <w:p w14:paraId="5349FF86" w14:textId="64A0F8BE" w:rsidR="003B6C4A" w:rsidRDefault="003B6C4A">
      <w:pPr>
        <w:rPr>
          <w:rFonts w:ascii="Bodoni MT Black" w:hAnsi="Bodoni MT Black"/>
          <w:b/>
          <w:bCs/>
          <w:sz w:val="40"/>
          <w:szCs w:val="40"/>
        </w:rPr>
      </w:pPr>
      <w:r>
        <w:rPr>
          <w:rFonts w:ascii="Bodoni MT Black" w:hAnsi="Bodoni MT Black"/>
          <w:b/>
          <w:bCs/>
          <w:sz w:val="40"/>
          <w:szCs w:val="40"/>
        </w:rPr>
        <w:t>Student ID: 2010168</w:t>
      </w:r>
    </w:p>
    <w:p w14:paraId="41DC5D46" w14:textId="4B9F4EE1" w:rsidR="003B6C4A" w:rsidRDefault="003B6C4A">
      <w:pPr>
        <w:rPr>
          <w:rFonts w:ascii="Bodoni MT Black" w:hAnsi="Bodoni MT Black"/>
          <w:b/>
          <w:bCs/>
          <w:sz w:val="40"/>
          <w:szCs w:val="40"/>
        </w:rPr>
      </w:pPr>
      <w:r>
        <w:rPr>
          <w:rFonts w:ascii="Bodoni MT Black" w:hAnsi="Bodoni MT Black"/>
          <w:b/>
          <w:bCs/>
          <w:sz w:val="40"/>
          <w:szCs w:val="40"/>
        </w:rPr>
        <w:t>Moodle Code: LCMB7005</w:t>
      </w:r>
    </w:p>
    <w:p w14:paraId="163D67E9" w14:textId="1F99F49A" w:rsidR="003B6C4A" w:rsidRDefault="003B6C4A">
      <w:pPr>
        <w:rPr>
          <w:rFonts w:ascii="Bodoni MT Black" w:hAnsi="Bodoni MT Black"/>
          <w:b/>
          <w:bCs/>
          <w:sz w:val="40"/>
          <w:szCs w:val="40"/>
        </w:rPr>
      </w:pPr>
      <w:r>
        <w:rPr>
          <w:rFonts w:ascii="Bodoni MT Black" w:hAnsi="Bodoni MT Black"/>
          <w:b/>
          <w:bCs/>
          <w:sz w:val="40"/>
          <w:szCs w:val="40"/>
        </w:rPr>
        <w:t>Term: 2</w:t>
      </w:r>
    </w:p>
    <w:p w14:paraId="4B910112" w14:textId="791AF82C" w:rsidR="003B6C4A" w:rsidRDefault="003B6C4A">
      <w:pPr>
        <w:rPr>
          <w:rFonts w:ascii="Bodoni MT Black" w:hAnsi="Bodoni MT Black"/>
          <w:b/>
          <w:bCs/>
          <w:sz w:val="40"/>
          <w:szCs w:val="40"/>
        </w:rPr>
      </w:pPr>
      <w:r>
        <w:rPr>
          <w:rFonts w:ascii="Bodoni MT Black" w:hAnsi="Bodoni MT Black"/>
          <w:b/>
          <w:bCs/>
          <w:sz w:val="40"/>
          <w:szCs w:val="40"/>
        </w:rPr>
        <w:t>Lecturer’s Name: Mr Jia Miao</w:t>
      </w:r>
    </w:p>
    <w:p w14:paraId="20575B64" w14:textId="77777777" w:rsidR="00BC1EAB" w:rsidRDefault="00BC1EAB">
      <w:pPr>
        <w:rPr>
          <w:rFonts w:ascii="Bodoni MT Black" w:hAnsi="Bodoni MT Black"/>
          <w:b/>
          <w:bCs/>
          <w:sz w:val="40"/>
          <w:szCs w:val="40"/>
        </w:rPr>
      </w:pPr>
    </w:p>
    <w:p w14:paraId="594CE73F" w14:textId="77777777" w:rsidR="00BC1EAB" w:rsidRDefault="00BC1EAB">
      <w:pPr>
        <w:rPr>
          <w:rFonts w:ascii="Bodoni MT Black" w:hAnsi="Bodoni MT Black"/>
          <w:b/>
          <w:bCs/>
          <w:sz w:val="40"/>
          <w:szCs w:val="40"/>
        </w:rPr>
      </w:pPr>
    </w:p>
    <w:p w14:paraId="7FF5DD8C" w14:textId="77777777" w:rsidR="00BC1EAB" w:rsidRDefault="00BC1EAB">
      <w:pPr>
        <w:rPr>
          <w:rFonts w:ascii="Bodoni MT Black" w:hAnsi="Bodoni MT Black"/>
          <w:b/>
          <w:bCs/>
          <w:sz w:val="40"/>
          <w:szCs w:val="40"/>
        </w:rPr>
      </w:pPr>
    </w:p>
    <w:p w14:paraId="5FBD787E" w14:textId="49F11E07" w:rsidR="00BC1EAB" w:rsidRPr="00F10A9D" w:rsidRDefault="00BC1EAB">
      <w:pPr>
        <w:rPr>
          <w:rStyle w:val="SubtleEmphasis"/>
        </w:rPr>
      </w:pPr>
      <w:r w:rsidRPr="00F93D9D">
        <w:rPr>
          <w:noProof/>
          <w:sz w:val="28"/>
          <w:szCs w:val="28"/>
        </w:rPr>
        <w:lastRenderedPageBreak/>
        <w:drawing>
          <wp:inline distT="0" distB="0" distL="0" distR="0" wp14:anchorId="4219E0C3" wp14:editId="453A50C7">
            <wp:extent cx="5781675" cy="1202499"/>
            <wp:effectExtent l="0" t="0" r="0" b="0"/>
            <wp:docPr id="1" name="Picture 1" descr="Rightmove to highlight property ten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htmove to highlight property tenur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9139" cy="1206131"/>
                    </a:xfrm>
                    <a:prstGeom prst="rect">
                      <a:avLst/>
                    </a:prstGeom>
                    <a:noFill/>
                    <a:ln>
                      <a:noFill/>
                    </a:ln>
                  </pic:spPr>
                </pic:pic>
              </a:graphicData>
            </a:graphic>
          </wp:inline>
        </w:drawing>
      </w:r>
    </w:p>
    <w:p w14:paraId="20536244" w14:textId="11492A48" w:rsidR="001C2A87" w:rsidRPr="006773C5" w:rsidRDefault="000B4D1E" w:rsidP="00C9451D">
      <w:pPr>
        <w:rPr>
          <w:rFonts w:ascii="Times New Roman" w:eastAsia="Times New Roman" w:hAnsi="Times New Roman" w:cs="Times New Roman"/>
          <w:kern w:val="0"/>
          <w:sz w:val="24"/>
          <w:szCs w:val="24"/>
          <w:lang w:eastAsia="en-GB"/>
          <w14:ligatures w14:val="none"/>
        </w:rPr>
      </w:pPr>
      <w:r w:rsidRPr="00FE527F">
        <w:rPr>
          <w:b/>
          <w:bCs/>
          <w:sz w:val="28"/>
          <w:szCs w:val="28"/>
        </w:rPr>
        <w:t xml:space="preserve">Executive </w:t>
      </w:r>
      <w:r w:rsidR="00180B36" w:rsidRPr="00FE527F">
        <w:rPr>
          <w:b/>
          <w:bCs/>
          <w:sz w:val="28"/>
          <w:szCs w:val="28"/>
        </w:rPr>
        <w:t>Summary:</w:t>
      </w:r>
      <w:r w:rsidR="00180B36" w:rsidRPr="00785078">
        <w:t xml:space="preserve"> </w:t>
      </w:r>
      <w:r w:rsidR="000026EC" w:rsidRPr="000026EC">
        <w:rPr>
          <w:rFonts w:eastAsia="Times New Roman" w:cs="Times New Roman"/>
          <w:b/>
          <w:bCs/>
          <w:kern w:val="0"/>
          <w:lang w:eastAsia="en-GB"/>
          <w14:ligatures w14:val="none"/>
        </w:rPr>
        <w:t xml:space="preserve">We are required to select a non-financial publicly traded company whose shares are traded on the London Stock Exchange. Next, prepare a report or reports that provide an analysis of the company's financial performance and cover financial statements for the previous five years. Rightmove plc UK and </w:t>
      </w:r>
      <w:proofErr w:type="spellStart"/>
      <w:r w:rsidR="000026EC" w:rsidRPr="000026EC">
        <w:rPr>
          <w:rFonts w:eastAsia="Times New Roman" w:cs="Times New Roman"/>
          <w:b/>
          <w:bCs/>
          <w:kern w:val="0"/>
          <w:lang w:eastAsia="en-GB"/>
          <w14:ligatures w14:val="none"/>
        </w:rPr>
        <w:t>OnTheMarket</w:t>
      </w:r>
      <w:proofErr w:type="spellEnd"/>
      <w:r w:rsidR="000026EC" w:rsidRPr="000026EC">
        <w:rPr>
          <w:rFonts w:eastAsia="Times New Roman" w:cs="Times New Roman"/>
          <w:b/>
          <w:bCs/>
          <w:kern w:val="0"/>
          <w:lang w:eastAsia="en-GB"/>
          <w14:ligatures w14:val="none"/>
        </w:rPr>
        <w:t xml:space="preserve"> are the companies I have selected for comparison.</w:t>
      </w:r>
    </w:p>
    <w:sdt>
      <w:sdtPr>
        <w:rPr>
          <w:rFonts w:asciiTheme="minorHAnsi" w:eastAsiaTheme="minorHAnsi" w:hAnsiTheme="minorHAnsi" w:cstheme="minorBidi"/>
          <w:color w:val="auto"/>
          <w:kern w:val="2"/>
          <w:sz w:val="22"/>
          <w:szCs w:val="22"/>
          <w:lang w:eastAsia="en-US"/>
          <w14:ligatures w14:val="standardContextual"/>
        </w:rPr>
        <w:id w:val="-118989881"/>
        <w:docPartObj>
          <w:docPartGallery w:val="Table of Contents"/>
          <w:docPartUnique/>
        </w:docPartObj>
      </w:sdtPr>
      <w:sdtEndPr>
        <w:rPr>
          <w:b/>
          <w:bCs/>
        </w:rPr>
      </w:sdtEndPr>
      <w:sdtContent>
        <w:p w14:paraId="6386D66B" w14:textId="264EB047" w:rsidR="00705D2B" w:rsidRDefault="00705D2B">
          <w:pPr>
            <w:pStyle w:val="TOCHeading"/>
          </w:pPr>
          <w:r>
            <w:t>Contents</w:t>
          </w:r>
        </w:p>
        <w:p w14:paraId="253C5941" w14:textId="25FBB051" w:rsidR="00DB34F4" w:rsidRDefault="00705D2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5049431" w:history="1">
            <w:r w:rsidR="00DB34F4" w:rsidRPr="002705E1">
              <w:rPr>
                <w:rStyle w:val="Hyperlink"/>
                <w:noProof/>
              </w:rPr>
              <w:t>1.Introduction:</w:t>
            </w:r>
            <w:r w:rsidR="00DB34F4">
              <w:rPr>
                <w:noProof/>
                <w:webHidden/>
              </w:rPr>
              <w:tab/>
            </w:r>
            <w:r w:rsidR="00DB34F4">
              <w:rPr>
                <w:noProof/>
                <w:webHidden/>
              </w:rPr>
              <w:fldChar w:fldCharType="begin"/>
            </w:r>
            <w:r w:rsidR="00DB34F4">
              <w:rPr>
                <w:noProof/>
                <w:webHidden/>
              </w:rPr>
              <w:instrText xml:space="preserve"> PAGEREF _Toc175049431 \h </w:instrText>
            </w:r>
            <w:r w:rsidR="00DB34F4">
              <w:rPr>
                <w:noProof/>
                <w:webHidden/>
              </w:rPr>
            </w:r>
            <w:r w:rsidR="00DB34F4">
              <w:rPr>
                <w:noProof/>
                <w:webHidden/>
              </w:rPr>
              <w:fldChar w:fldCharType="separate"/>
            </w:r>
            <w:r w:rsidR="00DB34F4">
              <w:rPr>
                <w:noProof/>
                <w:webHidden/>
              </w:rPr>
              <w:t>3</w:t>
            </w:r>
            <w:r w:rsidR="00DB34F4">
              <w:rPr>
                <w:noProof/>
                <w:webHidden/>
              </w:rPr>
              <w:fldChar w:fldCharType="end"/>
            </w:r>
          </w:hyperlink>
        </w:p>
        <w:p w14:paraId="1738E975" w14:textId="48B4285F" w:rsidR="00DB34F4" w:rsidRDefault="00DB34F4">
          <w:pPr>
            <w:pStyle w:val="TOC1"/>
            <w:tabs>
              <w:tab w:val="right" w:leader="dot" w:pos="9016"/>
            </w:tabs>
            <w:rPr>
              <w:rFonts w:eastAsiaTheme="minorEastAsia"/>
              <w:noProof/>
              <w:sz w:val="24"/>
              <w:szCs w:val="24"/>
              <w:lang w:eastAsia="en-GB"/>
            </w:rPr>
          </w:pPr>
          <w:hyperlink w:anchor="_Toc175049432" w:history="1">
            <w:r w:rsidRPr="002705E1">
              <w:rPr>
                <w:rStyle w:val="Hyperlink"/>
                <w:noProof/>
              </w:rPr>
              <w:t>2. Financial performance and alternative capital structure considerations:</w:t>
            </w:r>
            <w:r>
              <w:rPr>
                <w:noProof/>
                <w:webHidden/>
              </w:rPr>
              <w:tab/>
            </w:r>
            <w:r>
              <w:rPr>
                <w:noProof/>
                <w:webHidden/>
              </w:rPr>
              <w:fldChar w:fldCharType="begin"/>
            </w:r>
            <w:r>
              <w:rPr>
                <w:noProof/>
                <w:webHidden/>
              </w:rPr>
              <w:instrText xml:space="preserve"> PAGEREF _Toc175049432 \h </w:instrText>
            </w:r>
            <w:r>
              <w:rPr>
                <w:noProof/>
                <w:webHidden/>
              </w:rPr>
            </w:r>
            <w:r>
              <w:rPr>
                <w:noProof/>
                <w:webHidden/>
              </w:rPr>
              <w:fldChar w:fldCharType="separate"/>
            </w:r>
            <w:r>
              <w:rPr>
                <w:noProof/>
                <w:webHidden/>
              </w:rPr>
              <w:t>3</w:t>
            </w:r>
            <w:r>
              <w:rPr>
                <w:noProof/>
                <w:webHidden/>
              </w:rPr>
              <w:fldChar w:fldCharType="end"/>
            </w:r>
          </w:hyperlink>
        </w:p>
        <w:p w14:paraId="7D60F4FB" w14:textId="78519009" w:rsidR="00DB34F4" w:rsidRDefault="00DB34F4">
          <w:pPr>
            <w:pStyle w:val="TOC2"/>
            <w:tabs>
              <w:tab w:val="right" w:leader="dot" w:pos="9016"/>
            </w:tabs>
            <w:rPr>
              <w:rFonts w:eastAsiaTheme="minorEastAsia"/>
              <w:noProof/>
              <w:sz w:val="24"/>
              <w:szCs w:val="24"/>
              <w:lang w:eastAsia="en-GB"/>
            </w:rPr>
          </w:pPr>
          <w:hyperlink w:anchor="_Toc175049433" w:history="1">
            <w:r w:rsidRPr="002705E1">
              <w:rPr>
                <w:rStyle w:val="Hyperlink"/>
                <w:noProof/>
              </w:rPr>
              <w:t>2,1. Rightmove’s Financial Performance:</w:t>
            </w:r>
            <w:r>
              <w:rPr>
                <w:noProof/>
                <w:webHidden/>
              </w:rPr>
              <w:tab/>
            </w:r>
            <w:r>
              <w:rPr>
                <w:noProof/>
                <w:webHidden/>
              </w:rPr>
              <w:fldChar w:fldCharType="begin"/>
            </w:r>
            <w:r>
              <w:rPr>
                <w:noProof/>
                <w:webHidden/>
              </w:rPr>
              <w:instrText xml:space="preserve"> PAGEREF _Toc175049433 \h </w:instrText>
            </w:r>
            <w:r>
              <w:rPr>
                <w:noProof/>
                <w:webHidden/>
              </w:rPr>
            </w:r>
            <w:r>
              <w:rPr>
                <w:noProof/>
                <w:webHidden/>
              </w:rPr>
              <w:fldChar w:fldCharType="separate"/>
            </w:r>
            <w:r>
              <w:rPr>
                <w:noProof/>
                <w:webHidden/>
              </w:rPr>
              <w:t>4</w:t>
            </w:r>
            <w:r>
              <w:rPr>
                <w:noProof/>
                <w:webHidden/>
              </w:rPr>
              <w:fldChar w:fldCharType="end"/>
            </w:r>
          </w:hyperlink>
        </w:p>
        <w:p w14:paraId="0BA34C54" w14:textId="33E60368" w:rsidR="00DB34F4" w:rsidRDefault="00DB34F4">
          <w:pPr>
            <w:pStyle w:val="TOC2"/>
            <w:tabs>
              <w:tab w:val="right" w:leader="dot" w:pos="9016"/>
            </w:tabs>
            <w:rPr>
              <w:rFonts w:eastAsiaTheme="minorEastAsia"/>
              <w:noProof/>
              <w:sz w:val="24"/>
              <w:szCs w:val="24"/>
              <w:lang w:eastAsia="en-GB"/>
            </w:rPr>
          </w:pPr>
          <w:hyperlink w:anchor="_Toc175049434" w:history="1">
            <w:r w:rsidRPr="002705E1">
              <w:rPr>
                <w:rStyle w:val="Hyperlink"/>
                <w:noProof/>
              </w:rPr>
              <w:t>2,2. Alternative Capital Structure Theories:</w:t>
            </w:r>
            <w:r>
              <w:rPr>
                <w:noProof/>
                <w:webHidden/>
              </w:rPr>
              <w:tab/>
            </w:r>
            <w:r>
              <w:rPr>
                <w:noProof/>
                <w:webHidden/>
              </w:rPr>
              <w:fldChar w:fldCharType="begin"/>
            </w:r>
            <w:r>
              <w:rPr>
                <w:noProof/>
                <w:webHidden/>
              </w:rPr>
              <w:instrText xml:space="preserve"> PAGEREF _Toc175049434 \h </w:instrText>
            </w:r>
            <w:r>
              <w:rPr>
                <w:noProof/>
                <w:webHidden/>
              </w:rPr>
            </w:r>
            <w:r>
              <w:rPr>
                <w:noProof/>
                <w:webHidden/>
              </w:rPr>
              <w:fldChar w:fldCharType="separate"/>
            </w:r>
            <w:r>
              <w:rPr>
                <w:noProof/>
                <w:webHidden/>
              </w:rPr>
              <w:t>6</w:t>
            </w:r>
            <w:r>
              <w:rPr>
                <w:noProof/>
                <w:webHidden/>
              </w:rPr>
              <w:fldChar w:fldCharType="end"/>
            </w:r>
          </w:hyperlink>
        </w:p>
        <w:p w14:paraId="12B3F1D5" w14:textId="3EDA54C2" w:rsidR="00DB34F4" w:rsidRDefault="00DB34F4">
          <w:pPr>
            <w:pStyle w:val="TOC3"/>
            <w:tabs>
              <w:tab w:val="right" w:leader="dot" w:pos="9016"/>
            </w:tabs>
            <w:rPr>
              <w:rFonts w:eastAsiaTheme="minorEastAsia"/>
              <w:noProof/>
              <w:sz w:val="24"/>
              <w:szCs w:val="24"/>
              <w:lang w:eastAsia="en-GB"/>
            </w:rPr>
          </w:pPr>
          <w:hyperlink w:anchor="_Toc175049435" w:history="1">
            <w:r w:rsidRPr="002705E1">
              <w:rPr>
                <w:rStyle w:val="Hyperlink"/>
                <w:noProof/>
              </w:rPr>
              <w:t>a. Modigliani &amp; Miller (M&amp;M) Theory (1958):</w:t>
            </w:r>
            <w:r>
              <w:rPr>
                <w:noProof/>
                <w:webHidden/>
              </w:rPr>
              <w:tab/>
            </w:r>
            <w:r>
              <w:rPr>
                <w:noProof/>
                <w:webHidden/>
              </w:rPr>
              <w:fldChar w:fldCharType="begin"/>
            </w:r>
            <w:r>
              <w:rPr>
                <w:noProof/>
                <w:webHidden/>
              </w:rPr>
              <w:instrText xml:space="preserve"> PAGEREF _Toc175049435 \h </w:instrText>
            </w:r>
            <w:r>
              <w:rPr>
                <w:noProof/>
                <w:webHidden/>
              </w:rPr>
            </w:r>
            <w:r>
              <w:rPr>
                <w:noProof/>
                <w:webHidden/>
              </w:rPr>
              <w:fldChar w:fldCharType="separate"/>
            </w:r>
            <w:r>
              <w:rPr>
                <w:noProof/>
                <w:webHidden/>
              </w:rPr>
              <w:t>6</w:t>
            </w:r>
            <w:r>
              <w:rPr>
                <w:noProof/>
                <w:webHidden/>
              </w:rPr>
              <w:fldChar w:fldCharType="end"/>
            </w:r>
          </w:hyperlink>
        </w:p>
        <w:p w14:paraId="1C513E84" w14:textId="21D8AEAB" w:rsidR="00DB34F4" w:rsidRDefault="00DB34F4">
          <w:pPr>
            <w:pStyle w:val="TOC3"/>
            <w:tabs>
              <w:tab w:val="right" w:leader="dot" w:pos="9016"/>
            </w:tabs>
            <w:rPr>
              <w:rFonts w:eastAsiaTheme="minorEastAsia"/>
              <w:noProof/>
              <w:sz w:val="24"/>
              <w:szCs w:val="24"/>
              <w:lang w:eastAsia="en-GB"/>
            </w:rPr>
          </w:pPr>
          <w:hyperlink w:anchor="_Toc175049436" w:history="1">
            <w:r w:rsidRPr="002705E1">
              <w:rPr>
                <w:rStyle w:val="Hyperlink"/>
                <w:noProof/>
              </w:rPr>
              <w:t>b. Tradeoff Theory Core Idea:</w:t>
            </w:r>
            <w:r>
              <w:rPr>
                <w:noProof/>
                <w:webHidden/>
              </w:rPr>
              <w:tab/>
            </w:r>
            <w:r>
              <w:rPr>
                <w:noProof/>
                <w:webHidden/>
              </w:rPr>
              <w:fldChar w:fldCharType="begin"/>
            </w:r>
            <w:r>
              <w:rPr>
                <w:noProof/>
                <w:webHidden/>
              </w:rPr>
              <w:instrText xml:space="preserve"> PAGEREF _Toc175049436 \h </w:instrText>
            </w:r>
            <w:r>
              <w:rPr>
                <w:noProof/>
                <w:webHidden/>
              </w:rPr>
            </w:r>
            <w:r>
              <w:rPr>
                <w:noProof/>
                <w:webHidden/>
              </w:rPr>
              <w:fldChar w:fldCharType="separate"/>
            </w:r>
            <w:r>
              <w:rPr>
                <w:noProof/>
                <w:webHidden/>
              </w:rPr>
              <w:t>6</w:t>
            </w:r>
            <w:r>
              <w:rPr>
                <w:noProof/>
                <w:webHidden/>
              </w:rPr>
              <w:fldChar w:fldCharType="end"/>
            </w:r>
          </w:hyperlink>
        </w:p>
        <w:p w14:paraId="73D80207" w14:textId="4D0C5FE6" w:rsidR="00DB34F4" w:rsidRDefault="00DB34F4">
          <w:pPr>
            <w:pStyle w:val="TOC3"/>
            <w:tabs>
              <w:tab w:val="right" w:leader="dot" w:pos="9016"/>
            </w:tabs>
            <w:rPr>
              <w:rFonts w:eastAsiaTheme="minorEastAsia"/>
              <w:noProof/>
              <w:sz w:val="24"/>
              <w:szCs w:val="24"/>
              <w:lang w:eastAsia="en-GB"/>
            </w:rPr>
          </w:pPr>
          <w:hyperlink w:anchor="_Toc175049437" w:history="1">
            <w:r w:rsidRPr="002705E1">
              <w:rPr>
                <w:rStyle w:val="Hyperlink"/>
                <w:noProof/>
              </w:rPr>
              <w:t>c. Myers and Majluf's Pecking Order Theory (1984) Core Idea:</w:t>
            </w:r>
            <w:r>
              <w:rPr>
                <w:noProof/>
                <w:webHidden/>
              </w:rPr>
              <w:tab/>
            </w:r>
            <w:r>
              <w:rPr>
                <w:noProof/>
                <w:webHidden/>
              </w:rPr>
              <w:fldChar w:fldCharType="begin"/>
            </w:r>
            <w:r>
              <w:rPr>
                <w:noProof/>
                <w:webHidden/>
              </w:rPr>
              <w:instrText xml:space="preserve"> PAGEREF _Toc175049437 \h </w:instrText>
            </w:r>
            <w:r>
              <w:rPr>
                <w:noProof/>
                <w:webHidden/>
              </w:rPr>
            </w:r>
            <w:r>
              <w:rPr>
                <w:noProof/>
                <w:webHidden/>
              </w:rPr>
              <w:fldChar w:fldCharType="separate"/>
            </w:r>
            <w:r>
              <w:rPr>
                <w:noProof/>
                <w:webHidden/>
              </w:rPr>
              <w:t>7</w:t>
            </w:r>
            <w:r>
              <w:rPr>
                <w:noProof/>
                <w:webHidden/>
              </w:rPr>
              <w:fldChar w:fldCharType="end"/>
            </w:r>
          </w:hyperlink>
        </w:p>
        <w:p w14:paraId="40D2A999" w14:textId="26DB2498" w:rsidR="00DB34F4" w:rsidRDefault="00DB34F4">
          <w:pPr>
            <w:pStyle w:val="TOC3"/>
            <w:tabs>
              <w:tab w:val="right" w:leader="dot" w:pos="9016"/>
            </w:tabs>
            <w:rPr>
              <w:rFonts w:eastAsiaTheme="minorEastAsia"/>
              <w:noProof/>
              <w:sz w:val="24"/>
              <w:szCs w:val="24"/>
              <w:lang w:eastAsia="en-GB"/>
            </w:rPr>
          </w:pPr>
          <w:hyperlink w:anchor="_Toc175049438" w:history="1">
            <w:r w:rsidRPr="002705E1">
              <w:rPr>
                <w:rStyle w:val="Hyperlink"/>
                <w:noProof/>
              </w:rPr>
              <w:t>d. Theory of Optimal Capital Structure Main Idea:</w:t>
            </w:r>
            <w:r>
              <w:rPr>
                <w:noProof/>
                <w:webHidden/>
              </w:rPr>
              <w:tab/>
            </w:r>
            <w:r>
              <w:rPr>
                <w:noProof/>
                <w:webHidden/>
              </w:rPr>
              <w:fldChar w:fldCharType="begin"/>
            </w:r>
            <w:r>
              <w:rPr>
                <w:noProof/>
                <w:webHidden/>
              </w:rPr>
              <w:instrText xml:space="preserve"> PAGEREF _Toc175049438 \h </w:instrText>
            </w:r>
            <w:r>
              <w:rPr>
                <w:noProof/>
                <w:webHidden/>
              </w:rPr>
            </w:r>
            <w:r>
              <w:rPr>
                <w:noProof/>
                <w:webHidden/>
              </w:rPr>
              <w:fldChar w:fldCharType="separate"/>
            </w:r>
            <w:r>
              <w:rPr>
                <w:noProof/>
                <w:webHidden/>
              </w:rPr>
              <w:t>7</w:t>
            </w:r>
            <w:r>
              <w:rPr>
                <w:noProof/>
                <w:webHidden/>
              </w:rPr>
              <w:fldChar w:fldCharType="end"/>
            </w:r>
          </w:hyperlink>
        </w:p>
        <w:p w14:paraId="6CC13184" w14:textId="7505A4A0" w:rsidR="00DB34F4" w:rsidRDefault="00DB34F4">
          <w:pPr>
            <w:pStyle w:val="TOC2"/>
            <w:tabs>
              <w:tab w:val="right" w:leader="dot" w:pos="9016"/>
            </w:tabs>
            <w:rPr>
              <w:rFonts w:eastAsiaTheme="minorEastAsia"/>
              <w:noProof/>
              <w:sz w:val="24"/>
              <w:szCs w:val="24"/>
              <w:lang w:eastAsia="en-GB"/>
            </w:rPr>
          </w:pPr>
          <w:hyperlink w:anchor="_Toc175049439" w:history="1">
            <w:r w:rsidRPr="002705E1">
              <w:rPr>
                <w:rStyle w:val="Hyperlink"/>
                <w:noProof/>
              </w:rPr>
              <w:t>2,3. Rightmove’s Share Market:</w:t>
            </w:r>
            <w:r>
              <w:rPr>
                <w:noProof/>
                <w:webHidden/>
              </w:rPr>
              <w:tab/>
            </w:r>
            <w:r>
              <w:rPr>
                <w:noProof/>
                <w:webHidden/>
              </w:rPr>
              <w:fldChar w:fldCharType="begin"/>
            </w:r>
            <w:r>
              <w:rPr>
                <w:noProof/>
                <w:webHidden/>
              </w:rPr>
              <w:instrText xml:space="preserve"> PAGEREF _Toc175049439 \h </w:instrText>
            </w:r>
            <w:r>
              <w:rPr>
                <w:noProof/>
                <w:webHidden/>
              </w:rPr>
            </w:r>
            <w:r>
              <w:rPr>
                <w:noProof/>
                <w:webHidden/>
              </w:rPr>
              <w:fldChar w:fldCharType="separate"/>
            </w:r>
            <w:r>
              <w:rPr>
                <w:noProof/>
                <w:webHidden/>
              </w:rPr>
              <w:t>8</w:t>
            </w:r>
            <w:r>
              <w:rPr>
                <w:noProof/>
                <w:webHidden/>
              </w:rPr>
              <w:fldChar w:fldCharType="end"/>
            </w:r>
          </w:hyperlink>
        </w:p>
        <w:p w14:paraId="4A95741D" w14:textId="232FEFA5" w:rsidR="00DB34F4" w:rsidRDefault="00DB34F4">
          <w:pPr>
            <w:pStyle w:val="TOC2"/>
            <w:tabs>
              <w:tab w:val="right" w:leader="dot" w:pos="9016"/>
            </w:tabs>
            <w:rPr>
              <w:rFonts w:eastAsiaTheme="minorEastAsia"/>
              <w:noProof/>
              <w:sz w:val="24"/>
              <w:szCs w:val="24"/>
              <w:lang w:eastAsia="en-GB"/>
            </w:rPr>
          </w:pPr>
          <w:hyperlink w:anchor="_Toc175049440" w:history="1">
            <w:r w:rsidRPr="002705E1">
              <w:rPr>
                <w:rStyle w:val="Hyperlink"/>
                <w:noProof/>
              </w:rPr>
              <w:t>3,1. A critical review of the Rightmove plc’s major investment activities:</w:t>
            </w:r>
            <w:r>
              <w:rPr>
                <w:noProof/>
                <w:webHidden/>
              </w:rPr>
              <w:tab/>
            </w:r>
            <w:r>
              <w:rPr>
                <w:noProof/>
                <w:webHidden/>
              </w:rPr>
              <w:fldChar w:fldCharType="begin"/>
            </w:r>
            <w:r>
              <w:rPr>
                <w:noProof/>
                <w:webHidden/>
              </w:rPr>
              <w:instrText xml:space="preserve"> PAGEREF _Toc175049440 \h </w:instrText>
            </w:r>
            <w:r>
              <w:rPr>
                <w:noProof/>
                <w:webHidden/>
              </w:rPr>
            </w:r>
            <w:r>
              <w:rPr>
                <w:noProof/>
                <w:webHidden/>
              </w:rPr>
              <w:fldChar w:fldCharType="separate"/>
            </w:r>
            <w:r>
              <w:rPr>
                <w:noProof/>
                <w:webHidden/>
              </w:rPr>
              <w:t>9</w:t>
            </w:r>
            <w:r>
              <w:rPr>
                <w:noProof/>
                <w:webHidden/>
              </w:rPr>
              <w:fldChar w:fldCharType="end"/>
            </w:r>
          </w:hyperlink>
        </w:p>
        <w:p w14:paraId="62944A62" w14:textId="69EC0511" w:rsidR="00DB34F4" w:rsidRDefault="00DB34F4">
          <w:pPr>
            <w:pStyle w:val="TOC2"/>
            <w:tabs>
              <w:tab w:val="right" w:leader="dot" w:pos="9016"/>
            </w:tabs>
            <w:rPr>
              <w:rFonts w:eastAsiaTheme="minorEastAsia"/>
              <w:noProof/>
              <w:sz w:val="24"/>
              <w:szCs w:val="24"/>
              <w:lang w:eastAsia="en-GB"/>
            </w:rPr>
          </w:pPr>
          <w:hyperlink w:anchor="_Toc175049441" w:history="1">
            <w:r w:rsidRPr="002705E1">
              <w:rPr>
                <w:rStyle w:val="Hyperlink"/>
                <w:noProof/>
              </w:rPr>
              <w:t>3,2. Rightmove’s dividend pay-outs during the past 5 years:</w:t>
            </w:r>
            <w:r>
              <w:rPr>
                <w:noProof/>
                <w:webHidden/>
              </w:rPr>
              <w:tab/>
            </w:r>
            <w:r>
              <w:rPr>
                <w:noProof/>
                <w:webHidden/>
              </w:rPr>
              <w:fldChar w:fldCharType="begin"/>
            </w:r>
            <w:r>
              <w:rPr>
                <w:noProof/>
                <w:webHidden/>
              </w:rPr>
              <w:instrText xml:space="preserve"> PAGEREF _Toc175049441 \h </w:instrText>
            </w:r>
            <w:r>
              <w:rPr>
                <w:noProof/>
                <w:webHidden/>
              </w:rPr>
            </w:r>
            <w:r>
              <w:rPr>
                <w:noProof/>
                <w:webHidden/>
              </w:rPr>
              <w:fldChar w:fldCharType="separate"/>
            </w:r>
            <w:r>
              <w:rPr>
                <w:noProof/>
                <w:webHidden/>
              </w:rPr>
              <w:t>11</w:t>
            </w:r>
            <w:r>
              <w:rPr>
                <w:noProof/>
                <w:webHidden/>
              </w:rPr>
              <w:fldChar w:fldCharType="end"/>
            </w:r>
          </w:hyperlink>
        </w:p>
        <w:p w14:paraId="6DF6873D" w14:textId="2CB7C919" w:rsidR="00DB34F4" w:rsidRDefault="00DB34F4">
          <w:pPr>
            <w:pStyle w:val="TOC3"/>
            <w:tabs>
              <w:tab w:val="right" w:leader="dot" w:pos="9016"/>
            </w:tabs>
            <w:rPr>
              <w:rFonts w:eastAsiaTheme="minorEastAsia"/>
              <w:noProof/>
              <w:sz w:val="24"/>
              <w:szCs w:val="24"/>
              <w:lang w:eastAsia="en-GB"/>
            </w:rPr>
          </w:pPr>
          <w:hyperlink w:anchor="_Toc175049442" w:history="1">
            <w:r w:rsidRPr="002705E1">
              <w:rPr>
                <w:rStyle w:val="Hyperlink"/>
                <w:noProof/>
              </w:rPr>
              <w:t>a.A synopsis of the Dividend Distribution for 2019–2024:</w:t>
            </w:r>
            <w:r>
              <w:rPr>
                <w:noProof/>
                <w:webHidden/>
              </w:rPr>
              <w:tab/>
            </w:r>
            <w:r>
              <w:rPr>
                <w:noProof/>
                <w:webHidden/>
              </w:rPr>
              <w:fldChar w:fldCharType="begin"/>
            </w:r>
            <w:r>
              <w:rPr>
                <w:noProof/>
                <w:webHidden/>
              </w:rPr>
              <w:instrText xml:space="preserve"> PAGEREF _Toc175049442 \h </w:instrText>
            </w:r>
            <w:r>
              <w:rPr>
                <w:noProof/>
                <w:webHidden/>
              </w:rPr>
            </w:r>
            <w:r>
              <w:rPr>
                <w:noProof/>
                <w:webHidden/>
              </w:rPr>
              <w:fldChar w:fldCharType="separate"/>
            </w:r>
            <w:r>
              <w:rPr>
                <w:noProof/>
                <w:webHidden/>
              </w:rPr>
              <w:t>11</w:t>
            </w:r>
            <w:r>
              <w:rPr>
                <w:noProof/>
                <w:webHidden/>
              </w:rPr>
              <w:fldChar w:fldCharType="end"/>
            </w:r>
          </w:hyperlink>
        </w:p>
        <w:p w14:paraId="25AF0FBF" w14:textId="1CE75083" w:rsidR="00DB34F4" w:rsidRDefault="00DB34F4">
          <w:pPr>
            <w:pStyle w:val="TOC3"/>
            <w:tabs>
              <w:tab w:val="right" w:leader="dot" w:pos="9016"/>
            </w:tabs>
            <w:rPr>
              <w:rFonts w:eastAsiaTheme="minorEastAsia"/>
              <w:noProof/>
              <w:sz w:val="24"/>
              <w:szCs w:val="24"/>
              <w:lang w:eastAsia="en-GB"/>
            </w:rPr>
          </w:pPr>
          <w:hyperlink w:anchor="_Toc175049443" w:history="1">
            <w:r w:rsidRPr="002705E1">
              <w:rPr>
                <w:rStyle w:val="Hyperlink"/>
                <w:noProof/>
              </w:rPr>
              <w:t>b. Growth and Stability of Dividends:</w:t>
            </w:r>
            <w:r>
              <w:rPr>
                <w:noProof/>
                <w:webHidden/>
              </w:rPr>
              <w:tab/>
            </w:r>
            <w:r>
              <w:rPr>
                <w:noProof/>
                <w:webHidden/>
              </w:rPr>
              <w:fldChar w:fldCharType="begin"/>
            </w:r>
            <w:r>
              <w:rPr>
                <w:noProof/>
                <w:webHidden/>
              </w:rPr>
              <w:instrText xml:space="preserve"> PAGEREF _Toc175049443 \h </w:instrText>
            </w:r>
            <w:r>
              <w:rPr>
                <w:noProof/>
                <w:webHidden/>
              </w:rPr>
            </w:r>
            <w:r>
              <w:rPr>
                <w:noProof/>
                <w:webHidden/>
              </w:rPr>
              <w:fldChar w:fldCharType="separate"/>
            </w:r>
            <w:r>
              <w:rPr>
                <w:noProof/>
                <w:webHidden/>
              </w:rPr>
              <w:t>12</w:t>
            </w:r>
            <w:r>
              <w:rPr>
                <w:noProof/>
                <w:webHidden/>
              </w:rPr>
              <w:fldChar w:fldCharType="end"/>
            </w:r>
          </w:hyperlink>
        </w:p>
        <w:p w14:paraId="47FBCB1B" w14:textId="15F595FB" w:rsidR="00DB34F4" w:rsidRDefault="00DB34F4">
          <w:pPr>
            <w:pStyle w:val="TOC3"/>
            <w:tabs>
              <w:tab w:val="right" w:leader="dot" w:pos="9016"/>
            </w:tabs>
            <w:rPr>
              <w:rFonts w:eastAsiaTheme="minorEastAsia"/>
              <w:noProof/>
              <w:sz w:val="24"/>
              <w:szCs w:val="24"/>
              <w:lang w:eastAsia="en-GB"/>
            </w:rPr>
          </w:pPr>
          <w:hyperlink w:anchor="_Toc175049444" w:history="1">
            <w:r w:rsidRPr="002705E1">
              <w:rPr>
                <w:rStyle w:val="Hyperlink"/>
                <w:noProof/>
              </w:rPr>
              <w:t>c. The Effect of Outside Sources:</w:t>
            </w:r>
            <w:r>
              <w:rPr>
                <w:noProof/>
                <w:webHidden/>
              </w:rPr>
              <w:tab/>
            </w:r>
            <w:r>
              <w:rPr>
                <w:noProof/>
                <w:webHidden/>
              </w:rPr>
              <w:fldChar w:fldCharType="begin"/>
            </w:r>
            <w:r>
              <w:rPr>
                <w:noProof/>
                <w:webHidden/>
              </w:rPr>
              <w:instrText xml:space="preserve"> PAGEREF _Toc175049444 \h </w:instrText>
            </w:r>
            <w:r>
              <w:rPr>
                <w:noProof/>
                <w:webHidden/>
              </w:rPr>
            </w:r>
            <w:r>
              <w:rPr>
                <w:noProof/>
                <w:webHidden/>
              </w:rPr>
              <w:fldChar w:fldCharType="separate"/>
            </w:r>
            <w:r>
              <w:rPr>
                <w:noProof/>
                <w:webHidden/>
              </w:rPr>
              <w:t>12</w:t>
            </w:r>
            <w:r>
              <w:rPr>
                <w:noProof/>
                <w:webHidden/>
              </w:rPr>
              <w:fldChar w:fldCharType="end"/>
            </w:r>
          </w:hyperlink>
        </w:p>
        <w:p w14:paraId="21ABB7E8" w14:textId="5FF06C9A" w:rsidR="00DB34F4" w:rsidRDefault="00DB34F4">
          <w:pPr>
            <w:pStyle w:val="TOC3"/>
            <w:tabs>
              <w:tab w:val="right" w:leader="dot" w:pos="9016"/>
            </w:tabs>
            <w:rPr>
              <w:rFonts w:eastAsiaTheme="minorEastAsia"/>
              <w:noProof/>
              <w:sz w:val="24"/>
              <w:szCs w:val="24"/>
              <w:lang w:eastAsia="en-GB"/>
            </w:rPr>
          </w:pPr>
          <w:hyperlink w:anchor="_Toc175049445" w:history="1">
            <w:r w:rsidRPr="002705E1">
              <w:rPr>
                <w:rStyle w:val="Hyperlink"/>
                <w:noProof/>
              </w:rPr>
              <w:t>d. Evaluation Against Pre-2020 Levels:</w:t>
            </w:r>
            <w:r>
              <w:rPr>
                <w:noProof/>
                <w:webHidden/>
              </w:rPr>
              <w:tab/>
            </w:r>
            <w:r>
              <w:rPr>
                <w:noProof/>
                <w:webHidden/>
              </w:rPr>
              <w:fldChar w:fldCharType="begin"/>
            </w:r>
            <w:r>
              <w:rPr>
                <w:noProof/>
                <w:webHidden/>
              </w:rPr>
              <w:instrText xml:space="preserve"> PAGEREF _Toc175049445 \h </w:instrText>
            </w:r>
            <w:r>
              <w:rPr>
                <w:noProof/>
                <w:webHidden/>
              </w:rPr>
            </w:r>
            <w:r>
              <w:rPr>
                <w:noProof/>
                <w:webHidden/>
              </w:rPr>
              <w:fldChar w:fldCharType="separate"/>
            </w:r>
            <w:r>
              <w:rPr>
                <w:noProof/>
                <w:webHidden/>
              </w:rPr>
              <w:t>12</w:t>
            </w:r>
            <w:r>
              <w:rPr>
                <w:noProof/>
                <w:webHidden/>
              </w:rPr>
              <w:fldChar w:fldCharType="end"/>
            </w:r>
          </w:hyperlink>
        </w:p>
        <w:p w14:paraId="53BB04BD" w14:textId="34F92CD1" w:rsidR="00DB34F4" w:rsidRDefault="00DB34F4">
          <w:pPr>
            <w:pStyle w:val="TOC3"/>
            <w:tabs>
              <w:tab w:val="right" w:leader="dot" w:pos="9016"/>
            </w:tabs>
            <w:rPr>
              <w:rFonts w:eastAsiaTheme="minorEastAsia"/>
              <w:noProof/>
              <w:sz w:val="24"/>
              <w:szCs w:val="24"/>
              <w:lang w:eastAsia="en-GB"/>
            </w:rPr>
          </w:pPr>
          <w:hyperlink w:anchor="_Toc175049446" w:history="1">
            <w:r w:rsidRPr="002705E1">
              <w:rPr>
                <w:rStyle w:val="Hyperlink"/>
                <w:noProof/>
              </w:rPr>
              <w:t>e. The Viewpoint of the Shareholder:</w:t>
            </w:r>
            <w:r>
              <w:rPr>
                <w:noProof/>
                <w:webHidden/>
              </w:rPr>
              <w:tab/>
            </w:r>
            <w:r>
              <w:rPr>
                <w:noProof/>
                <w:webHidden/>
              </w:rPr>
              <w:fldChar w:fldCharType="begin"/>
            </w:r>
            <w:r>
              <w:rPr>
                <w:noProof/>
                <w:webHidden/>
              </w:rPr>
              <w:instrText xml:space="preserve"> PAGEREF _Toc175049446 \h </w:instrText>
            </w:r>
            <w:r>
              <w:rPr>
                <w:noProof/>
                <w:webHidden/>
              </w:rPr>
            </w:r>
            <w:r>
              <w:rPr>
                <w:noProof/>
                <w:webHidden/>
              </w:rPr>
              <w:fldChar w:fldCharType="separate"/>
            </w:r>
            <w:r>
              <w:rPr>
                <w:noProof/>
                <w:webHidden/>
              </w:rPr>
              <w:t>12</w:t>
            </w:r>
            <w:r>
              <w:rPr>
                <w:noProof/>
                <w:webHidden/>
              </w:rPr>
              <w:fldChar w:fldCharType="end"/>
            </w:r>
          </w:hyperlink>
        </w:p>
        <w:p w14:paraId="48B1AF1C" w14:textId="2B155941" w:rsidR="00DB34F4" w:rsidRDefault="00DB34F4">
          <w:pPr>
            <w:pStyle w:val="TOC2"/>
            <w:tabs>
              <w:tab w:val="right" w:leader="dot" w:pos="9016"/>
            </w:tabs>
            <w:rPr>
              <w:rFonts w:eastAsiaTheme="minorEastAsia"/>
              <w:noProof/>
              <w:sz w:val="24"/>
              <w:szCs w:val="24"/>
              <w:lang w:eastAsia="en-GB"/>
            </w:rPr>
          </w:pPr>
          <w:hyperlink w:anchor="_Toc175049447" w:history="1">
            <w:r w:rsidRPr="002705E1">
              <w:rPr>
                <w:rStyle w:val="Hyperlink"/>
                <w:noProof/>
              </w:rPr>
              <w:t>3,3.</w:t>
            </w:r>
            <w:r>
              <w:rPr>
                <w:noProof/>
                <w:webHidden/>
              </w:rPr>
              <w:tab/>
            </w:r>
            <w:r>
              <w:rPr>
                <w:noProof/>
                <w:webHidden/>
              </w:rPr>
              <w:fldChar w:fldCharType="begin"/>
            </w:r>
            <w:r>
              <w:rPr>
                <w:noProof/>
                <w:webHidden/>
              </w:rPr>
              <w:instrText xml:space="preserve"> PAGEREF _Toc175049447 \h </w:instrText>
            </w:r>
            <w:r>
              <w:rPr>
                <w:noProof/>
                <w:webHidden/>
              </w:rPr>
            </w:r>
            <w:r>
              <w:rPr>
                <w:noProof/>
                <w:webHidden/>
              </w:rPr>
              <w:fldChar w:fldCharType="separate"/>
            </w:r>
            <w:r>
              <w:rPr>
                <w:noProof/>
                <w:webHidden/>
              </w:rPr>
              <w:t>12</w:t>
            </w:r>
            <w:r>
              <w:rPr>
                <w:noProof/>
                <w:webHidden/>
              </w:rPr>
              <w:fldChar w:fldCharType="end"/>
            </w:r>
          </w:hyperlink>
        </w:p>
        <w:p w14:paraId="6397A6F4" w14:textId="01A6707B" w:rsidR="00DB34F4" w:rsidRDefault="00DB34F4">
          <w:pPr>
            <w:pStyle w:val="TOC3"/>
            <w:tabs>
              <w:tab w:val="right" w:leader="dot" w:pos="9016"/>
            </w:tabs>
            <w:rPr>
              <w:rFonts w:eastAsiaTheme="minorEastAsia"/>
              <w:noProof/>
              <w:sz w:val="24"/>
              <w:szCs w:val="24"/>
              <w:lang w:eastAsia="en-GB"/>
            </w:rPr>
          </w:pPr>
          <w:hyperlink w:anchor="_Toc175049448" w:history="1">
            <w:r w:rsidRPr="002705E1">
              <w:rPr>
                <w:rStyle w:val="Hyperlink"/>
                <w:noProof/>
              </w:rPr>
              <w:t>a.</w:t>
            </w:r>
            <w:r>
              <w:rPr>
                <w:noProof/>
                <w:webHidden/>
              </w:rPr>
              <w:tab/>
            </w:r>
            <w:r>
              <w:rPr>
                <w:noProof/>
                <w:webHidden/>
              </w:rPr>
              <w:fldChar w:fldCharType="begin"/>
            </w:r>
            <w:r>
              <w:rPr>
                <w:noProof/>
                <w:webHidden/>
              </w:rPr>
              <w:instrText xml:space="preserve"> PAGEREF _Toc175049448 \h </w:instrText>
            </w:r>
            <w:r>
              <w:rPr>
                <w:noProof/>
                <w:webHidden/>
              </w:rPr>
            </w:r>
            <w:r>
              <w:rPr>
                <w:noProof/>
                <w:webHidden/>
              </w:rPr>
              <w:fldChar w:fldCharType="separate"/>
            </w:r>
            <w:r>
              <w:rPr>
                <w:noProof/>
                <w:webHidden/>
              </w:rPr>
              <w:t>12</w:t>
            </w:r>
            <w:r>
              <w:rPr>
                <w:noProof/>
                <w:webHidden/>
              </w:rPr>
              <w:fldChar w:fldCharType="end"/>
            </w:r>
          </w:hyperlink>
        </w:p>
        <w:p w14:paraId="4BECBA0E" w14:textId="0B77FC96" w:rsidR="00DB34F4" w:rsidRDefault="00DB34F4">
          <w:pPr>
            <w:pStyle w:val="TOC3"/>
            <w:tabs>
              <w:tab w:val="right" w:leader="dot" w:pos="9016"/>
            </w:tabs>
            <w:rPr>
              <w:rFonts w:eastAsiaTheme="minorEastAsia"/>
              <w:noProof/>
              <w:sz w:val="24"/>
              <w:szCs w:val="24"/>
              <w:lang w:eastAsia="en-GB"/>
            </w:rPr>
          </w:pPr>
          <w:hyperlink w:anchor="_Toc175049449" w:history="1">
            <w:r w:rsidRPr="002705E1">
              <w:rPr>
                <w:rStyle w:val="Hyperlink"/>
                <w:rFonts w:eastAsia="Times New Roman"/>
                <w:noProof/>
                <w:lang w:eastAsia="en-GB"/>
              </w:rPr>
              <w:t>b. History of Dividends and Expectations of Shareholders:</w:t>
            </w:r>
            <w:r>
              <w:rPr>
                <w:noProof/>
                <w:webHidden/>
              </w:rPr>
              <w:tab/>
            </w:r>
            <w:r>
              <w:rPr>
                <w:noProof/>
                <w:webHidden/>
              </w:rPr>
              <w:fldChar w:fldCharType="begin"/>
            </w:r>
            <w:r>
              <w:rPr>
                <w:noProof/>
                <w:webHidden/>
              </w:rPr>
              <w:instrText xml:space="preserve"> PAGEREF _Toc175049449 \h </w:instrText>
            </w:r>
            <w:r>
              <w:rPr>
                <w:noProof/>
                <w:webHidden/>
              </w:rPr>
            </w:r>
            <w:r>
              <w:rPr>
                <w:noProof/>
                <w:webHidden/>
              </w:rPr>
              <w:fldChar w:fldCharType="separate"/>
            </w:r>
            <w:r>
              <w:rPr>
                <w:noProof/>
                <w:webHidden/>
              </w:rPr>
              <w:t>13</w:t>
            </w:r>
            <w:r>
              <w:rPr>
                <w:noProof/>
                <w:webHidden/>
              </w:rPr>
              <w:fldChar w:fldCharType="end"/>
            </w:r>
          </w:hyperlink>
        </w:p>
        <w:p w14:paraId="53AA75A4" w14:textId="59EA127B" w:rsidR="00DB34F4" w:rsidRDefault="00DB34F4">
          <w:pPr>
            <w:pStyle w:val="TOC3"/>
            <w:tabs>
              <w:tab w:val="right" w:leader="dot" w:pos="9016"/>
            </w:tabs>
            <w:rPr>
              <w:rFonts w:eastAsiaTheme="minorEastAsia"/>
              <w:noProof/>
              <w:sz w:val="24"/>
              <w:szCs w:val="24"/>
              <w:lang w:eastAsia="en-GB"/>
            </w:rPr>
          </w:pPr>
          <w:hyperlink w:anchor="_Toc175049450" w:history="1">
            <w:r w:rsidRPr="002705E1">
              <w:rPr>
                <w:rStyle w:val="Hyperlink"/>
                <w:noProof/>
              </w:rPr>
              <w:t>c. Prospects for Growth and Reinvestment Requirements:</w:t>
            </w:r>
            <w:r>
              <w:rPr>
                <w:noProof/>
                <w:webHidden/>
              </w:rPr>
              <w:tab/>
            </w:r>
            <w:r>
              <w:rPr>
                <w:noProof/>
                <w:webHidden/>
              </w:rPr>
              <w:fldChar w:fldCharType="begin"/>
            </w:r>
            <w:r>
              <w:rPr>
                <w:noProof/>
                <w:webHidden/>
              </w:rPr>
              <w:instrText xml:space="preserve"> PAGEREF _Toc175049450 \h </w:instrText>
            </w:r>
            <w:r>
              <w:rPr>
                <w:noProof/>
                <w:webHidden/>
              </w:rPr>
            </w:r>
            <w:r>
              <w:rPr>
                <w:noProof/>
                <w:webHidden/>
              </w:rPr>
              <w:fldChar w:fldCharType="separate"/>
            </w:r>
            <w:r>
              <w:rPr>
                <w:noProof/>
                <w:webHidden/>
              </w:rPr>
              <w:t>13</w:t>
            </w:r>
            <w:r>
              <w:rPr>
                <w:noProof/>
                <w:webHidden/>
              </w:rPr>
              <w:fldChar w:fldCharType="end"/>
            </w:r>
          </w:hyperlink>
        </w:p>
        <w:p w14:paraId="4D6FE427" w14:textId="591D8281" w:rsidR="00DB34F4" w:rsidRDefault="00DB34F4">
          <w:pPr>
            <w:pStyle w:val="TOC3"/>
            <w:tabs>
              <w:tab w:val="right" w:leader="dot" w:pos="9016"/>
            </w:tabs>
            <w:rPr>
              <w:rFonts w:eastAsiaTheme="minorEastAsia"/>
              <w:noProof/>
              <w:sz w:val="24"/>
              <w:szCs w:val="24"/>
              <w:lang w:eastAsia="en-GB"/>
            </w:rPr>
          </w:pPr>
          <w:hyperlink w:anchor="_Toc175049451" w:history="1">
            <w:r w:rsidRPr="002705E1">
              <w:rPr>
                <w:rStyle w:val="Hyperlink"/>
                <w:noProof/>
              </w:rPr>
              <w:t>d. The state of the economy and the market:</w:t>
            </w:r>
            <w:r>
              <w:rPr>
                <w:noProof/>
                <w:webHidden/>
              </w:rPr>
              <w:tab/>
            </w:r>
            <w:r>
              <w:rPr>
                <w:noProof/>
                <w:webHidden/>
              </w:rPr>
              <w:fldChar w:fldCharType="begin"/>
            </w:r>
            <w:r>
              <w:rPr>
                <w:noProof/>
                <w:webHidden/>
              </w:rPr>
              <w:instrText xml:space="preserve"> PAGEREF _Toc175049451 \h </w:instrText>
            </w:r>
            <w:r>
              <w:rPr>
                <w:noProof/>
                <w:webHidden/>
              </w:rPr>
            </w:r>
            <w:r>
              <w:rPr>
                <w:noProof/>
                <w:webHidden/>
              </w:rPr>
              <w:fldChar w:fldCharType="separate"/>
            </w:r>
            <w:r>
              <w:rPr>
                <w:noProof/>
                <w:webHidden/>
              </w:rPr>
              <w:t>13</w:t>
            </w:r>
            <w:r>
              <w:rPr>
                <w:noProof/>
                <w:webHidden/>
              </w:rPr>
              <w:fldChar w:fldCharType="end"/>
            </w:r>
          </w:hyperlink>
        </w:p>
        <w:p w14:paraId="58908242" w14:textId="63054914" w:rsidR="00DB34F4" w:rsidRDefault="00DB34F4">
          <w:pPr>
            <w:pStyle w:val="TOC3"/>
            <w:tabs>
              <w:tab w:val="right" w:leader="dot" w:pos="9016"/>
            </w:tabs>
            <w:rPr>
              <w:rFonts w:eastAsiaTheme="minorEastAsia"/>
              <w:noProof/>
              <w:sz w:val="24"/>
              <w:szCs w:val="24"/>
              <w:lang w:eastAsia="en-GB"/>
            </w:rPr>
          </w:pPr>
          <w:hyperlink w:anchor="_Toc175049452" w:history="1">
            <w:r w:rsidRPr="002705E1">
              <w:rPr>
                <w:rStyle w:val="Hyperlink"/>
                <w:noProof/>
              </w:rPr>
              <w:t>e. Tax and Regulatory Considerations:</w:t>
            </w:r>
            <w:r>
              <w:rPr>
                <w:noProof/>
                <w:webHidden/>
              </w:rPr>
              <w:tab/>
            </w:r>
            <w:r>
              <w:rPr>
                <w:noProof/>
                <w:webHidden/>
              </w:rPr>
              <w:fldChar w:fldCharType="begin"/>
            </w:r>
            <w:r>
              <w:rPr>
                <w:noProof/>
                <w:webHidden/>
              </w:rPr>
              <w:instrText xml:space="preserve"> PAGEREF _Toc175049452 \h </w:instrText>
            </w:r>
            <w:r>
              <w:rPr>
                <w:noProof/>
                <w:webHidden/>
              </w:rPr>
            </w:r>
            <w:r>
              <w:rPr>
                <w:noProof/>
                <w:webHidden/>
              </w:rPr>
              <w:fldChar w:fldCharType="separate"/>
            </w:r>
            <w:r>
              <w:rPr>
                <w:noProof/>
                <w:webHidden/>
              </w:rPr>
              <w:t>13</w:t>
            </w:r>
            <w:r>
              <w:rPr>
                <w:noProof/>
                <w:webHidden/>
              </w:rPr>
              <w:fldChar w:fldCharType="end"/>
            </w:r>
          </w:hyperlink>
        </w:p>
        <w:p w14:paraId="3AE212DE" w14:textId="2482DA50" w:rsidR="00DB34F4" w:rsidRDefault="00DB34F4">
          <w:pPr>
            <w:pStyle w:val="TOC3"/>
            <w:tabs>
              <w:tab w:val="right" w:leader="dot" w:pos="9016"/>
            </w:tabs>
            <w:rPr>
              <w:rFonts w:eastAsiaTheme="minorEastAsia"/>
              <w:noProof/>
              <w:sz w:val="24"/>
              <w:szCs w:val="24"/>
              <w:lang w:eastAsia="en-GB"/>
            </w:rPr>
          </w:pPr>
          <w:hyperlink w:anchor="_Toc175049453" w:history="1">
            <w:r w:rsidRPr="002705E1">
              <w:rPr>
                <w:rStyle w:val="Hyperlink"/>
                <w:rFonts w:eastAsia="Times New Roman"/>
                <w:noProof/>
                <w:lang w:eastAsia="en-GB"/>
              </w:rPr>
              <w:t>f. Capital Structure and Leverage:</w:t>
            </w:r>
            <w:r>
              <w:rPr>
                <w:noProof/>
                <w:webHidden/>
              </w:rPr>
              <w:tab/>
            </w:r>
            <w:r>
              <w:rPr>
                <w:noProof/>
                <w:webHidden/>
              </w:rPr>
              <w:fldChar w:fldCharType="begin"/>
            </w:r>
            <w:r>
              <w:rPr>
                <w:noProof/>
                <w:webHidden/>
              </w:rPr>
              <w:instrText xml:space="preserve"> PAGEREF _Toc175049453 \h </w:instrText>
            </w:r>
            <w:r>
              <w:rPr>
                <w:noProof/>
                <w:webHidden/>
              </w:rPr>
            </w:r>
            <w:r>
              <w:rPr>
                <w:noProof/>
                <w:webHidden/>
              </w:rPr>
              <w:fldChar w:fldCharType="separate"/>
            </w:r>
            <w:r>
              <w:rPr>
                <w:noProof/>
                <w:webHidden/>
              </w:rPr>
              <w:t>13</w:t>
            </w:r>
            <w:r>
              <w:rPr>
                <w:noProof/>
                <w:webHidden/>
              </w:rPr>
              <w:fldChar w:fldCharType="end"/>
            </w:r>
          </w:hyperlink>
        </w:p>
        <w:p w14:paraId="0DFA8FEA" w14:textId="6E14E229" w:rsidR="00DB34F4" w:rsidRDefault="00DB34F4">
          <w:pPr>
            <w:pStyle w:val="TOC3"/>
            <w:tabs>
              <w:tab w:val="right" w:leader="dot" w:pos="9016"/>
            </w:tabs>
            <w:rPr>
              <w:rFonts w:eastAsiaTheme="minorEastAsia"/>
              <w:noProof/>
              <w:sz w:val="24"/>
              <w:szCs w:val="24"/>
              <w:lang w:eastAsia="en-GB"/>
            </w:rPr>
          </w:pPr>
          <w:hyperlink w:anchor="_Toc175049454" w:history="1">
            <w:r w:rsidRPr="002705E1">
              <w:rPr>
                <w:rStyle w:val="Hyperlink"/>
                <w:noProof/>
              </w:rPr>
              <w:t>g. Ratio of Payout:</w:t>
            </w:r>
            <w:r>
              <w:rPr>
                <w:noProof/>
                <w:webHidden/>
              </w:rPr>
              <w:tab/>
            </w:r>
            <w:r>
              <w:rPr>
                <w:noProof/>
                <w:webHidden/>
              </w:rPr>
              <w:fldChar w:fldCharType="begin"/>
            </w:r>
            <w:r>
              <w:rPr>
                <w:noProof/>
                <w:webHidden/>
              </w:rPr>
              <w:instrText xml:space="preserve"> PAGEREF _Toc175049454 \h </w:instrText>
            </w:r>
            <w:r>
              <w:rPr>
                <w:noProof/>
                <w:webHidden/>
              </w:rPr>
            </w:r>
            <w:r>
              <w:rPr>
                <w:noProof/>
                <w:webHidden/>
              </w:rPr>
              <w:fldChar w:fldCharType="separate"/>
            </w:r>
            <w:r>
              <w:rPr>
                <w:noProof/>
                <w:webHidden/>
              </w:rPr>
              <w:t>14</w:t>
            </w:r>
            <w:r>
              <w:rPr>
                <w:noProof/>
                <w:webHidden/>
              </w:rPr>
              <w:fldChar w:fldCharType="end"/>
            </w:r>
          </w:hyperlink>
        </w:p>
        <w:p w14:paraId="606FBF80" w14:textId="2BBF5825" w:rsidR="00DB34F4" w:rsidRDefault="00DB34F4">
          <w:pPr>
            <w:pStyle w:val="TOC1"/>
            <w:tabs>
              <w:tab w:val="right" w:leader="dot" w:pos="9016"/>
            </w:tabs>
            <w:rPr>
              <w:rFonts w:eastAsiaTheme="minorEastAsia"/>
              <w:noProof/>
              <w:sz w:val="24"/>
              <w:szCs w:val="24"/>
              <w:lang w:eastAsia="en-GB"/>
            </w:rPr>
          </w:pPr>
          <w:hyperlink w:anchor="_Toc175049455" w:history="1">
            <w:r w:rsidRPr="002705E1">
              <w:rPr>
                <w:rStyle w:val="Hyperlink"/>
                <w:rFonts w:eastAsia="Times New Roman"/>
                <w:noProof/>
                <w:lang w:eastAsia="en-GB"/>
              </w:rPr>
              <w:t>4. Reference’s:</w:t>
            </w:r>
            <w:r>
              <w:rPr>
                <w:noProof/>
                <w:webHidden/>
              </w:rPr>
              <w:tab/>
            </w:r>
            <w:r>
              <w:rPr>
                <w:noProof/>
                <w:webHidden/>
              </w:rPr>
              <w:fldChar w:fldCharType="begin"/>
            </w:r>
            <w:r>
              <w:rPr>
                <w:noProof/>
                <w:webHidden/>
              </w:rPr>
              <w:instrText xml:space="preserve"> PAGEREF _Toc175049455 \h </w:instrText>
            </w:r>
            <w:r>
              <w:rPr>
                <w:noProof/>
                <w:webHidden/>
              </w:rPr>
            </w:r>
            <w:r>
              <w:rPr>
                <w:noProof/>
                <w:webHidden/>
              </w:rPr>
              <w:fldChar w:fldCharType="separate"/>
            </w:r>
            <w:r>
              <w:rPr>
                <w:noProof/>
                <w:webHidden/>
              </w:rPr>
              <w:t>15</w:t>
            </w:r>
            <w:r>
              <w:rPr>
                <w:noProof/>
                <w:webHidden/>
              </w:rPr>
              <w:fldChar w:fldCharType="end"/>
            </w:r>
          </w:hyperlink>
        </w:p>
        <w:p w14:paraId="275ADA88" w14:textId="3A1273E2" w:rsidR="00705D2B" w:rsidRDefault="00705D2B" w:rsidP="00C9451D">
          <w:pPr>
            <w:rPr>
              <w:b/>
              <w:bCs/>
            </w:rPr>
          </w:pPr>
          <w:r>
            <w:rPr>
              <w:b/>
              <w:bCs/>
            </w:rPr>
            <w:lastRenderedPageBreak/>
            <w:fldChar w:fldCharType="end"/>
          </w:r>
        </w:p>
      </w:sdtContent>
    </w:sdt>
    <w:p w14:paraId="0D146512" w14:textId="1EB52BB7" w:rsidR="00C9451D" w:rsidRPr="00705D2B" w:rsidRDefault="00BC1EAB" w:rsidP="00C9451D">
      <w:bookmarkStart w:id="0" w:name="_Toc175049431"/>
      <w:r w:rsidRPr="005E2DF8">
        <w:rPr>
          <w:rStyle w:val="Heading1Char"/>
        </w:rPr>
        <w:t>1.Introduction:</w:t>
      </w:r>
      <w:bookmarkEnd w:id="0"/>
      <w:r w:rsidRPr="00BC1EAB">
        <w:rPr>
          <w:rFonts w:ascii="Times New Roman" w:eastAsia="Times New Roman" w:hAnsi="Times New Roman" w:cs="Times New Roman"/>
          <w:kern w:val="0"/>
          <w:sz w:val="24"/>
          <w:szCs w:val="24"/>
          <w:lang w:eastAsia="en-GB"/>
          <w14:ligatures w14:val="none"/>
        </w:rPr>
        <w:t xml:space="preserve"> </w:t>
      </w:r>
      <w:r w:rsidR="00543028" w:rsidRPr="00543028">
        <w:rPr>
          <w:rFonts w:eastAsia="Times New Roman" w:cs="Times New Roman"/>
          <w:b/>
          <w:bCs/>
          <w:kern w:val="0"/>
          <w:lang w:eastAsia="en-GB"/>
          <w14:ligatures w14:val="none"/>
        </w:rPr>
        <w:t>Giving everyone the confidence to act is Rightmove's mission.</w:t>
      </w:r>
      <w:r w:rsidR="00543028">
        <w:rPr>
          <w:rFonts w:eastAsia="Times New Roman" w:cs="Times New Roman"/>
          <w:b/>
          <w:bCs/>
          <w:kern w:val="0"/>
          <w:lang w:eastAsia="en-GB"/>
          <w14:ligatures w14:val="none"/>
        </w:rPr>
        <w:t xml:space="preserve"> </w:t>
      </w:r>
      <w:r w:rsidR="00543028" w:rsidRPr="00543028">
        <w:rPr>
          <w:rFonts w:eastAsia="Times New Roman" w:cs="Times New Roman"/>
          <w:b/>
          <w:bCs/>
          <w:kern w:val="0"/>
          <w:lang w:eastAsia="en-GB"/>
          <w14:ligatures w14:val="none"/>
        </w:rPr>
        <w:t>Their goal is to facilitate the transition</w:t>
      </w:r>
      <w:r w:rsidR="00B10A87">
        <w:rPr>
          <w:rFonts w:eastAsia="Times New Roman" w:cs="Times New Roman"/>
          <w:b/>
          <w:bCs/>
          <w:kern w:val="0"/>
          <w:lang w:eastAsia="en-GB"/>
          <w14:ligatures w14:val="none"/>
        </w:rPr>
        <w:t xml:space="preserve"> </w:t>
      </w:r>
      <w:r w:rsidR="00543028" w:rsidRPr="00543028">
        <w:rPr>
          <w:rFonts w:eastAsia="Times New Roman" w:cs="Times New Roman"/>
          <w:b/>
          <w:bCs/>
          <w:kern w:val="0"/>
          <w:lang w:eastAsia="en-GB"/>
          <w14:ligatures w14:val="none"/>
        </w:rPr>
        <w:t>and easier, by providing the greatest resource for everyone to go to when they need access to the resources, knowledge, and confidence to make it happen</w:t>
      </w:r>
      <w:r w:rsidR="00543028" w:rsidRPr="00606FAA">
        <w:rPr>
          <w:rFonts w:eastAsia="Times New Roman" w:cs="Times New Roman"/>
          <w:b/>
          <w:bCs/>
          <w:kern w:val="0"/>
          <w:lang w:eastAsia="en-GB"/>
          <w14:ligatures w14:val="none"/>
        </w:rPr>
        <w:t>.</w:t>
      </w:r>
      <w:r w:rsidR="00606FAA" w:rsidRPr="00606FAA">
        <w:rPr>
          <w:rFonts w:eastAsia="Times New Roman" w:cs="Times New Roman"/>
          <w:b/>
          <w:bCs/>
          <w:kern w:val="0"/>
          <w:lang w:eastAsia="en-GB"/>
          <w14:ligatures w14:val="none"/>
        </w:rPr>
        <w:t xml:space="preserve"> Rightmove continues to be the leading digital property advertising and information gateway in the UK, as evidenced by the quantity of properties listed, the number of customers, the average amount of money they spend, and the amount of time they spend on the website.</w:t>
      </w:r>
      <w:r w:rsidR="00C9451D" w:rsidRPr="00C9451D">
        <w:rPr>
          <w:rFonts w:ascii="Times New Roman" w:eastAsia="Times New Roman" w:hAnsi="Times New Roman" w:cs="Times New Roman"/>
          <w:kern w:val="0"/>
          <w:sz w:val="24"/>
          <w:szCs w:val="24"/>
          <w:lang w:eastAsia="en-GB"/>
          <w14:ligatures w14:val="none"/>
        </w:rPr>
        <w:t xml:space="preserve"> </w:t>
      </w:r>
      <w:r w:rsidR="00C9451D" w:rsidRPr="008F031E">
        <w:rPr>
          <w:rFonts w:eastAsia="Times New Roman" w:cs="Times New Roman"/>
          <w:b/>
          <w:bCs/>
          <w:kern w:val="0"/>
          <w:lang w:eastAsia="en-GB"/>
          <w14:ligatures w14:val="none"/>
        </w:rPr>
        <w:t xml:space="preserve">Rightmove, which holds 86% of the market share for online digital property advertising and information portals in the UK, is the </w:t>
      </w:r>
      <w:r w:rsidR="00E2662D" w:rsidRPr="008F031E">
        <w:rPr>
          <w:rFonts w:eastAsia="Times New Roman" w:cs="Times New Roman"/>
          <w:b/>
          <w:bCs/>
          <w:kern w:val="0"/>
          <w:lang w:eastAsia="en-GB"/>
          <w14:ligatures w14:val="none"/>
        </w:rPr>
        <w:t>first-place</w:t>
      </w:r>
      <w:r w:rsidR="00C9451D" w:rsidRPr="008F031E">
        <w:rPr>
          <w:rFonts w:eastAsia="Times New Roman" w:cs="Times New Roman"/>
          <w:b/>
          <w:bCs/>
          <w:kern w:val="0"/>
          <w:lang w:eastAsia="en-GB"/>
          <w14:ligatures w14:val="none"/>
        </w:rPr>
        <w:t xml:space="preserve"> consumers go when they're ready to move.</w:t>
      </w:r>
    </w:p>
    <w:p w14:paraId="04953EA1" w14:textId="77777777" w:rsidR="00EA4D1A" w:rsidRPr="00EA4D1A" w:rsidRDefault="00EA4D1A" w:rsidP="00EA4D1A">
      <w:pPr>
        <w:spacing w:after="0" w:line="240" w:lineRule="auto"/>
        <w:rPr>
          <w:rFonts w:eastAsia="Times New Roman" w:cs="Times New Roman"/>
          <w:b/>
          <w:bCs/>
          <w:kern w:val="0"/>
          <w:lang w:eastAsia="en-GB"/>
          <w14:ligatures w14:val="none"/>
        </w:rPr>
      </w:pPr>
      <w:r w:rsidRPr="00EA4D1A">
        <w:rPr>
          <w:rFonts w:eastAsia="Times New Roman" w:cs="Times New Roman"/>
          <w:b/>
          <w:bCs/>
          <w:kern w:val="0"/>
          <w:lang w:eastAsia="en-GB"/>
          <w14:ligatures w14:val="none"/>
        </w:rPr>
        <w:t xml:space="preserve">In 2000, Rightmove.co.uk was founded by the four largest corporate estate agencies at the time: Countrywide, Connells, Halifax, and Royal and Sun Alliance. In 2002, fees were added to the initial free listings on the website. Rightmove plc, which went public on the London Stock Exchange in 2006, is currently valued at approximately £5 billion according to the FTSE 100. We have dedicated the last 20 years to simplifying house moving in the UK by bringing together the biggest and most engaged property audience in the country with the most extensive property portfolio. </w:t>
      </w:r>
    </w:p>
    <w:p w14:paraId="29C24BA5" w14:textId="0C624088" w:rsidR="002B30A3" w:rsidRPr="006035E0" w:rsidRDefault="009A1CFC" w:rsidP="002B30A3">
      <w:pPr>
        <w:rPr>
          <w:rFonts w:cs="Arial"/>
          <w:color w:val="4F5064"/>
          <w:sz w:val="20"/>
          <w:szCs w:val="20"/>
          <w:shd w:val="clear" w:color="auto" w:fill="E8E8EB"/>
        </w:rPr>
      </w:pPr>
      <w:r w:rsidRPr="00D15B30">
        <w:rPr>
          <w:rFonts w:cs="Arial"/>
          <w:b/>
          <w:bCs/>
          <w:color w:val="4F5064"/>
          <w:sz w:val="20"/>
          <w:szCs w:val="20"/>
          <w:shd w:val="clear" w:color="auto" w:fill="E8E8EB"/>
        </w:rPr>
        <w:t xml:space="preserve"> </w:t>
      </w:r>
      <w:r w:rsidRPr="00D15B30">
        <w:rPr>
          <w:rFonts w:cs="Arial"/>
          <w:b/>
          <w:bCs/>
          <w:i/>
          <w:iCs/>
          <w:color w:val="4F5064"/>
          <w:sz w:val="20"/>
          <w:szCs w:val="20"/>
          <w:shd w:val="clear" w:color="auto" w:fill="E8E8EB"/>
        </w:rPr>
        <w:t>(</w:t>
      </w:r>
      <w:r w:rsidRPr="00D15B30">
        <w:rPr>
          <w:i/>
          <w:iCs/>
          <w:sz w:val="20"/>
          <w:szCs w:val="20"/>
        </w:rPr>
        <w:t>Rightmove plc | Annual Report 2023)</w:t>
      </w:r>
    </w:p>
    <w:p w14:paraId="7EF3DAAE" w14:textId="34AE7BEC" w:rsidR="003537E7" w:rsidRDefault="007E33F1" w:rsidP="008C4EF3">
      <w:pPr>
        <w:spacing w:after="0" w:line="240" w:lineRule="auto"/>
        <w:rPr>
          <w:rFonts w:eastAsia="Times New Roman" w:cs="Times New Roman"/>
          <w:b/>
          <w:bCs/>
          <w:kern w:val="0"/>
          <w:lang w:eastAsia="en-GB"/>
          <w14:ligatures w14:val="none"/>
        </w:rPr>
      </w:pPr>
      <w:r>
        <w:rPr>
          <w:rFonts w:eastAsia="Times New Roman" w:cs="Times New Roman"/>
          <w:b/>
          <w:bCs/>
          <w:kern w:val="0"/>
          <w:lang w:eastAsia="en-GB"/>
          <w14:ligatures w14:val="none"/>
        </w:rPr>
        <w:t xml:space="preserve">2020: </w:t>
      </w:r>
      <w:r w:rsidRPr="007E33F1">
        <w:rPr>
          <w:rFonts w:eastAsia="Times New Roman" w:cs="Times New Roman"/>
          <w:b/>
          <w:bCs/>
          <w:kern w:val="0"/>
          <w:lang w:eastAsia="en-GB"/>
          <w14:ligatures w14:val="none"/>
        </w:rPr>
        <w:t>The 20th anniversary of Rightmove During the coronavirus epidemic, Rightmove offers its customers discounted membership fees as a means of support. Within 30 days, 200,000 views were made on the Hub page.</w:t>
      </w:r>
      <w:r w:rsidR="008C4EF3">
        <w:rPr>
          <w:rFonts w:eastAsia="Times New Roman" w:cs="Times New Roman"/>
          <w:b/>
          <w:bCs/>
          <w:kern w:val="0"/>
          <w:lang w:eastAsia="en-GB"/>
          <w14:ligatures w14:val="none"/>
        </w:rPr>
        <w:t xml:space="preserve"> </w:t>
      </w:r>
      <w:r>
        <w:rPr>
          <w:rFonts w:eastAsia="Times New Roman" w:cs="Times New Roman"/>
          <w:b/>
          <w:bCs/>
          <w:kern w:val="0"/>
          <w:lang w:eastAsia="en-GB"/>
          <w14:ligatures w14:val="none"/>
        </w:rPr>
        <w:t xml:space="preserve">2021: </w:t>
      </w:r>
      <w:r w:rsidRPr="007E33F1">
        <w:rPr>
          <w:rFonts w:eastAsia="Times New Roman" w:cs="Times New Roman"/>
          <w:b/>
          <w:bCs/>
          <w:kern w:val="0"/>
          <w:lang w:eastAsia="en-GB"/>
          <w14:ligatures w14:val="none"/>
        </w:rPr>
        <w:t>Spending more than 18 billion minutes on Rightmove platforms Over £300m is made by the group. Rebranded as Rightmove Landlord &amp; Tenant Services, Van Mildert for Rightmove members, a market-leading professional training program has debuted</w:t>
      </w:r>
      <w:r>
        <w:rPr>
          <w:rFonts w:eastAsia="Times New Roman" w:cs="Times New Roman"/>
          <w:b/>
          <w:bCs/>
          <w:kern w:val="0"/>
          <w:lang w:eastAsia="en-GB"/>
          <w14:ligatures w14:val="none"/>
        </w:rPr>
        <w:t>.</w:t>
      </w:r>
      <w:r w:rsidR="008C4EF3">
        <w:rPr>
          <w:rFonts w:eastAsia="Times New Roman" w:cs="Times New Roman"/>
          <w:b/>
          <w:bCs/>
          <w:kern w:val="0"/>
          <w:lang w:eastAsia="en-GB"/>
          <w14:ligatures w14:val="none"/>
        </w:rPr>
        <w:t xml:space="preserve"> </w:t>
      </w:r>
      <w:r>
        <w:rPr>
          <w:rFonts w:eastAsia="Times New Roman" w:cs="Times New Roman"/>
          <w:b/>
          <w:bCs/>
          <w:kern w:val="0"/>
          <w:lang w:eastAsia="en-GB"/>
          <w14:ligatures w14:val="none"/>
        </w:rPr>
        <w:t xml:space="preserve">2022: </w:t>
      </w:r>
      <w:r w:rsidRPr="007E33F1">
        <w:rPr>
          <w:rFonts w:eastAsia="Times New Roman" w:cs="Times New Roman"/>
          <w:b/>
          <w:bCs/>
          <w:kern w:val="0"/>
          <w:lang w:eastAsia="en-GB"/>
          <w14:ligatures w14:val="none"/>
        </w:rPr>
        <w:t xml:space="preserve">The 2022 Green Homes report has been out, and estate agents can now earn the new CELA </w:t>
      </w:r>
      <w:r w:rsidR="003537E7" w:rsidRPr="007E33F1">
        <w:rPr>
          <w:rFonts w:eastAsia="Times New Roman" w:cs="Times New Roman"/>
          <w:b/>
          <w:bCs/>
          <w:kern w:val="0"/>
          <w:lang w:eastAsia="en-GB"/>
          <w14:ligatures w14:val="none"/>
        </w:rPr>
        <w:t>certificate.</w:t>
      </w:r>
    </w:p>
    <w:p w14:paraId="66243E1D" w14:textId="57618839" w:rsidR="006C328D" w:rsidRPr="008C4EF3" w:rsidRDefault="003537E7" w:rsidP="006C328D">
      <w:pPr>
        <w:rPr>
          <w:rFonts w:eastAsia="Times New Roman" w:cs="Times New Roman"/>
          <w:b/>
          <w:bCs/>
          <w:kern w:val="0"/>
          <w:lang w:eastAsia="en-GB"/>
          <w14:ligatures w14:val="none"/>
        </w:rPr>
      </w:pPr>
      <w:r>
        <w:rPr>
          <w:rFonts w:eastAsia="Times New Roman" w:cs="Times New Roman"/>
          <w:b/>
          <w:bCs/>
          <w:kern w:val="0"/>
          <w:lang w:eastAsia="en-GB"/>
          <w14:ligatures w14:val="none"/>
        </w:rPr>
        <w:t xml:space="preserve">2023: </w:t>
      </w:r>
      <w:r w:rsidRPr="003537E7">
        <w:rPr>
          <w:rFonts w:eastAsia="Times New Roman" w:cs="Times New Roman"/>
          <w:b/>
          <w:bCs/>
          <w:kern w:val="0"/>
          <w:lang w:eastAsia="en-GB"/>
          <w14:ligatures w14:val="none"/>
        </w:rPr>
        <w:t xml:space="preserve">Johan </w:t>
      </w:r>
      <w:proofErr w:type="spellStart"/>
      <w:r w:rsidRPr="003537E7">
        <w:rPr>
          <w:rFonts w:eastAsia="Times New Roman" w:cs="Times New Roman"/>
          <w:b/>
          <w:bCs/>
          <w:kern w:val="0"/>
          <w:lang w:eastAsia="en-GB"/>
          <w14:ligatures w14:val="none"/>
        </w:rPr>
        <w:t>Svanstrom</w:t>
      </w:r>
      <w:proofErr w:type="spellEnd"/>
      <w:r w:rsidRPr="003537E7">
        <w:rPr>
          <w:rFonts w:eastAsia="Times New Roman" w:cs="Times New Roman"/>
          <w:b/>
          <w:bCs/>
          <w:kern w:val="0"/>
          <w:lang w:eastAsia="en-GB"/>
          <w14:ligatures w14:val="none"/>
        </w:rPr>
        <w:t>, the new CEO, was appointed in March. The Greener Homes report was released in July. September: Go Greener, a new ESG approach, is launched</w:t>
      </w:r>
      <w:r w:rsidR="008C4EF3">
        <w:rPr>
          <w:rFonts w:eastAsia="Times New Roman" w:cs="Times New Roman"/>
          <w:b/>
          <w:bCs/>
          <w:kern w:val="0"/>
          <w:lang w:eastAsia="en-GB"/>
          <w14:ligatures w14:val="none"/>
        </w:rPr>
        <w:t xml:space="preserve">. </w:t>
      </w:r>
      <w:r>
        <w:rPr>
          <w:rFonts w:eastAsia="Times New Roman" w:cs="Times New Roman"/>
          <w:b/>
          <w:bCs/>
          <w:kern w:val="0"/>
          <w:lang w:eastAsia="en-GB"/>
          <w14:ligatures w14:val="none"/>
        </w:rPr>
        <w:t>2024:</w:t>
      </w:r>
      <w:r w:rsidRPr="003537E7">
        <w:rPr>
          <w:rFonts w:ascii="Times New Roman" w:eastAsia="Times New Roman" w:hAnsi="Times New Roman" w:cs="Times New Roman"/>
          <w:kern w:val="0"/>
          <w:sz w:val="24"/>
          <w:szCs w:val="24"/>
          <w:lang w:eastAsia="en-GB"/>
          <w14:ligatures w14:val="none"/>
        </w:rPr>
        <w:t xml:space="preserve"> </w:t>
      </w:r>
      <w:r w:rsidRPr="003537E7">
        <w:rPr>
          <w:rFonts w:eastAsia="Times New Roman" w:cs="Times New Roman"/>
          <w:b/>
          <w:bCs/>
          <w:kern w:val="0"/>
          <w:lang w:eastAsia="en-GB"/>
          <w14:ligatures w14:val="none"/>
        </w:rPr>
        <w:t>February: Home views Platform Limited was acquired</w:t>
      </w:r>
      <w:r w:rsidR="000036F5">
        <w:rPr>
          <w:rFonts w:eastAsia="Times New Roman" w:cs="Times New Roman"/>
          <w:b/>
          <w:bCs/>
          <w:kern w:val="0"/>
          <w:lang w:eastAsia="en-GB"/>
          <w14:ligatures w14:val="none"/>
        </w:rPr>
        <w:t>.</w:t>
      </w:r>
      <w:r w:rsidR="006C328D" w:rsidRPr="006C328D">
        <w:rPr>
          <w:rFonts w:ascii="Times New Roman" w:eastAsia="Times New Roman" w:hAnsi="Times New Roman" w:cs="Times New Roman"/>
          <w:kern w:val="0"/>
          <w:sz w:val="24"/>
          <w:szCs w:val="24"/>
          <w:lang w:eastAsia="en-GB"/>
          <w14:ligatures w14:val="none"/>
        </w:rPr>
        <w:t xml:space="preserve"> </w:t>
      </w:r>
    </w:p>
    <w:p w14:paraId="7DC35892" w14:textId="66353E34" w:rsidR="00A64E45" w:rsidRDefault="006C328D" w:rsidP="00A64E45">
      <w:pPr>
        <w:rPr>
          <w:rFonts w:eastAsia="Times New Roman" w:cs="Times New Roman"/>
          <w:b/>
          <w:bCs/>
          <w:kern w:val="0"/>
          <w:lang w:eastAsia="en-GB"/>
          <w14:ligatures w14:val="none"/>
        </w:rPr>
      </w:pPr>
      <w:r w:rsidRPr="006C328D">
        <w:rPr>
          <w:rFonts w:eastAsia="Times New Roman" w:cs="Times New Roman"/>
          <w:b/>
          <w:bCs/>
          <w:kern w:val="0"/>
          <w:sz w:val="24"/>
          <w:szCs w:val="24"/>
          <w:lang w:eastAsia="en-GB"/>
          <w14:ligatures w14:val="none"/>
        </w:rPr>
        <w:t>Highlights of finances:</w:t>
      </w:r>
      <w:r w:rsidRPr="006C328D">
        <w:rPr>
          <w:rFonts w:ascii="Times New Roman" w:eastAsia="Times New Roman" w:hAnsi="Times New Roman" w:cs="Times New Roman"/>
          <w:kern w:val="0"/>
          <w:sz w:val="24"/>
          <w:szCs w:val="24"/>
          <w:lang w:eastAsia="en-GB"/>
          <w14:ligatures w14:val="none"/>
        </w:rPr>
        <w:t xml:space="preserve"> </w:t>
      </w:r>
      <w:r w:rsidRPr="006C328D">
        <w:rPr>
          <w:rFonts w:eastAsia="Times New Roman" w:cs="Times New Roman"/>
          <w:b/>
          <w:bCs/>
          <w:kern w:val="0"/>
          <w:lang w:eastAsia="en-GB"/>
          <w14:ligatures w14:val="none"/>
        </w:rPr>
        <w:t>Despite an uncertain economic backdrop, Rightmove's financial performance was robust due to the resilient and growing demand for its exceptional-quality products and services worth for both clients and end users.</w:t>
      </w:r>
      <w:r w:rsidR="00BC0859" w:rsidRPr="00BC0859">
        <w:rPr>
          <w:rFonts w:ascii="Times New Roman" w:eastAsia="Times New Roman" w:hAnsi="Times New Roman" w:cs="Times New Roman"/>
          <w:kern w:val="0"/>
          <w:sz w:val="24"/>
          <w:szCs w:val="24"/>
          <w:lang w:eastAsia="en-GB"/>
          <w14:ligatures w14:val="none"/>
        </w:rPr>
        <w:t xml:space="preserve"> </w:t>
      </w:r>
      <w:r w:rsidR="00BC0859" w:rsidRPr="00EC0F5E">
        <w:rPr>
          <w:rFonts w:eastAsia="Times New Roman" w:cs="Times New Roman"/>
          <w:b/>
          <w:bCs/>
          <w:kern w:val="0"/>
          <w:lang w:eastAsia="en-GB"/>
          <w14:ligatures w14:val="none"/>
        </w:rPr>
        <w:t>Revenue of £364.3 million, up 10% from 2022, is indicative of growth in every business segment (2022: £332.6 million).</w:t>
      </w:r>
      <w:r w:rsidR="001C0DBE" w:rsidRPr="00EC0F5E">
        <w:rPr>
          <w:rFonts w:eastAsia="Times New Roman" w:cs="Times New Roman"/>
          <w:b/>
          <w:bCs/>
          <w:kern w:val="0"/>
          <w:lang w:eastAsia="en-GB"/>
          <w14:ligatures w14:val="none"/>
        </w:rPr>
        <w:t xml:space="preserve"> Underlying Operating Profit: £264.6 million, up 8% from £245.4 million in 2022</w:t>
      </w:r>
      <w:r w:rsidR="00B669A9" w:rsidRPr="00EC0F5E">
        <w:rPr>
          <w:rFonts w:eastAsia="Times New Roman" w:cs="Times New Roman"/>
          <w:b/>
          <w:bCs/>
          <w:kern w:val="0"/>
          <w:lang w:eastAsia="en-GB"/>
          <w14:ligatures w14:val="none"/>
        </w:rPr>
        <w:t>Subsequent basic earnings per share were 25.2%, up 1.4 percent from 2022 (23.8 percent).</w:t>
      </w:r>
      <w:r w:rsidR="003B35BD" w:rsidRPr="00EC0F5E">
        <w:rPr>
          <w:rFonts w:eastAsia="Times New Roman" w:cs="Times New Roman"/>
          <w:b/>
          <w:bCs/>
          <w:kern w:val="0"/>
          <w:lang w:eastAsia="en-GB"/>
          <w14:ligatures w14:val="none"/>
        </w:rPr>
        <w:t xml:space="preserve"> The amount of money distributed to shareholders as dividends and share buybacks came to £201.7 million (2022: £197.7 million). Temporary 3.6p in dividends and a 5.7p final dividend (2022: 3.3p and 5.2p). 9.3p will be the total dividend in 2023 (2022: 8.5p)</w:t>
      </w:r>
      <w:r w:rsidR="008433AC" w:rsidRPr="00EC0F5E">
        <w:rPr>
          <w:rFonts w:eastAsia="Times New Roman" w:cs="Times New Roman"/>
          <w:b/>
          <w:bCs/>
          <w:kern w:val="0"/>
          <w:lang w:eastAsia="en-GB"/>
          <w14:ligatures w14:val="none"/>
        </w:rPr>
        <w:t>. Operating profit was £258.0 million, up 7% from £241.3 million in 2022.</w:t>
      </w:r>
      <w:r w:rsidR="00A64E45" w:rsidRPr="00EC0F5E">
        <w:rPr>
          <w:rFonts w:eastAsia="Times New Roman" w:cs="Times New Roman"/>
          <w:b/>
          <w:bCs/>
          <w:kern w:val="0"/>
          <w:lang w:eastAsia="en-GB"/>
          <w14:ligatures w14:val="none"/>
        </w:rPr>
        <w:t xml:space="preserve"> Basic profits per share increased by 1.1p to 24.5p in 2022 (2022: 23.4p).</w:t>
      </w:r>
    </w:p>
    <w:p w14:paraId="3180AF8B" w14:textId="77777777" w:rsidR="007B7521" w:rsidRDefault="00804113" w:rsidP="00CB0094">
      <w:pPr>
        <w:rPr>
          <w:rFonts w:eastAsia="Times New Roman" w:cs="Times New Roman"/>
          <w:b/>
          <w:bCs/>
          <w:i/>
          <w:iCs/>
          <w:kern w:val="0"/>
          <w:sz w:val="20"/>
          <w:szCs w:val="20"/>
          <w:lang w:eastAsia="en-GB"/>
          <w14:ligatures w14:val="none"/>
        </w:rPr>
      </w:pPr>
      <w:bookmarkStart w:id="1" w:name="_Toc175049432"/>
      <w:r w:rsidRPr="005E2DF8">
        <w:rPr>
          <w:rStyle w:val="Heading1Char"/>
        </w:rPr>
        <w:t>2.</w:t>
      </w:r>
      <w:r w:rsidR="004679CD" w:rsidRPr="005E2DF8">
        <w:rPr>
          <w:rStyle w:val="Heading1Char"/>
        </w:rPr>
        <w:t xml:space="preserve"> Financial performance and alternative capital structure considerations:</w:t>
      </w:r>
      <w:bookmarkEnd w:id="1"/>
      <w:r w:rsidR="005D6CB0" w:rsidRPr="005D6CB0">
        <w:rPr>
          <w:rFonts w:ascii="Times New Roman" w:eastAsia="Times New Roman" w:hAnsi="Times New Roman" w:cs="Times New Roman"/>
          <w:kern w:val="0"/>
          <w:sz w:val="24"/>
          <w:szCs w:val="24"/>
          <w:lang w:eastAsia="en-GB"/>
          <w14:ligatures w14:val="none"/>
        </w:rPr>
        <w:t xml:space="preserve"> </w:t>
      </w:r>
      <w:r w:rsidR="005D6CB0" w:rsidRPr="00891A9B">
        <w:rPr>
          <w:rFonts w:eastAsia="Times New Roman" w:cs="Times New Roman"/>
          <w:b/>
          <w:bCs/>
          <w:kern w:val="0"/>
          <w:lang w:eastAsia="en-GB"/>
          <w14:ligatures w14:val="none"/>
        </w:rPr>
        <w:t xml:space="preserve">A robust financial performance, despite an unsteady economic environment, propelled by the enduring and expanding demand for </w:t>
      </w:r>
      <w:r w:rsidR="00724232" w:rsidRPr="00891A9B">
        <w:rPr>
          <w:rFonts w:eastAsia="Times New Roman" w:cs="Times New Roman"/>
          <w:b/>
          <w:bCs/>
          <w:kern w:val="0"/>
          <w:lang w:eastAsia="en-GB"/>
          <w14:ligatures w14:val="none"/>
        </w:rPr>
        <w:t>t</w:t>
      </w:r>
      <w:r w:rsidR="005D6CB0" w:rsidRPr="00891A9B">
        <w:rPr>
          <w:rFonts w:eastAsia="Times New Roman" w:cs="Times New Roman"/>
          <w:b/>
          <w:bCs/>
          <w:kern w:val="0"/>
          <w:lang w:eastAsia="en-GB"/>
          <w14:ligatures w14:val="none"/>
        </w:rPr>
        <w:t>he goods and services offered by Rightmove offer clients and consumers outstanding value.</w:t>
      </w:r>
      <w:r w:rsidR="005D6CB0" w:rsidRPr="005D6CB0">
        <w:rPr>
          <w:rFonts w:ascii="Times New Roman" w:eastAsia="Times New Roman" w:hAnsi="Times New Roman" w:cs="Times New Roman"/>
          <w:kern w:val="0"/>
          <w:sz w:val="24"/>
          <w:szCs w:val="24"/>
          <w:lang w:eastAsia="en-GB"/>
          <w14:ligatures w14:val="none"/>
        </w:rPr>
        <w:t xml:space="preserve"> </w:t>
      </w:r>
      <w:r w:rsidR="00724232" w:rsidRPr="00891A9B">
        <w:rPr>
          <w:rFonts w:eastAsia="Times New Roman" w:cs="Times New Roman"/>
          <w:b/>
          <w:bCs/>
          <w:i/>
          <w:iCs/>
          <w:kern w:val="0"/>
          <w:sz w:val="20"/>
          <w:szCs w:val="20"/>
          <w:lang w:eastAsia="en-GB"/>
          <w14:ligatures w14:val="none"/>
        </w:rPr>
        <w:t>(</w:t>
      </w:r>
      <w:r w:rsidR="005D6CB0" w:rsidRPr="00891A9B">
        <w:rPr>
          <w:rFonts w:eastAsia="Times New Roman" w:cs="Times New Roman"/>
          <w:b/>
          <w:bCs/>
          <w:i/>
          <w:iCs/>
          <w:kern w:val="0"/>
          <w:sz w:val="20"/>
          <w:szCs w:val="20"/>
          <w:lang w:eastAsia="en-GB"/>
          <w14:ligatures w14:val="none"/>
        </w:rPr>
        <w:t>Chief Financial Officer Alison Dolan</w:t>
      </w:r>
      <w:r w:rsidR="00724232" w:rsidRPr="00891A9B">
        <w:rPr>
          <w:rFonts w:eastAsia="Times New Roman" w:cs="Times New Roman"/>
          <w:b/>
          <w:bCs/>
          <w:i/>
          <w:iCs/>
          <w:kern w:val="0"/>
          <w:sz w:val="20"/>
          <w:szCs w:val="20"/>
          <w:lang w:eastAsia="en-GB"/>
          <w14:ligatures w14:val="none"/>
        </w:rPr>
        <w:t>)</w:t>
      </w:r>
    </w:p>
    <w:p w14:paraId="5485D3FF" w14:textId="30DB460F" w:rsidR="00B2382A" w:rsidRPr="00CB0094" w:rsidRDefault="001A46FA" w:rsidP="00CB0094">
      <w:pPr>
        <w:rPr>
          <w:rFonts w:eastAsia="Times New Roman" w:cs="Times New Roman"/>
          <w:b/>
          <w:bCs/>
          <w:i/>
          <w:iCs/>
          <w:kern w:val="0"/>
          <w:sz w:val="20"/>
          <w:szCs w:val="20"/>
          <w:lang w:eastAsia="en-GB"/>
          <w14:ligatures w14:val="none"/>
        </w:rPr>
      </w:pPr>
      <w:r w:rsidRPr="00443F35">
        <w:rPr>
          <w:rFonts w:eastAsia="Times New Roman" w:cs="Times New Roman"/>
          <w:b/>
          <w:bCs/>
          <w:kern w:val="0"/>
          <w:lang w:eastAsia="en-GB"/>
          <w14:ligatures w14:val="none"/>
        </w:rPr>
        <w:lastRenderedPageBreak/>
        <w:t>O</w:t>
      </w:r>
      <w:r w:rsidR="00B2382A" w:rsidRPr="00B2382A">
        <w:rPr>
          <w:rFonts w:eastAsia="Times New Roman" w:cs="Times New Roman"/>
          <w:b/>
          <w:bCs/>
          <w:kern w:val="0"/>
          <w:lang w:eastAsia="en-GB"/>
          <w14:ligatures w14:val="none"/>
        </w:rPr>
        <w:t>wing to higher demand for our products climbed by £31.7 million/10% in 2022 to £364.3% (or £332.6 million) in revenue</w:t>
      </w:r>
      <w:r w:rsidRPr="00443F35">
        <w:rPr>
          <w:rFonts w:eastAsia="Times New Roman" w:cs="Times New Roman"/>
          <w:b/>
          <w:bCs/>
          <w:kern w:val="0"/>
          <w:lang w:eastAsia="en-GB"/>
          <w14:ligatures w14:val="none"/>
        </w:rPr>
        <w:t xml:space="preserve"> </w:t>
      </w:r>
      <w:r w:rsidR="00B2382A" w:rsidRPr="00B2382A">
        <w:rPr>
          <w:rFonts w:eastAsia="Times New Roman" w:cs="Times New Roman"/>
          <w:b/>
          <w:bCs/>
          <w:kern w:val="0"/>
          <w:lang w:eastAsia="en-GB"/>
          <w14:ligatures w14:val="none"/>
        </w:rPr>
        <w:t>and bundles inside real estate agencies and new homes, yearly price rises, and expansion in other company divisions</w:t>
      </w:r>
      <w:r w:rsidR="004C155B">
        <w:rPr>
          <w:rFonts w:eastAsia="Times New Roman" w:cs="Times New Roman"/>
          <w:b/>
          <w:bCs/>
          <w:kern w:val="0"/>
          <w:lang w:eastAsia="en-GB"/>
          <w14:ligatures w14:val="none"/>
        </w:rPr>
        <w:t>.</w:t>
      </w:r>
    </w:p>
    <w:p w14:paraId="0B729E67" w14:textId="77777777" w:rsidR="00AA79D6" w:rsidRDefault="006A6879" w:rsidP="00802BDA">
      <w:pPr>
        <w:rPr>
          <w:rFonts w:ascii="Times New Roman" w:eastAsia="Times New Roman" w:hAnsi="Times New Roman" w:cs="Times New Roman"/>
          <w:kern w:val="0"/>
          <w:sz w:val="24"/>
          <w:szCs w:val="24"/>
          <w:lang w:eastAsia="en-GB"/>
          <w14:ligatures w14:val="none"/>
        </w:rPr>
      </w:pPr>
      <w:bookmarkStart w:id="2" w:name="_Toc175049433"/>
      <w:r w:rsidRPr="005E2DF8">
        <w:rPr>
          <w:rStyle w:val="Heading2Char"/>
        </w:rPr>
        <w:t>2,</w:t>
      </w:r>
      <w:r w:rsidR="00A4487B" w:rsidRPr="005E2DF8">
        <w:rPr>
          <w:rStyle w:val="Heading2Char"/>
        </w:rPr>
        <w:t>1. Rightmove’s</w:t>
      </w:r>
      <w:r w:rsidR="00BA7648" w:rsidRPr="005E2DF8">
        <w:rPr>
          <w:rStyle w:val="Heading2Char"/>
        </w:rPr>
        <w:t xml:space="preserve"> Financial Perfor</w:t>
      </w:r>
      <w:r w:rsidR="00A4487B" w:rsidRPr="005E2DF8">
        <w:rPr>
          <w:rStyle w:val="Heading2Char"/>
        </w:rPr>
        <w:t>mance:</w:t>
      </w:r>
      <w:bookmarkEnd w:id="2"/>
      <w:r w:rsidR="00557FB0" w:rsidRPr="00557FB0">
        <w:rPr>
          <w:rFonts w:ascii="Times New Roman" w:eastAsia="Times New Roman" w:hAnsi="Times New Roman" w:cs="Times New Roman"/>
          <w:kern w:val="0"/>
          <w:sz w:val="24"/>
          <w:szCs w:val="24"/>
          <w:lang w:eastAsia="en-GB"/>
          <w14:ligatures w14:val="none"/>
        </w:rPr>
        <w:t xml:space="preserve"> </w:t>
      </w:r>
      <w:r w:rsidR="00AD2822" w:rsidRPr="00AD2822">
        <w:rPr>
          <w:rFonts w:eastAsia="Times New Roman" w:cs="Times New Roman"/>
          <w:b/>
          <w:bCs/>
          <w:kern w:val="0"/>
          <w:lang w:eastAsia="en-GB"/>
          <w14:ligatures w14:val="none"/>
        </w:rPr>
        <w:t>To evaluate the company's liquidity and leverage ratios, one must review Rightmove's financial statements, especially the balance sheet. While leverage ratios indicate the amount of debt a company is using to finance its operations, liquidity ratios measure a company's ability to pay down short-term debt.</w:t>
      </w:r>
      <w:r w:rsidR="00AD2822" w:rsidRPr="00AD2822">
        <w:rPr>
          <w:rFonts w:ascii="Times New Roman" w:eastAsia="Times New Roman" w:hAnsi="Times New Roman" w:cs="Times New Roman"/>
          <w:kern w:val="0"/>
          <w:sz w:val="24"/>
          <w:szCs w:val="24"/>
          <w:lang w:eastAsia="en-GB"/>
          <w14:ligatures w14:val="none"/>
        </w:rPr>
        <w:t xml:space="preserve"> </w:t>
      </w:r>
    </w:p>
    <w:p w14:paraId="27FCCEF3" w14:textId="1E42D37F" w:rsidR="00802BDA" w:rsidRPr="00802BDA" w:rsidRDefault="00802BDA" w:rsidP="00802BDA">
      <w:pPr>
        <w:rPr>
          <w:rFonts w:ascii="Times New Roman" w:eastAsia="Times New Roman" w:hAnsi="Times New Roman" w:cs="Times New Roman"/>
          <w:kern w:val="0"/>
          <w:sz w:val="24"/>
          <w:szCs w:val="24"/>
          <w:lang w:eastAsia="en-GB"/>
          <w14:ligatures w14:val="none"/>
        </w:rPr>
      </w:pPr>
      <w:r w:rsidRPr="00802BDA">
        <w:rPr>
          <w:rFonts w:eastAsia="Times New Roman" w:cs="Times New Roman"/>
          <w:b/>
          <w:bCs/>
          <w:kern w:val="0"/>
          <w:lang w:eastAsia="en-GB"/>
          <w14:ligatures w14:val="none"/>
        </w:rPr>
        <w:t xml:space="preserve">Liquidity </w:t>
      </w:r>
      <w:proofErr w:type="gramStart"/>
      <w:r w:rsidRPr="00802BDA">
        <w:rPr>
          <w:rFonts w:eastAsia="Times New Roman" w:cs="Times New Roman"/>
          <w:b/>
          <w:bCs/>
          <w:kern w:val="0"/>
          <w:lang w:eastAsia="en-GB"/>
          <w14:ligatures w14:val="none"/>
        </w:rPr>
        <w:t>Ratios</w:t>
      </w:r>
      <w:r w:rsidR="0051115F">
        <w:rPr>
          <w:rFonts w:eastAsia="Times New Roman" w:cs="Times New Roman"/>
          <w:b/>
          <w:bCs/>
          <w:kern w:val="0"/>
          <w:lang w:eastAsia="en-GB"/>
          <w14:ligatures w14:val="none"/>
        </w:rPr>
        <w:t>;</w:t>
      </w:r>
      <w:proofErr w:type="gramEnd"/>
      <w:r w:rsidRPr="00802BDA">
        <w:rPr>
          <w:rFonts w:eastAsia="Times New Roman" w:cs="Times New Roman"/>
          <w:b/>
          <w:bCs/>
          <w:kern w:val="0"/>
          <w:lang w:eastAsia="en-GB"/>
          <w14:ligatures w14:val="none"/>
        </w:rPr>
        <w:t xml:space="preserve"> The current ratio is a measure of a company's ability to pay short-term obligations using its short-term assets. If the ratio is more than 1, the company has more current assets than current liabilities.</w:t>
      </w:r>
    </w:p>
    <w:p w14:paraId="44C1C114" w14:textId="10651EAF" w:rsidR="00EE0B66" w:rsidRPr="006A628F" w:rsidRDefault="000273E0" w:rsidP="00EE0B66">
      <w:pPr>
        <w:rPr>
          <w:rFonts w:ascii="Times New Roman" w:eastAsia="Times New Roman" w:hAnsi="Times New Roman" w:cs="Times New Roman"/>
          <w:kern w:val="0"/>
          <w:sz w:val="24"/>
          <w:szCs w:val="24"/>
          <w:lang w:eastAsia="en-GB"/>
          <w14:ligatures w14:val="none"/>
        </w:rPr>
      </w:pPr>
      <w:r w:rsidRPr="00756117">
        <w:rPr>
          <w:rFonts w:eastAsia="Times New Roman" w:cs="Times New Roman"/>
          <w:b/>
          <w:bCs/>
          <w:kern w:val="0"/>
          <w:lang w:eastAsia="en-GB"/>
          <w14:ligatures w14:val="none"/>
        </w:rPr>
        <w:t>2023:</w:t>
      </w:r>
      <w:r w:rsidR="00964FA2" w:rsidRPr="00964FA2">
        <w:rPr>
          <w:rFonts w:ascii="Times New Roman" w:eastAsia="Times New Roman" w:hAnsi="Times New Roman" w:cs="Times New Roman"/>
          <w:kern w:val="0"/>
          <w:sz w:val="24"/>
          <w:szCs w:val="24"/>
          <w:lang w:eastAsia="en-GB"/>
          <w14:ligatures w14:val="none"/>
        </w:rPr>
        <w:t xml:space="preserve"> </w:t>
      </w:r>
      <w:r w:rsidR="00964FA2" w:rsidRPr="006A628F">
        <w:rPr>
          <w:rFonts w:eastAsia="Times New Roman" w:cs="Times New Roman"/>
          <w:b/>
          <w:bCs/>
          <w:kern w:val="0"/>
          <w:lang w:eastAsia="en-GB"/>
          <w14:ligatures w14:val="none"/>
        </w:rPr>
        <w:t>Present Ratio</w:t>
      </w:r>
      <w:r w:rsidRPr="00756117">
        <w:rPr>
          <w:rFonts w:eastAsia="Times New Roman" w:cs="Times New Roman"/>
          <w:b/>
          <w:bCs/>
          <w:kern w:val="0"/>
          <w:lang w:eastAsia="en-GB"/>
          <w14:ligatures w14:val="none"/>
        </w:rPr>
        <w:t xml:space="preserve"> (Current Assets) = 71 million GBP</w:t>
      </w:r>
      <w:r w:rsidRPr="00756117">
        <w:rPr>
          <w:rFonts w:eastAsia="Times New Roman" w:cs="Times New Roman"/>
          <w:b/>
          <w:bCs/>
          <w:kern w:val="0"/>
          <w:lang w:eastAsia="en-GB"/>
          <w14:ligatures w14:val="none"/>
        </w:rPr>
        <w:br/>
        <w:t>The current liabilities amount to 30 million GBP, with a deviation of 2.37 million GBP.</w:t>
      </w:r>
      <w:r w:rsidRPr="00756117">
        <w:rPr>
          <w:rFonts w:eastAsia="Times New Roman" w:cs="Times New Roman"/>
          <w:b/>
          <w:bCs/>
          <w:kern w:val="0"/>
          <w:lang w:eastAsia="en-GB"/>
          <w14:ligatures w14:val="none"/>
        </w:rPr>
        <w:br/>
        <w:t>71 million GBP is the current asset value.</w:t>
      </w:r>
      <w:r w:rsidRPr="00756117">
        <w:rPr>
          <w:rFonts w:eastAsia="Times New Roman" w:cs="Times New Roman"/>
          <w:b/>
          <w:bCs/>
          <w:kern w:val="0"/>
          <w:lang w:eastAsia="en-GB"/>
          <w14:ligatures w14:val="none"/>
        </w:rPr>
        <w:br/>
        <w:t>In 2022, the current ratio is equal to 68 million GBP divided by 26 million GBP, or 2.62 million GBP.</w:t>
      </w:r>
      <w:r w:rsidRPr="00756117">
        <w:rPr>
          <w:rFonts w:eastAsia="Times New Roman" w:cs="Times New Roman"/>
          <w:b/>
          <w:bCs/>
          <w:kern w:val="0"/>
          <w:lang w:eastAsia="en-GB"/>
          <w14:ligatures w14:val="none"/>
        </w:rPr>
        <w:br/>
        <w:t>68,000,000 GBP = 2.62</w:t>
      </w:r>
      <w:r w:rsidRPr="00756117">
        <w:rPr>
          <w:rFonts w:eastAsia="Times New Roman" w:cs="Times New Roman"/>
          <w:b/>
          <w:bCs/>
          <w:kern w:val="0"/>
          <w:lang w:eastAsia="en-GB"/>
          <w14:ligatures w14:val="none"/>
        </w:rPr>
        <w:br/>
        <w:t>Twenty-first century: Current Ratio = 65 million GBP minus 23 million GBP ≈ 2.83 million GBP</w:t>
      </w:r>
      <w:r w:rsidRPr="00756117">
        <w:rPr>
          <w:rFonts w:eastAsia="Times New Roman" w:cs="Times New Roman"/>
          <w:b/>
          <w:bCs/>
          <w:kern w:val="0"/>
          <w:lang w:eastAsia="en-GB"/>
          <w14:ligatures w14:val="none"/>
        </w:rPr>
        <w:br/>
        <w:t>65,000,000 GBP = 2.83</w:t>
      </w:r>
      <w:r w:rsidRPr="00756117">
        <w:rPr>
          <w:rFonts w:eastAsia="Times New Roman" w:cs="Times New Roman"/>
          <w:b/>
          <w:bCs/>
          <w:kern w:val="0"/>
          <w:lang w:eastAsia="en-GB"/>
          <w14:ligatures w14:val="none"/>
        </w:rPr>
        <w:br/>
        <w:t>2020: The current ratio is 60 million GBP divided by 21 million GBP, or 2.86 million GBP.</w:t>
      </w:r>
      <w:r w:rsidRPr="00756117">
        <w:rPr>
          <w:rFonts w:eastAsia="Times New Roman" w:cs="Times New Roman"/>
          <w:b/>
          <w:bCs/>
          <w:kern w:val="0"/>
          <w:lang w:eastAsia="en-GB"/>
          <w14:ligatures w14:val="none"/>
        </w:rPr>
        <w:br/>
        <w:t>60,000,000 GBP = 2.86</w:t>
      </w:r>
      <w:r w:rsidRPr="00756117">
        <w:rPr>
          <w:rFonts w:eastAsia="Times New Roman" w:cs="Times New Roman"/>
          <w:b/>
          <w:bCs/>
          <w:kern w:val="0"/>
          <w:lang w:eastAsia="en-GB"/>
          <w14:ligatures w14:val="none"/>
        </w:rPr>
        <w:br/>
        <w:t>The current ratio in 2019 is 58 million GBP.</w:t>
      </w:r>
      <w:r w:rsidRPr="00756117">
        <w:rPr>
          <w:rFonts w:eastAsia="Times New Roman" w:cs="Times New Roman"/>
          <w:b/>
          <w:bCs/>
          <w:kern w:val="0"/>
          <w:lang w:eastAsia="en-GB"/>
          <w14:ligatures w14:val="none"/>
        </w:rPr>
        <w:br/>
        <w:t>Twenty million GBP ≈ 2.90 20 million G</w:t>
      </w:r>
      <w:r w:rsidR="0029018A">
        <w:rPr>
          <w:rFonts w:eastAsia="Times New Roman" w:cs="Times New Roman"/>
          <w:b/>
          <w:bCs/>
          <w:kern w:val="0"/>
          <w:lang w:eastAsia="en-GB"/>
          <w14:ligatures w14:val="none"/>
        </w:rPr>
        <w:t>BP</w:t>
      </w:r>
    </w:p>
    <w:p w14:paraId="43DE0060" w14:textId="77777777" w:rsidR="00060E9E" w:rsidRDefault="00EE0B66" w:rsidP="00060E9E">
      <w:pPr>
        <w:rPr>
          <w:rFonts w:ascii="Times New Roman" w:eastAsia="Times New Roman" w:hAnsi="Times New Roman" w:cs="Times New Roman"/>
          <w:kern w:val="0"/>
          <w:sz w:val="24"/>
          <w:szCs w:val="24"/>
          <w:lang w:eastAsia="en-GB"/>
          <w14:ligatures w14:val="none"/>
        </w:rPr>
      </w:pPr>
      <w:r w:rsidRPr="0029018A">
        <w:rPr>
          <w:rFonts w:eastAsia="Times New Roman" w:cs="Times New Roman"/>
          <w:b/>
          <w:bCs/>
          <w:kern w:val="0"/>
          <w:lang w:eastAsia="en-GB"/>
          <w14:ligatures w14:val="none"/>
        </w:rPr>
        <w:t>In summary, Rightmove has demonstrated good short-term liquidity by continuously maintaining a current ratio above 2.0 over the course of many years.</w:t>
      </w:r>
      <w:r w:rsidR="00060E9E" w:rsidRPr="00060E9E">
        <w:rPr>
          <w:rFonts w:ascii="Times New Roman" w:eastAsia="Times New Roman" w:hAnsi="Times New Roman" w:cs="Times New Roman"/>
          <w:kern w:val="0"/>
          <w:sz w:val="24"/>
          <w:szCs w:val="24"/>
          <w:lang w:eastAsia="en-GB"/>
          <w14:ligatures w14:val="none"/>
        </w:rPr>
        <w:t xml:space="preserve"> </w:t>
      </w:r>
    </w:p>
    <w:p w14:paraId="540E3697" w14:textId="579F70D6" w:rsidR="000D26E7" w:rsidRDefault="00060E9E" w:rsidP="00F67A6E">
      <w:pPr>
        <w:rPr>
          <w:rFonts w:ascii="Times New Roman" w:eastAsia="Times New Roman" w:hAnsi="Times New Roman" w:cs="Times New Roman"/>
          <w:kern w:val="0"/>
          <w:sz w:val="24"/>
          <w:szCs w:val="24"/>
          <w:lang w:eastAsia="en-GB"/>
          <w14:ligatures w14:val="none"/>
        </w:rPr>
      </w:pPr>
      <w:r w:rsidRPr="00060E9E">
        <w:rPr>
          <w:rFonts w:eastAsia="Times New Roman" w:cs="Times New Roman"/>
          <w:b/>
          <w:bCs/>
          <w:kern w:val="0"/>
          <w:lang w:eastAsia="en-GB"/>
          <w14:ligatures w14:val="none"/>
        </w:rPr>
        <w:t>Leverage Ratios Debt-to-Equity Ratio:</w:t>
      </w:r>
      <w:r w:rsidRPr="00060E9E">
        <w:rPr>
          <w:rFonts w:ascii="Times New Roman" w:eastAsia="Times New Roman" w:hAnsi="Times New Roman" w:cs="Times New Roman"/>
          <w:kern w:val="0"/>
          <w:sz w:val="24"/>
          <w:szCs w:val="24"/>
          <w:lang w:eastAsia="en-GB"/>
          <w14:ligatures w14:val="none"/>
        </w:rPr>
        <w:t xml:space="preserve"> </w:t>
      </w:r>
      <w:r w:rsidRPr="005D49DE">
        <w:rPr>
          <w:rFonts w:eastAsia="Times New Roman" w:cs="Times New Roman"/>
          <w:b/>
          <w:bCs/>
          <w:kern w:val="0"/>
          <w:lang w:eastAsia="en-GB"/>
          <w14:ligatures w14:val="none"/>
        </w:rPr>
        <w:t>This ratio helps determine the financial leverage of the organisation by showing how much debt there is compared to equity. A reduced ratio indicates a reduced dependence on debt.</w:t>
      </w:r>
      <w:r w:rsidRPr="005D49DE">
        <w:rPr>
          <w:rFonts w:eastAsia="Times New Roman" w:cs="Times New Roman"/>
          <w:b/>
          <w:bCs/>
          <w:kern w:val="0"/>
          <w:lang w:eastAsia="en-GB"/>
          <w14:ligatures w14:val="none"/>
        </w:rPr>
        <w:br/>
      </w:r>
      <w:r w:rsidRPr="005D49DE">
        <w:rPr>
          <w:rFonts w:eastAsia="Times New Roman" w:cs="Times New Roman"/>
          <w:b/>
          <w:bCs/>
          <w:kern w:val="0"/>
          <w:lang w:eastAsia="en-GB"/>
          <w14:ligatures w14:val="none"/>
        </w:rPr>
        <w:br/>
        <w:t>2023: Total Debt = 7 million GBP (Debt-to-Equity Ratio)</w:t>
      </w:r>
      <w:r w:rsidRPr="005D49DE">
        <w:rPr>
          <w:rFonts w:eastAsia="Times New Roman" w:cs="Times New Roman"/>
          <w:b/>
          <w:bCs/>
          <w:kern w:val="0"/>
          <w:lang w:eastAsia="en-GB"/>
          <w14:ligatures w14:val="none"/>
        </w:rPr>
        <w:br/>
        <w:t>GBP 69 million (Total Equity) ≈ 0.10 GBP 69 million (Total Equity)</w:t>
      </w:r>
      <w:r w:rsidRPr="005D49DE">
        <w:rPr>
          <w:rFonts w:eastAsia="Times New Roman" w:cs="Times New Roman"/>
          <w:b/>
          <w:bCs/>
          <w:kern w:val="0"/>
          <w:lang w:eastAsia="en-GB"/>
          <w14:ligatures w14:val="none"/>
        </w:rPr>
        <w:br/>
        <w:t>Total Debt: 7 million GBP ≈0.10</w:t>
      </w:r>
      <w:r w:rsidRPr="005D49DE">
        <w:rPr>
          <w:rFonts w:eastAsia="Times New Roman" w:cs="Times New Roman"/>
          <w:b/>
          <w:bCs/>
          <w:kern w:val="0"/>
          <w:lang w:eastAsia="en-GB"/>
          <w14:ligatures w14:val="none"/>
        </w:rPr>
        <w:br/>
        <w:t>In 2022, the debt-to-equity ratio will be 10 million GBP, or 68 million GBP −0.15 million GBP.</w:t>
      </w:r>
      <w:r w:rsidRPr="005D49DE">
        <w:rPr>
          <w:rFonts w:eastAsia="Times New Roman" w:cs="Times New Roman"/>
          <w:b/>
          <w:bCs/>
          <w:kern w:val="0"/>
          <w:lang w:eastAsia="en-GB"/>
          <w14:ligatures w14:val="none"/>
        </w:rPr>
        <w:br/>
        <w:t>Ten million GBP = 0.15</w:t>
      </w:r>
      <w:r w:rsidRPr="005D49DE">
        <w:rPr>
          <w:rFonts w:eastAsia="Times New Roman" w:cs="Times New Roman"/>
          <w:b/>
          <w:bCs/>
          <w:kern w:val="0"/>
          <w:lang w:eastAsia="en-GB"/>
          <w14:ligatures w14:val="none"/>
        </w:rPr>
        <w:br/>
        <w:t>Debt-to-Equity Ratio in 2021: 12 million GBP</w:t>
      </w:r>
      <w:r w:rsidRPr="005D49DE">
        <w:rPr>
          <w:rFonts w:eastAsia="Times New Roman" w:cs="Times New Roman"/>
          <w:b/>
          <w:bCs/>
          <w:kern w:val="0"/>
          <w:lang w:eastAsia="en-GB"/>
          <w14:ligatures w14:val="none"/>
        </w:rPr>
        <w:br/>
        <w:t>65 million GBP ≈ 0.18 65 million GBP ≈ 12 million GBP</w:t>
      </w:r>
      <w:r w:rsidRPr="005D49DE">
        <w:rPr>
          <w:rFonts w:eastAsia="Times New Roman" w:cs="Times New Roman"/>
          <w:b/>
          <w:bCs/>
          <w:kern w:val="0"/>
          <w:lang w:eastAsia="en-GB"/>
          <w14:ligatures w14:val="none"/>
        </w:rPr>
        <w:br/>
        <w:t>Debt-to-Equity Ratio in 2020: 15 million GBP</w:t>
      </w:r>
      <w:r w:rsidRPr="005D49DE">
        <w:rPr>
          <w:rFonts w:eastAsia="Times New Roman" w:cs="Times New Roman"/>
          <w:b/>
          <w:bCs/>
          <w:kern w:val="0"/>
          <w:lang w:eastAsia="en-GB"/>
          <w14:ligatures w14:val="none"/>
        </w:rPr>
        <w:br/>
        <w:t>GBP 60 million ≈ 0.25 GBP 60 million</w:t>
      </w:r>
      <w:r w:rsidRPr="005D49DE">
        <w:rPr>
          <w:rFonts w:eastAsia="Times New Roman" w:cs="Times New Roman"/>
          <w:b/>
          <w:bCs/>
          <w:kern w:val="0"/>
          <w:lang w:eastAsia="en-GB"/>
          <w14:ligatures w14:val="none"/>
        </w:rPr>
        <w:br/>
        <w:t>15,000,000 GBP ≈0.25</w:t>
      </w:r>
      <w:r w:rsidRPr="005D49DE">
        <w:rPr>
          <w:rFonts w:eastAsia="Times New Roman" w:cs="Times New Roman"/>
          <w:b/>
          <w:bCs/>
          <w:kern w:val="0"/>
          <w:lang w:eastAsia="en-GB"/>
          <w14:ligatures w14:val="none"/>
        </w:rPr>
        <w:br/>
        <w:t xml:space="preserve">In 2019, the Debt-to-Equity Ratio was equal to 18 million GBP, 58 million GBP, and 18 million GBP, with a </w:t>
      </w:r>
      <w:r w:rsidR="00C62027">
        <w:rPr>
          <w:rFonts w:eastAsia="Times New Roman" w:cs="Times New Roman"/>
          <w:b/>
          <w:bCs/>
          <w:kern w:val="0"/>
          <w:lang w:eastAsia="en-GB"/>
          <w14:ligatures w14:val="none"/>
        </w:rPr>
        <w:t>deviation.</w:t>
      </w:r>
      <w:r w:rsidR="00F67A6E" w:rsidRPr="00F67A6E">
        <w:rPr>
          <w:rFonts w:ascii="Times New Roman" w:eastAsia="Times New Roman" w:hAnsi="Times New Roman" w:cs="Times New Roman"/>
          <w:kern w:val="0"/>
          <w:sz w:val="24"/>
          <w:szCs w:val="24"/>
          <w:lang w:eastAsia="en-GB"/>
          <w14:ligatures w14:val="none"/>
        </w:rPr>
        <w:t xml:space="preserve"> </w:t>
      </w:r>
      <w:r w:rsidR="007D0AEC" w:rsidRPr="00D85FC9">
        <w:rPr>
          <w:rFonts w:eastAsia="Times New Roman" w:cs="Times New Roman"/>
          <w:i/>
          <w:iCs/>
          <w:kern w:val="0"/>
          <w:sz w:val="20"/>
          <w:szCs w:val="20"/>
          <w:lang w:eastAsia="en-GB"/>
          <w14:ligatures w14:val="none"/>
        </w:rPr>
        <w:t>(Yahoo</w:t>
      </w:r>
      <w:r w:rsidR="00D85FC9" w:rsidRPr="00D85FC9">
        <w:rPr>
          <w:rFonts w:eastAsia="Times New Roman" w:cs="Times New Roman"/>
          <w:i/>
          <w:iCs/>
          <w:kern w:val="0"/>
          <w:sz w:val="20"/>
          <w:szCs w:val="20"/>
          <w:lang w:eastAsia="en-GB"/>
          <w14:ligatures w14:val="none"/>
        </w:rPr>
        <w:t xml:space="preserve"> finance)</w:t>
      </w:r>
    </w:p>
    <w:p w14:paraId="3EA8B945" w14:textId="090C70EA" w:rsidR="001777D7" w:rsidRDefault="00F67A6E" w:rsidP="001777D7">
      <w:pPr>
        <w:rPr>
          <w:rFonts w:ascii="Times New Roman" w:eastAsia="Times New Roman" w:hAnsi="Times New Roman" w:cs="Times New Roman"/>
          <w:kern w:val="0"/>
          <w:sz w:val="24"/>
          <w:szCs w:val="24"/>
          <w:lang w:eastAsia="en-GB"/>
          <w14:ligatures w14:val="none"/>
        </w:rPr>
      </w:pPr>
      <w:r w:rsidRPr="000D26E7">
        <w:rPr>
          <w:rFonts w:eastAsia="Times New Roman" w:cs="Times New Roman"/>
          <w:b/>
          <w:bCs/>
          <w:kern w:val="0"/>
          <w:lang w:eastAsia="en-GB"/>
          <w14:ligatures w14:val="none"/>
        </w:rPr>
        <w:t xml:space="preserve">Assessment: Over time, Rightmove has demonstrated a lowering debt-to-equity ratio, indicating a decreased dependence on debt and an increased equity position. This </w:t>
      </w:r>
      <w:r w:rsidRPr="000D26E7">
        <w:rPr>
          <w:rFonts w:eastAsia="Times New Roman" w:cs="Times New Roman"/>
          <w:b/>
          <w:bCs/>
          <w:kern w:val="0"/>
          <w:lang w:eastAsia="en-GB"/>
          <w14:ligatures w14:val="none"/>
        </w:rPr>
        <w:lastRenderedPageBreak/>
        <w:t>suggests a lower financial risk profile and cautious financial management.</w:t>
      </w:r>
      <w:r w:rsidR="00803304" w:rsidRPr="00803304">
        <w:rPr>
          <w:rFonts w:ascii="Times New Roman" w:eastAsia="Times New Roman" w:hAnsi="Times New Roman" w:cs="Times New Roman"/>
          <w:kern w:val="0"/>
          <w:sz w:val="24"/>
          <w:szCs w:val="24"/>
          <w:lang w:eastAsia="en-GB"/>
          <w14:ligatures w14:val="none"/>
        </w:rPr>
        <w:t xml:space="preserve"> </w:t>
      </w:r>
      <w:r w:rsidR="00803304" w:rsidRPr="00D07DE7">
        <w:rPr>
          <w:rFonts w:eastAsia="Times New Roman" w:cs="Times New Roman"/>
          <w:b/>
          <w:bCs/>
          <w:kern w:val="0"/>
          <w:lang w:eastAsia="en-GB"/>
          <w14:ligatures w14:val="none"/>
        </w:rPr>
        <w:t xml:space="preserve">Rightmove PLC has proven to have good liquidity and a strong ability to fulfil its immediate obligations. Its financial stability has been strengthened and its reliance on debt has diminished </w:t>
      </w:r>
      <w:r w:rsidR="004374CB" w:rsidRPr="00D07DE7">
        <w:rPr>
          <w:rFonts w:eastAsia="Times New Roman" w:cs="Times New Roman"/>
          <w:b/>
          <w:bCs/>
          <w:kern w:val="0"/>
          <w:lang w:eastAsia="en-GB"/>
          <w14:ligatures w14:val="none"/>
        </w:rPr>
        <w:t>because of</w:t>
      </w:r>
      <w:r w:rsidR="00803304" w:rsidRPr="00D07DE7">
        <w:rPr>
          <w:rFonts w:eastAsia="Times New Roman" w:cs="Times New Roman"/>
          <w:b/>
          <w:bCs/>
          <w:kern w:val="0"/>
          <w:lang w:eastAsia="en-GB"/>
          <w14:ligatures w14:val="none"/>
        </w:rPr>
        <w:t xml:space="preserve"> a notable drop in leverage. Given the low risk involved in leverage and liquidity, these indicators point to a strong financial foundation.</w:t>
      </w:r>
      <w:r w:rsidR="008D24B1" w:rsidRPr="008D24B1">
        <w:rPr>
          <w:rFonts w:ascii="Times New Roman" w:eastAsia="Times New Roman" w:hAnsi="Times New Roman" w:cs="Times New Roman"/>
          <w:kern w:val="0"/>
          <w:sz w:val="24"/>
          <w:szCs w:val="24"/>
          <w:lang w:eastAsia="en-GB"/>
          <w14:ligatures w14:val="none"/>
        </w:rPr>
        <w:t xml:space="preserve"> </w:t>
      </w:r>
    </w:p>
    <w:p w14:paraId="4FF6C72E" w14:textId="6C7E4549" w:rsidR="007311D4" w:rsidRPr="004374CB" w:rsidRDefault="001777D7" w:rsidP="007311D4">
      <w:pPr>
        <w:rPr>
          <w:rFonts w:eastAsia="Times New Roman" w:cs="Times New Roman"/>
          <w:b/>
          <w:bCs/>
          <w:kern w:val="0"/>
          <w:lang w:eastAsia="en-GB"/>
          <w14:ligatures w14:val="none"/>
        </w:rPr>
      </w:pPr>
      <w:r w:rsidRPr="001777D7">
        <w:rPr>
          <w:rFonts w:eastAsia="Times New Roman" w:cs="Times New Roman"/>
          <w:b/>
          <w:bCs/>
          <w:kern w:val="0"/>
          <w:lang w:eastAsia="en-GB"/>
          <w14:ligatures w14:val="none"/>
        </w:rPr>
        <w:t xml:space="preserve">I'll dissect the important indicators from the information you gave </w:t>
      </w:r>
      <w:r w:rsidR="004374CB" w:rsidRPr="001777D7">
        <w:rPr>
          <w:rFonts w:eastAsia="Times New Roman" w:cs="Times New Roman"/>
          <w:b/>
          <w:bCs/>
          <w:kern w:val="0"/>
          <w:lang w:eastAsia="en-GB"/>
          <w14:ligatures w14:val="none"/>
        </w:rPr>
        <w:t>to</w:t>
      </w:r>
      <w:r w:rsidRPr="001777D7">
        <w:rPr>
          <w:rFonts w:eastAsia="Times New Roman" w:cs="Times New Roman"/>
          <w:b/>
          <w:bCs/>
          <w:kern w:val="0"/>
          <w:lang w:eastAsia="en-GB"/>
          <w14:ligatures w14:val="none"/>
        </w:rPr>
        <w:t xml:space="preserve"> evaluate the financial ratios between Rightmove and </w:t>
      </w:r>
      <w:proofErr w:type="spellStart"/>
      <w:r w:rsidRPr="001777D7">
        <w:rPr>
          <w:rFonts w:eastAsia="Times New Roman" w:cs="Times New Roman"/>
          <w:b/>
          <w:bCs/>
          <w:kern w:val="0"/>
          <w:lang w:eastAsia="en-GB"/>
          <w14:ligatures w14:val="none"/>
        </w:rPr>
        <w:t>OnTheMarket</w:t>
      </w:r>
      <w:proofErr w:type="spellEnd"/>
      <w:r w:rsidRPr="001777D7">
        <w:rPr>
          <w:rFonts w:eastAsia="Times New Roman" w:cs="Times New Roman"/>
          <w:b/>
          <w:bCs/>
          <w:kern w:val="0"/>
          <w:lang w:eastAsia="en-GB"/>
          <w14:ligatures w14:val="none"/>
        </w:rPr>
        <w:t>. Here is a comparison of the two businesses with an emphasis on important financial performance metrics, such as cash flow, operating income, net income, operating growth, and earnings per share (EPS).</w:t>
      </w:r>
      <w:r w:rsidR="004C5519" w:rsidRPr="004C5519">
        <w:rPr>
          <w:rFonts w:ascii="Times New Roman" w:eastAsia="Times New Roman" w:hAnsi="Times New Roman" w:cs="Times New Roman"/>
          <w:kern w:val="0"/>
          <w:sz w:val="24"/>
          <w:szCs w:val="24"/>
          <w:lang w:eastAsia="en-GB"/>
          <w14:ligatures w14:val="none"/>
        </w:rPr>
        <w:t xml:space="preserve"> </w:t>
      </w:r>
      <w:r w:rsidR="004C5519" w:rsidRPr="004374CB">
        <w:rPr>
          <w:rFonts w:eastAsia="Times New Roman" w:cs="Times New Roman"/>
          <w:b/>
          <w:bCs/>
          <w:kern w:val="0"/>
          <w:lang w:eastAsia="en-GB"/>
          <w14:ligatures w14:val="none"/>
        </w:rPr>
        <w:t>Rightmove Financial Overview from December 31, 2023, to December 31, 2020 (TTM)</w:t>
      </w:r>
      <w:r w:rsidR="004C5519" w:rsidRPr="004374CB">
        <w:rPr>
          <w:rFonts w:eastAsia="Times New Roman" w:cs="Times New Roman"/>
          <w:b/>
          <w:bCs/>
          <w:kern w:val="0"/>
          <w:lang w:eastAsia="en-GB"/>
          <w14:ligatures w14:val="none"/>
        </w:rPr>
        <w:br/>
        <w:t>Growth in Revenue: From £205.7 million in 2020 to £364.3 million in 2023, Rightmove's total revenue increased gradually. This compound growth rate indicates the company's excellent business performance.</w:t>
      </w:r>
      <w:r w:rsidR="004C5519" w:rsidRPr="004374CB">
        <w:rPr>
          <w:rFonts w:eastAsia="Times New Roman" w:cs="Times New Roman"/>
          <w:b/>
          <w:bCs/>
          <w:kern w:val="0"/>
          <w:lang w:eastAsia="en-GB"/>
          <w14:ligatures w14:val="none"/>
        </w:rPr>
        <w:br/>
        <w:t xml:space="preserve">Operating Expenses: Between 2020 and 2023, operating expenses climbed from £70.6 million to £106.3 million. The company's operating income increased steadily </w:t>
      </w:r>
      <w:r w:rsidR="004374CB" w:rsidRPr="004374CB">
        <w:rPr>
          <w:rFonts w:eastAsia="Times New Roman" w:cs="Times New Roman"/>
          <w:b/>
          <w:bCs/>
          <w:kern w:val="0"/>
          <w:lang w:eastAsia="en-GB"/>
          <w14:ligatures w14:val="none"/>
        </w:rPr>
        <w:t>despite</w:t>
      </w:r>
      <w:r w:rsidR="004C5519" w:rsidRPr="004374CB">
        <w:rPr>
          <w:rFonts w:eastAsia="Times New Roman" w:cs="Times New Roman"/>
          <w:b/>
          <w:bCs/>
          <w:kern w:val="0"/>
          <w:lang w:eastAsia="en-GB"/>
          <w14:ligatures w14:val="none"/>
        </w:rPr>
        <w:t xml:space="preserve"> this rise, demonstrating effective cost control.</w:t>
      </w:r>
      <w:r w:rsidR="007311D4" w:rsidRPr="004374CB">
        <w:rPr>
          <w:rFonts w:eastAsia="Times New Roman" w:cs="Times New Roman"/>
          <w:b/>
          <w:bCs/>
          <w:kern w:val="0"/>
          <w:lang w:eastAsia="en-GB"/>
          <w14:ligatures w14:val="none"/>
        </w:rPr>
        <w:t xml:space="preserve"> </w:t>
      </w:r>
    </w:p>
    <w:p w14:paraId="22A95A2B" w14:textId="77777777" w:rsidR="00095AFC" w:rsidRPr="004374CB" w:rsidRDefault="007311D4" w:rsidP="00095AFC">
      <w:pPr>
        <w:rPr>
          <w:rFonts w:eastAsia="Times New Roman" w:cs="Times New Roman"/>
          <w:b/>
          <w:bCs/>
          <w:kern w:val="0"/>
          <w:lang w:eastAsia="en-GB"/>
          <w14:ligatures w14:val="none"/>
        </w:rPr>
      </w:pPr>
      <w:r w:rsidRPr="004374CB">
        <w:rPr>
          <w:rFonts w:eastAsia="Times New Roman" w:cs="Times New Roman"/>
          <w:b/>
          <w:bCs/>
          <w:kern w:val="0"/>
          <w:lang w:eastAsia="en-GB"/>
          <w14:ligatures w14:val="none"/>
        </w:rPr>
        <w:t>Operating Income: This continued to be profitable, increasing from £135.1 million in 2020 to £258 million in 2023.</w:t>
      </w:r>
      <w:r w:rsidRPr="004374CB">
        <w:rPr>
          <w:rFonts w:eastAsia="Times New Roman" w:cs="Times New Roman"/>
          <w:b/>
          <w:bCs/>
          <w:kern w:val="0"/>
          <w:lang w:eastAsia="en-GB"/>
          <w14:ligatures w14:val="none"/>
        </w:rPr>
        <w:br/>
        <w:t>From £109.8 million in 2020 to £199.2 million in 2023, net income increased. This continuous growth is a sign of excellent earnings success.</w:t>
      </w:r>
      <w:r w:rsidRPr="004374CB">
        <w:rPr>
          <w:rFonts w:eastAsia="Times New Roman" w:cs="Times New Roman"/>
          <w:b/>
          <w:bCs/>
          <w:kern w:val="0"/>
          <w:lang w:eastAsia="en-GB"/>
          <w14:ligatures w14:val="none"/>
        </w:rPr>
        <w:br/>
        <w:t>Basic and Diluted Earnings Per Share (EPS) climbed from £0.13 in 2020 to £0.24 in 2023, indicating a rise in shareholder value.</w:t>
      </w:r>
      <w:r w:rsidRPr="004374CB">
        <w:rPr>
          <w:rFonts w:eastAsia="Times New Roman" w:cs="Times New Roman"/>
          <w:b/>
          <w:bCs/>
          <w:kern w:val="0"/>
          <w:lang w:eastAsia="en-GB"/>
          <w14:ligatures w14:val="none"/>
        </w:rPr>
        <w:br/>
        <w:t>Income Tax Expense: The tax expense increased in tandem with earnings, demonstrating the implementation of the typical corporation tax rate.</w:t>
      </w:r>
    </w:p>
    <w:p w14:paraId="360FC2C8" w14:textId="2DF38548" w:rsidR="00511564" w:rsidRPr="004374CB" w:rsidRDefault="00095AFC" w:rsidP="00511564">
      <w:pPr>
        <w:rPr>
          <w:rFonts w:eastAsia="Times New Roman" w:cs="Times New Roman"/>
          <w:b/>
          <w:bCs/>
          <w:kern w:val="0"/>
          <w:lang w:eastAsia="en-GB"/>
          <w14:ligatures w14:val="none"/>
        </w:rPr>
      </w:pPr>
      <w:r w:rsidRPr="004374CB">
        <w:rPr>
          <w:rFonts w:eastAsia="Times New Roman" w:cs="Times New Roman"/>
          <w:b/>
          <w:bCs/>
          <w:kern w:val="0"/>
          <w:lang w:eastAsia="en-GB"/>
          <w14:ligatures w14:val="none"/>
        </w:rPr>
        <w:t xml:space="preserve">Financial Overview of </w:t>
      </w:r>
      <w:proofErr w:type="spellStart"/>
      <w:r w:rsidRPr="004374CB">
        <w:rPr>
          <w:rFonts w:eastAsia="Times New Roman" w:cs="Times New Roman"/>
          <w:b/>
          <w:bCs/>
          <w:kern w:val="0"/>
          <w:lang w:eastAsia="en-GB"/>
          <w14:ligatures w14:val="none"/>
        </w:rPr>
        <w:t>OnTheMarket</w:t>
      </w:r>
      <w:proofErr w:type="spellEnd"/>
      <w:r w:rsidRPr="004374CB">
        <w:rPr>
          <w:rFonts w:eastAsia="Times New Roman" w:cs="Times New Roman"/>
          <w:b/>
          <w:bCs/>
          <w:kern w:val="0"/>
          <w:lang w:eastAsia="en-GB"/>
          <w14:ligatures w14:val="none"/>
        </w:rPr>
        <w:t xml:space="preserve"> (TTM to 2023)</w:t>
      </w:r>
      <w:r w:rsidRPr="004374CB">
        <w:rPr>
          <w:rFonts w:eastAsia="Times New Roman" w:cs="Times New Roman"/>
          <w:b/>
          <w:bCs/>
          <w:kern w:val="0"/>
          <w:lang w:eastAsia="en-GB"/>
          <w14:ligatures w14:val="none"/>
        </w:rPr>
        <w:br/>
        <w:t xml:space="preserve">Income and Profitability: </w:t>
      </w:r>
      <w:proofErr w:type="spellStart"/>
      <w:r w:rsidRPr="004374CB">
        <w:rPr>
          <w:rFonts w:eastAsia="Times New Roman" w:cs="Times New Roman"/>
          <w:b/>
          <w:bCs/>
          <w:kern w:val="0"/>
          <w:lang w:eastAsia="en-GB"/>
          <w14:ligatures w14:val="none"/>
        </w:rPr>
        <w:t>OnTheMarket's</w:t>
      </w:r>
      <w:proofErr w:type="spellEnd"/>
      <w:r w:rsidRPr="004374CB">
        <w:rPr>
          <w:rFonts w:eastAsia="Times New Roman" w:cs="Times New Roman"/>
          <w:b/>
          <w:bCs/>
          <w:kern w:val="0"/>
          <w:lang w:eastAsia="en-GB"/>
          <w14:ligatures w14:val="none"/>
        </w:rPr>
        <w:t xml:space="preserve"> performance has been erratic. For example, in 2023 the company reported a net loss of £39.5k, a significant drop from £108k in 2021. The corporation has consistently had net losses in the past, yet 2021 saw improvements.</w:t>
      </w:r>
      <w:r w:rsidRPr="004374CB">
        <w:rPr>
          <w:rFonts w:eastAsia="Times New Roman" w:cs="Times New Roman"/>
          <w:b/>
          <w:bCs/>
          <w:kern w:val="0"/>
          <w:lang w:eastAsia="en-GB"/>
          <w14:ligatures w14:val="none"/>
        </w:rPr>
        <w:br/>
        <w:t>Operating Cash Flow: The operating cash flow showed considerable fluctuations, reaching a high of £7.94 million in 2022 but falling to £1.46 million in 2023. The oscillations point to inconsistent cash flow from the company's main activities.</w:t>
      </w:r>
      <w:r w:rsidR="00511564" w:rsidRPr="004374CB">
        <w:rPr>
          <w:rFonts w:eastAsia="Times New Roman" w:cs="Times New Roman"/>
          <w:b/>
          <w:bCs/>
          <w:kern w:val="0"/>
          <w:lang w:eastAsia="en-GB"/>
          <w14:ligatures w14:val="none"/>
        </w:rPr>
        <w:t xml:space="preserve"> </w:t>
      </w:r>
    </w:p>
    <w:p w14:paraId="14E7D5C1" w14:textId="77777777" w:rsidR="006751BE" w:rsidRPr="008A6762" w:rsidRDefault="00511564" w:rsidP="006751BE">
      <w:pPr>
        <w:rPr>
          <w:rFonts w:eastAsia="Times New Roman" w:cs="Times New Roman"/>
          <w:b/>
          <w:bCs/>
          <w:kern w:val="0"/>
          <w:lang w:eastAsia="en-GB"/>
          <w14:ligatures w14:val="none"/>
        </w:rPr>
      </w:pPr>
      <w:r w:rsidRPr="004374CB">
        <w:rPr>
          <w:rFonts w:eastAsia="Times New Roman" w:cs="Times New Roman"/>
          <w:b/>
          <w:bCs/>
          <w:kern w:val="0"/>
          <w:lang w:eastAsia="en-GB"/>
          <w14:ligatures w14:val="none"/>
        </w:rPr>
        <w:t xml:space="preserve">Investing operations: Due to its significant capital expenditures in comparison to its cash generation, </w:t>
      </w:r>
      <w:proofErr w:type="spellStart"/>
      <w:r w:rsidRPr="004374CB">
        <w:rPr>
          <w:rFonts w:eastAsia="Times New Roman" w:cs="Times New Roman"/>
          <w:b/>
          <w:bCs/>
          <w:kern w:val="0"/>
          <w:lang w:eastAsia="en-GB"/>
          <w14:ligatures w14:val="none"/>
        </w:rPr>
        <w:t>OnTheMarket</w:t>
      </w:r>
      <w:proofErr w:type="spellEnd"/>
      <w:r w:rsidRPr="004374CB">
        <w:rPr>
          <w:rFonts w:eastAsia="Times New Roman" w:cs="Times New Roman"/>
          <w:b/>
          <w:bCs/>
          <w:kern w:val="0"/>
          <w:lang w:eastAsia="en-GB"/>
          <w14:ligatures w14:val="none"/>
        </w:rPr>
        <w:t xml:space="preserve"> has continuously generated negative cash flow from investing</w:t>
      </w:r>
      <w:r w:rsidRPr="00511564">
        <w:rPr>
          <w:rFonts w:ascii="Times New Roman" w:eastAsia="Times New Roman" w:hAnsi="Times New Roman" w:cs="Times New Roman"/>
          <w:kern w:val="0"/>
          <w:sz w:val="24"/>
          <w:szCs w:val="24"/>
          <w:lang w:eastAsia="en-GB"/>
          <w14:ligatures w14:val="none"/>
        </w:rPr>
        <w:t xml:space="preserve"> </w:t>
      </w:r>
      <w:r w:rsidRPr="008A6762">
        <w:rPr>
          <w:rFonts w:eastAsia="Times New Roman" w:cs="Times New Roman"/>
          <w:b/>
          <w:bCs/>
          <w:kern w:val="0"/>
          <w:lang w:eastAsia="en-GB"/>
          <w14:ligatures w14:val="none"/>
        </w:rPr>
        <w:t>operations. For instance, cash outflows from investments in 2023 totalled -£1.21 million.</w:t>
      </w:r>
      <w:r w:rsidRPr="008A6762">
        <w:rPr>
          <w:rFonts w:eastAsia="Times New Roman" w:cs="Times New Roman"/>
          <w:b/>
          <w:bCs/>
          <w:kern w:val="0"/>
          <w:lang w:eastAsia="en-GB"/>
          <w14:ligatures w14:val="none"/>
        </w:rPr>
        <w:br/>
        <w:t>Financing operations: In 2023, the company's cash flow from financing operations was negative, amounting to -£139.5k. This might be attributed to a decrease in external financing as well as debt repayments.</w:t>
      </w:r>
      <w:r w:rsidRPr="008A6762">
        <w:rPr>
          <w:rFonts w:eastAsia="Times New Roman" w:cs="Times New Roman"/>
          <w:b/>
          <w:bCs/>
          <w:kern w:val="0"/>
          <w:lang w:eastAsia="en-GB"/>
          <w14:ligatures w14:val="none"/>
        </w:rPr>
        <w:br/>
        <w:t>Depreciation and amortisation: Due to a growth in capital investment and asset base, these expenses have risen significantly, from £19k in 2015 to £3.71 million in 2023.</w:t>
      </w:r>
    </w:p>
    <w:p w14:paraId="51F19DDA" w14:textId="77777777" w:rsidR="005610B8" w:rsidRPr="008A6762" w:rsidRDefault="006751BE" w:rsidP="005610B8">
      <w:pPr>
        <w:rPr>
          <w:rFonts w:eastAsia="Times New Roman" w:cs="Times New Roman"/>
          <w:b/>
          <w:bCs/>
          <w:kern w:val="0"/>
          <w:lang w:eastAsia="en-GB"/>
          <w14:ligatures w14:val="none"/>
        </w:rPr>
      </w:pPr>
      <w:r w:rsidRPr="008A6762">
        <w:rPr>
          <w:rFonts w:eastAsia="Times New Roman" w:cs="Times New Roman"/>
          <w:b/>
          <w:bCs/>
          <w:kern w:val="0"/>
          <w:lang w:eastAsia="en-GB"/>
          <w14:ligatures w14:val="none"/>
        </w:rPr>
        <w:t xml:space="preserve"> Important Ratios &amp; Comparing:</w:t>
      </w:r>
      <w:r w:rsidRPr="008A6762">
        <w:rPr>
          <w:rFonts w:eastAsia="Times New Roman" w:cs="Times New Roman"/>
          <w:b/>
          <w:bCs/>
          <w:kern w:val="0"/>
          <w:lang w:eastAsia="en-GB"/>
          <w14:ligatures w14:val="none"/>
        </w:rPr>
        <w:br/>
        <w:t>Growth Rate of Revenue:</w:t>
      </w:r>
      <w:r w:rsidRPr="008A6762">
        <w:rPr>
          <w:rFonts w:eastAsia="Times New Roman" w:cs="Times New Roman"/>
          <w:b/>
          <w:bCs/>
          <w:kern w:val="0"/>
          <w:lang w:eastAsia="en-GB"/>
          <w14:ligatures w14:val="none"/>
        </w:rPr>
        <w:br/>
        <w:t>Rightmove: A notable and steady increase, rising from £205.7 million in 2020 to £364.3 million in 2023 on an annual basis.</w:t>
      </w:r>
      <w:r w:rsidRPr="008A6762">
        <w:rPr>
          <w:rFonts w:eastAsia="Times New Roman" w:cs="Times New Roman"/>
          <w:b/>
          <w:bCs/>
          <w:kern w:val="0"/>
          <w:lang w:eastAsia="en-GB"/>
          <w14:ligatures w14:val="none"/>
        </w:rPr>
        <w:br/>
        <w:t>Available for purchase: Not precisely comparable because TTM's specific revenue data isn't given, but the company's general financial performance indicates volatility.</w:t>
      </w:r>
      <w:r w:rsidR="005610B8" w:rsidRPr="008A6762">
        <w:rPr>
          <w:rFonts w:eastAsia="Times New Roman" w:cs="Times New Roman"/>
          <w:b/>
          <w:bCs/>
          <w:kern w:val="0"/>
          <w:lang w:eastAsia="en-GB"/>
          <w14:ligatures w14:val="none"/>
        </w:rPr>
        <w:t xml:space="preserve"> </w:t>
      </w:r>
    </w:p>
    <w:p w14:paraId="48D8D62B" w14:textId="77777777" w:rsidR="00FB0DEF" w:rsidRPr="009A693E" w:rsidRDefault="005610B8" w:rsidP="00FB0DEF">
      <w:pPr>
        <w:rPr>
          <w:rFonts w:eastAsia="Times New Roman" w:cs="Times New Roman"/>
          <w:b/>
          <w:bCs/>
          <w:kern w:val="0"/>
          <w:lang w:eastAsia="en-GB"/>
          <w14:ligatures w14:val="none"/>
        </w:rPr>
      </w:pPr>
      <w:r w:rsidRPr="008A6762">
        <w:rPr>
          <w:rFonts w:eastAsia="Times New Roman" w:cs="Times New Roman"/>
          <w:b/>
          <w:bCs/>
          <w:kern w:val="0"/>
          <w:lang w:eastAsia="en-GB"/>
          <w14:ligatures w14:val="none"/>
        </w:rPr>
        <w:lastRenderedPageBreak/>
        <w:t>Rightmove: High and steadily increasing operating margin, with operating income accounting for a sizable share of revenue (71% in 2023).</w:t>
      </w:r>
      <w:r w:rsidRPr="008A6762">
        <w:rPr>
          <w:rFonts w:eastAsia="Times New Roman" w:cs="Times New Roman"/>
          <w:b/>
          <w:bCs/>
          <w:kern w:val="0"/>
          <w:lang w:eastAsia="en-GB"/>
          <w14:ligatures w14:val="none"/>
        </w:rPr>
        <w:br/>
      </w:r>
      <w:proofErr w:type="spellStart"/>
      <w:r w:rsidRPr="008A6762">
        <w:rPr>
          <w:rFonts w:eastAsia="Times New Roman" w:cs="Times New Roman"/>
          <w:b/>
          <w:bCs/>
          <w:kern w:val="0"/>
          <w:lang w:eastAsia="en-GB"/>
          <w14:ligatures w14:val="none"/>
        </w:rPr>
        <w:t>OnTheMarket</w:t>
      </w:r>
      <w:proofErr w:type="spellEnd"/>
      <w:r w:rsidRPr="008A6762">
        <w:rPr>
          <w:rFonts w:eastAsia="Times New Roman" w:cs="Times New Roman"/>
          <w:b/>
          <w:bCs/>
          <w:kern w:val="0"/>
          <w:lang w:eastAsia="en-GB"/>
          <w14:ligatures w14:val="none"/>
        </w:rPr>
        <w:t>: Probably lower as a result of notable and erratic operational costs and a negative net income, which point to difficulties with profitability.</w:t>
      </w:r>
      <w:r w:rsidRPr="008A6762">
        <w:rPr>
          <w:rFonts w:eastAsia="Times New Roman" w:cs="Times New Roman"/>
          <w:b/>
          <w:bCs/>
          <w:kern w:val="0"/>
          <w:lang w:eastAsia="en-GB"/>
          <w14:ligatures w14:val="none"/>
        </w:rPr>
        <w:br/>
        <w:t>Margin of net profit: Rightmove robust, increasing from £109.8 million in 2020 to £199.2 million in 2023 in net income.</w:t>
      </w:r>
      <w:r w:rsidRPr="005610B8">
        <w:rPr>
          <w:rFonts w:ascii="Times New Roman" w:eastAsia="Times New Roman" w:hAnsi="Times New Roman" w:cs="Times New Roman"/>
          <w:kern w:val="0"/>
          <w:sz w:val="24"/>
          <w:szCs w:val="24"/>
          <w:lang w:eastAsia="en-GB"/>
          <w14:ligatures w14:val="none"/>
        </w:rPr>
        <w:br/>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Usually negative, with notable losses, particularly in the early going (-£11.47 million in 2019).</w:t>
      </w:r>
      <w:r w:rsidR="00FB0DEF" w:rsidRPr="009A693E">
        <w:rPr>
          <w:rFonts w:eastAsia="Times New Roman" w:cs="Times New Roman"/>
          <w:b/>
          <w:bCs/>
          <w:kern w:val="0"/>
          <w:lang w:eastAsia="en-GB"/>
          <w14:ligatures w14:val="none"/>
        </w:rPr>
        <w:t xml:space="preserve"> </w:t>
      </w:r>
    </w:p>
    <w:p w14:paraId="13D00623" w14:textId="77777777" w:rsidR="009D15F4" w:rsidRPr="009A693E" w:rsidRDefault="00FB0DEF" w:rsidP="00104AA2">
      <w:pPr>
        <w:rPr>
          <w:rFonts w:eastAsia="Times New Roman" w:cs="Times New Roman"/>
          <w:b/>
          <w:bCs/>
          <w:kern w:val="0"/>
          <w:lang w:eastAsia="en-GB"/>
          <w14:ligatures w14:val="none"/>
        </w:rPr>
      </w:pPr>
      <w:r w:rsidRPr="009A693E">
        <w:rPr>
          <w:rFonts w:eastAsia="Times New Roman" w:cs="Times New Roman"/>
          <w:b/>
          <w:bCs/>
          <w:kern w:val="0"/>
          <w:lang w:eastAsia="en-GB"/>
          <w14:ligatures w14:val="none"/>
        </w:rPr>
        <w:t>EPS rise: Rightmove: Growing profitability and shareholder value are reflected in the EPS rise from £0.13 in 2020 to £0.24 in 2023.</w:t>
      </w:r>
      <w:r w:rsidRPr="009A693E">
        <w:rPr>
          <w:rFonts w:eastAsia="Times New Roman" w:cs="Times New Roman"/>
          <w:b/>
          <w:bCs/>
          <w:kern w:val="0"/>
          <w:lang w:eastAsia="en-GB"/>
          <w14:ligatures w14:val="none"/>
        </w:rPr>
        <w:br/>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There is no EPS data available, however given net income trends, it is probably low or negative.</w:t>
      </w:r>
      <w:r w:rsidRPr="009A693E">
        <w:rPr>
          <w:rFonts w:eastAsia="Times New Roman" w:cs="Times New Roman"/>
          <w:b/>
          <w:bCs/>
          <w:kern w:val="0"/>
          <w:lang w:eastAsia="en-GB"/>
          <w14:ligatures w14:val="none"/>
        </w:rPr>
        <w:br/>
        <w:t>Rightmove: Positive cash flow analysis due to robust operating income and revenue growth.</w:t>
      </w:r>
      <w:r w:rsidRPr="009A693E">
        <w:rPr>
          <w:rFonts w:eastAsia="Times New Roman" w:cs="Times New Roman"/>
          <w:b/>
          <w:bCs/>
          <w:kern w:val="0"/>
          <w:lang w:eastAsia="en-GB"/>
          <w14:ligatures w14:val="none"/>
        </w:rPr>
        <w:br/>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Operating cash flow exhibits unpredictability and a general deterioration in financial health.</w:t>
      </w:r>
      <w:r w:rsidR="00104AA2" w:rsidRPr="009A693E">
        <w:rPr>
          <w:rFonts w:eastAsia="Times New Roman" w:cs="Times New Roman"/>
          <w:b/>
          <w:bCs/>
          <w:kern w:val="0"/>
          <w:lang w:eastAsia="en-GB"/>
          <w14:ligatures w14:val="none"/>
        </w:rPr>
        <w:t xml:space="preserve"> </w:t>
      </w:r>
    </w:p>
    <w:p w14:paraId="16293F74" w14:textId="3EA0671D" w:rsidR="00104AA2" w:rsidRPr="009A693E" w:rsidRDefault="00104AA2" w:rsidP="00104AA2">
      <w:pPr>
        <w:rPr>
          <w:rFonts w:eastAsia="Times New Roman" w:cs="Times New Roman"/>
          <w:b/>
          <w:bCs/>
          <w:kern w:val="0"/>
          <w:lang w:eastAsia="en-GB"/>
          <w14:ligatures w14:val="none"/>
        </w:rPr>
      </w:pPr>
      <w:r w:rsidRPr="009A693E">
        <w:rPr>
          <w:rFonts w:eastAsia="Times New Roman" w:cs="Times New Roman"/>
          <w:b/>
          <w:bCs/>
          <w:kern w:val="0"/>
          <w:lang w:eastAsia="en-GB"/>
          <w14:ligatures w14:val="none"/>
        </w:rPr>
        <w:t xml:space="preserve">Rightmove has a solid and steady financial performance, showcasing good operating and net profit margins in addition to strong growth in revenue, net income, and earnings per share. </w:t>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xml:space="preserve">, on the other hand, struggles with lower profitability measures, steady net losses, and volatile cash flows. Compared to </w:t>
      </w:r>
      <w:proofErr w:type="spellStart"/>
      <w:r w:rsidRPr="009A693E">
        <w:rPr>
          <w:rFonts w:eastAsia="Times New Roman" w:cs="Times New Roman"/>
          <w:b/>
          <w:bCs/>
          <w:kern w:val="0"/>
          <w:lang w:eastAsia="en-GB"/>
          <w14:ligatures w14:val="none"/>
        </w:rPr>
        <w:t>OnTheMarket</w:t>
      </w:r>
      <w:proofErr w:type="spellEnd"/>
      <w:r w:rsidRPr="009A693E">
        <w:rPr>
          <w:rFonts w:eastAsia="Times New Roman" w:cs="Times New Roman"/>
          <w:b/>
          <w:bCs/>
          <w:kern w:val="0"/>
          <w:lang w:eastAsia="en-GB"/>
          <w14:ligatures w14:val="none"/>
        </w:rPr>
        <w:t>, which is still having trouble turning a profit on a consistent basis, Rightmove seems to be a more reliable and profitable company.</w:t>
      </w:r>
    </w:p>
    <w:p w14:paraId="0ABC8B39" w14:textId="77777777" w:rsidR="00551B22" w:rsidRDefault="00DE504A" w:rsidP="0038620C">
      <w:pPr>
        <w:rPr>
          <w:rFonts w:ascii="Times New Roman" w:eastAsia="Times New Roman" w:hAnsi="Times New Roman" w:cs="Times New Roman"/>
          <w:kern w:val="0"/>
          <w:sz w:val="24"/>
          <w:szCs w:val="24"/>
          <w:lang w:eastAsia="en-GB"/>
          <w14:ligatures w14:val="none"/>
        </w:rPr>
      </w:pPr>
      <w:bookmarkStart w:id="3" w:name="_Toc175049434"/>
      <w:r w:rsidRPr="005E2DF8">
        <w:rPr>
          <w:rStyle w:val="Heading2Char"/>
        </w:rPr>
        <w:t>2,</w:t>
      </w:r>
      <w:r w:rsidR="00BC6AAD" w:rsidRPr="005E2DF8">
        <w:rPr>
          <w:rStyle w:val="Heading2Char"/>
        </w:rPr>
        <w:t>2. Alternative</w:t>
      </w:r>
      <w:r w:rsidR="009F1635" w:rsidRPr="005E2DF8">
        <w:rPr>
          <w:rStyle w:val="Heading2Char"/>
        </w:rPr>
        <w:t xml:space="preserve"> </w:t>
      </w:r>
      <w:r w:rsidR="00BC6AAD" w:rsidRPr="005E2DF8">
        <w:rPr>
          <w:rStyle w:val="Heading2Char"/>
        </w:rPr>
        <w:t>C</w:t>
      </w:r>
      <w:r w:rsidR="009F1635" w:rsidRPr="005E2DF8">
        <w:rPr>
          <w:rStyle w:val="Heading2Char"/>
        </w:rPr>
        <w:t xml:space="preserve">apital </w:t>
      </w:r>
      <w:r w:rsidR="00BC6AAD" w:rsidRPr="005E2DF8">
        <w:rPr>
          <w:rStyle w:val="Heading2Char"/>
        </w:rPr>
        <w:t>Structure Theories:</w:t>
      </w:r>
      <w:bookmarkEnd w:id="3"/>
      <w:r w:rsidR="0080588D" w:rsidRPr="0080588D">
        <w:rPr>
          <w:rFonts w:ascii="Times New Roman" w:eastAsia="Times New Roman" w:hAnsi="Times New Roman" w:cs="Times New Roman"/>
          <w:kern w:val="0"/>
          <w:sz w:val="24"/>
          <w:szCs w:val="24"/>
          <w:lang w:eastAsia="en-GB"/>
          <w14:ligatures w14:val="none"/>
        </w:rPr>
        <w:t xml:space="preserve"> </w:t>
      </w:r>
      <w:r w:rsidR="0080588D" w:rsidRPr="0080588D">
        <w:rPr>
          <w:rFonts w:eastAsia="Times New Roman" w:cs="Times New Roman"/>
          <w:b/>
          <w:bCs/>
          <w:kern w:val="0"/>
          <w:lang w:eastAsia="en-GB"/>
          <w14:ligatures w14:val="none"/>
        </w:rPr>
        <w:t>Theories of capital structure examine how businesses choose to allocate their debt and equity finance. Here is a quick summary of important ideas that makes use of empirical research:</w:t>
      </w:r>
      <w:r w:rsidR="0038620C" w:rsidRPr="0038620C">
        <w:rPr>
          <w:rFonts w:ascii="Times New Roman" w:eastAsia="Times New Roman" w:hAnsi="Times New Roman" w:cs="Times New Roman"/>
          <w:kern w:val="0"/>
          <w:sz w:val="24"/>
          <w:szCs w:val="24"/>
          <w:lang w:eastAsia="en-GB"/>
          <w14:ligatures w14:val="none"/>
        </w:rPr>
        <w:t xml:space="preserve"> </w:t>
      </w:r>
    </w:p>
    <w:p w14:paraId="597908B5" w14:textId="1C3C3CB2" w:rsidR="002820BA" w:rsidRPr="00C16212" w:rsidRDefault="00D40A4B" w:rsidP="00C16212">
      <w:pPr>
        <w:rPr>
          <w:rFonts w:ascii="Times New Roman" w:eastAsia="Times New Roman" w:hAnsi="Times New Roman" w:cs="Times New Roman"/>
          <w:kern w:val="0"/>
          <w:sz w:val="24"/>
          <w:szCs w:val="24"/>
          <w:lang w:eastAsia="en-GB"/>
          <w14:ligatures w14:val="none"/>
        </w:rPr>
      </w:pPr>
      <w:bookmarkStart w:id="4" w:name="_Toc175049435"/>
      <w:r w:rsidRPr="005E2DF8">
        <w:rPr>
          <w:rStyle w:val="Heading3Char"/>
        </w:rPr>
        <w:t>a</w:t>
      </w:r>
      <w:r w:rsidR="00C16212" w:rsidRPr="005E2DF8">
        <w:rPr>
          <w:rStyle w:val="Heading3Char"/>
        </w:rPr>
        <w:t>.</w:t>
      </w:r>
      <w:r w:rsidR="0038620C" w:rsidRPr="005E2DF8">
        <w:rPr>
          <w:rStyle w:val="Heading3Char"/>
        </w:rPr>
        <w:t xml:space="preserve"> Modigliani &amp; Miller (M&amp;M) Theory (1958):</w:t>
      </w:r>
      <w:bookmarkEnd w:id="4"/>
      <w:r w:rsidR="0038620C" w:rsidRPr="00C16212">
        <w:rPr>
          <w:rFonts w:ascii="Times New Roman" w:eastAsia="Times New Roman" w:hAnsi="Times New Roman" w:cs="Times New Roman"/>
          <w:kern w:val="0"/>
          <w:sz w:val="24"/>
          <w:szCs w:val="24"/>
          <w:lang w:eastAsia="en-GB"/>
          <w14:ligatures w14:val="none"/>
        </w:rPr>
        <w:t xml:space="preserve"> </w:t>
      </w:r>
      <w:r w:rsidR="0038620C" w:rsidRPr="00C16212">
        <w:rPr>
          <w:rFonts w:eastAsia="Times New Roman" w:cs="Times New Roman"/>
          <w:b/>
          <w:bCs/>
          <w:kern w:val="0"/>
          <w:lang w:eastAsia="en-GB"/>
          <w14:ligatures w14:val="none"/>
        </w:rPr>
        <w:t>A firm's value is independent of its capital structure in an information-asymmetric world without taxes, bankruptcy costs, or asymmetric markets. This suggests that the overall worth of the company is unaffected by the debt-to-equity ratio.</w:t>
      </w:r>
      <w:r w:rsidR="002820BA" w:rsidRPr="00C16212">
        <w:rPr>
          <w:rFonts w:ascii="Times New Roman" w:eastAsia="Times New Roman" w:hAnsi="Times New Roman" w:cs="Times New Roman"/>
          <w:kern w:val="0"/>
          <w:sz w:val="24"/>
          <w:szCs w:val="24"/>
          <w:lang w:eastAsia="en-GB"/>
          <w14:ligatures w14:val="none"/>
        </w:rPr>
        <w:t xml:space="preserve"> </w:t>
      </w:r>
    </w:p>
    <w:p w14:paraId="55906DB9" w14:textId="77777777" w:rsidR="00555C63" w:rsidRDefault="002820BA" w:rsidP="00555C63">
      <w:pPr>
        <w:rPr>
          <w:rFonts w:ascii="Times New Roman" w:eastAsia="Times New Roman" w:hAnsi="Times New Roman" w:cs="Times New Roman"/>
          <w:kern w:val="0"/>
          <w:sz w:val="24"/>
          <w:szCs w:val="24"/>
          <w:lang w:eastAsia="en-GB"/>
          <w14:ligatures w14:val="none"/>
        </w:rPr>
      </w:pPr>
      <w:r w:rsidRPr="00C16212">
        <w:rPr>
          <w:rFonts w:eastAsia="Times New Roman" w:cs="Times New Roman"/>
          <w:b/>
          <w:bCs/>
          <w:kern w:val="0"/>
          <w:lang w:eastAsia="en-GB"/>
          <w14:ligatures w14:val="none"/>
        </w:rPr>
        <w:t>Proposition II: Because interest payments on debt are deductible from taxes, businesses can use debt to raise their worth. Therefore, a capital structure with 100% debt is ideal.</w:t>
      </w:r>
      <w:r w:rsidR="00C65798" w:rsidRPr="00C65798">
        <w:rPr>
          <w:rFonts w:ascii="Times New Roman" w:eastAsia="Times New Roman" w:hAnsi="Times New Roman" w:cs="Times New Roman"/>
          <w:kern w:val="0"/>
          <w:sz w:val="24"/>
          <w:szCs w:val="24"/>
          <w:lang w:eastAsia="en-GB"/>
          <w14:ligatures w14:val="none"/>
        </w:rPr>
        <w:t xml:space="preserve"> </w:t>
      </w:r>
      <w:r w:rsidR="00C65798" w:rsidRPr="00C65798">
        <w:rPr>
          <w:rFonts w:eastAsia="Times New Roman" w:cs="Times New Roman"/>
          <w:b/>
          <w:bCs/>
          <w:kern w:val="0"/>
          <w:lang w:eastAsia="en-GB"/>
          <w14:ligatures w14:val="none"/>
        </w:rPr>
        <w:t>Empirical Research: Although M&amp;M's theories established the framework for contemporary finance, actual data indicates that their results are only partially applicable due to agency concerns, taxation, and bankruptcy expenses. According to studies, businesses do use debt strategically to get tax shelters, but they do not completely utilise debt because of the risk of bankruptcy.</w:t>
      </w:r>
      <w:r w:rsidR="00555C63" w:rsidRPr="00555C63">
        <w:rPr>
          <w:rFonts w:ascii="Times New Roman" w:eastAsia="Times New Roman" w:hAnsi="Times New Roman" w:cs="Times New Roman"/>
          <w:kern w:val="0"/>
          <w:sz w:val="24"/>
          <w:szCs w:val="24"/>
          <w:lang w:eastAsia="en-GB"/>
          <w14:ligatures w14:val="none"/>
        </w:rPr>
        <w:t xml:space="preserve"> </w:t>
      </w:r>
    </w:p>
    <w:p w14:paraId="2D85C986" w14:textId="77777777" w:rsidR="00692401" w:rsidRPr="00692401" w:rsidRDefault="00A630A7" w:rsidP="00692401">
      <w:pPr>
        <w:rPr>
          <w:rFonts w:eastAsia="Times New Roman" w:cs="Times New Roman"/>
          <w:b/>
          <w:bCs/>
          <w:kern w:val="0"/>
          <w:lang w:eastAsia="en-GB"/>
          <w14:ligatures w14:val="none"/>
        </w:rPr>
      </w:pPr>
      <w:bookmarkStart w:id="5" w:name="_Toc175049436"/>
      <w:r w:rsidRPr="005E2DF8">
        <w:rPr>
          <w:rStyle w:val="Heading3Char"/>
        </w:rPr>
        <w:t>b</w:t>
      </w:r>
      <w:r w:rsidR="00555C63" w:rsidRPr="005E2DF8">
        <w:rPr>
          <w:rStyle w:val="Heading3Char"/>
        </w:rPr>
        <w:t xml:space="preserve">. </w:t>
      </w:r>
      <w:proofErr w:type="spellStart"/>
      <w:r w:rsidR="00555C63" w:rsidRPr="005E2DF8">
        <w:rPr>
          <w:rStyle w:val="Heading3Char"/>
        </w:rPr>
        <w:t>Tradeoff</w:t>
      </w:r>
      <w:proofErr w:type="spellEnd"/>
      <w:r w:rsidR="00555C63" w:rsidRPr="005E2DF8">
        <w:rPr>
          <w:rStyle w:val="Heading3Char"/>
        </w:rPr>
        <w:t xml:space="preserve"> Theory Core Idea:</w:t>
      </w:r>
      <w:bookmarkEnd w:id="5"/>
      <w:r w:rsidR="00555C63" w:rsidRPr="00555C63">
        <w:rPr>
          <w:rFonts w:ascii="Times New Roman" w:eastAsia="Times New Roman" w:hAnsi="Times New Roman" w:cs="Times New Roman"/>
          <w:kern w:val="0"/>
          <w:sz w:val="24"/>
          <w:szCs w:val="24"/>
          <w:lang w:eastAsia="en-GB"/>
          <w14:ligatures w14:val="none"/>
        </w:rPr>
        <w:t xml:space="preserve"> </w:t>
      </w:r>
      <w:r w:rsidR="00692401" w:rsidRPr="00692401">
        <w:rPr>
          <w:rFonts w:eastAsia="Times New Roman" w:cs="Times New Roman"/>
          <w:b/>
          <w:bCs/>
          <w:kern w:val="0"/>
          <w:lang w:eastAsia="en-GB"/>
          <w14:ligatures w14:val="none"/>
        </w:rPr>
        <w:t xml:space="preserve">This theory holds that companies evaluate the advantages of debt against the costs of potential financial difficulties. The optimal capital structure is achieved when the marginal benefit of debt is equal to its marginal cost. Empirical Investigations: </w:t>
      </w:r>
    </w:p>
    <w:p w14:paraId="5B8FFCAC" w14:textId="0090D780" w:rsidR="006B6640" w:rsidRDefault="00132BB6" w:rsidP="006B6640">
      <w:pPr>
        <w:rPr>
          <w:rFonts w:ascii="Times New Roman" w:eastAsia="Times New Roman" w:hAnsi="Times New Roman" w:cs="Times New Roman"/>
          <w:kern w:val="0"/>
          <w:sz w:val="24"/>
          <w:szCs w:val="24"/>
          <w:lang w:eastAsia="en-GB"/>
          <w14:ligatures w14:val="none"/>
        </w:rPr>
      </w:pPr>
      <w:r w:rsidRPr="00132BB6">
        <w:rPr>
          <w:rFonts w:eastAsia="Times New Roman" w:cs="Times New Roman"/>
          <w:b/>
          <w:bCs/>
          <w:kern w:val="0"/>
          <w:lang w:eastAsia="en-GB"/>
          <w14:ligatures w14:val="none"/>
        </w:rPr>
        <w:t xml:space="preserve">Studies supporting the </w:t>
      </w:r>
      <w:proofErr w:type="spellStart"/>
      <w:r w:rsidRPr="00132BB6">
        <w:rPr>
          <w:rFonts w:eastAsia="Times New Roman" w:cs="Times New Roman"/>
          <w:b/>
          <w:bCs/>
          <w:kern w:val="0"/>
          <w:lang w:eastAsia="en-GB"/>
          <w14:ligatures w14:val="none"/>
        </w:rPr>
        <w:t>tradeoff</w:t>
      </w:r>
      <w:proofErr w:type="spellEnd"/>
      <w:r w:rsidRPr="00132BB6">
        <w:rPr>
          <w:rFonts w:eastAsia="Times New Roman" w:cs="Times New Roman"/>
          <w:b/>
          <w:bCs/>
          <w:kern w:val="0"/>
          <w:lang w:eastAsia="en-GB"/>
          <w14:ligatures w14:val="none"/>
        </w:rPr>
        <w:t xml:space="preserve"> theory have revealed conflicting results. According to some research, companies need modify their capital structures to approach goal debt ratios; however, the rate and degree of this modification differ significantly between </w:t>
      </w:r>
      <w:r w:rsidRPr="00132BB6">
        <w:rPr>
          <w:rFonts w:eastAsia="Times New Roman" w:cs="Times New Roman"/>
          <w:b/>
          <w:bCs/>
          <w:kern w:val="0"/>
          <w:lang w:eastAsia="en-GB"/>
          <w14:ligatures w14:val="none"/>
        </w:rPr>
        <w:lastRenderedPageBreak/>
        <w:t>nations and industries. These choices are influenced by various factors, including asset tangibility, profitability, and firm size.</w:t>
      </w:r>
      <w:r w:rsidR="006B6640" w:rsidRPr="006B6640">
        <w:rPr>
          <w:rFonts w:ascii="Times New Roman" w:eastAsia="Times New Roman" w:hAnsi="Times New Roman" w:cs="Times New Roman"/>
          <w:kern w:val="0"/>
          <w:sz w:val="24"/>
          <w:szCs w:val="24"/>
          <w:lang w:eastAsia="en-GB"/>
          <w14:ligatures w14:val="none"/>
        </w:rPr>
        <w:t xml:space="preserve"> </w:t>
      </w:r>
      <w:r w:rsidR="000C7EBD">
        <w:rPr>
          <w:noProof/>
        </w:rPr>
        <w:drawing>
          <wp:inline distT="0" distB="0" distL="0" distR="0" wp14:anchorId="4F7987B0" wp14:editId="09F65733">
            <wp:extent cx="5410200" cy="1628775"/>
            <wp:effectExtent l="0" t="0" r="0" b="9525"/>
            <wp:docPr id="289085475" name="Picture 289085475" descr="Trade-Off Theory of Capital Stru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de-Off Theory of Capital Structur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10200" cy="1628775"/>
                    </a:xfrm>
                    <a:prstGeom prst="rect">
                      <a:avLst/>
                    </a:prstGeom>
                    <a:noFill/>
                    <a:ln>
                      <a:noFill/>
                    </a:ln>
                  </pic:spPr>
                </pic:pic>
              </a:graphicData>
            </a:graphic>
          </wp:inline>
        </w:drawing>
      </w:r>
    </w:p>
    <w:p w14:paraId="47FCD42B" w14:textId="11ACB390" w:rsidR="00782307" w:rsidRDefault="00A630A7" w:rsidP="00782307">
      <w:pPr>
        <w:rPr>
          <w:rFonts w:eastAsia="Times New Roman" w:cs="Times New Roman"/>
          <w:b/>
          <w:bCs/>
          <w:kern w:val="0"/>
          <w:lang w:eastAsia="en-GB"/>
          <w14:ligatures w14:val="none"/>
        </w:rPr>
      </w:pPr>
      <w:bookmarkStart w:id="6" w:name="_Toc175049437"/>
      <w:r w:rsidRPr="005E2DF8">
        <w:rPr>
          <w:rStyle w:val="Heading3Char"/>
        </w:rPr>
        <w:t>c</w:t>
      </w:r>
      <w:r w:rsidR="006B6640" w:rsidRPr="005E2DF8">
        <w:rPr>
          <w:rStyle w:val="Heading3Char"/>
        </w:rPr>
        <w:t>. Myers and Majluf's Pecking Order Theory (1984) Core Idea:</w:t>
      </w:r>
      <w:bookmarkEnd w:id="6"/>
      <w:r w:rsidR="006B6640" w:rsidRPr="006B6640">
        <w:rPr>
          <w:rFonts w:ascii="Times New Roman" w:eastAsia="Times New Roman" w:hAnsi="Times New Roman" w:cs="Times New Roman"/>
          <w:kern w:val="0"/>
          <w:sz w:val="24"/>
          <w:szCs w:val="24"/>
          <w:lang w:eastAsia="en-GB"/>
          <w14:ligatures w14:val="none"/>
        </w:rPr>
        <w:t xml:space="preserve"> </w:t>
      </w:r>
      <w:r w:rsidR="006B6640" w:rsidRPr="006B6640">
        <w:rPr>
          <w:rFonts w:eastAsia="Times New Roman" w:cs="Times New Roman"/>
          <w:b/>
          <w:bCs/>
          <w:kern w:val="0"/>
          <w:lang w:eastAsia="en-GB"/>
          <w14:ligatures w14:val="none"/>
        </w:rPr>
        <w:t>According to this idea, companies would rather use internal funds (retained earnings) to finance new projects than external funds (debt), with equity issuance coming last. The unequal information between managers and investors is the cause of this preferred order.</w:t>
      </w:r>
      <w:r w:rsidR="00AC57E3" w:rsidRPr="00AC57E3">
        <w:rPr>
          <w:rFonts w:ascii="Times New Roman" w:eastAsia="Times New Roman" w:hAnsi="Times New Roman" w:cs="Times New Roman"/>
          <w:kern w:val="0"/>
          <w:sz w:val="24"/>
          <w:szCs w:val="24"/>
          <w:lang w:eastAsia="en-GB"/>
          <w14:ligatures w14:val="none"/>
        </w:rPr>
        <w:t xml:space="preserve"> </w:t>
      </w:r>
      <w:r w:rsidR="00AC57E3" w:rsidRPr="00AC57E3">
        <w:rPr>
          <w:rFonts w:eastAsia="Times New Roman" w:cs="Times New Roman"/>
          <w:b/>
          <w:bCs/>
          <w:kern w:val="0"/>
          <w:lang w:eastAsia="en-GB"/>
          <w14:ligatures w14:val="none"/>
        </w:rPr>
        <w:t>Empirical Research: The pecking order theory has strong empirical backing, especially when it comes to businesses with significant levels of information asymmetry. Disturbances are noted, nevertheless, especially in big businesses that can issue stock without serious information security issues.</w:t>
      </w:r>
    </w:p>
    <w:p w14:paraId="37BCDEE3" w14:textId="1C52EFA4" w:rsidR="0061030E" w:rsidRDefault="0061030E" w:rsidP="00782307">
      <w:pPr>
        <w:rPr>
          <w:rFonts w:eastAsia="Times New Roman" w:cs="Times New Roman"/>
          <w:b/>
          <w:bCs/>
          <w:kern w:val="0"/>
          <w:lang w:eastAsia="en-GB"/>
          <w14:ligatures w14:val="none"/>
        </w:rPr>
      </w:pPr>
      <w:r>
        <w:rPr>
          <w:noProof/>
        </w:rPr>
        <w:drawing>
          <wp:inline distT="0" distB="0" distL="0" distR="0" wp14:anchorId="34C02D50" wp14:editId="7A8D770B">
            <wp:extent cx="5362575" cy="1828800"/>
            <wp:effectExtent l="0" t="0" r="9525" b="0"/>
            <wp:docPr id="2" name="Picture 1" descr="Majluf (1984)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jluf (1984)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2575" cy="1828800"/>
                    </a:xfrm>
                    <a:prstGeom prst="rect">
                      <a:avLst/>
                    </a:prstGeom>
                    <a:noFill/>
                    <a:ln>
                      <a:noFill/>
                    </a:ln>
                  </pic:spPr>
                </pic:pic>
              </a:graphicData>
            </a:graphic>
          </wp:inline>
        </w:drawing>
      </w:r>
    </w:p>
    <w:p w14:paraId="3ED1271B" w14:textId="438BF63A" w:rsidR="00561BF1" w:rsidRDefault="003D5172" w:rsidP="00561BF1">
      <w:pPr>
        <w:rPr>
          <w:rFonts w:ascii="Times New Roman" w:eastAsia="Times New Roman" w:hAnsi="Times New Roman" w:cs="Times New Roman"/>
          <w:kern w:val="0"/>
          <w:sz w:val="24"/>
          <w:szCs w:val="24"/>
          <w:lang w:eastAsia="en-GB"/>
          <w14:ligatures w14:val="none"/>
        </w:rPr>
      </w:pPr>
      <w:bookmarkStart w:id="7" w:name="_Toc175049438"/>
      <w:r w:rsidRPr="005E2DF8">
        <w:rPr>
          <w:rStyle w:val="Heading3Char"/>
        </w:rPr>
        <w:t>d</w:t>
      </w:r>
      <w:r w:rsidR="00782307" w:rsidRPr="005E2DF8">
        <w:rPr>
          <w:rStyle w:val="Heading3Char"/>
        </w:rPr>
        <w:t>. Theory of Optimal Capital Structure</w:t>
      </w:r>
      <w:r w:rsidR="00A27DAB" w:rsidRPr="005E2DF8">
        <w:rPr>
          <w:rStyle w:val="Heading3Char"/>
        </w:rPr>
        <w:t xml:space="preserve"> </w:t>
      </w:r>
      <w:r w:rsidR="00782307" w:rsidRPr="005E2DF8">
        <w:rPr>
          <w:rStyle w:val="Heading3Char"/>
        </w:rPr>
        <w:t>Main Idea:</w:t>
      </w:r>
      <w:bookmarkEnd w:id="7"/>
      <w:r w:rsidR="00782307" w:rsidRPr="00782307">
        <w:rPr>
          <w:rFonts w:ascii="Times New Roman" w:eastAsia="Times New Roman" w:hAnsi="Times New Roman" w:cs="Times New Roman"/>
          <w:kern w:val="0"/>
          <w:sz w:val="24"/>
          <w:szCs w:val="24"/>
          <w:lang w:eastAsia="en-GB"/>
          <w14:ligatures w14:val="none"/>
        </w:rPr>
        <w:t xml:space="preserve"> </w:t>
      </w:r>
      <w:r w:rsidR="00782307" w:rsidRPr="002A1F41">
        <w:rPr>
          <w:rFonts w:eastAsia="Times New Roman" w:cs="Times New Roman"/>
          <w:b/>
          <w:bCs/>
          <w:kern w:val="0"/>
          <w:lang w:eastAsia="en-GB"/>
          <w14:ligatures w14:val="none"/>
        </w:rPr>
        <w:t xml:space="preserve">According to this idea, businesses want to have the best possible capital structure that will maximise their market value and minimise their cost of capital. It incorporates ideas from the </w:t>
      </w:r>
      <w:proofErr w:type="spellStart"/>
      <w:r w:rsidR="00782307" w:rsidRPr="002A1F41">
        <w:rPr>
          <w:rFonts w:eastAsia="Times New Roman" w:cs="Times New Roman"/>
          <w:b/>
          <w:bCs/>
          <w:kern w:val="0"/>
          <w:lang w:eastAsia="en-GB"/>
          <w14:ligatures w14:val="none"/>
        </w:rPr>
        <w:t>tradeoff</w:t>
      </w:r>
      <w:proofErr w:type="spellEnd"/>
      <w:r w:rsidR="00782307" w:rsidRPr="002A1F41">
        <w:rPr>
          <w:rFonts w:eastAsia="Times New Roman" w:cs="Times New Roman"/>
          <w:b/>
          <w:bCs/>
          <w:kern w:val="0"/>
          <w:lang w:eastAsia="en-GB"/>
          <w14:ligatures w14:val="none"/>
        </w:rPr>
        <w:t xml:space="preserve"> and pecking order theories, highlighting the reality that businesses adapt dynamically to changing external and internal market situations.</w:t>
      </w:r>
      <w:r w:rsidR="00561BF1" w:rsidRPr="00561BF1">
        <w:rPr>
          <w:rFonts w:ascii="Times New Roman" w:eastAsia="Times New Roman" w:hAnsi="Times New Roman" w:cs="Times New Roman"/>
          <w:kern w:val="0"/>
          <w:sz w:val="24"/>
          <w:szCs w:val="24"/>
          <w:lang w:eastAsia="en-GB"/>
          <w14:ligatures w14:val="none"/>
        </w:rPr>
        <w:t xml:space="preserve"> </w:t>
      </w:r>
    </w:p>
    <w:p w14:paraId="18EB064B" w14:textId="49ED8E04" w:rsidR="00453DCF" w:rsidRDefault="00775BDC" w:rsidP="00561BF1">
      <w:pPr>
        <w:rPr>
          <w:rFonts w:ascii="Times New Roman" w:eastAsia="Times New Roman" w:hAnsi="Times New Roman" w:cs="Times New Roman"/>
          <w:kern w:val="0"/>
          <w:sz w:val="24"/>
          <w:szCs w:val="24"/>
          <w:lang w:eastAsia="en-GB"/>
          <w14:ligatures w14:val="none"/>
        </w:rPr>
      </w:pPr>
      <w:r>
        <w:rPr>
          <w:noProof/>
        </w:rPr>
        <w:drawing>
          <wp:inline distT="0" distB="0" distL="0" distR="0" wp14:anchorId="396E0CE4" wp14:editId="5AD0E114">
            <wp:extent cx="5495925" cy="1695450"/>
            <wp:effectExtent l="0" t="0" r="9525" b="0"/>
            <wp:docPr id="3" name="Picture 2" descr="Optimal Capital Structure | Fin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timal Capital Structure | Finance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95925" cy="1695450"/>
                    </a:xfrm>
                    <a:prstGeom prst="rect">
                      <a:avLst/>
                    </a:prstGeom>
                    <a:noFill/>
                    <a:ln>
                      <a:noFill/>
                    </a:ln>
                  </pic:spPr>
                </pic:pic>
              </a:graphicData>
            </a:graphic>
          </wp:inline>
        </w:drawing>
      </w:r>
    </w:p>
    <w:p w14:paraId="45D6A8C9" w14:textId="77777777" w:rsidR="00505F08" w:rsidRDefault="00561BF1" w:rsidP="00C77AB6">
      <w:pPr>
        <w:rPr>
          <w:rFonts w:ascii="Times New Roman" w:eastAsia="Times New Roman" w:hAnsi="Times New Roman" w:cs="Times New Roman"/>
          <w:kern w:val="0"/>
          <w:sz w:val="24"/>
          <w:szCs w:val="24"/>
          <w:lang w:eastAsia="en-GB"/>
          <w14:ligatures w14:val="none"/>
        </w:rPr>
      </w:pPr>
      <w:r w:rsidRPr="009B04EA">
        <w:rPr>
          <w:rFonts w:eastAsia="Times New Roman" w:cs="Times New Roman"/>
          <w:b/>
          <w:bCs/>
          <w:kern w:val="0"/>
          <w:lang w:eastAsia="en-GB"/>
          <w14:ligatures w14:val="none"/>
        </w:rPr>
        <w:lastRenderedPageBreak/>
        <w:t>Empirical Research: Studies reveal that although businesses frequently aim for an ideal capital structure, there are times when market timing, agency expenses, and macroeconomic factors cause deviations. The theory has developed to take behavioural aspects and the effects of financial innovations into account.</w:t>
      </w:r>
      <w:r w:rsidR="00C77AB6" w:rsidRPr="00C77AB6">
        <w:rPr>
          <w:rFonts w:ascii="Times New Roman" w:eastAsia="Times New Roman" w:hAnsi="Times New Roman" w:cs="Times New Roman"/>
          <w:kern w:val="0"/>
          <w:sz w:val="24"/>
          <w:szCs w:val="24"/>
          <w:lang w:eastAsia="en-GB"/>
          <w14:ligatures w14:val="none"/>
        </w:rPr>
        <w:t xml:space="preserve"> </w:t>
      </w:r>
    </w:p>
    <w:p w14:paraId="719193B3" w14:textId="78007D5F" w:rsidR="00C77AB6" w:rsidRDefault="00C77AB6" w:rsidP="00C77AB6">
      <w:pPr>
        <w:rPr>
          <w:rFonts w:eastAsia="Times New Roman" w:cs="Times New Roman"/>
          <w:b/>
          <w:bCs/>
          <w:kern w:val="0"/>
          <w:lang w:eastAsia="en-GB"/>
          <w14:ligatures w14:val="none"/>
        </w:rPr>
      </w:pPr>
      <w:r w:rsidRPr="00505F08">
        <w:rPr>
          <w:rFonts w:eastAsia="Times New Roman" w:cs="Times New Roman"/>
          <w:b/>
          <w:bCs/>
          <w:kern w:val="0"/>
          <w:lang w:eastAsia="en-GB"/>
          <w14:ligatures w14:val="none"/>
        </w:rPr>
        <w:t>The notion that no one theory can adequately explain capital structure decisions made by all enterprises is generally supported by empirical research. Rather, it seems that businesses use a mix of these theories, modifying their approaches according to both internal and external market dynamics.</w:t>
      </w:r>
    </w:p>
    <w:p w14:paraId="04DE4771" w14:textId="4AF88448" w:rsidR="008428E0" w:rsidRPr="00DF3401" w:rsidRDefault="008428E0" w:rsidP="00DF3401">
      <w:pPr>
        <w:pStyle w:val="Heading2"/>
      </w:pPr>
      <w:bookmarkStart w:id="8" w:name="_Toc175049439"/>
      <w:r w:rsidRPr="00DF3401">
        <w:t>2,</w:t>
      </w:r>
      <w:r w:rsidR="009E112F" w:rsidRPr="00DF3401">
        <w:t>3. Rightmove’s</w:t>
      </w:r>
      <w:r w:rsidR="00430DF0" w:rsidRPr="00DF3401">
        <w:t xml:space="preserve"> Share</w:t>
      </w:r>
      <w:r w:rsidR="00BD2722" w:rsidRPr="00DF3401">
        <w:t xml:space="preserve"> </w:t>
      </w:r>
      <w:r w:rsidR="009E112F" w:rsidRPr="00DF3401">
        <w:t>Market:</w:t>
      </w:r>
      <w:bookmarkEnd w:id="8"/>
    </w:p>
    <w:p w14:paraId="5F1986DC" w14:textId="47A38DE8" w:rsidR="00730A79" w:rsidRPr="00FE21B8" w:rsidRDefault="00713138" w:rsidP="00C77AB6">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Average Annual</w:t>
      </w:r>
      <w:r w:rsidR="00534A64" w:rsidRPr="00FE21B8">
        <w:rPr>
          <w:rFonts w:eastAsia="Times New Roman" w:cs="Times New Roman"/>
          <w:b/>
          <w:bCs/>
          <w:kern w:val="0"/>
          <w:lang w:eastAsia="en-GB"/>
          <w14:ligatures w14:val="none"/>
        </w:rPr>
        <w:t xml:space="preserve"> </w:t>
      </w:r>
      <w:r w:rsidR="00142D1C" w:rsidRPr="00FE21B8">
        <w:rPr>
          <w:rFonts w:eastAsia="Times New Roman" w:cs="Times New Roman"/>
          <w:b/>
          <w:bCs/>
          <w:kern w:val="0"/>
          <w:lang w:eastAsia="en-GB"/>
          <w14:ligatures w14:val="none"/>
        </w:rPr>
        <w:t xml:space="preserve">Return (2024) </w:t>
      </w:r>
      <w:r w:rsidR="00D553DB" w:rsidRPr="00FE21B8">
        <w:rPr>
          <w:rFonts w:eastAsia="Times New Roman" w:cs="Times New Roman"/>
          <w:b/>
          <w:bCs/>
          <w:kern w:val="0"/>
          <w:lang w:eastAsia="en-GB"/>
          <w14:ligatures w14:val="none"/>
        </w:rPr>
        <w:t>= (</w:t>
      </w:r>
      <w:r w:rsidR="003863A2" w:rsidRPr="00FE21B8">
        <w:rPr>
          <w:rFonts w:eastAsia="Times New Roman" w:cs="Times New Roman"/>
          <w:b/>
          <w:bCs/>
          <w:kern w:val="0"/>
          <w:lang w:eastAsia="en-GB"/>
          <w14:ligatures w14:val="none"/>
        </w:rPr>
        <w:t>Ending val</w:t>
      </w:r>
      <w:r w:rsidR="006C56DF" w:rsidRPr="00FE21B8">
        <w:rPr>
          <w:rFonts w:eastAsia="Times New Roman" w:cs="Times New Roman"/>
          <w:b/>
          <w:bCs/>
          <w:kern w:val="0"/>
          <w:lang w:eastAsia="en-GB"/>
          <w14:ligatures w14:val="none"/>
        </w:rPr>
        <w:t xml:space="preserve">ue/Beginning </w:t>
      </w:r>
      <w:r w:rsidR="00FE3F02" w:rsidRPr="00FE21B8">
        <w:rPr>
          <w:rFonts w:eastAsia="Times New Roman" w:cs="Times New Roman"/>
          <w:b/>
          <w:bCs/>
          <w:kern w:val="0"/>
          <w:lang w:eastAsia="en-GB"/>
          <w14:ligatures w14:val="none"/>
        </w:rPr>
        <w:t>value) x</w:t>
      </w:r>
      <w:r w:rsidR="00E302DB" w:rsidRPr="00FE21B8">
        <w:rPr>
          <w:rFonts w:eastAsia="Times New Roman" w:cs="Times New Roman"/>
          <w:b/>
          <w:bCs/>
          <w:kern w:val="0"/>
          <w:lang w:eastAsia="en-GB"/>
          <w14:ligatures w14:val="none"/>
        </w:rPr>
        <w:t>1/1-1=</w:t>
      </w:r>
      <w:r w:rsidR="00D92AE6" w:rsidRPr="00FE21B8">
        <w:rPr>
          <w:rFonts w:eastAsia="Times New Roman" w:cs="Times New Roman"/>
          <w:b/>
          <w:bCs/>
          <w:kern w:val="0"/>
          <w:lang w:eastAsia="en-GB"/>
          <w14:ligatures w14:val="none"/>
        </w:rPr>
        <w:t>-0</w:t>
      </w:r>
      <w:r w:rsidR="00142D1C" w:rsidRPr="00FE21B8">
        <w:rPr>
          <w:rFonts w:eastAsia="Times New Roman" w:cs="Times New Roman"/>
          <w:b/>
          <w:bCs/>
          <w:kern w:val="0"/>
          <w:lang w:eastAsia="en-GB"/>
          <w14:ligatures w14:val="none"/>
        </w:rPr>
        <w:t>.018</w:t>
      </w:r>
    </w:p>
    <w:p w14:paraId="58FA4D18" w14:textId="151A0BB5" w:rsidR="00142D1C" w:rsidRPr="00FE21B8" w:rsidRDefault="00142D1C" w:rsidP="00142D1C">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Average Annual Return (</w:t>
      </w:r>
      <w:r w:rsidR="005444A5" w:rsidRPr="00FE21B8">
        <w:rPr>
          <w:rFonts w:eastAsia="Times New Roman" w:cs="Times New Roman"/>
          <w:b/>
          <w:bCs/>
          <w:kern w:val="0"/>
          <w:lang w:eastAsia="en-GB"/>
          <w14:ligatures w14:val="none"/>
        </w:rPr>
        <w:t xml:space="preserve">2023) </w:t>
      </w:r>
      <w:r w:rsidR="00D553DB" w:rsidRPr="00FE21B8">
        <w:rPr>
          <w:rFonts w:eastAsia="Times New Roman" w:cs="Times New Roman"/>
          <w:b/>
          <w:bCs/>
          <w:kern w:val="0"/>
          <w:lang w:eastAsia="en-GB"/>
          <w14:ligatures w14:val="none"/>
        </w:rPr>
        <w:t>= (</w:t>
      </w:r>
      <w:r w:rsidRPr="00FE21B8">
        <w:rPr>
          <w:rFonts w:eastAsia="Times New Roman" w:cs="Times New Roman"/>
          <w:b/>
          <w:bCs/>
          <w:kern w:val="0"/>
          <w:lang w:eastAsia="en-GB"/>
          <w14:ligatures w14:val="none"/>
        </w:rPr>
        <w:t xml:space="preserve">Ending value/Beginning </w:t>
      </w:r>
      <w:r w:rsidR="00FE3F02" w:rsidRPr="00FE21B8">
        <w:rPr>
          <w:rFonts w:eastAsia="Times New Roman" w:cs="Times New Roman"/>
          <w:b/>
          <w:bCs/>
          <w:kern w:val="0"/>
          <w:lang w:eastAsia="en-GB"/>
          <w14:ligatures w14:val="none"/>
        </w:rPr>
        <w:t>value) x</w:t>
      </w:r>
      <w:r w:rsidRPr="00FE21B8">
        <w:rPr>
          <w:rFonts w:eastAsia="Times New Roman" w:cs="Times New Roman"/>
          <w:b/>
          <w:bCs/>
          <w:kern w:val="0"/>
          <w:lang w:eastAsia="en-GB"/>
          <w14:ligatures w14:val="none"/>
        </w:rPr>
        <w:t>1/</w:t>
      </w:r>
      <w:r w:rsidR="002A33EB" w:rsidRPr="00FE21B8">
        <w:rPr>
          <w:rFonts w:eastAsia="Times New Roman" w:cs="Times New Roman"/>
          <w:b/>
          <w:bCs/>
          <w:kern w:val="0"/>
          <w:lang w:eastAsia="en-GB"/>
          <w14:ligatures w14:val="none"/>
        </w:rPr>
        <w:t>2</w:t>
      </w:r>
      <w:r w:rsidRPr="00FE21B8">
        <w:rPr>
          <w:rFonts w:eastAsia="Times New Roman" w:cs="Times New Roman"/>
          <w:b/>
          <w:bCs/>
          <w:kern w:val="0"/>
          <w:lang w:eastAsia="en-GB"/>
          <w14:ligatures w14:val="none"/>
        </w:rPr>
        <w:t>-1=-</w:t>
      </w:r>
      <w:r w:rsidR="00A252E0" w:rsidRPr="00FE21B8">
        <w:rPr>
          <w:rFonts w:eastAsia="Times New Roman" w:cs="Times New Roman"/>
          <w:b/>
          <w:bCs/>
          <w:kern w:val="0"/>
          <w:lang w:eastAsia="en-GB"/>
          <w14:ligatures w14:val="none"/>
        </w:rPr>
        <w:t>0.5</w:t>
      </w:r>
    </w:p>
    <w:p w14:paraId="38C09E8E" w14:textId="0C113DE7" w:rsidR="005444A5" w:rsidRPr="00FE21B8" w:rsidRDefault="005444A5" w:rsidP="005444A5">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 xml:space="preserve">Average Annual Return (2022) </w:t>
      </w:r>
      <w:r w:rsidR="00B77E18" w:rsidRPr="00FE21B8">
        <w:rPr>
          <w:rFonts w:eastAsia="Times New Roman" w:cs="Times New Roman"/>
          <w:b/>
          <w:bCs/>
          <w:kern w:val="0"/>
          <w:lang w:eastAsia="en-GB"/>
          <w14:ligatures w14:val="none"/>
        </w:rPr>
        <w:t>= (</w:t>
      </w:r>
      <w:r w:rsidRPr="00FE21B8">
        <w:rPr>
          <w:rFonts w:eastAsia="Times New Roman" w:cs="Times New Roman"/>
          <w:b/>
          <w:bCs/>
          <w:kern w:val="0"/>
          <w:lang w:eastAsia="en-GB"/>
          <w14:ligatures w14:val="none"/>
        </w:rPr>
        <w:t xml:space="preserve">Ending value/Beginning </w:t>
      </w:r>
      <w:r w:rsidR="00D93E6D" w:rsidRPr="00FE21B8">
        <w:rPr>
          <w:rFonts w:eastAsia="Times New Roman" w:cs="Times New Roman"/>
          <w:b/>
          <w:bCs/>
          <w:kern w:val="0"/>
          <w:lang w:eastAsia="en-GB"/>
          <w14:ligatures w14:val="none"/>
        </w:rPr>
        <w:t>value) x</w:t>
      </w:r>
      <w:r w:rsidRPr="00FE21B8">
        <w:rPr>
          <w:rFonts w:eastAsia="Times New Roman" w:cs="Times New Roman"/>
          <w:b/>
          <w:bCs/>
          <w:kern w:val="0"/>
          <w:lang w:eastAsia="en-GB"/>
          <w14:ligatures w14:val="none"/>
        </w:rPr>
        <w:t>1/3-1=-</w:t>
      </w:r>
      <w:r w:rsidR="005C1282" w:rsidRPr="00FE21B8">
        <w:rPr>
          <w:rFonts w:eastAsia="Times New Roman" w:cs="Times New Roman"/>
          <w:b/>
          <w:bCs/>
          <w:kern w:val="0"/>
          <w:lang w:eastAsia="en-GB"/>
          <w14:ligatures w14:val="none"/>
        </w:rPr>
        <w:t>0</w:t>
      </w:r>
      <w:r w:rsidR="00B77E18" w:rsidRPr="00FE21B8">
        <w:rPr>
          <w:rFonts w:eastAsia="Times New Roman" w:cs="Times New Roman"/>
          <w:b/>
          <w:bCs/>
          <w:kern w:val="0"/>
          <w:lang w:eastAsia="en-GB"/>
          <w14:ligatures w14:val="none"/>
        </w:rPr>
        <w:t>.7</w:t>
      </w:r>
    </w:p>
    <w:p w14:paraId="307AD130" w14:textId="0C547323" w:rsidR="00B77E18" w:rsidRPr="00FE21B8" w:rsidRDefault="00B77E18" w:rsidP="00B77E18">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 xml:space="preserve">Average Annual Return (2021) = (Ending value/Beginning </w:t>
      </w:r>
      <w:r w:rsidR="00D93E6D" w:rsidRPr="00FE21B8">
        <w:rPr>
          <w:rFonts w:eastAsia="Times New Roman" w:cs="Times New Roman"/>
          <w:b/>
          <w:bCs/>
          <w:kern w:val="0"/>
          <w:lang w:eastAsia="en-GB"/>
          <w14:ligatures w14:val="none"/>
        </w:rPr>
        <w:t>value) x</w:t>
      </w:r>
      <w:r w:rsidRPr="00FE21B8">
        <w:rPr>
          <w:rFonts w:eastAsia="Times New Roman" w:cs="Times New Roman"/>
          <w:b/>
          <w:bCs/>
          <w:kern w:val="0"/>
          <w:lang w:eastAsia="en-GB"/>
          <w14:ligatures w14:val="none"/>
        </w:rPr>
        <w:t>1/</w:t>
      </w:r>
      <w:r w:rsidR="00D93E6D" w:rsidRPr="00FE21B8">
        <w:rPr>
          <w:rFonts w:eastAsia="Times New Roman" w:cs="Times New Roman"/>
          <w:b/>
          <w:bCs/>
          <w:kern w:val="0"/>
          <w:lang w:eastAsia="en-GB"/>
          <w14:ligatures w14:val="none"/>
        </w:rPr>
        <w:t>4</w:t>
      </w:r>
      <w:r w:rsidRPr="00FE21B8">
        <w:rPr>
          <w:rFonts w:eastAsia="Times New Roman" w:cs="Times New Roman"/>
          <w:b/>
          <w:bCs/>
          <w:kern w:val="0"/>
          <w:lang w:eastAsia="en-GB"/>
          <w14:ligatures w14:val="none"/>
        </w:rPr>
        <w:t>-1=-</w:t>
      </w:r>
      <w:r w:rsidR="00E367D9" w:rsidRPr="00FE21B8">
        <w:rPr>
          <w:rFonts w:eastAsia="Times New Roman" w:cs="Times New Roman"/>
          <w:b/>
          <w:bCs/>
          <w:kern w:val="0"/>
          <w:lang w:eastAsia="en-GB"/>
          <w14:ligatures w14:val="none"/>
        </w:rPr>
        <w:t>0.</w:t>
      </w:r>
      <w:r w:rsidR="00856ADC" w:rsidRPr="00FE21B8">
        <w:rPr>
          <w:rFonts w:eastAsia="Times New Roman" w:cs="Times New Roman"/>
          <w:b/>
          <w:bCs/>
          <w:kern w:val="0"/>
          <w:lang w:eastAsia="en-GB"/>
          <w14:ligatures w14:val="none"/>
        </w:rPr>
        <w:t>74</w:t>
      </w:r>
    </w:p>
    <w:p w14:paraId="7EE87D72" w14:textId="51D93EC7" w:rsidR="00E23138" w:rsidRPr="00FE21B8" w:rsidRDefault="00E23138" w:rsidP="00E23138">
      <w:pPr>
        <w:rPr>
          <w:rFonts w:eastAsia="Times New Roman" w:cs="Times New Roman"/>
          <w:b/>
          <w:bCs/>
          <w:kern w:val="0"/>
          <w:lang w:eastAsia="en-GB"/>
          <w14:ligatures w14:val="none"/>
        </w:rPr>
      </w:pPr>
      <w:r w:rsidRPr="00FE21B8">
        <w:rPr>
          <w:rFonts w:eastAsia="Times New Roman" w:cs="Times New Roman"/>
          <w:b/>
          <w:bCs/>
          <w:kern w:val="0"/>
          <w:lang w:eastAsia="en-GB"/>
          <w14:ligatures w14:val="none"/>
        </w:rPr>
        <w:t>Average Annual Return (2020) = (Ending value/Beginning value) x1/5-1=-</w:t>
      </w:r>
      <w:r w:rsidR="00AA0D36" w:rsidRPr="00FE21B8">
        <w:rPr>
          <w:rFonts w:eastAsia="Times New Roman" w:cs="Times New Roman"/>
          <w:b/>
          <w:bCs/>
          <w:kern w:val="0"/>
          <w:lang w:eastAsia="en-GB"/>
          <w14:ligatures w14:val="none"/>
        </w:rPr>
        <w:t>0.</w:t>
      </w:r>
      <w:r w:rsidR="00D9259F" w:rsidRPr="00FE21B8">
        <w:rPr>
          <w:rFonts w:eastAsia="Times New Roman" w:cs="Times New Roman"/>
          <w:b/>
          <w:bCs/>
          <w:kern w:val="0"/>
          <w:lang w:eastAsia="en-GB"/>
          <w14:ligatures w14:val="none"/>
        </w:rPr>
        <w:t>79</w:t>
      </w:r>
    </w:p>
    <w:p w14:paraId="1F7BBCCD" w14:textId="77777777" w:rsidR="001575D5" w:rsidRPr="00FE21B8" w:rsidRDefault="00274BD0" w:rsidP="001575D5">
      <w:pPr>
        <w:rPr>
          <w:rFonts w:ascii="Times New Roman" w:eastAsia="Times New Roman" w:hAnsi="Times New Roman" w:cs="Times New Roman"/>
          <w:kern w:val="0"/>
          <w:lang w:eastAsia="en-GB"/>
          <w14:ligatures w14:val="none"/>
        </w:rPr>
      </w:pPr>
      <w:r w:rsidRPr="00FE21B8">
        <w:rPr>
          <w:rFonts w:eastAsia="Times New Roman" w:cs="Times New Roman"/>
          <w:b/>
          <w:bCs/>
          <w:kern w:val="0"/>
          <w:lang w:eastAsia="en-GB"/>
          <w14:ligatures w14:val="none"/>
        </w:rPr>
        <w:t>Average Annual Return (2019) = (Ending value/Beginning value) x1/</w:t>
      </w:r>
      <w:r w:rsidR="00706473" w:rsidRPr="00FE21B8">
        <w:rPr>
          <w:rFonts w:eastAsia="Times New Roman" w:cs="Times New Roman"/>
          <w:b/>
          <w:bCs/>
          <w:kern w:val="0"/>
          <w:lang w:eastAsia="en-GB"/>
          <w14:ligatures w14:val="none"/>
        </w:rPr>
        <w:t>6</w:t>
      </w:r>
      <w:r w:rsidRPr="00FE21B8">
        <w:rPr>
          <w:rFonts w:eastAsia="Times New Roman" w:cs="Times New Roman"/>
          <w:b/>
          <w:bCs/>
          <w:kern w:val="0"/>
          <w:lang w:eastAsia="en-GB"/>
          <w14:ligatures w14:val="none"/>
        </w:rPr>
        <w:t>-1=-</w:t>
      </w:r>
      <w:r w:rsidR="00882377" w:rsidRPr="00FE21B8">
        <w:rPr>
          <w:rFonts w:eastAsia="Times New Roman" w:cs="Times New Roman"/>
          <w:b/>
          <w:bCs/>
          <w:kern w:val="0"/>
          <w:lang w:eastAsia="en-GB"/>
          <w14:ligatures w14:val="none"/>
        </w:rPr>
        <w:t>0.</w:t>
      </w:r>
      <w:r w:rsidR="00D018DF" w:rsidRPr="00FE21B8">
        <w:rPr>
          <w:rFonts w:eastAsia="Times New Roman" w:cs="Times New Roman"/>
          <w:b/>
          <w:bCs/>
          <w:kern w:val="0"/>
          <w:lang w:eastAsia="en-GB"/>
          <w14:ligatures w14:val="none"/>
        </w:rPr>
        <w:t>82</w:t>
      </w:r>
      <w:r w:rsidR="001575D5" w:rsidRPr="00FE21B8">
        <w:rPr>
          <w:rFonts w:ascii="Times New Roman" w:eastAsia="Times New Roman" w:hAnsi="Times New Roman" w:cs="Times New Roman"/>
          <w:kern w:val="0"/>
          <w:lang w:eastAsia="en-GB"/>
          <w14:ligatures w14:val="none"/>
        </w:rPr>
        <w:t xml:space="preserve"> </w:t>
      </w:r>
    </w:p>
    <w:p w14:paraId="624AE334" w14:textId="77777777" w:rsidR="007A43D3" w:rsidRDefault="001575D5" w:rsidP="001321CC">
      <w:pPr>
        <w:rPr>
          <w:rFonts w:ascii="Times New Roman" w:eastAsia="Times New Roman" w:hAnsi="Times New Roman" w:cs="Times New Roman"/>
          <w:kern w:val="0"/>
          <w:sz w:val="24"/>
          <w:szCs w:val="24"/>
          <w:lang w:eastAsia="en-GB"/>
          <w14:ligatures w14:val="none"/>
        </w:rPr>
      </w:pPr>
      <w:r w:rsidRPr="001575D5">
        <w:rPr>
          <w:rFonts w:eastAsia="Times New Roman" w:cs="Times New Roman"/>
          <w:b/>
          <w:bCs/>
          <w:kern w:val="0"/>
          <w:lang w:eastAsia="en-GB"/>
          <w14:ligatures w14:val="none"/>
        </w:rPr>
        <w:t>Over the previous six (five financial years) years, there has been a constant pattern of lowering leverage, as evidenced by the capital structure's year-over-year fluctuation. Below is a summary of the findings:</w:t>
      </w:r>
      <w:r w:rsidR="009006E6" w:rsidRPr="009006E6">
        <w:rPr>
          <w:rFonts w:ascii="Times New Roman" w:eastAsia="Times New Roman" w:hAnsi="Times New Roman" w:cs="Times New Roman"/>
          <w:kern w:val="0"/>
          <w:sz w:val="24"/>
          <w:szCs w:val="24"/>
          <w:lang w:eastAsia="en-GB"/>
          <w14:ligatures w14:val="none"/>
        </w:rPr>
        <w:t xml:space="preserve"> </w:t>
      </w:r>
    </w:p>
    <w:p w14:paraId="252CC5BC" w14:textId="77777777" w:rsidR="007A43D3" w:rsidRDefault="009006E6" w:rsidP="00CE2FE1">
      <w:pPr>
        <w:rPr>
          <w:rFonts w:ascii="Times New Roman" w:eastAsia="Times New Roman" w:hAnsi="Times New Roman" w:cs="Times New Roman"/>
          <w:kern w:val="0"/>
          <w:sz w:val="24"/>
          <w:szCs w:val="24"/>
          <w:lang w:eastAsia="en-GB"/>
          <w14:ligatures w14:val="none"/>
        </w:rPr>
      </w:pPr>
      <w:r w:rsidRPr="00D212DD">
        <w:rPr>
          <w:rFonts w:eastAsia="Times New Roman" w:cs="Times New Roman"/>
          <w:b/>
          <w:bCs/>
          <w:kern w:val="0"/>
          <w:lang w:eastAsia="en-GB"/>
          <w14:ligatures w14:val="none"/>
        </w:rPr>
        <w:t>2019 (-0.82): With a ratio of -0.82, 2019 has the most leveraged capital structure. This implies that, in comparison to equity, the company was highly dependent on debt during this year.</w:t>
      </w:r>
      <w:r w:rsidRPr="00D212DD">
        <w:rPr>
          <w:rFonts w:eastAsia="Times New Roman" w:cs="Times New Roman"/>
          <w:b/>
          <w:bCs/>
          <w:kern w:val="0"/>
          <w:lang w:eastAsia="en-GB"/>
          <w14:ligatures w14:val="none"/>
        </w:rPr>
        <w:br/>
        <w:t>2020 (-0.79): The capital structure somewhat improved to -0.79 in 2020 after a little decrease in leverage. This suggests that the business started to lessen its reliance on debt.</w:t>
      </w:r>
      <w:r w:rsidR="001321CC" w:rsidRPr="00D212DD">
        <w:rPr>
          <w:rFonts w:eastAsia="Times New Roman" w:cs="Times New Roman"/>
          <w:b/>
          <w:bCs/>
          <w:kern w:val="0"/>
          <w:lang w:eastAsia="en-GB"/>
          <w14:ligatures w14:val="none"/>
        </w:rPr>
        <w:t xml:space="preserve"> </w:t>
      </w:r>
    </w:p>
    <w:p w14:paraId="7A892C02" w14:textId="77777777" w:rsidR="007A43D3" w:rsidRDefault="001321CC" w:rsidP="007A43D3">
      <w:pPr>
        <w:rPr>
          <w:rFonts w:ascii="Times New Roman" w:eastAsia="Times New Roman" w:hAnsi="Times New Roman" w:cs="Times New Roman"/>
          <w:kern w:val="0"/>
          <w:sz w:val="24"/>
          <w:szCs w:val="24"/>
          <w:lang w:eastAsia="en-GB"/>
          <w14:ligatures w14:val="none"/>
        </w:rPr>
      </w:pPr>
      <w:r w:rsidRPr="00D212DD">
        <w:rPr>
          <w:rFonts w:eastAsia="Times New Roman" w:cs="Times New Roman"/>
          <w:b/>
          <w:bCs/>
          <w:kern w:val="0"/>
          <w:lang w:eastAsia="en-GB"/>
          <w14:ligatures w14:val="none"/>
        </w:rPr>
        <w:t>2021 (-0.74): The deleveraging trend persisted in 2021, as the ratio decreased to -0.74. Compared to last year, this indicates a more notable decrease in debt levels.</w:t>
      </w:r>
      <w:r w:rsidRPr="00D212DD">
        <w:rPr>
          <w:rFonts w:eastAsia="Times New Roman" w:cs="Times New Roman"/>
          <w:b/>
          <w:bCs/>
          <w:kern w:val="0"/>
          <w:lang w:eastAsia="en-GB"/>
          <w14:ligatures w14:val="none"/>
        </w:rPr>
        <w:br/>
        <w:t>2022 (-0.70): The company continued to concentrate on strengthening its capital structure in 2022, as evidenced by the ratio's steady decline in leverage.</w:t>
      </w:r>
      <w:r w:rsidR="00CE2FE1" w:rsidRPr="00D212DD">
        <w:rPr>
          <w:rFonts w:eastAsia="Times New Roman" w:cs="Times New Roman"/>
          <w:b/>
          <w:bCs/>
          <w:kern w:val="0"/>
          <w:lang w:eastAsia="en-GB"/>
          <w14:ligatures w14:val="none"/>
        </w:rPr>
        <w:t xml:space="preserve"> </w:t>
      </w:r>
    </w:p>
    <w:p w14:paraId="22A1D6A2" w14:textId="67607584" w:rsidR="00C807AD" w:rsidRPr="007A43D3" w:rsidRDefault="00CE2FE1" w:rsidP="007A43D3">
      <w:pPr>
        <w:rPr>
          <w:rFonts w:ascii="Times New Roman" w:eastAsia="Times New Roman" w:hAnsi="Times New Roman" w:cs="Times New Roman"/>
          <w:kern w:val="0"/>
          <w:sz w:val="24"/>
          <w:szCs w:val="24"/>
          <w:lang w:eastAsia="en-GB"/>
          <w14:ligatures w14:val="none"/>
        </w:rPr>
      </w:pPr>
      <w:r w:rsidRPr="00D212DD">
        <w:rPr>
          <w:rFonts w:eastAsia="Times New Roman" w:cs="Times New Roman"/>
          <w:b/>
          <w:bCs/>
          <w:kern w:val="0"/>
          <w:lang w:eastAsia="en-GB"/>
          <w14:ligatures w14:val="none"/>
        </w:rPr>
        <w:t>2023 (-0.50): The capital structure showed significant improvement in 2023, as seen by the ratio falling to -0.50. This suggests a substantial move away from debt and towards a structure that is more equity-financed.</w:t>
      </w: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t>2024 (-0.18): With a ratio of -0.18, the capital structure has significantly improved by 2024. This implies that the business has virtually completely shifted away from having a lot of debt, which points to a stronger and more secure financial situation.</w:t>
      </w:r>
      <w:r w:rsidR="00BF6C32" w:rsidRPr="00D212DD">
        <w:rPr>
          <w:rFonts w:eastAsia="Times New Roman" w:cs="Times New Roman"/>
          <w:b/>
          <w:bCs/>
          <w:kern w:val="0"/>
          <w:lang w:eastAsia="en-GB"/>
          <w14:ligatures w14:val="none"/>
        </w:rPr>
        <w:t xml:space="preserve"> </w:t>
      </w:r>
    </w:p>
    <w:p w14:paraId="3C918336" w14:textId="77DA6761" w:rsidR="00C13F67" w:rsidRDefault="00BF6C32" w:rsidP="00C13F67">
      <w:pPr>
        <w:rPr>
          <w:rFonts w:ascii="Times New Roman" w:eastAsia="Times New Roman" w:hAnsi="Times New Roman" w:cs="Times New Roman"/>
          <w:kern w:val="0"/>
          <w:sz w:val="24"/>
          <w:szCs w:val="24"/>
          <w:lang w:eastAsia="en-GB"/>
          <w14:ligatures w14:val="none"/>
        </w:rPr>
      </w:pPr>
      <w:r w:rsidRPr="00D212DD">
        <w:rPr>
          <w:rFonts w:eastAsia="Times New Roman" w:cs="Times New Roman"/>
          <w:b/>
          <w:bCs/>
          <w:kern w:val="0"/>
          <w:lang w:eastAsia="en-GB"/>
          <w14:ligatures w14:val="none"/>
        </w:rPr>
        <w:t xml:space="preserve">Commentary: The corporation has gradually decreased its leverage throughout the six-year period between 2019 and 2024, aiming for a more conservative capital structure. The capital structure ratio is trending downward, which indicates a systematic move to cut debt </w:t>
      </w:r>
      <w:r w:rsidR="00E56A59" w:rsidRPr="00D212DD">
        <w:rPr>
          <w:rFonts w:eastAsia="Times New Roman" w:cs="Times New Roman"/>
          <w:b/>
          <w:bCs/>
          <w:kern w:val="0"/>
          <w:lang w:eastAsia="en-GB"/>
          <w14:ligatures w14:val="none"/>
        </w:rPr>
        <w:t>to</w:t>
      </w:r>
      <w:r w:rsidRPr="00D212DD">
        <w:rPr>
          <w:rFonts w:eastAsia="Times New Roman" w:cs="Times New Roman"/>
          <w:b/>
          <w:bCs/>
          <w:kern w:val="0"/>
          <w:lang w:eastAsia="en-GB"/>
          <w14:ligatures w14:val="none"/>
        </w:rPr>
        <w:t xml:space="preserve"> minimise financial risk. A considerable focus on strengthening the balance sheet, possibly improving the company's creditworthiness, and lowering interest expenses is </w:t>
      </w:r>
      <w:r w:rsidRPr="00D212DD">
        <w:rPr>
          <w:rFonts w:eastAsia="Times New Roman" w:cs="Times New Roman"/>
          <w:b/>
          <w:bCs/>
          <w:kern w:val="0"/>
          <w:lang w:eastAsia="en-GB"/>
          <w14:ligatures w14:val="none"/>
        </w:rPr>
        <w:lastRenderedPageBreak/>
        <w:t>seen by the ratio's marked decline by 2024. This change in direction could be the consequence of several things, such as increased profitability, enhanced cash flow management, or a calculated choice to give equity financing priority.</w:t>
      </w:r>
      <w:r w:rsidR="00C13F67" w:rsidRPr="00C13F67">
        <w:rPr>
          <w:rFonts w:ascii="Times New Roman" w:eastAsia="Times New Roman" w:hAnsi="Times New Roman" w:cs="Times New Roman"/>
          <w:kern w:val="0"/>
          <w:sz w:val="24"/>
          <w:szCs w:val="24"/>
          <w:lang w:eastAsia="en-GB"/>
          <w14:ligatures w14:val="none"/>
        </w:rPr>
        <w:t xml:space="preserve"> </w:t>
      </w:r>
    </w:p>
    <w:p w14:paraId="1AEE9C47" w14:textId="085EEC07" w:rsidR="00C13F67" w:rsidRDefault="00C13F67" w:rsidP="00C13F67">
      <w:pPr>
        <w:rPr>
          <w:rFonts w:eastAsia="Times New Roman" w:cs="Times New Roman"/>
          <w:b/>
          <w:bCs/>
          <w:kern w:val="0"/>
          <w:lang w:eastAsia="en-GB"/>
          <w14:ligatures w14:val="none"/>
        </w:rPr>
      </w:pPr>
      <w:r w:rsidRPr="008D0827">
        <w:rPr>
          <w:rFonts w:eastAsia="Times New Roman" w:cs="Times New Roman"/>
          <w:b/>
          <w:bCs/>
          <w:kern w:val="0"/>
          <w:lang w:eastAsia="en-GB"/>
          <w14:ligatures w14:val="none"/>
        </w:rPr>
        <w:t>Leverage is frequently used in corporate finance to describe the proportion of debt to equity in a business. Higher leveraged businesses may see greater profits during prosperous periods but may also see greater losses during downturns.</w:t>
      </w:r>
    </w:p>
    <w:p w14:paraId="38973DB1" w14:textId="77777777" w:rsidR="00894C94" w:rsidRDefault="000D37C3" w:rsidP="00E82AFB">
      <w:pPr>
        <w:rPr>
          <w:rFonts w:ascii="Times New Roman" w:eastAsia="Times New Roman" w:hAnsi="Times New Roman" w:cs="Times New Roman"/>
          <w:kern w:val="0"/>
          <w:sz w:val="24"/>
          <w:szCs w:val="24"/>
          <w:lang w:eastAsia="en-GB"/>
          <w14:ligatures w14:val="none"/>
        </w:rPr>
      </w:pPr>
      <w:r>
        <w:rPr>
          <w:rFonts w:eastAsia="Times New Roman" w:cs="Times New Roman"/>
          <w:b/>
          <w:bCs/>
          <w:kern w:val="0"/>
          <w:lang w:eastAsia="en-GB"/>
          <w14:ligatures w14:val="none"/>
        </w:rPr>
        <w:t>3. Investment activities</w:t>
      </w:r>
      <w:r w:rsidR="00493F49">
        <w:rPr>
          <w:rFonts w:eastAsia="Times New Roman" w:cs="Times New Roman"/>
          <w:b/>
          <w:bCs/>
          <w:kern w:val="0"/>
          <w:lang w:eastAsia="en-GB"/>
          <w14:ligatures w14:val="none"/>
        </w:rPr>
        <w:t xml:space="preserve"> and dividend pat-outs:</w:t>
      </w:r>
      <w:r w:rsidR="002D25EC" w:rsidRPr="002D25EC">
        <w:rPr>
          <w:rFonts w:ascii="Times New Roman" w:eastAsia="Times New Roman" w:hAnsi="Times New Roman" w:cs="Times New Roman"/>
          <w:kern w:val="0"/>
          <w:sz w:val="24"/>
          <w:szCs w:val="24"/>
          <w:lang w:eastAsia="en-GB"/>
          <w14:ligatures w14:val="none"/>
        </w:rPr>
        <w:t xml:space="preserve"> </w:t>
      </w:r>
      <w:r w:rsidR="002D25EC" w:rsidRPr="00E56A59">
        <w:rPr>
          <w:rFonts w:eastAsia="Times New Roman" w:cs="Times New Roman"/>
          <w:b/>
          <w:bCs/>
          <w:kern w:val="0"/>
          <w:lang w:eastAsia="en-GB"/>
          <w14:ligatures w14:val="none"/>
        </w:rPr>
        <w:t>As part of its financial plan, Rightmove plc, a well-known online real estate marketplace in the UK, funds a variety of investments and distributes dividends. A summary of both is provided below:</w:t>
      </w:r>
      <w:r w:rsidR="00E82AFB" w:rsidRPr="00E56A59">
        <w:rPr>
          <w:rFonts w:eastAsia="Times New Roman" w:cs="Times New Roman"/>
          <w:b/>
          <w:bCs/>
          <w:kern w:val="0"/>
          <w:lang w:eastAsia="en-GB"/>
          <w14:ligatures w14:val="none"/>
        </w:rPr>
        <w:t xml:space="preserve"> Investment Activities:</w:t>
      </w:r>
      <w:r w:rsidR="00E82AFB" w:rsidRPr="00E82AFB">
        <w:rPr>
          <w:rFonts w:ascii="Times New Roman" w:eastAsia="Times New Roman" w:hAnsi="Times New Roman" w:cs="Times New Roman"/>
          <w:kern w:val="0"/>
          <w:sz w:val="24"/>
          <w:szCs w:val="24"/>
          <w:lang w:eastAsia="en-GB"/>
          <w14:ligatures w14:val="none"/>
        </w:rPr>
        <w:t xml:space="preserve"> </w:t>
      </w:r>
    </w:p>
    <w:p w14:paraId="1E07BD91" w14:textId="77777777" w:rsidR="00FB3A44" w:rsidRDefault="00E82AFB" w:rsidP="00DA21E1">
      <w:pPr>
        <w:rPr>
          <w:rFonts w:eastAsia="Times New Roman" w:cs="Times New Roman"/>
          <w:b/>
          <w:bCs/>
          <w:kern w:val="0"/>
          <w:lang w:eastAsia="en-GB"/>
          <w14:ligatures w14:val="none"/>
        </w:rPr>
      </w:pPr>
      <w:r w:rsidRPr="00846EE8">
        <w:rPr>
          <w:rFonts w:eastAsia="Times New Roman" w:cs="Times New Roman"/>
          <w:b/>
          <w:bCs/>
          <w:kern w:val="0"/>
          <w:lang w:eastAsia="en-GB"/>
          <w14:ligatures w14:val="none"/>
        </w:rPr>
        <w:t xml:space="preserve">Rightmove makes significant investments in technology to improve its platform and provide a better user experience for both property hunters and real estate brokers. This </w:t>
      </w:r>
      <w:r w:rsidR="00894C94" w:rsidRPr="00846EE8">
        <w:rPr>
          <w:rFonts w:eastAsia="Times New Roman" w:cs="Times New Roman"/>
          <w:b/>
          <w:bCs/>
          <w:kern w:val="0"/>
          <w:lang w:eastAsia="en-GB"/>
          <w14:ligatures w14:val="none"/>
        </w:rPr>
        <w:t>includes</w:t>
      </w:r>
      <w:r w:rsidRPr="00846EE8">
        <w:rPr>
          <w:rFonts w:eastAsia="Times New Roman" w:cs="Times New Roman"/>
          <w:b/>
          <w:bCs/>
          <w:kern w:val="0"/>
          <w:lang w:eastAsia="en-GB"/>
          <w14:ligatures w14:val="none"/>
        </w:rPr>
        <w:t xml:space="preserve"> upgrades to the user interface, data analytics capabilities, mobile application development, and search functions.</w:t>
      </w:r>
      <w:r w:rsidR="00E548F4" w:rsidRPr="00E548F4">
        <w:rPr>
          <w:rFonts w:ascii="Times New Roman" w:eastAsia="Times New Roman" w:hAnsi="Times New Roman" w:cs="Times New Roman"/>
          <w:kern w:val="0"/>
          <w:sz w:val="24"/>
          <w:szCs w:val="24"/>
          <w:lang w:eastAsia="en-GB"/>
          <w14:ligatures w14:val="none"/>
        </w:rPr>
        <w:t xml:space="preserve"> </w:t>
      </w:r>
      <w:r w:rsidR="00E548F4" w:rsidRPr="00E548F4">
        <w:rPr>
          <w:rFonts w:eastAsia="Times New Roman" w:cs="Times New Roman"/>
          <w:b/>
          <w:bCs/>
          <w:kern w:val="0"/>
          <w:lang w:eastAsia="en-GB"/>
          <w14:ligatures w14:val="none"/>
        </w:rPr>
        <w:t>While Rightmove has grown primarily through organic means, on occasion the company has made investments to buy out smaller software startups or platforms that enhance its core business and expand its service offerings.</w:t>
      </w:r>
      <w:r w:rsidR="005F309B" w:rsidRPr="005F309B">
        <w:rPr>
          <w:rFonts w:ascii="Times New Roman" w:eastAsia="Times New Roman" w:hAnsi="Times New Roman" w:cs="Times New Roman"/>
          <w:kern w:val="0"/>
          <w:sz w:val="24"/>
          <w:szCs w:val="24"/>
          <w:lang w:eastAsia="en-GB"/>
          <w14:ligatures w14:val="none"/>
        </w:rPr>
        <w:t xml:space="preserve"> </w:t>
      </w:r>
      <w:r w:rsidR="005F309B" w:rsidRPr="005F309B">
        <w:rPr>
          <w:rFonts w:eastAsia="Times New Roman" w:cs="Times New Roman"/>
          <w:b/>
          <w:bCs/>
          <w:kern w:val="0"/>
          <w:lang w:eastAsia="en-GB"/>
          <w14:ligatures w14:val="none"/>
        </w:rPr>
        <w:t>To preserve and increase its market share, a substantial amount of resources is devoted to marketing initiatives. This involves promoting the company both offline and online to maintain its position as the top property portal in the United Kingdom.</w:t>
      </w:r>
      <w:r w:rsidR="00591B96">
        <w:rPr>
          <w:rFonts w:ascii="Times New Roman" w:eastAsia="Times New Roman" w:hAnsi="Times New Roman" w:cs="Times New Roman"/>
          <w:kern w:val="0"/>
          <w:sz w:val="24"/>
          <w:szCs w:val="24"/>
          <w:lang w:eastAsia="en-GB"/>
          <w14:ligatures w14:val="none"/>
        </w:rPr>
        <w:t xml:space="preserve"> </w:t>
      </w:r>
      <w:r w:rsidR="00647858" w:rsidRPr="000B4050">
        <w:rPr>
          <w:rFonts w:eastAsia="Times New Roman" w:cs="Times New Roman"/>
          <w:b/>
          <w:bCs/>
          <w:kern w:val="0"/>
          <w:lang w:eastAsia="en-GB"/>
          <w14:ligatures w14:val="none"/>
        </w:rPr>
        <w:t xml:space="preserve">Rightmove provides real estate agents with useful market data by investing in data analytics and insights. Agents can maximise their property listings and make well-informed decisions with the aid of these </w:t>
      </w:r>
      <w:r w:rsidR="00591B96" w:rsidRPr="000B4050">
        <w:rPr>
          <w:rFonts w:eastAsia="Times New Roman" w:cs="Times New Roman"/>
          <w:b/>
          <w:bCs/>
          <w:kern w:val="0"/>
          <w:lang w:eastAsia="en-GB"/>
          <w14:ligatures w14:val="none"/>
        </w:rPr>
        <w:t>tools.</w:t>
      </w:r>
      <w:r w:rsidR="00FB3A44">
        <w:rPr>
          <w:rFonts w:eastAsia="Times New Roman" w:cs="Times New Roman"/>
          <w:b/>
          <w:bCs/>
          <w:kern w:val="0"/>
          <w:lang w:eastAsia="en-GB"/>
          <w14:ligatures w14:val="none"/>
        </w:rPr>
        <w:t xml:space="preserve"> </w:t>
      </w:r>
      <w:r w:rsidR="00591B96" w:rsidRPr="000B4050">
        <w:rPr>
          <w:rFonts w:eastAsia="Times New Roman" w:cs="Times New Roman"/>
          <w:b/>
          <w:bCs/>
          <w:kern w:val="0"/>
          <w:lang w:eastAsia="en-GB"/>
          <w14:ligatures w14:val="none"/>
        </w:rPr>
        <w:t>To</w:t>
      </w:r>
      <w:r w:rsidR="00647858" w:rsidRPr="000B4050">
        <w:rPr>
          <w:rFonts w:eastAsia="Times New Roman" w:cs="Times New Roman"/>
          <w:b/>
          <w:bCs/>
          <w:kern w:val="0"/>
          <w:lang w:eastAsia="en-GB"/>
          <w14:ligatures w14:val="none"/>
        </w:rPr>
        <w:t xml:space="preserve"> guarantee the platform's dependability and user safety, investments in servers and cybersecurity measures are essential.</w:t>
      </w:r>
      <w:r w:rsidR="002D7DEC" w:rsidRPr="002D7DEC">
        <w:rPr>
          <w:rFonts w:ascii="Times New Roman" w:eastAsia="Times New Roman" w:hAnsi="Times New Roman" w:cs="Times New Roman"/>
          <w:kern w:val="0"/>
          <w:sz w:val="24"/>
          <w:szCs w:val="24"/>
          <w:lang w:eastAsia="en-GB"/>
          <w14:ligatures w14:val="none"/>
        </w:rPr>
        <w:t xml:space="preserve"> </w:t>
      </w:r>
      <w:r w:rsidR="002D7DEC" w:rsidRPr="002D7DEC">
        <w:rPr>
          <w:rFonts w:eastAsia="Times New Roman" w:cs="Times New Roman"/>
          <w:b/>
          <w:bCs/>
          <w:kern w:val="0"/>
          <w:lang w:eastAsia="en-GB"/>
          <w14:ligatures w14:val="none"/>
        </w:rPr>
        <w:t xml:space="preserve">As a testament to its solid cash generation and sound financial standing, Rightmove plc has a history of reliably paying dividends to its shareholders. </w:t>
      </w:r>
    </w:p>
    <w:p w14:paraId="21537BB5" w14:textId="68F3F877" w:rsidR="003633E7" w:rsidRPr="009F4437" w:rsidRDefault="002D7DEC" w:rsidP="003633E7">
      <w:pPr>
        <w:rPr>
          <w:rFonts w:eastAsia="Times New Roman" w:cs="Times New Roman"/>
          <w:b/>
          <w:bCs/>
          <w:kern w:val="0"/>
          <w:lang w:eastAsia="en-GB"/>
          <w14:ligatures w14:val="none"/>
        </w:rPr>
      </w:pPr>
      <w:r w:rsidRPr="002D7DEC">
        <w:rPr>
          <w:rFonts w:eastAsia="Times New Roman" w:cs="Times New Roman"/>
          <w:b/>
          <w:bCs/>
          <w:kern w:val="0"/>
          <w:lang w:eastAsia="en-GB"/>
          <w14:ligatures w14:val="none"/>
        </w:rPr>
        <w:t>This is an overview:</w:t>
      </w:r>
      <w:r w:rsidR="00591B96">
        <w:rPr>
          <w:rFonts w:eastAsia="Times New Roman" w:cs="Times New Roman"/>
          <w:b/>
          <w:bCs/>
          <w:kern w:val="0"/>
          <w:lang w:eastAsia="en-GB"/>
          <w14:ligatures w14:val="none"/>
        </w:rPr>
        <w:t xml:space="preserve"> </w:t>
      </w:r>
      <w:r w:rsidRPr="009917A2">
        <w:rPr>
          <w:rFonts w:eastAsia="Times New Roman" w:cs="Times New Roman"/>
          <w:b/>
          <w:bCs/>
          <w:kern w:val="0"/>
          <w:lang w:eastAsia="en-GB"/>
          <w14:ligatures w14:val="none"/>
        </w:rPr>
        <w:t>With an emphasis on giving shareholders their surplus cash back, Rightmove has been paying dividends on a regular basis. Income-focused investors find the company appealing because it has a history of raising its dividend.</w:t>
      </w:r>
      <w:r w:rsidR="00DA21E1" w:rsidRPr="00DA21E1">
        <w:rPr>
          <w:rFonts w:ascii="Times New Roman" w:eastAsia="Times New Roman" w:hAnsi="Times New Roman" w:cs="Times New Roman"/>
          <w:kern w:val="0"/>
          <w:sz w:val="24"/>
          <w:szCs w:val="24"/>
          <w:lang w:eastAsia="en-GB"/>
          <w14:ligatures w14:val="none"/>
        </w:rPr>
        <w:t xml:space="preserve"> </w:t>
      </w:r>
      <w:r w:rsidR="00DA21E1" w:rsidRPr="00960A3B">
        <w:rPr>
          <w:rFonts w:eastAsia="Times New Roman" w:cs="Times New Roman"/>
          <w:b/>
          <w:bCs/>
          <w:kern w:val="0"/>
          <w:lang w:eastAsia="en-GB"/>
          <w14:ligatures w14:val="none"/>
        </w:rPr>
        <w:t>When Rightmove has extra cash on hand that isn't needed for investments or urgent company demands, it may declare special dividends in addition to its regular payouts. This illustrates the business's dedication to generating profits for shareholders.</w:t>
      </w:r>
      <w:r w:rsidR="009F4437">
        <w:rPr>
          <w:rFonts w:eastAsia="Times New Roman" w:cs="Times New Roman"/>
          <w:b/>
          <w:bCs/>
          <w:kern w:val="0"/>
          <w:lang w:eastAsia="en-GB"/>
          <w14:ligatures w14:val="none"/>
        </w:rPr>
        <w:t xml:space="preserve"> </w:t>
      </w:r>
      <w:r w:rsidR="00DA21E1" w:rsidRPr="00960A3B">
        <w:rPr>
          <w:rFonts w:eastAsia="Times New Roman" w:cs="Times New Roman"/>
          <w:b/>
          <w:bCs/>
          <w:kern w:val="0"/>
          <w:lang w:eastAsia="en-GB"/>
          <w14:ligatures w14:val="none"/>
        </w:rPr>
        <w:t>Rightmove endeavours to allocate a substantial fraction of its profits to its shareholders while preserving a prudent level of capital for prospective downturns and future investments.</w:t>
      </w:r>
      <w:r w:rsidR="004F69C2" w:rsidRPr="004F69C2">
        <w:rPr>
          <w:rFonts w:ascii="Times New Roman" w:eastAsia="Times New Roman" w:hAnsi="Times New Roman" w:cs="Times New Roman"/>
          <w:kern w:val="0"/>
          <w:sz w:val="24"/>
          <w:szCs w:val="24"/>
          <w:lang w:eastAsia="en-GB"/>
          <w14:ligatures w14:val="none"/>
        </w:rPr>
        <w:t xml:space="preserve"> </w:t>
      </w:r>
      <w:r w:rsidR="004F69C2" w:rsidRPr="004F69C2">
        <w:rPr>
          <w:rFonts w:eastAsia="Times New Roman" w:cs="Times New Roman"/>
          <w:b/>
          <w:bCs/>
          <w:kern w:val="0"/>
          <w:lang w:eastAsia="en-GB"/>
          <w14:ligatures w14:val="none"/>
        </w:rPr>
        <w:t>To maintain financial prudence during the COVID-19 epidemic, Rightmove, like many other companies, reassessed its dividend policy. Despite briefly stopping dividend payments, it did so again when market conditions improved, demonstrating confidence in its ability to recover and its prospects going forward.</w:t>
      </w:r>
      <w:r w:rsidR="003633E7" w:rsidRPr="003633E7">
        <w:rPr>
          <w:rFonts w:ascii="Times New Roman" w:eastAsia="Times New Roman" w:hAnsi="Times New Roman" w:cs="Times New Roman"/>
          <w:kern w:val="0"/>
          <w:sz w:val="24"/>
          <w:szCs w:val="24"/>
          <w:lang w:eastAsia="en-GB"/>
          <w14:ligatures w14:val="none"/>
        </w:rPr>
        <w:t xml:space="preserve"> </w:t>
      </w:r>
    </w:p>
    <w:p w14:paraId="33A8E26F" w14:textId="1209E99A" w:rsidR="003633E7" w:rsidRPr="003633E7" w:rsidRDefault="003633E7" w:rsidP="003633E7">
      <w:pPr>
        <w:rPr>
          <w:rFonts w:eastAsia="Times New Roman" w:cs="Times New Roman"/>
          <w:b/>
          <w:bCs/>
          <w:kern w:val="0"/>
          <w:lang w:eastAsia="en-GB"/>
          <w14:ligatures w14:val="none"/>
        </w:rPr>
      </w:pPr>
      <w:r w:rsidRPr="003633E7">
        <w:rPr>
          <w:rFonts w:eastAsia="Times New Roman" w:cs="Times New Roman"/>
          <w:b/>
          <w:bCs/>
          <w:kern w:val="0"/>
          <w:lang w:eastAsia="en-GB"/>
          <w14:ligatures w14:val="none"/>
        </w:rPr>
        <w:t>Apart from its dividend policy, which is focused on giving shareholders steady and appealing returns, Rightmove plc's investment operations are primarily focused on retaining its leadership in the online property industry through smart expansion projects and ongoing improvement.</w:t>
      </w:r>
    </w:p>
    <w:p w14:paraId="4B694E42" w14:textId="77777777" w:rsidR="000D3893" w:rsidRDefault="00CD3415" w:rsidP="000D3893">
      <w:pPr>
        <w:spacing w:after="240"/>
        <w:rPr>
          <w:rFonts w:eastAsia="Times New Roman" w:cs="Times New Roman"/>
          <w:b/>
          <w:bCs/>
          <w:kern w:val="0"/>
          <w:lang w:eastAsia="en-GB"/>
          <w14:ligatures w14:val="none"/>
        </w:rPr>
      </w:pPr>
      <w:bookmarkStart w:id="9" w:name="_Toc175049440"/>
      <w:r w:rsidRPr="00DF3401">
        <w:rPr>
          <w:rStyle w:val="Heading2Char"/>
        </w:rPr>
        <w:t>3,1</w:t>
      </w:r>
      <w:r w:rsidR="00F53F95" w:rsidRPr="00DF3401">
        <w:rPr>
          <w:rStyle w:val="Heading2Char"/>
        </w:rPr>
        <w:t>.</w:t>
      </w:r>
      <w:r w:rsidR="00DF3A0E" w:rsidRPr="00DF3401">
        <w:rPr>
          <w:rStyle w:val="Heading2Char"/>
        </w:rPr>
        <w:t xml:space="preserve"> A critical review of the Rightmove </w:t>
      </w:r>
      <w:r w:rsidR="0010466A" w:rsidRPr="00DF3401">
        <w:rPr>
          <w:rStyle w:val="Heading2Char"/>
        </w:rPr>
        <w:t>plc’s major</w:t>
      </w:r>
      <w:r w:rsidR="00DF3A0E" w:rsidRPr="00DF3401">
        <w:rPr>
          <w:rStyle w:val="Heading2Char"/>
        </w:rPr>
        <w:t xml:space="preserve"> investment activities</w:t>
      </w:r>
      <w:r w:rsidR="004D3009" w:rsidRPr="00DF3401">
        <w:rPr>
          <w:rStyle w:val="Heading2Char"/>
        </w:rPr>
        <w:t>:</w:t>
      </w:r>
      <w:bookmarkEnd w:id="9"/>
      <w:r w:rsidR="00196E5F" w:rsidRPr="00196E5F">
        <w:rPr>
          <w:rFonts w:ascii="Times New Roman" w:eastAsia="Times New Roman" w:hAnsi="Times New Roman" w:cs="Times New Roman"/>
          <w:kern w:val="0"/>
          <w:sz w:val="24"/>
          <w:szCs w:val="24"/>
          <w:lang w:eastAsia="en-GB"/>
          <w14:ligatures w14:val="none"/>
        </w:rPr>
        <w:t xml:space="preserve"> </w:t>
      </w:r>
      <w:r w:rsidR="00196E5F" w:rsidRPr="00196E5F">
        <w:rPr>
          <w:rFonts w:eastAsia="Times New Roman" w:cs="Times New Roman"/>
          <w:b/>
          <w:bCs/>
          <w:kern w:val="0"/>
          <w:lang w:eastAsia="en-GB"/>
          <w14:ligatures w14:val="none"/>
        </w:rPr>
        <w:t xml:space="preserve">Leading UK online real estate marketplace Rightmove plc provides property listings from several agents and new home developers. The company's financial success in 2023 is not entirely clear; overall revenue increased moderately, but membership </w:t>
      </w:r>
      <w:r w:rsidR="00196E5F" w:rsidRPr="00196E5F">
        <w:rPr>
          <w:rFonts w:eastAsia="Times New Roman" w:cs="Times New Roman"/>
          <w:b/>
          <w:bCs/>
          <w:kern w:val="0"/>
          <w:lang w:eastAsia="en-GB"/>
          <w14:ligatures w14:val="none"/>
        </w:rPr>
        <w:lastRenderedPageBreak/>
        <w:t>numbers decreased slightly. A thorough breakdown of Rightmove's success in each of its key market segments can be found below.</w:t>
      </w:r>
      <w:r w:rsidR="00473DCB" w:rsidRPr="00473DCB">
        <w:rPr>
          <w:rFonts w:ascii="Times New Roman" w:eastAsia="Times New Roman" w:hAnsi="Times New Roman" w:cs="Times New Roman"/>
          <w:kern w:val="0"/>
          <w:sz w:val="24"/>
          <w:szCs w:val="24"/>
          <w:lang w:eastAsia="en-GB"/>
          <w14:ligatures w14:val="none"/>
        </w:rPr>
        <w:t xml:space="preserve"> </w:t>
      </w:r>
      <w:r w:rsidR="00D8014A" w:rsidRPr="00D8014A">
        <w:rPr>
          <w:rFonts w:eastAsia="Times New Roman" w:cs="Times New Roman"/>
          <w:b/>
          <w:bCs/>
          <w:kern w:val="0"/>
          <w:lang w:eastAsia="en-GB"/>
          <w14:ligatures w14:val="none"/>
        </w:rPr>
        <w:t>Revenue rose by £31.7 million/10% in 2022 to £364.3% (or £332.6 million) because of higher demand for our packages and products in the real estate and new homes sectors</w:t>
      </w:r>
      <w:r w:rsidR="00D8014A">
        <w:rPr>
          <w:rFonts w:eastAsia="Times New Roman" w:cs="Times New Roman"/>
          <w:b/>
          <w:bCs/>
          <w:kern w:val="0"/>
          <w:lang w:eastAsia="en-GB"/>
          <w14:ligatures w14:val="none"/>
        </w:rPr>
        <w:t xml:space="preserve"> </w:t>
      </w:r>
      <w:r w:rsidR="00D8014A" w:rsidRPr="00D8014A">
        <w:rPr>
          <w:rFonts w:eastAsia="Times New Roman" w:cs="Times New Roman"/>
          <w:b/>
          <w:bCs/>
          <w:kern w:val="0"/>
          <w:lang w:eastAsia="en-GB"/>
          <w14:ligatures w14:val="none"/>
        </w:rPr>
        <w:t>price rises and expansion in other company divisions</w:t>
      </w:r>
      <w:r w:rsidR="000C17FF">
        <w:rPr>
          <w:rFonts w:eastAsia="Times New Roman" w:cs="Times New Roman"/>
          <w:b/>
          <w:bCs/>
          <w:kern w:val="0"/>
          <w:lang w:eastAsia="en-GB"/>
          <w14:ligatures w14:val="none"/>
        </w:rPr>
        <w:t>.</w:t>
      </w:r>
      <w:r w:rsidR="000C17FF" w:rsidRPr="000C17FF">
        <w:rPr>
          <w:rFonts w:ascii="Times New Roman" w:eastAsia="Times New Roman" w:hAnsi="Times New Roman" w:cs="Times New Roman"/>
          <w:kern w:val="0"/>
          <w:sz w:val="24"/>
          <w:szCs w:val="24"/>
          <w:lang w:eastAsia="en-GB"/>
          <w14:ligatures w14:val="none"/>
        </w:rPr>
        <w:t xml:space="preserve"> </w:t>
      </w:r>
      <w:r w:rsidR="000C17FF" w:rsidRPr="000C17FF">
        <w:rPr>
          <w:rFonts w:eastAsia="Times New Roman" w:cs="Times New Roman"/>
          <w:b/>
          <w:bCs/>
          <w:kern w:val="0"/>
          <w:lang w:eastAsia="en-GB"/>
          <w14:ligatures w14:val="none"/>
        </w:rPr>
        <w:t>Agency revenues climbed to £262,000,000 in 2022, up 6% or £14.7 million, as agents kept spending money on new items, updated packages, and raised the yearly fee</w:t>
      </w:r>
      <w:r w:rsidR="000C17FF" w:rsidRPr="000C17FF">
        <w:rPr>
          <w:rFonts w:eastAsia="Times New Roman" w:cs="Times New Roman"/>
          <w:b/>
          <w:bCs/>
          <w:kern w:val="0"/>
          <w:lang w:eastAsia="en-GB"/>
          <w14:ligatures w14:val="none"/>
        </w:rPr>
        <w:br/>
        <w:t>rises from contract extensions. Agency ARPA (1) grew to £1,356–up 6%/£78 on 2022 (£1,278 on 2022). Agency clientele concluded the year largely unchanged at 15,839—a decrease of 1%/93 from 2022 (2022: 15,932).</w:t>
      </w:r>
      <w:r w:rsidR="004D01F1" w:rsidRPr="004D01F1">
        <w:rPr>
          <w:rFonts w:ascii="Times New Roman" w:eastAsia="Times New Roman" w:hAnsi="Times New Roman" w:cs="Times New Roman"/>
          <w:kern w:val="0"/>
          <w:sz w:val="24"/>
          <w:szCs w:val="24"/>
          <w:lang w:eastAsia="en-GB"/>
          <w14:ligatures w14:val="none"/>
        </w:rPr>
        <w:t xml:space="preserve"> </w:t>
      </w:r>
      <w:r w:rsidR="004D01F1" w:rsidRPr="004D01F1">
        <w:rPr>
          <w:rFonts w:eastAsia="Times New Roman" w:cs="Times New Roman"/>
          <w:b/>
          <w:bCs/>
          <w:kern w:val="0"/>
          <w:lang w:eastAsia="en-GB"/>
          <w14:ligatures w14:val="none"/>
        </w:rPr>
        <w:t xml:space="preserve">Revenue from new homes, at £66.4 million, increased 26% from £13.8 million in 2022, indicating notable modifications to the Advanced package, additional product purchases, and profitable contracts being renewed. New Homes </w:t>
      </w:r>
      <w:r w:rsidR="00375BA4" w:rsidRPr="004D01F1">
        <w:rPr>
          <w:rFonts w:eastAsia="Times New Roman" w:cs="Times New Roman"/>
          <w:b/>
          <w:bCs/>
          <w:kern w:val="0"/>
          <w:lang w:eastAsia="en-GB"/>
          <w14:ligatures w14:val="none"/>
        </w:rPr>
        <w:t>ARPA (</w:t>
      </w:r>
      <w:r w:rsidR="004D01F1" w:rsidRPr="004D01F1">
        <w:rPr>
          <w:rFonts w:eastAsia="Times New Roman" w:cs="Times New Roman"/>
          <w:b/>
          <w:bCs/>
          <w:kern w:val="0"/>
          <w:lang w:eastAsia="en-GB"/>
          <w14:ligatures w14:val="none"/>
        </w:rPr>
        <w:t xml:space="preserve">2) rising </w:t>
      </w:r>
      <w:r w:rsidR="00A45554" w:rsidRPr="004D01F1">
        <w:rPr>
          <w:rFonts w:eastAsia="Times New Roman" w:cs="Times New Roman"/>
          <w:b/>
          <w:bCs/>
          <w:kern w:val="0"/>
          <w:lang w:eastAsia="en-GB"/>
          <w14:ligatures w14:val="none"/>
        </w:rPr>
        <w:t xml:space="preserve">to </w:t>
      </w:r>
      <w:r w:rsidR="00A45554">
        <w:rPr>
          <w:rFonts w:eastAsia="Times New Roman" w:cs="Times New Roman"/>
          <w:b/>
          <w:bCs/>
          <w:kern w:val="0"/>
          <w:lang w:eastAsia="en-GB"/>
          <w14:ligatures w14:val="none"/>
        </w:rPr>
        <w:t>£</w:t>
      </w:r>
      <w:r w:rsidR="004D01F1" w:rsidRPr="004D01F1">
        <w:rPr>
          <w:rFonts w:eastAsia="Times New Roman" w:cs="Times New Roman"/>
          <w:b/>
          <w:bCs/>
          <w:kern w:val="0"/>
          <w:lang w:eastAsia="en-GB"/>
          <w14:ligatures w14:val="none"/>
        </w:rPr>
        <w:t>1,825 per month for development, up 21% to £312 in 2022 (2022: £1,513). Development figures for the year ended at</w:t>
      </w:r>
      <w:r w:rsidR="00967084">
        <w:rPr>
          <w:rFonts w:eastAsia="Times New Roman" w:cs="Times New Roman"/>
          <w:b/>
          <w:bCs/>
          <w:kern w:val="0"/>
          <w:lang w:eastAsia="en-GB"/>
          <w14:ligatures w14:val="none"/>
        </w:rPr>
        <w:t xml:space="preserve"> </w:t>
      </w:r>
      <w:r w:rsidR="004D01F1" w:rsidRPr="004D01F1">
        <w:rPr>
          <w:rFonts w:eastAsia="Times New Roman" w:cs="Times New Roman"/>
          <w:b/>
          <w:bCs/>
          <w:kern w:val="0"/>
          <w:lang w:eastAsia="en-GB"/>
          <w14:ligatures w14:val="none"/>
        </w:rPr>
        <w:t>2,946 - a reduction of 4%/136 in 2022 (2020: 3,082</w:t>
      </w:r>
      <w:r w:rsidR="00967084">
        <w:rPr>
          <w:rFonts w:eastAsia="Times New Roman" w:cs="Times New Roman"/>
          <w:b/>
          <w:bCs/>
          <w:kern w:val="0"/>
          <w:lang w:eastAsia="en-GB"/>
          <w14:ligatures w14:val="none"/>
        </w:rPr>
        <w:t>.</w:t>
      </w:r>
      <w:r w:rsidR="004D01F1" w:rsidRPr="004D01F1">
        <w:rPr>
          <w:rFonts w:eastAsia="Times New Roman" w:cs="Times New Roman"/>
          <w:b/>
          <w:bCs/>
          <w:kern w:val="0"/>
          <w:lang w:eastAsia="en-GB"/>
          <w14:ligatures w14:val="none"/>
        </w:rPr>
        <w:t>)</w:t>
      </w:r>
      <w:r w:rsidR="00496B34" w:rsidRPr="00496B34">
        <w:rPr>
          <w:rFonts w:ascii="Times New Roman" w:eastAsia="Times New Roman" w:hAnsi="Times New Roman" w:cs="Times New Roman"/>
          <w:kern w:val="0"/>
          <w:sz w:val="24"/>
          <w:szCs w:val="24"/>
          <w:lang w:eastAsia="en-GB"/>
          <w14:ligatures w14:val="none"/>
        </w:rPr>
        <w:t xml:space="preserve"> </w:t>
      </w:r>
      <w:r w:rsidR="00496B34" w:rsidRPr="00E04601">
        <w:rPr>
          <w:rFonts w:eastAsia="Times New Roman" w:cs="Times New Roman"/>
          <w:b/>
          <w:bCs/>
          <w:kern w:val="0"/>
          <w:lang w:eastAsia="en-GB"/>
          <w14:ligatures w14:val="none"/>
        </w:rPr>
        <w:t>Lead by our Strategic Growth Businesses, our other business units expanded by £3.2 million or 10% overall outside of our core business. Mortgage revenue more than doubled</w:t>
      </w:r>
      <w:r w:rsidR="0085620B">
        <w:rPr>
          <w:rFonts w:eastAsia="Times New Roman" w:cs="Times New Roman"/>
          <w:b/>
          <w:bCs/>
          <w:kern w:val="0"/>
          <w:lang w:eastAsia="en-GB"/>
          <w14:ligatures w14:val="none"/>
        </w:rPr>
        <w:t xml:space="preserve"> </w:t>
      </w:r>
      <w:r w:rsidR="00496B34" w:rsidRPr="00E04601">
        <w:rPr>
          <w:rFonts w:eastAsia="Times New Roman" w:cs="Times New Roman"/>
          <w:b/>
          <w:bCs/>
          <w:kern w:val="0"/>
          <w:lang w:eastAsia="en-GB"/>
          <w14:ligatures w14:val="none"/>
        </w:rPr>
        <w:t>130</w:t>
      </w:r>
      <w:r w:rsidR="00E1212D" w:rsidRPr="00E04601">
        <w:rPr>
          <w:rFonts w:eastAsia="Times New Roman" w:cs="Times New Roman"/>
          <w:b/>
          <w:bCs/>
          <w:kern w:val="0"/>
          <w:lang w:eastAsia="en-GB"/>
          <w14:ligatures w14:val="none"/>
        </w:rPr>
        <w:t>% (</w:t>
      </w:r>
      <w:r w:rsidR="00496B34" w:rsidRPr="00E04601">
        <w:rPr>
          <w:rFonts w:eastAsia="Times New Roman" w:cs="Times New Roman"/>
          <w:b/>
          <w:bCs/>
          <w:kern w:val="0"/>
          <w:lang w:eastAsia="en-GB"/>
          <w14:ligatures w14:val="none"/>
        </w:rPr>
        <w:t xml:space="preserve">3), as more customers finished their purchases with a mortgage that was first protected by our </w:t>
      </w:r>
      <w:proofErr w:type="spellStart"/>
      <w:r w:rsidR="00496B34" w:rsidRPr="00E04601">
        <w:rPr>
          <w:rFonts w:eastAsia="Times New Roman" w:cs="Times New Roman"/>
          <w:b/>
          <w:bCs/>
          <w:kern w:val="0"/>
          <w:lang w:eastAsia="en-GB"/>
          <w14:ligatures w14:val="none"/>
        </w:rPr>
        <w:t>MiP</w:t>
      </w:r>
      <w:proofErr w:type="spellEnd"/>
      <w:r w:rsidR="00496B34" w:rsidRPr="00E04601">
        <w:rPr>
          <w:rFonts w:eastAsia="Times New Roman" w:cs="Times New Roman"/>
          <w:b/>
          <w:bCs/>
          <w:kern w:val="0"/>
          <w:lang w:eastAsia="en-GB"/>
          <w14:ligatures w14:val="none"/>
        </w:rPr>
        <w:t xml:space="preserve"> product. The growth in commercial real estate revenues was driven by increasing client numbers and better ARPA, which reflected more multichannel expenditure on digital products advertisements, especially banner ads and marketing initiatives. </w:t>
      </w:r>
      <w:r w:rsidR="00496B34" w:rsidRPr="00E04601">
        <w:rPr>
          <w:rFonts w:eastAsia="Times New Roman" w:cs="Times New Roman"/>
          <w:b/>
          <w:bCs/>
          <w:kern w:val="0"/>
          <w:lang w:eastAsia="en-GB"/>
          <w14:ligatures w14:val="none"/>
        </w:rPr>
        <w:br/>
      </w:r>
      <w:r w:rsidR="00473DCB" w:rsidRPr="00A57215">
        <w:rPr>
          <w:rFonts w:eastAsia="Times New Roman" w:cs="Times New Roman"/>
          <w:b/>
          <w:bCs/>
          <w:kern w:val="0"/>
          <w:lang w:eastAsia="en-GB"/>
          <w14:ligatures w14:val="none"/>
        </w:rPr>
        <w:t>In 2023, Rightmove brought in £364.3 million, a 10% rise over their £332.6 million total revenue in 2022. This growth is indicative of a strong performance, mostly due to increased revenue in every category.</w:t>
      </w:r>
      <w:r w:rsidR="00195221">
        <w:rPr>
          <w:rFonts w:ascii="Times New Roman" w:eastAsia="Times New Roman" w:hAnsi="Times New Roman" w:cs="Times New Roman"/>
          <w:kern w:val="0"/>
          <w:sz w:val="24"/>
          <w:szCs w:val="24"/>
          <w:lang w:eastAsia="en-GB"/>
          <w14:ligatures w14:val="none"/>
        </w:rPr>
        <w:t xml:space="preserve"> </w:t>
      </w:r>
      <w:r w:rsidR="00473DCB" w:rsidRPr="006B4DEE">
        <w:rPr>
          <w:rFonts w:eastAsia="Times New Roman" w:cs="Times New Roman"/>
          <w:b/>
          <w:bCs/>
          <w:kern w:val="0"/>
          <w:lang w:eastAsia="en-GB"/>
          <w14:ligatures w14:val="none"/>
        </w:rPr>
        <w:t>With £262.0 million in revenue in 2023—a 6% increase from £247.3 million in 2022—the agency sector continues to be the biggest source of revenue. This £14.7 million gain demonstrates Rightmove's capacity to hold onto and even marginally expand its market share in a cutthroat setting.</w:t>
      </w:r>
      <w:r w:rsidR="003A78EE" w:rsidRPr="003A78EE">
        <w:rPr>
          <w:rFonts w:ascii="Times New Roman" w:eastAsia="Times New Roman" w:hAnsi="Times New Roman" w:cs="Times New Roman"/>
          <w:kern w:val="0"/>
          <w:sz w:val="24"/>
          <w:szCs w:val="24"/>
          <w:lang w:eastAsia="en-GB"/>
          <w14:ligatures w14:val="none"/>
        </w:rPr>
        <w:t xml:space="preserve"> </w:t>
      </w:r>
      <w:r w:rsidR="003A78EE" w:rsidRPr="003A78EE">
        <w:rPr>
          <w:rFonts w:eastAsia="Times New Roman" w:cs="Times New Roman"/>
          <w:b/>
          <w:bCs/>
          <w:kern w:val="0"/>
          <w:lang w:eastAsia="en-GB"/>
          <w14:ligatures w14:val="none"/>
        </w:rPr>
        <w:t>Growing by 26% from £52.6 million in 2022 to £66.4 million in 2023, the new homes category saw the biggest rise. This £13.8 million rise may indicate a strategic focus on this area as well as a significant demand for new constructions.</w:t>
      </w:r>
      <w:r w:rsidR="00195221">
        <w:rPr>
          <w:rFonts w:eastAsia="Times New Roman" w:cs="Times New Roman"/>
          <w:b/>
          <w:bCs/>
          <w:kern w:val="0"/>
          <w:lang w:eastAsia="en-GB"/>
          <w14:ligatures w14:val="none"/>
        </w:rPr>
        <w:t xml:space="preserve"> </w:t>
      </w:r>
      <w:r w:rsidR="003A78EE" w:rsidRPr="003A78EE">
        <w:rPr>
          <w:rFonts w:eastAsia="Times New Roman" w:cs="Times New Roman"/>
          <w:b/>
          <w:bCs/>
          <w:kern w:val="0"/>
          <w:lang w:eastAsia="en-GB"/>
          <w14:ligatures w14:val="none"/>
        </w:rPr>
        <w:t>From £32.7 million in 2022 to £35.9 million in 2023, revenue from other sources increased by 10%. Even though this makes up a lesser percentage of total revenue, Rightmove's income streams are diverse as evidenced by their steady rise.</w:t>
      </w:r>
      <w:r w:rsidR="00F45F4F" w:rsidRPr="00F45F4F">
        <w:rPr>
          <w:rFonts w:ascii="Times New Roman" w:eastAsia="Times New Roman" w:hAnsi="Times New Roman" w:cs="Times New Roman"/>
          <w:kern w:val="0"/>
          <w:sz w:val="24"/>
          <w:szCs w:val="24"/>
          <w:lang w:eastAsia="en-GB"/>
          <w14:ligatures w14:val="none"/>
        </w:rPr>
        <w:t xml:space="preserve"> </w:t>
      </w:r>
      <w:r w:rsidR="00F45F4F" w:rsidRPr="00F45F4F">
        <w:rPr>
          <w:rFonts w:eastAsia="Times New Roman" w:cs="Times New Roman"/>
          <w:b/>
          <w:bCs/>
          <w:kern w:val="0"/>
          <w:sz w:val="28"/>
          <w:szCs w:val="28"/>
          <w:lang w:eastAsia="en-GB"/>
          <w14:ligatures w14:val="none"/>
        </w:rPr>
        <w:t>Membership Reduction</w:t>
      </w:r>
      <w:r w:rsidR="00F45F4F" w:rsidRPr="00F45F4F">
        <w:rPr>
          <w:rFonts w:ascii="Times New Roman" w:eastAsia="Times New Roman" w:hAnsi="Times New Roman" w:cs="Times New Roman"/>
          <w:kern w:val="0"/>
          <w:sz w:val="24"/>
          <w:szCs w:val="24"/>
          <w:lang w:eastAsia="en-GB"/>
          <w14:ligatures w14:val="none"/>
        </w:rPr>
        <w:br/>
      </w:r>
      <w:r w:rsidR="00F45F4F" w:rsidRPr="00F45F4F">
        <w:rPr>
          <w:rFonts w:eastAsia="Times New Roman" w:cs="Times New Roman"/>
          <w:b/>
          <w:bCs/>
          <w:kern w:val="0"/>
          <w:lang w:eastAsia="en-GB"/>
          <w14:ligatures w14:val="none"/>
        </w:rPr>
        <w:t>From 19,014 in 2022 to 18,785 in 2023, Rightmove's total membership fell by 1%, despite the company's revenue growth. This 229-member drop may be an indication of difficulties drawing in new members or keeping existing ones, possibly because of pressure from competitors or market saturation.</w:t>
      </w:r>
      <w:r w:rsidR="006D7D65" w:rsidRPr="006D7D65">
        <w:rPr>
          <w:rFonts w:ascii="Times New Roman" w:eastAsia="Times New Roman" w:hAnsi="Times New Roman" w:cs="Times New Roman"/>
          <w:kern w:val="0"/>
          <w:sz w:val="24"/>
          <w:szCs w:val="24"/>
          <w:lang w:eastAsia="en-GB"/>
          <w14:ligatures w14:val="none"/>
        </w:rPr>
        <w:t xml:space="preserve"> </w:t>
      </w:r>
      <w:r w:rsidR="000D3893">
        <w:rPr>
          <w:rFonts w:eastAsia="Times New Roman" w:cs="Times New Roman"/>
          <w:b/>
          <w:bCs/>
          <w:kern w:val="0"/>
          <w:lang w:eastAsia="en-GB"/>
          <w14:ligatures w14:val="none"/>
        </w:rPr>
        <w:t xml:space="preserve"> </w:t>
      </w:r>
      <w:r w:rsidR="006D7D65" w:rsidRPr="002F32A0">
        <w:rPr>
          <w:rFonts w:eastAsia="Times New Roman" w:cs="Times New Roman"/>
          <w:b/>
          <w:bCs/>
          <w:kern w:val="0"/>
          <w:lang w:eastAsia="en-GB"/>
          <w14:ligatures w14:val="none"/>
        </w:rPr>
        <w:t>From 15,932 in 2022 to 15,839 in 2023, a 1% decrease, there were 93 fewer agency branches. This indicates that the number of agencies listing homes on the site is mostly consistent, if somewhat declining.</w:t>
      </w:r>
      <w:r w:rsidR="001A409A" w:rsidRPr="001A409A">
        <w:rPr>
          <w:rFonts w:ascii="Times New Roman" w:eastAsia="Times New Roman" w:hAnsi="Times New Roman" w:cs="Times New Roman"/>
          <w:kern w:val="0"/>
          <w:sz w:val="24"/>
          <w:szCs w:val="24"/>
          <w:lang w:eastAsia="en-GB"/>
          <w14:ligatures w14:val="none"/>
        </w:rPr>
        <w:t xml:space="preserve"> </w:t>
      </w:r>
      <w:r w:rsidR="001A409A" w:rsidRPr="001A409A">
        <w:rPr>
          <w:rFonts w:eastAsia="Times New Roman" w:cs="Times New Roman"/>
          <w:b/>
          <w:bCs/>
          <w:kern w:val="0"/>
          <w:lang w:eastAsia="en-GB"/>
          <w14:ligatures w14:val="none"/>
        </w:rPr>
        <w:t>The quantity of new home projects decreased by 136, from 3,082 in 2022 to 2,946 in 2023, representing a 4% decrease. This decline may be a result of difficulties facing the new home market, such as market dynamics influencing developers' decisions to list on Rightmove or economic factors influencing new building.</w:t>
      </w:r>
      <w:r w:rsidR="00D64E03" w:rsidRPr="00D64E03">
        <w:rPr>
          <w:rFonts w:ascii="Times New Roman" w:eastAsia="Times New Roman" w:hAnsi="Times New Roman" w:cs="Times New Roman"/>
          <w:kern w:val="0"/>
          <w:sz w:val="24"/>
          <w:szCs w:val="24"/>
          <w:lang w:eastAsia="en-GB"/>
          <w14:ligatures w14:val="none"/>
        </w:rPr>
        <w:t xml:space="preserve"> </w:t>
      </w:r>
    </w:p>
    <w:p w14:paraId="3478343F" w14:textId="2CBF8BF7" w:rsidR="00184F60" w:rsidRPr="000D3893" w:rsidRDefault="00D64E03" w:rsidP="000D3893">
      <w:pPr>
        <w:spacing w:after="240"/>
        <w:rPr>
          <w:rFonts w:eastAsia="Times New Roman" w:cs="Times New Roman"/>
          <w:b/>
          <w:bCs/>
          <w:kern w:val="0"/>
          <w:lang w:eastAsia="en-GB"/>
          <w14:ligatures w14:val="none"/>
        </w:rPr>
      </w:pPr>
      <w:r w:rsidRPr="00C82D6F">
        <w:rPr>
          <w:rFonts w:eastAsia="Times New Roman" w:cs="Times New Roman"/>
          <w:b/>
          <w:bCs/>
          <w:kern w:val="0"/>
          <w:sz w:val="28"/>
          <w:szCs w:val="28"/>
          <w:lang w:eastAsia="en-GB"/>
          <w14:ligatures w14:val="none"/>
        </w:rPr>
        <w:t>Examination and Consequences</w:t>
      </w:r>
      <w:r w:rsidRPr="00D64E03">
        <w:rPr>
          <w:rFonts w:ascii="Times New Roman" w:eastAsia="Times New Roman" w:hAnsi="Times New Roman" w:cs="Times New Roman"/>
          <w:kern w:val="0"/>
          <w:sz w:val="24"/>
          <w:szCs w:val="24"/>
          <w:lang w:eastAsia="en-GB"/>
          <w14:ligatures w14:val="none"/>
        </w:rPr>
        <w:br/>
      </w:r>
      <w:r w:rsidRPr="00C82D6F">
        <w:rPr>
          <w:rFonts w:eastAsia="Times New Roman" w:cs="Times New Roman"/>
          <w:b/>
          <w:bCs/>
          <w:kern w:val="0"/>
          <w:lang w:eastAsia="en-GB"/>
          <w14:ligatures w14:val="none"/>
        </w:rPr>
        <w:t xml:space="preserve">Rightmove's financial data for 2023 paints a conflicting picture. The company's strong sales growth, especially in the new houses segment, indicates that its strategic initiatives are paying off. The platform's capacity to maintain its user base is called into question by </w:t>
      </w:r>
      <w:r w:rsidRPr="00C82D6F">
        <w:rPr>
          <w:rFonts w:eastAsia="Times New Roman" w:cs="Times New Roman"/>
          <w:b/>
          <w:bCs/>
          <w:kern w:val="0"/>
          <w:lang w:eastAsia="en-GB"/>
          <w14:ligatures w14:val="none"/>
        </w:rPr>
        <w:lastRenderedPageBreak/>
        <w:t>the drop in overall membership, which includes both agency branches and new home projects</w:t>
      </w:r>
      <w:r w:rsidRPr="006C2C8F">
        <w:rPr>
          <w:rFonts w:eastAsia="Times New Roman" w:cs="Times New Roman"/>
          <w:b/>
          <w:bCs/>
          <w:kern w:val="0"/>
          <w:lang w:eastAsia="en-GB"/>
          <w14:ligatures w14:val="none"/>
        </w:rPr>
        <w:t>.</w:t>
      </w:r>
      <w:r w:rsidR="00513BCE" w:rsidRPr="006C2C8F">
        <w:rPr>
          <w:rFonts w:eastAsia="Times New Roman" w:cs="Times New Roman"/>
          <w:b/>
          <w:bCs/>
          <w:kern w:val="0"/>
          <w:lang w:eastAsia="en-GB"/>
          <w14:ligatures w14:val="none"/>
        </w:rPr>
        <w:t xml:space="preserve"> If competitors are gaining ground or if market conditions force agencies and developers to reevaluate their marketing budgets, the little fall in membership may be a sign of impending difficulties. Furthermore, even while revenue growth is encouraging, the organisation must address the membership decline if it hopes to maintain long-term viability.</w:t>
      </w:r>
      <w:r w:rsidR="00EB2C09" w:rsidRPr="00EB2C09">
        <w:rPr>
          <w:rFonts w:ascii="Times New Roman" w:eastAsia="Times New Roman" w:hAnsi="Times New Roman" w:cs="Times New Roman"/>
          <w:kern w:val="0"/>
          <w:sz w:val="24"/>
          <w:szCs w:val="24"/>
          <w:lang w:eastAsia="en-GB"/>
          <w14:ligatures w14:val="none"/>
        </w:rPr>
        <w:t xml:space="preserve"> </w:t>
      </w:r>
    </w:p>
    <w:p w14:paraId="4FAA7DEA" w14:textId="083A0255" w:rsidR="00EB2C09" w:rsidRPr="00184F60" w:rsidRDefault="00EB2C09" w:rsidP="00EB2C09">
      <w:pPr>
        <w:rPr>
          <w:rFonts w:ascii="Times New Roman" w:eastAsia="Times New Roman" w:hAnsi="Times New Roman" w:cs="Times New Roman"/>
          <w:kern w:val="0"/>
          <w:sz w:val="24"/>
          <w:szCs w:val="24"/>
          <w:lang w:eastAsia="en-GB"/>
          <w14:ligatures w14:val="none"/>
        </w:rPr>
      </w:pPr>
      <w:r w:rsidRPr="001B4F63">
        <w:rPr>
          <w:rFonts w:eastAsia="Times New Roman" w:cs="Times New Roman"/>
          <w:b/>
          <w:bCs/>
          <w:kern w:val="0"/>
          <w:lang w:eastAsia="en-GB"/>
          <w14:ligatures w14:val="none"/>
        </w:rPr>
        <w:t xml:space="preserve">In 2023, Rightmove's financial performance demonstrates strong revenue growth, particularly in the new homes market, suggesting that their investment and strategy execution were effective. Nonetheless, the little drop in membership raises the possibility of dangers that should be closely watched. </w:t>
      </w:r>
      <w:r w:rsidR="001B4F63" w:rsidRPr="001B4F63">
        <w:rPr>
          <w:rFonts w:eastAsia="Times New Roman" w:cs="Times New Roman"/>
          <w:b/>
          <w:bCs/>
          <w:kern w:val="0"/>
          <w:lang w:eastAsia="en-GB"/>
          <w14:ligatures w14:val="none"/>
        </w:rPr>
        <w:t>To</w:t>
      </w:r>
      <w:r w:rsidRPr="001B4F63">
        <w:rPr>
          <w:rFonts w:eastAsia="Times New Roman" w:cs="Times New Roman"/>
          <w:b/>
          <w:bCs/>
          <w:kern w:val="0"/>
          <w:lang w:eastAsia="en-GB"/>
          <w14:ligatures w14:val="none"/>
        </w:rPr>
        <w:t xml:space="preserve"> maintain and expand its membership base, Rightmove will need to keep concentrating on improving its value proposition and seizing new chances for revenue development.</w:t>
      </w:r>
    </w:p>
    <w:p w14:paraId="77D54AAD" w14:textId="02D33EF9" w:rsidR="00917CDE" w:rsidRPr="00917CDE" w:rsidRDefault="00FE78CD" w:rsidP="00917CDE">
      <w:pPr>
        <w:rPr>
          <w:rFonts w:eastAsia="Times New Roman" w:cs="Times New Roman"/>
          <w:b/>
          <w:bCs/>
          <w:kern w:val="0"/>
          <w:lang w:eastAsia="en-GB"/>
          <w14:ligatures w14:val="none"/>
        </w:rPr>
      </w:pPr>
      <w:bookmarkStart w:id="10" w:name="_Toc175049441"/>
      <w:r w:rsidRPr="00DF3401">
        <w:rPr>
          <w:rStyle w:val="Heading2Char"/>
        </w:rPr>
        <w:t>3,2</w:t>
      </w:r>
      <w:r w:rsidR="00495199" w:rsidRPr="00DF3401">
        <w:rPr>
          <w:rStyle w:val="Heading2Char"/>
        </w:rPr>
        <w:t>.</w:t>
      </w:r>
      <w:r w:rsidR="006033AD" w:rsidRPr="00DF3401">
        <w:rPr>
          <w:rStyle w:val="Heading2Char"/>
        </w:rPr>
        <w:t xml:space="preserve"> Rightmove’s dividend pay-outs during the past 5 years</w:t>
      </w:r>
      <w:r w:rsidR="00797E70" w:rsidRPr="00DF3401">
        <w:rPr>
          <w:rStyle w:val="Heading2Char"/>
        </w:rPr>
        <w:t>:</w:t>
      </w:r>
      <w:bookmarkEnd w:id="10"/>
      <w:r w:rsidR="00917CDE" w:rsidRPr="00917CDE">
        <w:rPr>
          <w:rFonts w:ascii="Times New Roman" w:eastAsia="Times New Roman" w:hAnsi="Times New Roman" w:cs="Times New Roman"/>
          <w:kern w:val="0"/>
          <w:sz w:val="24"/>
          <w:szCs w:val="24"/>
          <w:lang w:eastAsia="en-GB"/>
          <w14:ligatures w14:val="none"/>
        </w:rPr>
        <w:t xml:space="preserve"> </w:t>
      </w:r>
      <w:r w:rsidR="00917CDE" w:rsidRPr="00917CDE">
        <w:rPr>
          <w:rFonts w:eastAsia="Times New Roman" w:cs="Times New Roman"/>
          <w:b/>
          <w:bCs/>
          <w:kern w:val="0"/>
          <w:lang w:eastAsia="en-GB"/>
          <w14:ligatures w14:val="none"/>
        </w:rPr>
        <w:t>The dividend payments made by Rightmove PLC have shown a pattern of steady growth over the previous five years, with a few notable outliers, most notably in 2020. A thorough analysis of these settlements is provided below:</w:t>
      </w:r>
    </w:p>
    <w:p w14:paraId="5ECDE936" w14:textId="4C9ECAB4" w:rsidR="00FE78CD" w:rsidRDefault="00FE78CD" w:rsidP="00EB2C09">
      <w:pPr>
        <w:rPr>
          <w:b/>
          <w:bCs/>
          <w:sz w:val="28"/>
          <w:szCs w:val="28"/>
        </w:rPr>
      </w:pPr>
    </w:p>
    <w:tbl>
      <w:tblPr>
        <w:tblW w:w="9600" w:type="dxa"/>
        <w:tblLook w:val="04A0" w:firstRow="1" w:lastRow="0" w:firstColumn="1" w:lastColumn="0" w:noHBand="0" w:noVBand="1"/>
      </w:tblPr>
      <w:tblGrid>
        <w:gridCol w:w="960"/>
        <w:gridCol w:w="960"/>
        <w:gridCol w:w="960"/>
        <w:gridCol w:w="960"/>
        <w:gridCol w:w="960"/>
        <w:gridCol w:w="960"/>
        <w:gridCol w:w="960"/>
        <w:gridCol w:w="960"/>
        <w:gridCol w:w="960"/>
        <w:gridCol w:w="960"/>
      </w:tblGrid>
      <w:tr w:rsidR="00DB2A4E" w:rsidRPr="00DB2A4E" w14:paraId="3E40ED06" w14:textId="77777777" w:rsidTr="00DB2A4E">
        <w:trPr>
          <w:trHeight w:val="300"/>
        </w:trPr>
        <w:tc>
          <w:tcPr>
            <w:tcW w:w="960" w:type="dxa"/>
            <w:tcBorders>
              <w:top w:val="nil"/>
              <w:left w:val="nil"/>
              <w:bottom w:val="nil"/>
              <w:right w:val="nil"/>
            </w:tcBorders>
            <w:shd w:val="clear" w:color="000000" w:fill="FFFFFF"/>
            <w:vAlign w:val="center"/>
            <w:hideMark/>
          </w:tcPr>
          <w:p w14:paraId="1F6DA5B1" w14:textId="66AC9118"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2024</w:t>
            </w:r>
          </w:p>
        </w:tc>
        <w:tc>
          <w:tcPr>
            <w:tcW w:w="960" w:type="dxa"/>
            <w:tcBorders>
              <w:top w:val="nil"/>
              <w:left w:val="nil"/>
              <w:bottom w:val="nil"/>
              <w:right w:val="nil"/>
            </w:tcBorders>
            <w:shd w:val="clear" w:color="000000" w:fill="FFFFFF"/>
            <w:vAlign w:val="center"/>
            <w:hideMark/>
          </w:tcPr>
          <w:p w14:paraId="4C7A397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07FB4C9F"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EB720B0"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DBEDDC"/>
            <w:vAlign w:val="center"/>
            <w:hideMark/>
          </w:tcPr>
          <w:p w14:paraId="626DF13A"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$0.14</w:t>
            </w:r>
          </w:p>
        </w:tc>
        <w:tc>
          <w:tcPr>
            <w:tcW w:w="960" w:type="dxa"/>
            <w:tcBorders>
              <w:top w:val="nil"/>
              <w:left w:val="nil"/>
              <w:bottom w:val="nil"/>
              <w:right w:val="nil"/>
            </w:tcBorders>
            <w:shd w:val="clear" w:color="000000" w:fill="FFFFFF"/>
            <w:vAlign w:val="center"/>
            <w:hideMark/>
          </w:tcPr>
          <w:p w14:paraId="2ECC307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6A6CECE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6FC903F3"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0DA97DA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A4683F4"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 </w:t>
            </w:r>
          </w:p>
        </w:tc>
      </w:tr>
      <w:tr w:rsidR="00DB2A4E" w:rsidRPr="00DB2A4E" w14:paraId="0B88C66D" w14:textId="77777777" w:rsidTr="00DB2A4E">
        <w:trPr>
          <w:trHeight w:val="300"/>
        </w:trPr>
        <w:tc>
          <w:tcPr>
            <w:tcW w:w="960" w:type="dxa"/>
            <w:tcBorders>
              <w:top w:val="nil"/>
              <w:left w:val="nil"/>
              <w:bottom w:val="nil"/>
              <w:right w:val="nil"/>
            </w:tcBorders>
            <w:shd w:val="clear" w:color="000000" w:fill="FFFFFF"/>
            <w:vAlign w:val="center"/>
            <w:hideMark/>
          </w:tcPr>
          <w:p w14:paraId="5BD1E0A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2023</w:t>
            </w:r>
          </w:p>
        </w:tc>
        <w:tc>
          <w:tcPr>
            <w:tcW w:w="960" w:type="dxa"/>
            <w:tcBorders>
              <w:top w:val="nil"/>
              <w:left w:val="nil"/>
              <w:bottom w:val="nil"/>
              <w:right w:val="nil"/>
            </w:tcBorders>
            <w:shd w:val="clear" w:color="000000" w:fill="FFFFFF"/>
            <w:vAlign w:val="center"/>
            <w:hideMark/>
          </w:tcPr>
          <w:p w14:paraId="1DA4994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E99D3A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E595560"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DFEFE0"/>
            <w:vAlign w:val="center"/>
            <w:hideMark/>
          </w:tcPr>
          <w:p w14:paraId="442D4E6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$0.13</w:t>
            </w:r>
          </w:p>
        </w:tc>
        <w:tc>
          <w:tcPr>
            <w:tcW w:w="960" w:type="dxa"/>
            <w:tcBorders>
              <w:top w:val="nil"/>
              <w:left w:val="nil"/>
              <w:bottom w:val="nil"/>
              <w:right w:val="nil"/>
            </w:tcBorders>
            <w:shd w:val="clear" w:color="000000" w:fill="FFFFFF"/>
            <w:vAlign w:val="center"/>
            <w:hideMark/>
          </w:tcPr>
          <w:p w14:paraId="1926332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6985B95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A24D5D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022D5827"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AF4EA"/>
            <w:vAlign w:val="center"/>
            <w:hideMark/>
          </w:tcPr>
          <w:p w14:paraId="209B93F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$0.09</w:t>
            </w:r>
          </w:p>
        </w:tc>
      </w:tr>
      <w:tr w:rsidR="00DB2A4E" w:rsidRPr="00DB2A4E" w14:paraId="0080A6C2" w14:textId="77777777" w:rsidTr="00DB2A4E">
        <w:trPr>
          <w:trHeight w:val="300"/>
        </w:trPr>
        <w:tc>
          <w:tcPr>
            <w:tcW w:w="960" w:type="dxa"/>
            <w:tcBorders>
              <w:top w:val="nil"/>
              <w:left w:val="nil"/>
              <w:bottom w:val="nil"/>
              <w:right w:val="nil"/>
            </w:tcBorders>
            <w:shd w:val="clear" w:color="000000" w:fill="FFFFFF"/>
            <w:vAlign w:val="center"/>
            <w:hideMark/>
          </w:tcPr>
          <w:p w14:paraId="1930FD98"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2022</w:t>
            </w:r>
          </w:p>
        </w:tc>
        <w:tc>
          <w:tcPr>
            <w:tcW w:w="960" w:type="dxa"/>
            <w:tcBorders>
              <w:top w:val="nil"/>
              <w:left w:val="nil"/>
              <w:bottom w:val="nil"/>
              <w:right w:val="nil"/>
            </w:tcBorders>
            <w:shd w:val="clear" w:color="000000" w:fill="FFFFFF"/>
            <w:vAlign w:val="center"/>
            <w:hideMark/>
          </w:tcPr>
          <w:p w14:paraId="077D7A54"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3CA8E47"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CC1289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1F0E2"/>
            <w:vAlign w:val="center"/>
            <w:hideMark/>
          </w:tcPr>
          <w:p w14:paraId="593FDB63"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$0.12</w:t>
            </w:r>
          </w:p>
        </w:tc>
        <w:tc>
          <w:tcPr>
            <w:tcW w:w="960" w:type="dxa"/>
            <w:tcBorders>
              <w:top w:val="nil"/>
              <w:left w:val="nil"/>
              <w:bottom w:val="nil"/>
              <w:right w:val="nil"/>
            </w:tcBorders>
            <w:shd w:val="clear" w:color="000000" w:fill="FFFFFF"/>
            <w:vAlign w:val="center"/>
            <w:hideMark/>
          </w:tcPr>
          <w:p w14:paraId="01D04254"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D8D506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153637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171C362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CF5ED"/>
            <w:vAlign w:val="center"/>
            <w:hideMark/>
          </w:tcPr>
          <w:p w14:paraId="3056798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$0.08</w:t>
            </w:r>
          </w:p>
        </w:tc>
      </w:tr>
      <w:tr w:rsidR="00DB2A4E" w:rsidRPr="00DB2A4E" w14:paraId="297B16B5" w14:textId="77777777" w:rsidTr="00DB2A4E">
        <w:trPr>
          <w:trHeight w:val="300"/>
        </w:trPr>
        <w:tc>
          <w:tcPr>
            <w:tcW w:w="960" w:type="dxa"/>
            <w:tcBorders>
              <w:top w:val="nil"/>
              <w:left w:val="nil"/>
              <w:bottom w:val="nil"/>
              <w:right w:val="nil"/>
            </w:tcBorders>
            <w:shd w:val="clear" w:color="000000" w:fill="FFFFFF"/>
            <w:vAlign w:val="center"/>
            <w:hideMark/>
          </w:tcPr>
          <w:p w14:paraId="6289FFDF"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2021</w:t>
            </w:r>
          </w:p>
        </w:tc>
        <w:tc>
          <w:tcPr>
            <w:tcW w:w="960" w:type="dxa"/>
            <w:tcBorders>
              <w:top w:val="nil"/>
              <w:left w:val="nil"/>
              <w:bottom w:val="nil"/>
              <w:right w:val="nil"/>
            </w:tcBorders>
            <w:shd w:val="clear" w:color="000000" w:fill="FFFFFF"/>
            <w:vAlign w:val="center"/>
            <w:hideMark/>
          </w:tcPr>
          <w:p w14:paraId="6329EBF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5A4E8C38"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1266153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0EFE0"/>
            <w:vAlign w:val="center"/>
            <w:hideMark/>
          </w:tcPr>
          <w:p w14:paraId="71499747"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$0.13</w:t>
            </w:r>
          </w:p>
        </w:tc>
        <w:tc>
          <w:tcPr>
            <w:tcW w:w="960" w:type="dxa"/>
            <w:tcBorders>
              <w:top w:val="nil"/>
              <w:left w:val="nil"/>
              <w:bottom w:val="nil"/>
              <w:right w:val="nil"/>
            </w:tcBorders>
            <w:shd w:val="clear" w:color="000000" w:fill="FFFFFF"/>
            <w:vAlign w:val="center"/>
            <w:hideMark/>
          </w:tcPr>
          <w:p w14:paraId="2F3D81F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65B0C93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A23F19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5FF7E09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BF5EB"/>
            <w:vAlign w:val="center"/>
            <w:hideMark/>
          </w:tcPr>
          <w:p w14:paraId="436F8CD8"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$0.08</w:t>
            </w:r>
          </w:p>
        </w:tc>
      </w:tr>
      <w:tr w:rsidR="00DB2A4E" w:rsidRPr="00DB2A4E" w14:paraId="6812ADC6" w14:textId="77777777" w:rsidTr="00DB2A4E">
        <w:trPr>
          <w:trHeight w:val="300"/>
        </w:trPr>
        <w:tc>
          <w:tcPr>
            <w:tcW w:w="960" w:type="dxa"/>
            <w:tcBorders>
              <w:top w:val="nil"/>
              <w:left w:val="nil"/>
              <w:bottom w:val="nil"/>
              <w:right w:val="nil"/>
            </w:tcBorders>
            <w:shd w:val="clear" w:color="000000" w:fill="FFFFFF"/>
            <w:vAlign w:val="center"/>
            <w:hideMark/>
          </w:tcPr>
          <w:p w14:paraId="7222E83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2020</w:t>
            </w:r>
          </w:p>
        </w:tc>
        <w:tc>
          <w:tcPr>
            <w:tcW w:w="960" w:type="dxa"/>
            <w:tcBorders>
              <w:top w:val="nil"/>
              <w:left w:val="nil"/>
              <w:bottom w:val="nil"/>
              <w:right w:val="nil"/>
            </w:tcBorders>
            <w:shd w:val="clear" w:color="000000" w:fill="FFFFFF"/>
            <w:vAlign w:val="center"/>
            <w:hideMark/>
          </w:tcPr>
          <w:p w14:paraId="40340E67"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8195FB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07977DF"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EF88D09"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047892F"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3668DB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058784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1D0C30DD"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77BB50AB"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r>
      <w:tr w:rsidR="00DB2A4E" w:rsidRPr="00DB2A4E" w14:paraId="3FBB5491" w14:textId="77777777" w:rsidTr="00DB2A4E">
        <w:trPr>
          <w:trHeight w:val="300"/>
        </w:trPr>
        <w:tc>
          <w:tcPr>
            <w:tcW w:w="960" w:type="dxa"/>
            <w:tcBorders>
              <w:top w:val="nil"/>
              <w:left w:val="nil"/>
              <w:bottom w:val="nil"/>
              <w:right w:val="nil"/>
            </w:tcBorders>
            <w:shd w:val="clear" w:color="000000" w:fill="FFFFFF"/>
            <w:vAlign w:val="center"/>
            <w:hideMark/>
          </w:tcPr>
          <w:p w14:paraId="2FA1764C"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2019</w:t>
            </w:r>
          </w:p>
        </w:tc>
        <w:tc>
          <w:tcPr>
            <w:tcW w:w="960" w:type="dxa"/>
            <w:tcBorders>
              <w:top w:val="nil"/>
              <w:left w:val="nil"/>
              <w:bottom w:val="nil"/>
              <w:right w:val="nil"/>
            </w:tcBorders>
            <w:shd w:val="clear" w:color="000000" w:fill="FFFFFF"/>
            <w:vAlign w:val="center"/>
            <w:hideMark/>
          </w:tcPr>
          <w:p w14:paraId="604414A1"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2ED84838"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A575D1E"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449C1A65"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E6F2E7"/>
            <w:vAlign w:val="center"/>
            <w:hideMark/>
          </w:tcPr>
          <w:p w14:paraId="33AD6E02"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$0.10</w:t>
            </w:r>
          </w:p>
        </w:tc>
        <w:tc>
          <w:tcPr>
            <w:tcW w:w="960" w:type="dxa"/>
            <w:tcBorders>
              <w:top w:val="nil"/>
              <w:left w:val="nil"/>
              <w:bottom w:val="nil"/>
              <w:right w:val="nil"/>
            </w:tcBorders>
            <w:shd w:val="clear" w:color="000000" w:fill="FFFFFF"/>
            <w:vAlign w:val="center"/>
            <w:hideMark/>
          </w:tcPr>
          <w:p w14:paraId="1F6209FC"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0F25D86C"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9EC72D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c>
          <w:tcPr>
            <w:tcW w:w="960" w:type="dxa"/>
            <w:tcBorders>
              <w:top w:val="nil"/>
              <w:left w:val="nil"/>
              <w:bottom w:val="nil"/>
              <w:right w:val="nil"/>
            </w:tcBorders>
            <w:shd w:val="clear" w:color="000000" w:fill="FFFFFF"/>
            <w:vAlign w:val="center"/>
            <w:hideMark/>
          </w:tcPr>
          <w:p w14:paraId="3EFE6026" w14:textId="77777777" w:rsidR="00DB2A4E" w:rsidRPr="00DB2A4E" w:rsidRDefault="00DB2A4E" w:rsidP="00DB2A4E">
            <w:pPr>
              <w:spacing w:after="0" w:line="240" w:lineRule="auto"/>
              <w:jc w:val="center"/>
              <w:rPr>
                <w:rFonts w:ascii="__Mulish_b7c016" w:eastAsia="Times New Roman" w:hAnsi="__Mulish_b7c016" w:cs="Times New Roman"/>
                <w:color w:val="000000"/>
                <w:kern w:val="0"/>
                <w:lang w:eastAsia="en-GB"/>
                <w14:ligatures w14:val="none"/>
              </w:rPr>
            </w:pPr>
            <w:r w:rsidRPr="00DB2A4E">
              <w:rPr>
                <w:rFonts w:ascii="__Mulish_b7c016" w:eastAsia="Times New Roman" w:hAnsi="__Mulish_b7c016" w:cs="Times New Roman"/>
                <w:color w:val="000000"/>
                <w:kern w:val="0"/>
                <w:lang w:eastAsia="en-GB"/>
                <w14:ligatures w14:val="none"/>
              </w:rPr>
              <w:t>$0.00</w:t>
            </w:r>
          </w:p>
        </w:tc>
      </w:tr>
    </w:tbl>
    <w:p w14:paraId="228370F0" w14:textId="46E494CA" w:rsidR="008541BA" w:rsidRDefault="00DA6E54" w:rsidP="00FA08C7">
      <w:pPr>
        <w:rPr>
          <w:rFonts w:ascii="Times New Roman" w:eastAsia="Times New Roman" w:hAnsi="Times New Roman" w:cs="Times New Roman"/>
          <w:kern w:val="0"/>
          <w:sz w:val="24"/>
          <w:szCs w:val="24"/>
          <w:lang w:eastAsia="en-GB"/>
          <w14:ligatures w14:val="none"/>
        </w:rPr>
      </w:pPr>
      <w:bookmarkStart w:id="11" w:name="_Toc175049442"/>
      <w:proofErr w:type="spellStart"/>
      <w:r w:rsidRPr="00DA6E54">
        <w:rPr>
          <w:rStyle w:val="Heading3Char"/>
        </w:rPr>
        <w:t>a</w:t>
      </w:r>
      <w:r w:rsidR="008541BA" w:rsidRPr="00DA6E54">
        <w:rPr>
          <w:rStyle w:val="Heading3Char"/>
        </w:rPr>
        <w:t>.</w:t>
      </w:r>
      <w:r w:rsidR="00235678" w:rsidRPr="00DA6E54">
        <w:rPr>
          <w:rStyle w:val="Heading3Char"/>
        </w:rPr>
        <w:t>A</w:t>
      </w:r>
      <w:proofErr w:type="spellEnd"/>
      <w:r w:rsidR="00235678" w:rsidRPr="00DA6E54">
        <w:rPr>
          <w:rStyle w:val="Heading3Char"/>
        </w:rPr>
        <w:t xml:space="preserve"> synopsis of the Dividend Distribution for 2019–2024</w:t>
      </w:r>
      <w:r w:rsidR="00040FEC" w:rsidRPr="00DA6E54">
        <w:rPr>
          <w:rStyle w:val="Heading3Char"/>
        </w:rPr>
        <w:t>:</w:t>
      </w:r>
      <w:bookmarkEnd w:id="11"/>
      <w:r w:rsidR="00235678" w:rsidRPr="008541BA">
        <w:rPr>
          <w:rFonts w:ascii="Times New Roman" w:eastAsia="Times New Roman" w:hAnsi="Times New Roman" w:cs="Times New Roman"/>
          <w:kern w:val="0"/>
          <w:sz w:val="24"/>
          <w:szCs w:val="24"/>
          <w:lang w:eastAsia="en-GB"/>
          <w14:ligatures w14:val="none"/>
        </w:rPr>
        <w:br/>
      </w:r>
      <w:r w:rsidR="00235678" w:rsidRPr="008541BA">
        <w:rPr>
          <w:rFonts w:eastAsia="Times New Roman" w:cs="Times New Roman"/>
          <w:b/>
          <w:bCs/>
          <w:kern w:val="0"/>
          <w:lang w:eastAsia="en-GB"/>
          <w14:ligatures w14:val="none"/>
        </w:rPr>
        <w:t>2019: In April and October, Rightmove distributed $0.10 and $0.07 in dividends, for a total of $0.17. This year's distribution was steady, indicating ongoing profitability.</w:t>
      </w:r>
      <w:r w:rsidR="00235678" w:rsidRPr="008541BA">
        <w:rPr>
          <w:rFonts w:eastAsia="Times New Roman" w:cs="Times New Roman"/>
          <w:b/>
          <w:bCs/>
          <w:kern w:val="0"/>
          <w:lang w:eastAsia="en-GB"/>
          <w14:ligatures w14:val="none"/>
        </w:rPr>
        <w:br/>
        <w:t>2020 saw no dividend payments from Rightmove. The COVID-19 pandemic's effects on economic uncertainty are probably to blame for this whole stop in payouts, as many businesses were forced to conserve cash.</w:t>
      </w:r>
      <w:r w:rsidR="00945044" w:rsidRPr="008541BA">
        <w:rPr>
          <w:rFonts w:ascii="Times New Roman" w:eastAsia="Times New Roman" w:hAnsi="Times New Roman" w:cs="Times New Roman"/>
          <w:kern w:val="0"/>
          <w:sz w:val="24"/>
          <w:szCs w:val="24"/>
          <w:lang w:eastAsia="en-GB"/>
          <w14:ligatures w14:val="none"/>
        </w:rPr>
        <w:t xml:space="preserve"> </w:t>
      </w:r>
    </w:p>
    <w:p w14:paraId="2E7BCC12" w14:textId="77777777" w:rsidR="00203EE2" w:rsidRDefault="00945044" w:rsidP="00203EE2">
      <w:pPr>
        <w:rPr>
          <w:rFonts w:ascii="Times New Roman" w:eastAsia="Times New Roman" w:hAnsi="Times New Roman" w:cs="Times New Roman"/>
          <w:kern w:val="0"/>
          <w:sz w:val="24"/>
          <w:szCs w:val="24"/>
          <w:lang w:eastAsia="en-GB"/>
          <w14:ligatures w14:val="none"/>
        </w:rPr>
      </w:pPr>
      <w:r w:rsidRPr="00F23D7C">
        <w:rPr>
          <w:rFonts w:eastAsia="Times New Roman" w:cs="Times New Roman"/>
          <w:b/>
          <w:bCs/>
          <w:kern w:val="0"/>
          <w:lang w:eastAsia="en-GB"/>
          <w14:ligatures w14:val="none"/>
        </w:rPr>
        <w:t>2021: The dividend program was reinstated, with a $0.21 total payout distributed as $0.13 in April and $0.08 in October. The increase shows that the business is recovering from the financial effects of the epidemic, even though it did not reach its 2019 payout targets.</w:t>
      </w:r>
      <w:r w:rsidR="00FA08C7" w:rsidRPr="00FA08C7">
        <w:rPr>
          <w:rFonts w:ascii="Times New Roman" w:eastAsia="Times New Roman" w:hAnsi="Times New Roman" w:cs="Times New Roman"/>
          <w:kern w:val="0"/>
          <w:sz w:val="24"/>
          <w:szCs w:val="24"/>
          <w:lang w:eastAsia="en-GB"/>
          <w14:ligatures w14:val="none"/>
        </w:rPr>
        <w:t xml:space="preserve"> </w:t>
      </w:r>
      <w:r w:rsidR="00FA08C7" w:rsidRPr="00FA08C7">
        <w:rPr>
          <w:rFonts w:eastAsia="Times New Roman" w:cs="Times New Roman"/>
          <w:b/>
          <w:bCs/>
          <w:kern w:val="0"/>
          <w:lang w:eastAsia="en-GB"/>
          <w14:ligatures w14:val="none"/>
        </w:rPr>
        <w:t xml:space="preserve">2022: With $0.12 distributed in April and $0.08 distributed in October, the total dividend payout marginally dropped to $0.20. This modest drop indicates that there may have been difficulties in keeping payout levels at the level of the prior year, perhaps </w:t>
      </w:r>
      <w:r w:rsidR="00040FEC" w:rsidRPr="00FA08C7">
        <w:rPr>
          <w:rFonts w:eastAsia="Times New Roman" w:cs="Times New Roman"/>
          <w:b/>
          <w:bCs/>
          <w:kern w:val="0"/>
          <w:lang w:eastAsia="en-GB"/>
          <w14:ligatures w14:val="none"/>
        </w:rPr>
        <w:t>because of</w:t>
      </w:r>
      <w:r w:rsidR="00FA08C7" w:rsidRPr="00FA08C7">
        <w:rPr>
          <w:rFonts w:eastAsia="Times New Roman" w:cs="Times New Roman"/>
          <w:b/>
          <w:bCs/>
          <w:kern w:val="0"/>
          <w:lang w:eastAsia="en-GB"/>
          <w14:ligatures w14:val="none"/>
        </w:rPr>
        <w:t xml:space="preserve"> ongoing economic uncertainty or calculated reinvestments.</w:t>
      </w:r>
      <w:r w:rsidR="00203EE2" w:rsidRPr="00203EE2">
        <w:rPr>
          <w:rFonts w:ascii="Times New Roman" w:eastAsia="Times New Roman" w:hAnsi="Times New Roman" w:cs="Times New Roman"/>
          <w:kern w:val="0"/>
          <w:sz w:val="24"/>
          <w:szCs w:val="24"/>
          <w:lang w:eastAsia="en-GB"/>
          <w14:ligatures w14:val="none"/>
        </w:rPr>
        <w:t xml:space="preserve"> </w:t>
      </w:r>
    </w:p>
    <w:p w14:paraId="425AA67A" w14:textId="77777777" w:rsidR="00545262" w:rsidRDefault="00203EE2" w:rsidP="00545262">
      <w:pPr>
        <w:rPr>
          <w:rFonts w:ascii="Times New Roman" w:eastAsia="Times New Roman" w:hAnsi="Times New Roman" w:cs="Times New Roman"/>
          <w:kern w:val="0"/>
          <w:sz w:val="24"/>
          <w:szCs w:val="24"/>
          <w:lang w:eastAsia="en-GB"/>
          <w14:ligatures w14:val="none"/>
        </w:rPr>
      </w:pPr>
      <w:r w:rsidRPr="00414243">
        <w:rPr>
          <w:rFonts w:eastAsia="Times New Roman" w:cs="Times New Roman"/>
          <w:b/>
          <w:bCs/>
          <w:kern w:val="0"/>
          <w:lang w:eastAsia="en-GB"/>
          <w14:ligatures w14:val="none"/>
        </w:rPr>
        <w:t>2023: Growth and recovery are shown by the payout, which climbed to $0.22 overall. The dividends were paid out as $0.09 in September and $0.13 in April, indicating a greater emphasis on shareholder returns. The increased dividend in September could be the result of better financial results.</w:t>
      </w:r>
      <w:r w:rsidRPr="00414243">
        <w:rPr>
          <w:rFonts w:eastAsia="Times New Roman" w:cs="Times New Roman"/>
          <w:b/>
          <w:bCs/>
          <w:kern w:val="0"/>
          <w:lang w:eastAsia="en-GB"/>
          <w14:ligatures w14:val="none"/>
        </w:rPr>
        <w:br/>
        <w:t>2024: Rightmove distributed $0.14 in dividends in April, according to the most recent statistics. If there are no more distributions this year, this one payout points to a continuance of the rising trend in shareholder returns.</w:t>
      </w:r>
      <w:r w:rsidR="00545262" w:rsidRPr="00545262">
        <w:rPr>
          <w:rFonts w:ascii="Times New Roman" w:eastAsia="Times New Roman" w:hAnsi="Times New Roman" w:cs="Times New Roman"/>
          <w:kern w:val="0"/>
          <w:sz w:val="24"/>
          <w:szCs w:val="24"/>
          <w:lang w:eastAsia="en-GB"/>
          <w14:ligatures w14:val="none"/>
        </w:rPr>
        <w:t xml:space="preserve"> </w:t>
      </w:r>
    </w:p>
    <w:p w14:paraId="5C3584C1" w14:textId="56CB952A" w:rsidR="006445D2" w:rsidRDefault="00DA6E54" w:rsidP="006445D2">
      <w:pPr>
        <w:rPr>
          <w:rFonts w:ascii="Times New Roman" w:eastAsia="Times New Roman" w:hAnsi="Times New Roman" w:cs="Times New Roman"/>
          <w:kern w:val="0"/>
          <w:sz w:val="24"/>
          <w:szCs w:val="24"/>
          <w:lang w:eastAsia="en-GB"/>
          <w14:ligatures w14:val="none"/>
        </w:rPr>
      </w:pPr>
      <w:bookmarkStart w:id="12" w:name="_Toc175049443"/>
      <w:r w:rsidRPr="00DA6E54">
        <w:rPr>
          <w:rStyle w:val="Heading3Char"/>
        </w:rPr>
        <w:lastRenderedPageBreak/>
        <w:t>b</w:t>
      </w:r>
      <w:r w:rsidR="00545262" w:rsidRPr="00DA6E54">
        <w:rPr>
          <w:rStyle w:val="Heading3Char"/>
        </w:rPr>
        <w:t>. Growth and Stability of Dividends</w:t>
      </w:r>
      <w:r w:rsidR="00B728BE" w:rsidRPr="00DA6E54">
        <w:rPr>
          <w:rStyle w:val="Heading3Char"/>
        </w:rPr>
        <w:t>:</w:t>
      </w:r>
      <w:bookmarkEnd w:id="12"/>
      <w:r w:rsidR="00545262" w:rsidRPr="00545262">
        <w:rPr>
          <w:rFonts w:ascii="Times New Roman" w:eastAsia="Times New Roman" w:hAnsi="Times New Roman" w:cs="Times New Roman"/>
          <w:kern w:val="0"/>
          <w:sz w:val="24"/>
          <w:szCs w:val="24"/>
          <w:lang w:eastAsia="en-GB"/>
          <w14:ligatures w14:val="none"/>
        </w:rPr>
        <w:br/>
      </w:r>
      <w:r w:rsidR="00545262" w:rsidRPr="00B728BE">
        <w:rPr>
          <w:rFonts w:eastAsia="Times New Roman" w:cs="Times New Roman"/>
          <w:b/>
          <w:bCs/>
          <w:kern w:val="0"/>
          <w:lang w:eastAsia="en-GB"/>
          <w14:ligatures w14:val="none"/>
        </w:rPr>
        <w:t xml:space="preserve">The information shows a tendency of cautious dividend payment increases, especially following the 2020 interruption. Resiliently, Rightmove resumed its dividend payments year after year after the pandemic-induced pause. In fact, it increased them marginally. The dividend </w:t>
      </w:r>
      <w:r w:rsidR="00B728BE" w:rsidRPr="00B728BE">
        <w:rPr>
          <w:rFonts w:eastAsia="Times New Roman" w:cs="Times New Roman"/>
          <w:b/>
          <w:bCs/>
          <w:kern w:val="0"/>
          <w:lang w:eastAsia="en-GB"/>
          <w14:ligatures w14:val="none"/>
        </w:rPr>
        <w:t>increases</w:t>
      </w:r>
      <w:r w:rsidR="00545262" w:rsidRPr="00B728BE">
        <w:rPr>
          <w:rFonts w:eastAsia="Times New Roman" w:cs="Times New Roman"/>
          <w:b/>
          <w:bCs/>
          <w:kern w:val="0"/>
          <w:lang w:eastAsia="en-GB"/>
          <w14:ligatures w14:val="none"/>
        </w:rPr>
        <w:t xml:space="preserve"> scheduled to occur gradually between 2021 and 2024 points to a sustainable growth strategy that strikes a balance between rewarding shareholders and reinvesting in the company.</w:t>
      </w:r>
      <w:r w:rsidR="006445D2" w:rsidRPr="006445D2">
        <w:rPr>
          <w:rFonts w:ascii="Times New Roman" w:eastAsia="Times New Roman" w:hAnsi="Times New Roman" w:cs="Times New Roman"/>
          <w:kern w:val="0"/>
          <w:sz w:val="24"/>
          <w:szCs w:val="24"/>
          <w:lang w:eastAsia="en-GB"/>
          <w14:ligatures w14:val="none"/>
        </w:rPr>
        <w:t xml:space="preserve"> </w:t>
      </w:r>
    </w:p>
    <w:p w14:paraId="70BE2292" w14:textId="66024A3A" w:rsidR="00C94B6E" w:rsidRDefault="00DA6E54" w:rsidP="00C94B6E">
      <w:pPr>
        <w:rPr>
          <w:rFonts w:ascii="Times New Roman" w:eastAsia="Times New Roman" w:hAnsi="Times New Roman" w:cs="Times New Roman"/>
          <w:kern w:val="0"/>
          <w:sz w:val="24"/>
          <w:szCs w:val="24"/>
          <w:lang w:eastAsia="en-GB"/>
          <w14:ligatures w14:val="none"/>
        </w:rPr>
      </w:pPr>
      <w:bookmarkStart w:id="13" w:name="_Toc175049444"/>
      <w:r w:rsidRPr="00DA6E54">
        <w:rPr>
          <w:rStyle w:val="Heading3Char"/>
        </w:rPr>
        <w:t>c</w:t>
      </w:r>
      <w:r w:rsidR="006445D2" w:rsidRPr="00DA6E54">
        <w:rPr>
          <w:rStyle w:val="Heading3Char"/>
        </w:rPr>
        <w:t>. The Effect of Outside Sources</w:t>
      </w:r>
      <w:r w:rsidR="00A7787B" w:rsidRPr="00DA6E54">
        <w:rPr>
          <w:rStyle w:val="Heading3Char"/>
        </w:rPr>
        <w:t>:</w:t>
      </w:r>
      <w:bookmarkEnd w:id="13"/>
      <w:r w:rsidR="006445D2" w:rsidRPr="006445D2">
        <w:rPr>
          <w:rFonts w:ascii="Times New Roman" w:eastAsia="Times New Roman" w:hAnsi="Times New Roman" w:cs="Times New Roman"/>
          <w:kern w:val="0"/>
          <w:sz w:val="24"/>
          <w:szCs w:val="24"/>
          <w:lang w:eastAsia="en-GB"/>
          <w14:ligatures w14:val="none"/>
        </w:rPr>
        <w:br/>
      </w:r>
      <w:r w:rsidR="006445D2" w:rsidRPr="00A7787B">
        <w:rPr>
          <w:rFonts w:eastAsia="Times New Roman" w:cs="Times New Roman"/>
          <w:b/>
          <w:bCs/>
          <w:kern w:val="0"/>
          <w:lang w:eastAsia="en-GB"/>
          <w14:ligatures w14:val="none"/>
        </w:rPr>
        <w:t>The 2020 dividend suspension was unmistakably related to the COVID-19 pandemic's wider negative economic effects. This was probably a defensive measure to save money in an unstable market. The succeeding years' recovery is indicative of both the return to normalcy and the sound financial standing of Rightmove.</w:t>
      </w:r>
      <w:r w:rsidR="00C94B6E" w:rsidRPr="00C94B6E">
        <w:rPr>
          <w:rFonts w:ascii="Times New Roman" w:eastAsia="Times New Roman" w:hAnsi="Times New Roman" w:cs="Times New Roman"/>
          <w:kern w:val="0"/>
          <w:sz w:val="24"/>
          <w:szCs w:val="24"/>
          <w:lang w:eastAsia="en-GB"/>
          <w14:ligatures w14:val="none"/>
        </w:rPr>
        <w:t xml:space="preserve"> </w:t>
      </w:r>
    </w:p>
    <w:p w14:paraId="4B6940E1" w14:textId="2AFA6441" w:rsidR="007D5A91" w:rsidRDefault="00DA6E54" w:rsidP="007D5A91">
      <w:pPr>
        <w:rPr>
          <w:rFonts w:ascii="Times New Roman" w:eastAsia="Times New Roman" w:hAnsi="Times New Roman" w:cs="Times New Roman"/>
          <w:kern w:val="0"/>
          <w:sz w:val="24"/>
          <w:szCs w:val="24"/>
          <w:lang w:eastAsia="en-GB"/>
          <w14:ligatures w14:val="none"/>
        </w:rPr>
      </w:pPr>
      <w:bookmarkStart w:id="14" w:name="_Toc175049445"/>
      <w:r w:rsidRPr="00DA6E54">
        <w:rPr>
          <w:rStyle w:val="Heading3Char"/>
        </w:rPr>
        <w:t>d</w:t>
      </w:r>
      <w:r w:rsidR="00C94B6E" w:rsidRPr="00DA6E54">
        <w:rPr>
          <w:rStyle w:val="Heading3Char"/>
        </w:rPr>
        <w:t>. Evaluation Against Pre-2020 Levels:</w:t>
      </w:r>
      <w:bookmarkEnd w:id="14"/>
      <w:r w:rsidR="00C94B6E" w:rsidRPr="00C94B6E">
        <w:rPr>
          <w:rFonts w:ascii="Times New Roman" w:eastAsia="Times New Roman" w:hAnsi="Times New Roman" w:cs="Times New Roman"/>
          <w:kern w:val="0"/>
          <w:sz w:val="24"/>
          <w:szCs w:val="24"/>
          <w:lang w:eastAsia="en-GB"/>
          <w14:ligatures w14:val="none"/>
        </w:rPr>
        <w:br/>
      </w:r>
      <w:r w:rsidR="00C94B6E" w:rsidRPr="00C94B6E">
        <w:rPr>
          <w:rFonts w:eastAsia="Times New Roman" w:cs="Times New Roman"/>
          <w:b/>
          <w:bCs/>
          <w:kern w:val="0"/>
          <w:lang w:eastAsia="en-GB"/>
          <w14:ligatures w14:val="none"/>
        </w:rPr>
        <w:t>The dividend in 2019 was $0.17, and it wasn't surpassed until 2021. Even though the 2023 payout is marginally greater than the 2019 payout, the corporation may be taking a conservative approach and giving financial stability a higher priority than rapid dividend increase.</w:t>
      </w:r>
      <w:r w:rsidR="007D5A91" w:rsidRPr="007D5A91">
        <w:rPr>
          <w:rFonts w:ascii="Times New Roman" w:eastAsia="Times New Roman" w:hAnsi="Times New Roman" w:cs="Times New Roman"/>
          <w:kern w:val="0"/>
          <w:sz w:val="24"/>
          <w:szCs w:val="24"/>
          <w:lang w:eastAsia="en-GB"/>
          <w14:ligatures w14:val="none"/>
        </w:rPr>
        <w:t xml:space="preserve"> </w:t>
      </w:r>
    </w:p>
    <w:p w14:paraId="38E32584" w14:textId="07DAABE6" w:rsidR="00BF4322" w:rsidRDefault="00DA6E54" w:rsidP="00371381">
      <w:pPr>
        <w:spacing w:after="240"/>
        <w:rPr>
          <w:rFonts w:eastAsia="Times New Roman" w:cs="Times New Roman"/>
          <w:b/>
          <w:bCs/>
          <w:kern w:val="0"/>
          <w:lang w:eastAsia="en-GB"/>
          <w14:ligatures w14:val="none"/>
        </w:rPr>
      </w:pPr>
      <w:bookmarkStart w:id="15" w:name="_Toc175049446"/>
      <w:r w:rsidRPr="00DA6E54">
        <w:rPr>
          <w:rStyle w:val="Heading3Char"/>
        </w:rPr>
        <w:t>e</w:t>
      </w:r>
      <w:r w:rsidR="007D5A91" w:rsidRPr="00DA6E54">
        <w:rPr>
          <w:rStyle w:val="Heading3Char"/>
        </w:rPr>
        <w:t>. The Viewpoint of the Shareholder:</w:t>
      </w:r>
      <w:bookmarkEnd w:id="15"/>
      <w:r w:rsidR="007D5A91" w:rsidRPr="007D5A91">
        <w:rPr>
          <w:rFonts w:ascii="Times New Roman" w:eastAsia="Times New Roman" w:hAnsi="Times New Roman" w:cs="Times New Roman"/>
          <w:kern w:val="0"/>
          <w:sz w:val="24"/>
          <w:szCs w:val="24"/>
          <w:lang w:eastAsia="en-GB"/>
          <w14:ligatures w14:val="none"/>
        </w:rPr>
        <w:br/>
      </w:r>
      <w:r w:rsidR="007D5A91" w:rsidRPr="007D5A91">
        <w:rPr>
          <w:rFonts w:eastAsia="Times New Roman" w:cs="Times New Roman"/>
          <w:b/>
          <w:bCs/>
          <w:kern w:val="0"/>
          <w:lang w:eastAsia="en-GB"/>
          <w14:ligatures w14:val="none"/>
        </w:rPr>
        <w:t>The dividend history over the last five years shows a mixed but overall encouraging picture for shareholders. While the company's dedication to restoring shareholder wealth is evident in the gradual recovery and dividend increases in the following years, the temporary suspension in 2020 would have been disappointing.</w:t>
      </w:r>
      <w:r w:rsidR="00371381" w:rsidRPr="00371381">
        <w:rPr>
          <w:rFonts w:ascii="Times New Roman" w:eastAsia="Times New Roman" w:hAnsi="Times New Roman" w:cs="Times New Roman"/>
          <w:kern w:val="0"/>
          <w:sz w:val="24"/>
          <w:szCs w:val="24"/>
          <w:lang w:eastAsia="en-GB"/>
          <w14:ligatures w14:val="none"/>
        </w:rPr>
        <w:t xml:space="preserve"> </w:t>
      </w:r>
      <w:r w:rsidR="00371381" w:rsidRPr="00371381">
        <w:rPr>
          <w:rFonts w:ascii="Times New Roman" w:eastAsia="Times New Roman" w:hAnsi="Times New Roman" w:cs="Times New Roman"/>
          <w:kern w:val="0"/>
          <w:sz w:val="24"/>
          <w:szCs w:val="24"/>
          <w:lang w:eastAsia="en-GB"/>
          <w14:ligatures w14:val="none"/>
        </w:rPr>
        <w:br/>
      </w:r>
      <w:r w:rsidR="00371381" w:rsidRPr="00EA0C2E">
        <w:rPr>
          <w:rFonts w:eastAsia="Times New Roman" w:cs="Times New Roman"/>
          <w:b/>
          <w:bCs/>
          <w:kern w:val="0"/>
          <w:lang w:eastAsia="en-GB"/>
          <w14:ligatures w14:val="none"/>
        </w:rPr>
        <w:t>The dividend policy of Rightmove PLC during the previous five years shows that they have a responsible approach to financial management. With confidence in its financial health, the corporation has raised dividends consistently after 2020 while navigating major external hurdles. Although the cautious growth may indicate that Rightmove is giving long-term sustainability a higher priority than short-term payment maximisation, overall, this pattern is encouraging for shareholders. In the future, investors hoping for steady returns will need to keep a close eye on Rightmove's financial results and dividend policy.</w:t>
      </w:r>
    </w:p>
    <w:p w14:paraId="3F9CA7C0" w14:textId="1A3B7BCA" w:rsidR="00C05700" w:rsidRPr="00C05700" w:rsidRDefault="00BF4322" w:rsidP="00C05700">
      <w:pPr>
        <w:rPr>
          <w:rFonts w:ascii="Times New Roman" w:eastAsia="Times New Roman" w:hAnsi="Times New Roman" w:cs="Times New Roman"/>
          <w:kern w:val="0"/>
          <w:sz w:val="24"/>
          <w:szCs w:val="24"/>
          <w:lang w:eastAsia="en-GB"/>
          <w14:ligatures w14:val="none"/>
        </w:rPr>
      </w:pPr>
      <w:bookmarkStart w:id="16" w:name="_Toc175049447"/>
      <w:r w:rsidRPr="00DA6E54">
        <w:rPr>
          <w:rStyle w:val="Heading2Char"/>
        </w:rPr>
        <w:t>3,3.</w:t>
      </w:r>
      <w:bookmarkEnd w:id="16"/>
      <w:r w:rsidR="00C05700" w:rsidRPr="00C05700">
        <w:rPr>
          <w:rFonts w:ascii="Times New Roman" w:eastAsia="Times New Roman" w:hAnsi="Times New Roman" w:cs="Times New Roman"/>
          <w:kern w:val="0"/>
          <w:sz w:val="24"/>
          <w:szCs w:val="24"/>
          <w:lang w:eastAsia="en-GB"/>
          <w14:ligatures w14:val="none"/>
        </w:rPr>
        <w:t xml:space="preserve"> </w:t>
      </w:r>
      <w:r w:rsidR="00C05700" w:rsidRPr="00C05700">
        <w:rPr>
          <w:rFonts w:eastAsia="Times New Roman" w:cs="Times New Roman"/>
          <w:b/>
          <w:bCs/>
          <w:kern w:val="0"/>
          <w:sz w:val="28"/>
          <w:szCs w:val="28"/>
          <w:lang w:eastAsia="en-GB"/>
          <w14:ligatures w14:val="none"/>
        </w:rPr>
        <w:t xml:space="preserve">The following are the elements that the business must </w:t>
      </w:r>
      <w:r w:rsidR="00C05700" w:rsidRPr="00C05700">
        <w:rPr>
          <w:rFonts w:eastAsia="Times New Roman" w:cs="Times New Roman"/>
          <w:b/>
          <w:bCs/>
          <w:kern w:val="0"/>
          <w:sz w:val="28"/>
          <w:szCs w:val="28"/>
          <w:lang w:eastAsia="en-GB"/>
          <w14:ligatures w14:val="none"/>
        </w:rPr>
        <w:t>consider</w:t>
      </w:r>
      <w:r w:rsidR="00C05700" w:rsidRPr="00C05700">
        <w:rPr>
          <w:rFonts w:eastAsia="Times New Roman" w:cs="Times New Roman"/>
          <w:b/>
          <w:bCs/>
          <w:kern w:val="0"/>
          <w:sz w:val="28"/>
          <w:szCs w:val="28"/>
          <w:lang w:eastAsia="en-GB"/>
          <w14:ligatures w14:val="none"/>
        </w:rPr>
        <w:t xml:space="preserve"> when deciding whether to pay a dividend:</w:t>
      </w:r>
      <w:r w:rsidR="00C05700" w:rsidRPr="00C05700">
        <w:rPr>
          <w:rFonts w:ascii="Times New Roman" w:eastAsia="Times New Roman" w:hAnsi="Times New Roman" w:cs="Times New Roman"/>
          <w:kern w:val="0"/>
          <w:sz w:val="24"/>
          <w:szCs w:val="24"/>
          <w:lang w:eastAsia="en-GB"/>
          <w14:ligatures w14:val="none"/>
        </w:rPr>
        <w:t xml:space="preserve"> </w:t>
      </w:r>
    </w:p>
    <w:p w14:paraId="2FFFAAA9" w14:textId="77DC541A" w:rsidR="00FF2D76" w:rsidRDefault="00B619ED" w:rsidP="00FF2D76">
      <w:pPr>
        <w:rPr>
          <w:rFonts w:ascii="Times New Roman" w:eastAsia="Times New Roman" w:hAnsi="Times New Roman" w:cs="Times New Roman"/>
          <w:kern w:val="0"/>
          <w:sz w:val="24"/>
          <w:szCs w:val="24"/>
          <w:lang w:eastAsia="en-GB"/>
          <w14:ligatures w14:val="none"/>
        </w:rPr>
      </w:pPr>
      <w:r w:rsidRPr="00DA6E54">
        <w:rPr>
          <w:rStyle w:val="Heading2Char"/>
        </w:rPr>
        <w:t xml:space="preserve"> </w:t>
      </w:r>
      <w:r w:rsidR="00E23AD2" w:rsidRPr="00E23AD2">
        <w:rPr>
          <w:rFonts w:eastAsia="Times New Roman" w:cs="Times New Roman"/>
          <w:b/>
          <w:bCs/>
          <w:kern w:val="0"/>
          <w:lang w:eastAsia="en-GB"/>
          <w14:ligatures w14:val="none"/>
        </w:rPr>
        <w:t>Rightmove plc needs to evaluate several important aspects before deciding whether to pay dividends. These elements make sure that the choice is in line with the company's financial standing, potential for growth, expectations of shareholders, and general market conditions. This is a synopsis:</w:t>
      </w:r>
      <w:r w:rsidR="00FF2D76" w:rsidRPr="00FF2D76">
        <w:rPr>
          <w:rFonts w:ascii="Times New Roman" w:eastAsia="Times New Roman" w:hAnsi="Times New Roman" w:cs="Times New Roman"/>
          <w:kern w:val="0"/>
          <w:sz w:val="24"/>
          <w:szCs w:val="24"/>
          <w:lang w:eastAsia="en-GB"/>
          <w14:ligatures w14:val="none"/>
        </w:rPr>
        <w:t xml:space="preserve"> </w:t>
      </w:r>
    </w:p>
    <w:p w14:paraId="39AFD393" w14:textId="77777777" w:rsidR="0090356E" w:rsidRPr="0090356E" w:rsidRDefault="00DA6E54" w:rsidP="0090356E">
      <w:pPr>
        <w:rPr>
          <w:rFonts w:ascii="Times New Roman" w:eastAsia="Times New Roman" w:hAnsi="Times New Roman" w:cs="Times New Roman"/>
          <w:kern w:val="0"/>
          <w:sz w:val="24"/>
          <w:szCs w:val="24"/>
          <w:lang w:eastAsia="en-GB"/>
          <w14:ligatures w14:val="none"/>
        </w:rPr>
      </w:pPr>
      <w:bookmarkStart w:id="17" w:name="_Toc175049448"/>
      <w:r w:rsidRPr="00DA6E54">
        <w:rPr>
          <w:rStyle w:val="Heading3Char"/>
        </w:rPr>
        <w:t>a</w:t>
      </w:r>
      <w:r w:rsidR="00FF2D76" w:rsidRPr="00DA6E54">
        <w:rPr>
          <w:rStyle w:val="Heading3Char"/>
        </w:rPr>
        <w:t>.</w:t>
      </w:r>
      <w:bookmarkEnd w:id="17"/>
      <w:r w:rsidR="00FF2D76" w:rsidRPr="00DA6E54">
        <w:rPr>
          <w:rStyle w:val="Heading3Char"/>
        </w:rPr>
        <w:t xml:space="preserve"> </w:t>
      </w:r>
      <w:r w:rsidR="0090356E" w:rsidRPr="0090356E">
        <w:rPr>
          <w:rFonts w:eastAsia="Times New Roman" w:cs="Times New Roman"/>
          <w:b/>
          <w:bCs/>
          <w:kern w:val="0"/>
          <w:sz w:val="28"/>
          <w:szCs w:val="28"/>
          <w:lang w:eastAsia="en-GB"/>
          <w14:ligatures w14:val="none"/>
        </w:rPr>
        <w:t>Financial Performance and Profitability:</w:t>
      </w:r>
    </w:p>
    <w:p w14:paraId="588CBD3C" w14:textId="3167DD8F" w:rsidR="00BF7D25" w:rsidRPr="00BF7D25" w:rsidRDefault="00FF2D76" w:rsidP="00BF7D25">
      <w:pPr>
        <w:rPr>
          <w:rFonts w:eastAsia="Times New Roman" w:cs="Times New Roman"/>
          <w:b/>
          <w:bCs/>
          <w:kern w:val="0"/>
          <w:lang w:eastAsia="en-GB"/>
          <w14:ligatures w14:val="none"/>
        </w:rPr>
      </w:pPr>
      <w:r w:rsidRPr="003E1805">
        <w:rPr>
          <w:rFonts w:eastAsia="Times New Roman" w:cs="Times New Roman"/>
          <w:b/>
          <w:bCs/>
          <w:kern w:val="0"/>
          <w:lang w:eastAsia="en-GB"/>
          <w14:ligatures w14:val="none"/>
        </w:rPr>
        <w:t>Growth in profits:</w:t>
      </w:r>
      <w:r w:rsidR="00BF7D25" w:rsidRPr="00BF7D25">
        <w:rPr>
          <w:rFonts w:ascii="Times New Roman" w:eastAsia="Times New Roman" w:hAnsi="Times New Roman" w:cs="Times New Roman"/>
          <w:kern w:val="0"/>
          <w:sz w:val="24"/>
          <w:szCs w:val="24"/>
          <w:lang w:eastAsia="en-GB"/>
          <w14:ligatures w14:val="none"/>
        </w:rPr>
        <w:t xml:space="preserve"> </w:t>
      </w:r>
      <w:r w:rsidR="00BF7D25" w:rsidRPr="00BF7D25">
        <w:rPr>
          <w:rFonts w:eastAsia="Times New Roman" w:cs="Times New Roman"/>
          <w:b/>
          <w:bCs/>
          <w:kern w:val="0"/>
          <w:lang w:eastAsia="en-GB"/>
          <w14:ligatures w14:val="none"/>
        </w:rPr>
        <w:t xml:space="preserve">Profitability is a key factor in determining a company's ability to pay dividends. Rightmove's ability to generate revenue on a regular basis is essential. The company </w:t>
      </w:r>
      <w:r w:rsidR="00BF7D25" w:rsidRPr="00BF7D25">
        <w:rPr>
          <w:rFonts w:eastAsia="Times New Roman" w:cs="Times New Roman"/>
          <w:b/>
          <w:bCs/>
          <w:kern w:val="0"/>
          <w:lang w:eastAsia="en-GB"/>
          <w14:ligatures w14:val="none"/>
        </w:rPr>
        <w:t>can</w:t>
      </w:r>
      <w:r w:rsidR="00BF7D25" w:rsidRPr="00BF7D25">
        <w:rPr>
          <w:rFonts w:eastAsia="Times New Roman" w:cs="Times New Roman"/>
          <w:b/>
          <w:bCs/>
          <w:kern w:val="0"/>
          <w:lang w:eastAsia="en-GB"/>
          <w14:ligatures w14:val="none"/>
        </w:rPr>
        <w:t xml:space="preserve"> distribute dividends on a regular basis because of its profitable margin.</w:t>
      </w:r>
    </w:p>
    <w:p w14:paraId="5558B3C2" w14:textId="7BB214F6" w:rsidR="002D7FB7" w:rsidRDefault="00FF2D76" w:rsidP="002D7FB7">
      <w:pPr>
        <w:rPr>
          <w:rFonts w:ascii="Times New Roman" w:eastAsia="Times New Roman" w:hAnsi="Times New Roman" w:cs="Times New Roman"/>
          <w:kern w:val="0"/>
          <w:sz w:val="24"/>
          <w:szCs w:val="24"/>
          <w:lang w:eastAsia="en-GB"/>
          <w14:ligatures w14:val="none"/>
        </w:rPr>
      </w:pPr>
      <w:r w:rsidRPr="003E1805">
        <w:rPr>
          <w:rFonts w:eastAsia="Times New Roman" w:cs="Times New Roman"/>
          <w:b/>
          <w:bCs/>
          <w:kern w:val="0"/>
          <w:lang w:eastAsia="en-GB"/>
          <w14:ligatures w14:val="none"/>
        </w:rPr>
        <w:t xml:space="preserve">Free Cash Flow: Dividend funding requires the availability of cash flow following capital expenditures. </w:t>
      </w:r>
      <w:r w:rsidR="003E62A6" w:rsidRPr="003E1805">
        <w:rPr>
          <w:rFonts w:eastAsia="Times New Roman" w:cs="Times New Roman"/>
          <w:b/>
          <w:bCs/>
          <w:kern w:val="0"/>
          <w:lang w:eastAsia="en-GB"/>
          <w14:ligatures w14:val="none"/>
        </w:rPr>
        <w:t>To</w:t>
      </w:r>
      <w:r w:rsidRPr="003E1805">
        <w:rPr>
          <w:rFonts w:eastAsia="Times New Roman" w:cs="Times New Roman"/>
          <w:b/>
          <w:bCs/>
          <w:kern w:val="0"/>
          <w:lang w:eastAsia="en-GB"/>
          <w14:ligatures w14:val="none"/>
        </w:rPr>
        <w:t xml:space="preserve"> meet its dividend obligations, Rightmove must make sure it has enough </w:t>
      </w:r>
      <w:r w:rsidRPr="003E1805">
        <w:rPr>
          <w:rFonts w:eastAsia="Times New Roman" w:cs="Times New Roman"/>
          <w:b/>
          <w:bCs/>
          <w:kern w:val="0"/>
          <w:lang w:eastAsia="en-GB"/>
          <w14:ligatures w14:val="none"/>
        </w:rPr>
        <w:lastRenderedPageBreak/>
        <w:t>free cash flow without jeopardising other operating requirements or investment opportunities.</w:t>
      </w:r>
      <w:r w:rsidR="002D7FB7" w:rsidRPr="002D7FB7">
        <w:rPr>
          <w:rFonts w:ascii="Times New Roman" w:eastAsia="Times New Roman" w:hAnsi="Times New Roman" w:cs="Times New Roman"/>
          <w:kern w:val="0"/>
          <w:sz w:val="24"/>
          <w:szCs w:val="24"/>
          <w:lang w:eastAsia="en-GB"/>
          <w14:ligatures w14:val="none"/>
        </w:rPr>
        <w:t xml:space="preserve"> </w:t>
      </w:r>
    </w:p>
    <w:p w14:paraId="2544AAE8" w14:textId="522212A6" w:rsidR="00B60CCE" w:rsidRDefault="00DA6E54" w:rsidP="00DA6E54">
      <w:pPr>
        <w:pStyle w:val="Heading3"/>
        <w:rPr>
          <w:rFonts w:ascii="Times New Roman" w:eastAsia="Times New Roman" w:hAnsi="Times New Roman"/>
          <w:sz w:val="24"/>
          <w:szCs w:val="24"/>
          <w:lang w:eastAsia="en-GB"/>
        </w:rPr>
      </w:pPr>
      <w:bookmarkStart w:id="18" w:name="_Toc175049449"/>
      <w:r>
        <w:rPr>
          <w:rFonts w:eastAsia="Times New Roman"/>
          <w:lang w:eastAsia="en-GB"/>
        </w:rPr>
        <w:t>b</w:t>
      </w:r>
      <w:r w:rsidR="002D7FB7" w:rsidRPr="00356C4B">
        <w:rPr>
          <w:rFonts w:eastAsia="Times New Roman"/>
          <w:lang w:eastAsia="en-GB"/>
        </w:rPr>
        <w:t>. History of Dividends and Expectations of Shareholders</w:t>
      </w:r>
      <w:r w:rsidR="00676F98" w:rsidRPr="00356C4B">
        <w:rPr>
          <w:rFonts w:eastAsia="Times New Roman"/>
          <w:lang w:eastAsia="en-GB"/>
        </w:rPr>
        <w:t>:</w:t>
      </w:r>
      <w:bookmarkEnd w:id="18"/>
    </w:p>
    <w:p w14:paraId="76F203AC" w14:textId="77777777" w:rsidR="00CA027A" w:rsidRDefault="00486C11" w:rsidP="00CA027A">
      <w:pPr>
        <w:rPr>
          <w:rFonts w:ascii="Times New Roman" w:eastAsia="Times New Roman" w:hAnsi="Times New Roman" w:cs="Times New Roman"/>
          <w:kern w:val="0"/>
          <w:sz w:val="24"/>
          <w:szCs w:val="24"/>
          <w:lang w:eastAsia="en-GB"/>
          <w14:ligatures w14:val="none"/>
        </w:rPr>
      </w:pPr>
      <w:r w:rsidRPr="00B60CCE">
        <w:rPr>
          <w:rFonts w:eastAsia="Times New Roman" w:cs="Times New Roman"/>
          <w:b/>
          <w:bCs/>
          <w:kern w:val="0"/>
          <w:lang w:eastAsia="en-GB"/>
          <w14:ligatures w14:val="none"/>
        </w:rPr>
        <w:t>Consistency in Dividends: Investors frequently anticipate steady or progressively rising dividends. The historical data from Rightmove indicates a typically upward trend in dividend payouts, apart from 2020, when the pandemic prevented any dividends from being paid. For the confidence of investors, the dividend must be maintained or increased.</w:t>
      </w:r>
      <w:r w:rsidR="00B516A7" w:rsidRPr="00B516A7">
        <w:rPr>
          <w:rFonts w:ascii="Times New Roman" w:eastAsia="Times New Roman" w:hAnsi="Times New Roman" w:cs="Times New Roman"/>
          <w:kern w:val="0"/>
          <w:sz w:val="24"/>
          <w:szCs w:val="24"/>
          <w:lang w:eastAsia="en-GB"/>
          <w14:ligatures w14:val="none"/>
        </w:rPr>
        <w:t xml:space="preserve"> </w:t>
      </w:r>
      <w:r w:rsidR="00B516A7" w:rsidRPr="0066721D">
        <w:rPr>
          <w:rFonts w:eastAsia="Times New Roman" w:cs="Times New Roman"/>
          <w:b/>
          <w:bCs/>
          <w:kern w:val="0"/>
          <w:lang w:eastAsia="en-GB"/>
          <w14:ligatures w14:val="none"/>
        </w:rPr>
        <w:t>Dividend Yield: Given the state of the market and the company's policies, the present dividend yield of 1.66% is low. It is imperative that Rightmove evaluates if this yield aligns with investor expectations, particularly when compared to others in the industry.</w:t>
      </w:r>
      <w:r w:rsidR="00FE05E5" w:rsidRPr="00FE05E5">
        <w:rPr>
          <w:rFonts w:ascii="Times New Roman" w:eastAsia="Times New Roman" w:hAnsi="Times New Roman" w:cs="Times New Roman"/>
          <w:kern w:val="0"/>
          <w:sz w:val="24"/>
          <w:szCs w:val="24"/>
          <w:lang w:eastAsia="en-GB"/>
          <w14:ligatures w14:val="none"/>
        </w:rPr>
        <w:t xml:space="preserve"> </w:t>
      </w:r>
    </w:p>
    <w:p w14:paraId="6A6DB220" w14:textId="32708037" w:rsidR="007A2245" w:rsidRDefault="00DA6E54" w:rsidP="00D56AFC">
      <w:pPr>
        <w:rPr>
          <w:rFonts w:ascii="Times New Roman" w:eastAsia="Times New Roman" w:hAnsi="Times New Roman" w:cs="Times New Roman"/>
          <w:kern w:val="0"/>
          <w:sz w:val="24"/>
          <w:szCs w:val="24"/>
          <w:lang w:eastAsia="en-GB"/>
          <w14:ligatures w14:val="none"/>
        </w:rPr>
      </w:pPr>
      <w:bookmarkStart w:id="19" w:name="_Toc175049450"/>
      <w:r w:rsidRPr="00DA6E54">
        <w:rPr>
          <w:rStyle w:val="Heading3Char"/>
        </w:rPr>
        <w:t>c</w:t>
      </w:r>
      <w:r w:rsidR="00CA027A" w:rsidRPr="00DA6E54">
        <w:rPr>
          <w:rStyle w:val="Heading3Char"/>
        </w:rPr>
        <w:t>. Prospects for Growth and Reinvestment Requirements:</w:t>
      </w:r>
      <w:bookmarkEnd w:id="19"/>
      <w:r w:rsidR="00CA027A" w:rsidRPr="00CA027A">
        <w:rPr>
          <w:rFonts w:ascii="Times New Roman" w:eastAsia="Times New Roman" w:hAnsi="Times New Roman" w:cs="Times New Roman"/>
          <w:kern w:val="0"/>
          <w:sz w:val="24"/>
          <w:szCs w:val="24"/>
          <w:lang w:eastAsia="en-GB"/>
          <w14:ligatures w14:val="none"/>
        </w:rPr>
        <w:br/>
      </w:r>
      <w:r w:rsidR="00CA027A" w:rsidRPr="00CA027A">
        <w:rPr>
          <w:rFonts w:eastAsia="Times New Roman" w:cs="Times New Roman"/>
          <w:b/>
          <w:bCs/>
          <w:kern w:val="0"/>
          <w:lang w:eastAsia="en-GB"/>
          <w14:ligatures w14:val="none"/>
        </w:rPr>
        <w:t>Reinvestment for Growth: Instead of paying out dividends, Rightmove may choose to keep its earnings to reinvest them back into the company if it sees room for considerable growth. A crucial factor to consider is striking a balance between rewarding shareholders and fostering future growth</w:t>
      </w:r>
      <w:r w:rsidR="00CA027A" w:rsidRPr="00CA027A">
        <w:rPr>
          <w:rFonts w:ascii="Times New Roman" w:eastAsia="Times New Roman" w:hAnsi="Times New Roman" w:cs="Times New Roman"/>
          <w:kern w:val="0"/>
          <w:sz w:val="24"/>
          <w:szCs w:val="24"/>
          <w:lang w:eastAsia="en-GB"/>
          <w14:ligatures w14:val="none"/>
        </w:rPr>
        <w:t>.</w:t>
      </w:r>
      <w:r w:rsidR="00E1330E" w:rsidRPr="00E1330E">
        <w:rPr>
          <w:rFonts w:ascii="Times New Roman" w:eastAsia="Times New Roman" w:hAnsi="Times New Roman" w:cs="Times New Roman"/>
          <w:kern w:val="0"/>
          <w:sz w:val="24"/>
          <w:szCs w:val="24"/>
          <w:lang w:eastAsia="en-GB"/>
          <w14:ligatures w14:val="none"/>
        </w:rPr>
        <w:t xml:space="preserve"> </w:t>
      </w:r>
    </w:p>
    <w:p w14:paraId="69356D3F" w14:textId="41AD061E" w:rsidR="00AB3578" w:rsidRDefault="00E1330E" w:rsidP="00AB3578">
      <w:pPr>
        <w:rPr>
          <w:rFonts w:ascii="Times New Roman" w:eastAsia="Times New Roman" w:hAnsi="Times New Roman" w:cs="Times New Roman"/>
          <w:kern w:val="0"/>
          <w:sz w:val="24"/>
          <w:szCs w:val="24"/>
          <w:lang w:eastAsia="en-GB"/>
          <w14:ligatures w14:val="none"/>
        </w:rPr>
      </w:pPr>
      <w:r w:rsidRPr="00103D5B">
        <w:rPr>
          <w:rFonts w:eastAsia="Times New Roman" w:cs="Times New Roman"/>
          <w:b/>
          <w:bCs/>
          <w:kern w:val="0"/>
          <w:sz w:val="24"/>
          <w:szCs w:val="24"/>
          <w:lang w:eastAsia="en-GB"/>
          <w14:ligatures w14:val="none"/>
        </w:rPr>
        <w:t xml:space="preserve">Acquisitions and Expansion: Considerable financial resources may be needed for prospective acquisitions or expansions. Rightmove must determine if </w:t>
      </w:r>
      <w:r w:rsidR="00D56AFC" w:rsidRPr="00103D5B">
        <w:rPr>
          <w:rFonts w:eastAsia="Times New Roman" w:cs="Times New Roman"/>
          <w:b/>
          <w:bCs/>
          <w:kern w:val="0"/>
          <w:sz w:val="24"/>
          <w:szCs w:val="24"/>
          <w:lang w:eastAsia="en-GB"/>
          <w14:ligatures w14:val="none"/>
        </w:rPr>
        <w:t>these potentials</w:t>
      </w:r>
      <w:r w:rsidRPr="00103D5B">
        <w:rPr>
          <w:rFonts w:eastAsia="Times New Roman" w:cs="Times New Roman"/>
          <w:b/>
          <w:bCs/>
          <w:kern w:val="0"/>
          <w:sz w:val="24"/>
          <w:szCs w:val="24"/>
          <w:lang w:eastAsia="en-GB"/>
          <w14:ligatures w14:val="none"/>
        </w:rPr>
        <w:t xml:space="preserve"> outweigh the costs of cutting or stopping dividend payments in favour of long-term growth projects.</w:t>
      </w:r>
      <w:r w:rsidR="00D56AFC" w:rsidRPr="00103D5B">
        <w:rPr>
          <w:rFonts w:eastAsia="Times New Roman" w:cs="Times New Roman"/>
          <w:b/>
          <w:bCs/>
          <w:kern w:val="0"/>
          <w:sz w:val="24"/>
          <w:szCs w:val="24"/>
          <w:lang w:eastAsia="en-GB"/>
          <w14:ligatures w14:val="none"/>
        </w:rPr>
        <w:t xml:space="preserve"> </w:t>
      </w:r>
    </w:p>
    <w:p w14:paraId="68378429" w14:textId="4AEDE5B5" w:rsidR="00F15930" w:rsidRDefault="00DA6E54" w:rsidP="00F15930">
      <w:pPr>
        <w:rPr>
          <w:rFonts w:ascii="Times New Roman" w:eastAsia="Times New Roman" w:hAnsi="Times New Roman" w:cs="Times New Roman"/>
          <w:kern w:val="0"/>
          <w:sz w:val="24"/>
          <w:szCs w:val="24"/>
          <w:lang w:eastAsia="en-GB"/>
          <w14:ligatures w14:val="none"/>
        </w:rPr>
      </w:pPr>
      <w:bookmarkStart w:id="20" w:name="_Toc175049451"/>
      <w:r w:rsidRPr="00DA6E54">
        <w:rPr>
          <w:rStyle w:val="Heading3Char"/>
        </w:rPr>
        <w:t>d</w:t>
      </w:r>
      <w:r w:rsidR="00AB3578" w:rsidRPr="00DA6E54">
        <w:rPr>
          <w:rStyle w:val="Heading3Char"/>
        </w:rPr>
        <w:t>. The state of the economy and the market:</w:t>
      </w:r>
      <w:bookmarkEnd w:id="20"/>
      <w:r w:rsidR="00AB3578" w:rsidRPr="00AB3578">
        <w:rPr>
          <w:rFonts w:ascii="Times New Roman" w:eastAsia="Times New Roman" w:hAnsi="Times New Roman" w:cs="Times New Roman"/>
          <w:kern w:val="0"/>
          <w:sz w:val="24"/>
          <w:szCs w:val="24"/>
          <w:lang w:eastAsia="en-GB"/>
          <w14:ligatures w14:val="none"/>
        </w:rPr>
        <w:br/>
      </w:r>
      <w:r w:rsidR="00AB3578" w:rsidRPr="00AB3578">
        <w:rPr>
          <w:rFonts w:eastAsia="Times New Roman" w:cs="Times New Roman"/>
          <w:b/>
          <w:bCs/>
          <w:kern w:val="0"/>
          <w:lang w:eastAsia="en-GB"/>
          <w14:ligatures w14:val="none"/>
        </w:rPr>
        <w:t>Economic Uncertainty: The dividend decision is influenced by the overall economic climate, which includes interest rates, inflation, and market volatility. In unpredictable times, like the one in 2020 when Rightmove stopped paying dividends, the business can decide to hold onto capital.</w:t>
      </w:r>
      <w:r w:rsidR="00F15930" w:rsidRPr="00F15930">
        <w:rPr>
          <w:rFonts w:ascii="Times New Roman" w:eastAsia="Times New Roman" w:hAnsi="Times New Roman" w:cs="Times New Roman"/>
          <w:kern w:val="0"/>
          <w:sz w:val="24"/>
          <w:szCs w:val="24"/>
          <w:lang w:eastAsia="en-GB"/>
          <w14:ligatures w14:val="none"/>
        </w:rPr>
        <w:t xml:space="preserve"> </w:t>
      </w:r>
    </w:p>
    <w:p w14:paraId="12050C1C" w14:textId="77777777" w:rsidR="003E601D" w:rsidRDefault="00F15930" w:rsidP="003E601D">
      <w:pPr>
        <w:rPr>
          <w:rFonts w:ascii="Times New Roman" w:eastAsia="Times New Roman" w:hAnsi="Times New Roman" w:cs="Times New Roman"/>
          <w:kern w:val="0"/>
          <w:sz w:val="24"/>
          <w:szCs w:val="24"/>
          <w:lang w:eastAsia="en-GB"/>
          <w14:ligatures w14:val="none"/>
        </w:rPr>
      </w:pPr>
      <w:r w:rsidRPr="000D1168">
        <w:rPr>
          <w:rFonts w:eastAsia="Times New Roman" w:cs="Times New Roman"/>
          <w:b/>
          <w:bCs/>
          <w:kern w:val="0"/>
          <w:sz w:val="24"/>
          <w:szCs w:val="24"/>
          <w:lang w:eastAsia="en-GB"/>
          <w14:ligatures w14:val="none"/>
        </w:rPr>
        <w:t xml:space="preserve">Competitor Actions: Rightmove's choice may be influenced by competitors' dividend policies. Rightmove may have to change its dividends </w:t>
      </w:r>
      <w:r w:rsidR="000D1168" w:rsidRPr="000D1168">
        <w:rPr>
          <w:rFonts w:eastAsia="Times New Roman" w:cs="Times New Roman"/>
          <w:b/>
          <w:bCs/>
          <w:kern w:val="0"/>
          <w:sz w:val="24"/>
          <w:szCs w:val="24"/>
          <w:lang w:eastAsia="en-GB"/>
          <w14:ligatures w14:val="none"/>
        </w:rPr>
        <w:t>to</w:t>
      </w:r>
      <w:r w:rsidRPr="000D1168">
        <w:rPr>
          <w:rFonts w:eastAsia="Times New Roman" w:cs="Times New Roman"/>
          <w:b/>
          <w:bCs/>
          <w:kern w:val="0"/>
          <w:sz w:val="24"/>
          <w:szCs w:val="24"/>
          <w:lang w:eastAsia="en-GB"/>
          <w14:ligatures w14:val="none"/>
        </w:rPr>
        <w:t xml:space="preserve"> entice investors if rivals are providing better yields.</w:t>
      </w:r>
      <w:r w:rsidR="003E601D" w:rsidRPr="003E601D">
        <w:rPr>
          <w:rFonts w:ascii="Times New Roman" w:eastAsia="Times New Roman" w:hAnsi="Times New Roman" w:cs="Times New Roman"/>
          <w:kern w:val="0"/>
          <w:sz w:val="24"/>
          <w:szCs w:val="24"/>
          <w:lang w:eastAsia="en-GB"/>
          <w14:ligatures w14:val="none"/>
        </w:rPr>
        <w:t xml:space="preserve"> </w:t>
      </w:r>
    </w:p>
    <w:p w14:paraId="7106F865" w14:textId="26AC6F81" w:rsidR="00902906" w:rsidRDefault="00DA6E54" w:rsidP="00902906">
      <w:pPr>
        <w:rPr>
          <w:rFonts w:ascii="Times New Roman" w:eastAsia="Times New Roman" w:hAnsi="Times New Roman" w:cs="Times New Roman"/>
          <w:kern w:val="0"/>
          <w:sz w:val="24"/>
          <w:szCs w:val="24"/>
          <w:lang w:eastAsia="en-GB"/>
          <w14:ligatures w14:val="none"/>
        </w:rPr>
      </w:pPr>
      <w:bookmarkStart w:id="21" w:name="_Toc175049452"/>
      <w:r w:rsidRPr="00DA6E54">
        <w:rPr>
          <w:rStyle w:val="Heading3Char"/>
        </w:rPr>
        <w:t>e</w:t>
      </w:r>
      <w:r w:rsidR="003E601D" w:rsidRPr="00DA6E54">
        <w:rPr>
          <w:rStyle w:val="Heading3Char"/>
        </w:rPr>
        <w:t>. Tax and Regulatory Considerations:</w:t>
      </w:r>
      <w:bookmarkEnd w:id="21"/>
      <w:r w:rsidR="003E601D" w:rsidRPr="003E601D">
        <w:rPr>
          <w:rFonts w:ascii="Times New Roman" w:eastAsia="Times New Roman" w:hAnsi="Times New Roman" w:cs="Times New Roman"/>
          <w:kern w:val="0"/>
          <w:sz w:val="24"/>
          <w:szCs w:val="24"/>
          <w:lang w:eastAsia="en-GB"/>
          <w14:ligatures w14:val="none"/>
        </w:rPr>
        <w:br/>
      </w:r>
      <w:r w:rsidR="003E601D" w:rsidRPr="00AD25F2">
        <w:rPr>
          <w:rFonts w:eastAsia="Times New Roman" w:cs="Times New Roman"/>
          <w:b/>
          <w:bCs/>
          <w:kern w:val="0"/>
          <w:lang w:eastAsia="en-GB"/>
          <w14:ligatures w14:val="none"/>
        </w:rPr>
        <w:t>Tax Implications: The dividend policy may be impacted by how the company and its shareholders are taxed on dividend payments. In determining whether paying dividends makes sense in comparison to other kinds of shareholder distributions, Rightmove must consider how dividend payments would impact shareholders in various jurisdictions</w:t>
      </w:r>
      <w:r w:rsidR="003E601D" w:rsidRPr="003E601D">
        <w:rPr>
          <w:rFonts w:ascii="Times New Roman" w:eastAsia="Times New Roman" w:hAnsi="Times New Roman" w:cs="Times New Roman"/>
          <w:kern w:val="0"/>
          <w:sz w:val="24"/>
          <w:szCs w:val="24"/>
          <w:lang w:eastAsia="en-GB"/>
          <w14:ligatures w14:val="none"/>
        </w:rPr>
        <w:t>.</w:t>
      </w:r>
      <w:r w:rsidR="00DE4A36" w:rsidRPr="00DE4A36">
        <w:rPr>
          <w:rFonts w:ascii="Times New Roman" w:eastAsia="Times New Roman" w:hAnsi="Times New Roman" w:cs="Times New Roman"/>
          <w:kern w:val="0"/>
          <w:sz w:val="24"/>
          <w:szCs w:val="24"/>
          <w:lang w:eastAsia="en-GB"/>
          <w14:ligatures w14:val="none"/>
        </w:rPr>
        <w:t xml:space="preserve"> </w:t>
      </w:r>
      <w:r w:rsidR="00DE4A36" w:rsidRPr="00DE4A36">
        <w:rPr>
          <w:rFonts w:eastAsia="Times New Roman" w:cs="Times New Roman"/>
          <w:b/>
          <w:bCs/>
          <w:kern w:val="0"/>
          <w:lang w:eastAsia="en-GB"/>
          <w14:ligatures w14:val="none"/>
        </w:rPr>
        <w:t>Regulations: When determining dividends, consideration must be given to regulations, especially those pertaining to capital requirements and financial reporting.</w:t>
      </w:r>
      <w:r w:rsidR="00902906" w:rsidRPr="00902906">
        <w:rPr>
          <w:rFonts w:ascii="Times New Roman" w:eastAsia="Times New Roman" w:hAnsi="Times New Roman" w:cs="Times New Roman"/>
          <w:kern w:val="0"/>
          <w:sz w:val="24"/>
          <w:szCs w:val="24"/>
          <w:lang w:eastAsia="en-GB"/>
          <w14:ligatures w14:val="none"/>
        </w:rPr>
        <w:t xml:space="preserve"> </w:t>
      </w:r>
    </w:p>
    <w:p w14:paraId="5C10BA8B" w14:textId="1FD93531" w:rsidR="00B871F9" w:rsidRDefault="00DA6E54" w:rsidP="00DA6E54">
      <w:pPr>
        <w:pStyle w:val="Heading3"/>
        <w:rPr>
          <w:rFonts w:eastAsia="Times New Roman"/>
          <w:lang w:eastAsia="en-GB"/>
        </w:rPr>
      </w:pPr>
      <w:bookmarkStart w:id="22" w:name="_Toc175049453"/>
      <w:r>
        <w:rPr>
          <w:rFonts w:eastAsia="Times New Roman"/>
          <w:lang w:eastAsia="en-GB"/>
        </w:rPr>
        <w:t>f</w:t>
      </w:r>
      <w:r w:rsidR="00902906" w:rsidRPr="00F801CE">
        <w:rPr>
          <w:rFonts w:eastAsia="Times New Roman"/>
          <w:lang w:eastAsia="en-GB"/>
        </w:rPr>
        <w:t>. Capital Structure and Leverage</w:t>
      </w:r>
      <w:r w:rsidR="00F801CE" w:rsidRPr="00F801CE">
        <w:rPr>
          <w:rFonts w:eastAsia="Times New Roman"/>
          <w:lang w:eastAsia="en-GB"/>
        </w:rPr>
        <w:t>:</w:t>
      </w:r>
      <w:bookmarkEnd w:id="22"/>
      <w:r w:rsidR="00902906" w:rsidRPr="00F801CE">
        <w:rPr>
          <w:rFonts w:eastAsia="Times New Roman"/>
          <w:lang w:eastAsia="en-GB"/>
        </w:rPr>
        <w:t xml:space="preserve"> </w:t>
      </w:r>
    </w:p>
    <w:p w14:paraId="6ABC3203" w14:textId="77777777" w:rsidR="00B14C29" w:rsidRDefault="00902906" w:rsidP="00275AE0">
      <w:pPr>
        <w:rPr>
          <w:rFonts w:ascii="Times New Roman" w:eastAsia="Times New Roman" w:hAnsi="Times New Roman" w:cs="Times New Roman"/>
          <w:kern w:val="0"/>
          <w:sz w:val="24"/>
          <w:szCs w:val="24"/>
          <w:lang w:eastAsia="en-GB"/>
          <w14:ligatures w14:val="none"/>
        </w:rPr>
      </w:pPr>
      <w:r w:rsidRPr="00C71072">
        <w:rPr>
          <w:rFonts w:eastAsia="Times New Roman" w:cs="Times New Roman"/>
          <w:b/>
          <w:bCs/>
          <w:kern w:val="0"/>
          <w:lang w:eastAsia="en-GB"/>
          <w14:ligatures w14:val="none"/>
        </w:rPr>
        <w:t>Debt Levels: To maintain a sound balance sheet, Rightmove may need to give debt repayment a higher priority than dividends if it has a sizable amount of debt. A reduced leverage ratio increases the company's ability to distribute dividends.</w:t>
      </w:r>
      <w:r w:rsidR="00275AE0" w:rsidRPr="00275AE0">
        <w:rPr>
          <w:rFonts w:ascii="Times New Roman" w:eastAsia="Times New Roman" w:hAnsi="Times New Roman" w:cs="Times New Roman"/>
          <w:kern w:val="0"/>
          <w:sz w:val="24"/>
          <w:szCs w:val="24"/>
          <w:lang w:eastAsia="en-GB"/>
          <w14:ligatures w14:val="none"/>
        </w:rPr>
        <w:t xml:space="preserve"> </w:t>
      </w:r>
    </w:p>
    <w:p w14:paraId="58BAD550" w14:textId="77777777" w:rsidR="004D3EB0" w:rsidRDefault="00275AE0" w:rsidP="004D3EB0">
      <w:pPr>
        <w:rPr>
          <w:rFonts w:ascii="Times New Roman" w:eastAsia="Times New Roman" w:hAnsi="Times New Roman" w:cs="Times New Roman"/>
          <w:kern w:val="0"/>
          <w:sz w:val="24"/>
          <w:szCs w:val="24"/>
          <w:lang w:eastAsia="en-GB"/>
          <w14:ligatures w14:val="none"/>
        </w:rPr>
      </w:pPr>
      <w:r w:rsidRPr="00B14C29">
        <w:rPr>
          <w:rFonts w:eastAsia="Times New Roman" w:cs="Times New Roman"/>
          <w:b/>
          <w:bCs/>
          <w:kern w:val="0"/>
          <w:lang w:eastAsia="en-GB"/>
          <w14:ligatures w14:val="none"/>
        </w:rPr>
        <w:t xml:space="preserve">Costs associated with equity and financing: The price of obtaining more debt or equity may have an impact on the choice. Rightmove may decide not to distribute earnings as </w:t>
      </w:r>
      <w:r w:rsidRPr="00B14C29">
        <w:rPr>
          <w:rFonts w:eastAsia="Times New Roman" w:cs="Times New Roman"/>
          <w:b/>
          <w:bCs/>
          <w:kern w:val="0"/>
          <w:lang w:eastAsia="en-GB"/>
          <w14:ligatures w14:val="none"/>
        </w:rPr>
        <w:lastRenderedPageBreak/>
        <w:t xml:space="preserve">dividends </w:t>
      </w:r>
      <w:r w:rsidR="00B14C29" w:rsidRPr="00B14C29">
        <w:rPr>
          <w:rFonts w:eastAsia="Times New Roman" w:cs="Times New Roman"/>
          <w:b/>
          <w:bCs/>
          <w:kern w:val="0"/>
          <w:lang w:eastAsia="en-GB"/>
          <w14:ligatures w14:val="none"/>
        </w:rPr>
        <w:t>to</w:t>
      </w:r>
      <w:r w:rsidRPr="00B14C29">
        <w:rPr>
          <w:rFonts w:eastAsia="Times New Roman" w:cs="Times New Roman"/>
          <w:b/>
          <w:bCs/>
          <w:kern w:val="0"/>
          <w:lang w:eastAsia="en-GB"/>
          <w14:ligatures w14:val="none"/>
        </w:rPr>
        <w:t xml:space="preserve"> keep them for operating and expansion purposes if obtaining outside finance is costly.</w:t>
      </w:r>
      <w:r w:rsidR="004D3EB0" w:rsidRPr="004D3EB0">
        <w:rPr>
          <w:rFonts w:ascii="Times New Roman" w:eastAsia="Times New Roman" w:hAnsi="Times New Roman" w:cs="Times New Roman"/>
          <w:kern w:val="0"/>
          <w:sz w:val="24"/>
          <w:szCs w:val="24"/>
          <w:lang w:eastAsia="en-GB"/>
          <w14:ligatures w14:val="none"/>
        </w:rPr>
        <w:t xml:space="preserve"> </w:t>
      </w:r>
    </w:p>
    <w:p w14:paraId="74C23953" w14:textId="75BB5E76" w:rsidR="00A37BEE" w:rsidRDefault="00DA6E54" w:rsidP="00705DDE">
      <w:pPr>
        <w:rPr>
          <w:rFonts w:eastAsia="Times New Roman" w:cs="Times New Roman"/>
          <w:b/>
          <w:bCs/>
          <w:kern w:val="0"/>
          <w:lang w:eastAsia="en-GB"/>
          <w14:ligatures w14:val="none"/>
        </w:rPr>
      </w:pPr>
      <w:bookmarkStart w:id="23" w:name="_Toc175049454"/>
      <w:r w:rsidRPr="00DA6E54">
        <w:rPr>
          <w:rStyle w:val="Heading3Char"/>
        </w:rPr>
        <w:t>g</w:t>
      </w:r>
      <w:r w:rsidR="004D3EB0" w:rsidRPr="00DA6E54">
        <w:rPr>
          <w:rStyle w:val="Heading3Char"/>
        </w:rPr>
        <w:t>. Ratio of Payout:</w:t>
      </w:r>
      <w:bookmarkEnd w:id="23"/>
      <w:r w:rsidR="004D3EB0" w:rsidRPr="004D3EB0">
        <w:rPr>
          <w:rFonts w:ascii="Times New Roman" w:eastAsia="Times New Roman" w:hAnsi="Times New Roman" w:cs="Times New Roman"/>
          <w:kern w:val="0"/>
          <w:sz w:val="24"/>
          <w:szCs w:val="24"/>
          <w:lang w:eastAsia="en-GB"/>
          <w14:ligatures w14:val="none"/>
        </w:rPr>
        <w:br/>
      </w:r>
      <w:r w:rsidR="004D3EB0" w:rsidRPr="005C5B8D">
        <w:rPr>
          <w:rFonts w:eastAsia="Times New Roman" w:cs="Times New Roman"/>
          <w:b/>
          <w:bCs/>
          <w:kern w:val="0"/>
          <w:lang w:eastAsia="en-GB"/>
          <w14:ligatures w14:val="none"/>
        </w:rPr>
        <w:t xml:space="preserve">Sustainability of Payout Ratio: The percentage of earnings distributed as dividends, or payout ratio, ought to be able to withstand time. </w:t>
      </w:r>
      <w:r w:rsidR="005C5B8D" w:rsidRPr="005C5B8D">
        <w:rPr>
          <w:rFonts w:eastAsia="Times New Roman" w:cs="Times New Roman"/>
          <w:b/>
          <w:bCs/>
          <w:kern w:val="0"/>
          <w:lang w:eastAsia="en-GB"/>
          <w14:ligatures w14:val="none"/>
        </w:rPr>
        <w:t>If</w:t>
      </w:r>
      <w:r w:rsidR="004D3EB0" w:rsidRPr="005C5B8D">
        <w:rPr>
          <w:rFonts w:eastAsia="Times New Roman" w:cs="Times New Roman"/>
          <w:b/>
          <w:bCs/>
          <w:kern w:val="0"/>
          <w:lang w:eastAsia="en-GB"/>
          <w14:ligatures w14:val="none"/>
        </w:rPr>
        <w:t xml:space="preserve"> future earnings are unknown, Rightmove should refrain from establishing a payout ratio that would put undue strain on its resources.</w:t>
      </w:r>
    </w:p>
    <w:p w14:paraId="1E9CA76D" w14:textId="3AA55BDE" w:rsidR="00705DDE" w:rsidRDefault="00705DDE" w:rsidP="00705DDE">
      <w:pPr>
        <w:rPr>
          <w:rFonts w:eastAsia="Times New Roman" w:cs="Times New Roman"/>
          <w:b/>
          <w:bCs/>
          <w:kern w:val="0"/>
          <w:lang w:eastAsia="en-GB"/>
          <w14:ligatures w14:val="none"/>
        </w:rPr>
      </w:pPr>
      <w:r w:rsidRPr="00A37BEE">
        <w:rPr>
          <w:rFonts w:eastAsia="Times New Roman" w:cs="Times New Roman"/>
          <w:b/>
          <w:bCs/>
          <w:kern w:val="0"/>
          <w:lang w:eastAsia="en-GB"/>
          <w14:ligatures w14:val="none"/>
        </w:rPr>
        <w:t>In conclusion, Rightmove plc should balance paying out dividends in a way that benefits shareholders, maintains the company's financial health, and positions it for future expansion. To choose the best dividend policy, the company must carefully assess its cash flow, growth potential, profitability, and market conditions. Rightmove's history data indicates a tendency towards either preserving or slightly growing dividends, which may indicate a continuation of the conservative strategy, particularly in tumultuous economic times.</w:t>
      </w:r>
    </w:p>
    <w:p w14:paraId="46B9E254" w14:textId="77777777" w:rsidR="00175B1D" w:rsidRDefault="00175B1D" w:rsidP="00362CDB">
      <w:pPr>
        <w:pStyle w:val="Heading1"/>
        <w:rPr>
          <w:rFonts w:eastAsia="Times New Roman"/>
          <w:lang w:eastAsia="en-GB"/>
        </w:rPr>
      </w:pPr>
    </w:p>
    <w:p w14:paraId="1EB5B4D9" w14:textId="77777777" w:rsidR="00175B1D" w:rsidRDefault="00175B1D" w:rsidP="00362CDB">
      <w:pPr>
        <w:pStyle w:val="Heading1"/>
        <w:rPr>
          <w:rFonts w:eastAsia="Times New Roman"/>
          <w:lang w:eastAsia="en-GB"/>
        </w:rPr>
      </w:pPr>
    </w:p>
    <w:p w14:paraId="443E1C81" w14:textId="77777777" w:rsidR="00175B1D" w:rsidRDefault="00175B1D" w:rsidP="00362CDB">
      <w:pPr>
        <w:pStyle w:val="Heading1"/>
        <w:rPr>
          <w:rFonts w:eastAsia="Times New Roman"/>
          <w:lang w:eastAsia="en-GB"/>
        </w:rPr>
      </w:pPr>
    </w:p>
    <w:p w14:paraId="0DB558BE" w14:textId="77777777" w:rsidR="00175B1D" w:rsidRDefault="00175B1D" w:rsidP="00362CDB">
      <w:pPr>
        <w:pStyle w:val="Heading1"/>
        <w:rPr>
          <w:rFonts w:eastAsia="Times New Roman"/>
          <w:lang w:eastAsia="en-GB"/>
        </w:rPr>
      </w:pPr>
    </w:p>
    <w:p w14:paraId="62D495B9" w14:textId="77777777" w:rsidR="00175B1D" w:rsidRDefault="00175B1D" w:rsidP="00362CDB">
      <w:pPr>
        <w:pStyle w:val="Heading1"/>
        <w:rPr>
          <w:rFonts w:eastAsia="Times New Roman"/>
          <w:lang w:eastAsia="en-GB"/>
        </w:rPr>
      </w:pPr>
    </w:p>
    <w:p w14:paraId="36203B22" w14:textId="77777777" w:rsidR="00175B1D" w:rsidRDefault="00175B1D" w:rsidP="00362CDB">
      <w:pPr>
        <w:pStyle w:val="Heading1"/>
        <w:rPr>
          <w:rFonts w:eastAsia="Times New Roman"/>
          <w:lang w:eastAsia="en-GB"/>
        </w:rPr>
      </w:pPr>
    </w:p>
    <w:p w14:paraId="1027691B" w14:textId="77777777" w:rsidR="00175B1D" w:rsidRDefault="00175B1D" w:rsidP="00362CDB">
      <w:pPr>
        <w:pStyle w:val="Heading1"/>
        <w:rPr>
          <w:rFonts w:eastAsia="Times New Roman"/>
          <w:lang w:eastAsia="en-GB"/>
        </w:rPr>
      </w:pPr>
    </w:p>
    <w:p w14:paraId="3FE42FA8" w14:textId="77777777" w:rsidR="007459B2" w:rsidRDefault="007459B2" w:rsidP="00362CDB">
      <w:pPr>
        <w:pStyle w:val="Heading1"/>
        <w:rPr>
          <w:rFonts w:eastAsia="Times New Roman"/>
          <w:lang w:eastAsia="en-GB"/>
        </w:rPr>
      </w:pPr>
    </w:p>
    <w:p w14:paraId="4E7C34A8" w14:textId="77777777" w:rsidR="007459B2" w:rsidRDefault="007459B2" w:rsidP="00362CDB">
      <w:pPr>
        <w:pStyle w:val="Heading1"/>
        <w:rPr>
          <w:rFonts w:eastAsia="Times New Roman"/>
          <w:lang w:eastAsia="en-GB"/>
        </w:rPr>
      </w:pPr>
    </w:p>
    <w:p w14:paraId="3D6EC04B" w14:textId="77777777" w:rsidR="007459B2" w:rsidRDefault="007459B2" w:rsidP="00362CDB">
      <w:pPr>
        <w:pStyle w:val="Heading1"/>
        <w:rPr>
          <w:rFonts w:eastAsia="Times New Roman"/>
          <w:lang w:eastAsia="en-GB"/>
        </w:rPr>
      </w:pPr>
    </w:p>
    <w:p w14:paraId="68E6CD03" w14:textId="0DFCFC7B" w:rsidR="009A1CFC" w:rsidRDefault="0049063E" w:rsidP="00362CDB">
      <w:pPr>
        <w:pStyle w:val="Heading1"/>
        <w:rPr>
          <w:rFonts w:eastAsia="Times New Roman"/>
          <w:lang w:eastAsia="en-GB"/>
        </w:rPr>
      </w:pPr>
      <w:bookmarkStart w:id="24" w:name="_Toc175049455"/>
      <w:r w:rsidRPr="0049063E">
        <w:rPr>
          <w:rFonts w:eastAsia="Times New Roman"/>
          <w:lang w:eastAsia="en-GB"/>
        </w:rPr>
        <w:t xml:space="preserve">4. </w:t>
      </w:r>
      <w:r w:rsidR="00362CDB" w:rsidRPr="0049063E">
        <w:rPr>
          <w:rFonts w:eastAsia="Times New Roman"/>
          <w:lang w:eastAsia="en-GB"/>
        </w:rPr>
        <w:t>Reference’</w:t>
      </w:r>
      <w:r w:rsidR="00362CDB">
        <w:rPr>
          <w:rFonts w:eastAsia="Times New Roman"/>
          <w:lang w:eastAsia="en-GB"/>
        </w:rPr>
        <w:t>s</w:t>
      </w:r>
      <w:r w:rsidRPr="0049063E">
        <w:rPr>
          <w:rFonts w:eastAsia="Times New Roman"/>
          <w:lang w:eastAsia="en-GB"/>
        </w:rPr>
        <w:t>:</w:t>
      </w:r>
      <w:bookmarkEnd w:id="24"/>
    </w:p>
    <w:p w14:paraId="7CAEB0D5" w14:textId="50DA7067" w:rsidR="005F5E20" w:rsidRPr="00681608" w:rsidRDefault="009A1CFC" w:rsidP="009A1CFC">
      <w:pPr>
        <w:pStyle w:val="ListParagraph"/>
        <w:numPr>
          <w:ilvl w:val="0"/>
          <w:numId w:val="4"/>
        </w:numPr>
        <w:rPr>
          <w:rFonts w:eastAsia="Times New Roman" w:cs="Times New Roman"/>
          <w:b/>
          <w:bCs/>
          <w:i/>
          <w:iCs/>
          <w:kern w:val="0"/>
          <w:sz w:val="20"/>
          <w:szCs w:val="20"/>
          <w:lang w:eastAsia="en-GB"/>
          <w14:ligatures w14:val="none"/>
        </w:rPr>
      </w:pPr>
      <w:r w:rsidRPr="009A1CFC">
        <w:rPr>
          <w:i/>
          <w:iCs/>
          <w:sz w:val="20"/>
          <w:szCs w:val="20"/>
        </w:rPr>
        <w:t>Rightmove plc | Annual Report 2023</w:t>
      </w:r>
    </w:p>
    <w:p w14:paraId="672B4A1F" w14:textId="77777777" w:rsidR="00C114C8" w:rsidRPr="00C114C8" w:rsidRDefault="00A76622" w:rsidP="00C114C8">
      <w:pPr>
        <w:pStyle w:val="ListParagraph"/>
        <w:numPr>
          <w:ilvl w:val="0"/>
          <w:numId w:val="4"/>
        </w:numPr>
        <w:rPr>
          <w:rFonts w:eastAsia="Times New Roman" w:cs="Times New Roman"/>
          <w:b/>
          <w:bCs/>
          <w:i/>
          <w:iCs/>
          <w:kern w:val="0"/>
          <w:sz w:val="20"/>
          <w:szCs w:val="20"/>
          <w:lang w:eastAsia="en-GB"/>
          <w14:ligatures w14:val="none"/>
        </w:rPr>
      </w:pPr>
      <w:proofErr w:type="spellStart"/>
      <w:r w:rsidRPr="00A76622">
        <w:rPr>
          <w:i/>
          <w:iCs/>
          <w:sz w:val="20"/>
          <w:szCs w:val="20"/>
        </w:rPr>
        <w:t>OnTheMarket</w:t>
      </w:r>
      <w:proofErr w:type="spellEnd"/>
      <w:r w:rsidRPr="00A76622">
        <w:rPr>
          <w:i/>
          <w:iCs/>
          <w:sz w:val="20"/>
          <w:szCs w:val="20"/>
        </w:rPr>
        <w:t xml:space="preserve"> plc Annual Report and Consolidated Financial Statements 20</w:t>
      </w:r>
      <w:r w:rsidR="00896E6D">
        <w:rPr>
          <w:i/>
          <w:iCs/>
          <w:sz w:val="20"/>
          <w:szCs w:val="20"/>
        </w:rPr>
        <w:t>22</w:t>
      </w:r>
    </w:p>
    <w:p w14:paraId="274D9425" w14:textId="77777777" w:rsidR="00CC1B07" w:rsidRPr="00CC1B07" w:rsidRDefault="00F064AB" w:rsidP="00CC1B07">
      <w:pPr>
        <w:pStyle w:val="ListParagraph"/>
        <w:numPr>
          <w:ilvl w:val="0"/>
          <w:numId w:val="4"/>
        </w:numPr>
        <w:rPr>
          <w:rFonts w:eastAsia="Times New Roman" w:cs="Times New Roman"/>
          <w:b/>
          <w:bCs/>
          <w:i/>
          <w:iCs/>
          <w:kern w:val="0"/>
          <w:sz w:val="20"/>
          <w:szCs w:val="20"/>
          <w:lang w:eastAsia="en-GB"/>
          <w14:ligatures w14:val="none"/>
        </w:rPr>
      </w:pPr>
      <w:r w:rsidRPr="00484CD8">
        <w:rPr>
          <w:rFonts w:eastAsia="Times New Roman" w:cs="Helvetica"/>
          <w:i/>
          <w:iCs/>
          <w:color w:val="070726"/>
          <w:kern w:val="36"/>
          <w:sz w:val="20"/>
          <w:szCs w:val="20"/>
          <w:lang w:eastAsia="en-GB"/>
          <w14:ligatures w14:val="none"/>
        </w:rPr>
        <w:t>Corporate financial management</w:t>
      </w:r>
      <w:r w:rsidR="00C114C8" w:rsidRPr="00484CD8">
        <w:rPr>
          <w:rFonts w:eastAsia="Times New Roman" w:cs="Helvetica"/>
          <w:i/>
          <w:iCs/>
          <w:color w:val="070726"/>
          <w:kern w:val="36"/>
          <w:sz w:val="20"/>
          <w:szCs w:val="20"/>
          <w:lang w:eastAsia="en-GB"/>
          <w14:ligatures w14:val="none"/>
        </w:rPr>
        <w:t xml:space="preserve"> </w:t>
      </w:r>
      <w:r w:rsidRPr="00484CD8">
        <w:rPr>
          <w:rFonts w:eastAsia="Times New Roman" w:cs="Helvetica"/>
          <w:i/>
          <w:iCs/>
          <w:color w:val="070726"/>
          <w:kern w:val="0"/>
          <w:sz w:val="20"/>
          <w:szCs w:val="20"/>
          <w:lang w:eastAsia="en-GB"/>
          <w14:ligatures w14:val="none"/>
        </w:rPr>
        <w:t>Arnold, Glen</w:t>
      </w:r>
      <w:r w:rsidR="002F3781" w:rsidRPr="00484CD8">
        <w:rPr>
          <w:rFonts w:eastAsia="Times New Roman" w:cs="Helvetica"/>
          <w:i/>
          <w:iCs/>
          <w:color w:val="070726"/>
          <w:kern w:val="0"/>
          <w:sz w:val="20"/>
          <w:szCs w:val="20"/>
          <w:lang w:eastAsia="en-GB"/>
          <w14:ligatures w14:val="none"/>
        </w:rPr>
        <w:t>,</w:t>
      </w:r>
      <w:r w:rsidR="002F3781" w:rsidRPr="00484CD8">
        <w:rPr>
          <w:rFonts w:cs="Helvetica"/>
          <w:i/>
          <w:iCs/>
          <w:color w:val="070726"/>
          <w:sz w:val="20"/>
          <w:szCs w:val="20"/>
          <w:shd w:val="clear" w:color="auto" w:fill="FFFFFF"/>
        </w:rPr>
        <w:t xml:space="preserve"> </w:t>
      </w:r>
      <w:r w:rsidR="00484CD8" w:rsidRPr="00484CD8">
        <w:rPr>
          <w:rFonts w:cs="Helvetica"/>
          <w:i/>
          <w:iCs/>
          <w:color w:val="070726"/>
          <w:sz w:val="20"/>
          <w:szCs w:val="20"/>
          <w:shd w:val="clear" w:color="auto" w:fill="FFFFFF"/>
        </w:rPr>
        <w:t xml:space="preserve">Oct </w:t>
      </w:r>
      <w:r w:rsidR="002F3781" w:rsidRPr="00484CD8">
        <w:rPr>
          <w:rFonts w:cs="Helvetica"/>
          <w:i/>
          <w:iCs/>
          <w:color w:val="070726"/>
          <w:sz w:val="20"/>
          <w:szCs w:val="20"/>
          <w:shd w:val="clear" w:color="auto" w:fill="FFFFFF"/>
        </w:rPr>
        <w:t>2012</w:t>
      </w:r>
    </w:p>
    <w:p w14:paraId="399E2494" w14:textId="77777777" w:rsidR="00CC1B07" w:rsidRPr="00CC1B07" w:rsidRDefault="007A4452" w:rsidP="00CC1B07">
      <w:pPr>
        <w:pStyle w:val="ListParagraph"/>
        <w:numPr>
          <w:ilvl w:val="0"/>
          <w:numId w:val="4"/>
        </w:numPr>
        <w:rPr>
          <w:rFonts w:eastAsia="Times New Roman" w:cs="Times New Roman"/>
          <w:b/>
          <w:bCs/>
          <w:i/>
          <w:iCs/>
          <w:kern w:val="0"/>
          <w:sz w:val="20"/>
          <w:szCs w:val="20"/>
          <w:lang w:eastAsia="en-GB"/>
          <w14:ligatures w14:val="none"/>
        </w:rPr>
      </w:pPr>
      <w:r w:rsidRPr="00CC1B07">
        <w:rPr>
          <w:rFonts w:eastAsia="Times New Roman" w:cs="Helvetica"/>
          <w:i/>
          <w:iCs/>
          <w:color w:val="070726"/>
          <w:kern w:val="36"/>
          <w:sz w:val="20"/>
          <w:szCs w:val="20"/>
          <w:lang w:eastAsia="en-GB"/>
          <w14:ligatures w14:val="none"/>
        </w:rPr>
        <w:t>Investments</w:t>
      </w:r>
      <w:r w:rsidR="00BA6742" w:rsidRPr="00CC1B07">
        <w:rPr>
          <w:rFonts w:eastAsia="Times New Roman" w:cs="Helvetica"/>
          <w:i/>
          <w:iCs/>
          <w:color w:val="070726"/>
          <w:kern w:val="36"/>
          <w:sz w:val="20"/>
          <w:szCs w:val="20"/>
          <w:lang w:eastAsia="en-GB"/>
          <w14:ligatures w14:val="none"/>
        </w:rPr>
        <w:t xml:space="preserve"> </w:t>
      </w:r>
      <w:r w:rsidRPr="00CC1B07">
        <w:rPr>
          <w:rFonts w:eastAsia="Times New Roman" w:cs="Helvetica"/>
          <w:i/>
          <w:iCs/>
          <w:color w:val="070726"/>
          <w:kern w:val="0"/>
          <w:sz w:val="20"/>
          <w:szCs w:val="20"/>
          <w:lang w:eastAsia="en-GB"/>
          <w14:ligatures w14:val="none"/>
        </w:rPr>
        <w:t xml:space="preserve">Cuthbertson, </w:t>
      </w:r>
      <w:r w:rsidR="005E3907" w:rsidRPr="00CC1B07">
        <w:rPr>
          <w:rFonts w:eastAsia="Times New Roman" w:cs="Helvetica"/>
          <w:i/>
          <w:iCs/>
          <w:color w:val="070726"/>
          <w:kern w:val="0"/>
          <w:sz w:val="20"/>
          <w:szCs w:val="20"/>
          <w:lang w:eastAsia="en-GB"/>
          <w14:ligatures w14:val="none"/>
        </w:rPr>
        <w:t>Keith,</w:t>
      </w:r>
      <w:r w:rsidR="005E3907" w:rsidRPr="00CC1B07">
        <w:rPr>
          <w:rFonts w:cs="Helvetica"/>
          <w:i/>
          <w:iCs/>
          <w:color w:val="070726"/>
          <w:sz w:val="20"/>
          <w:szCs w:val="20"/>
          <w:shd w:val="clear" w:color="auto" w:fill="FFFFFF"/>
        </w:rPr>
        <w:t xml:space="preserve"> Oct 2014</w:t>
      </w:r>
      <w:r w:rsidR="00AA23C1" w:rsidRPr="00CC1B07">
        <w:rPr>
          <w:rFonts w:ascii="Helvetica" w:eastAsia="Times New Roman" w:hAnsi="Helvetica" w:cs="Helvetica"/>
          <w:color w:val="070726"/>
          <w:kern w:val="36"/>
          <w:sz w:val="54"/>
          <w:szCs w:val="54"/>
          <w:lang w:eastAsia="en-GB"/>
          <w14:ligatures w14:val="none"/>
        </w:rPr>
        <w:t xml:space="preserve"> </w:t>
      </w:r>
    </w:p>
    <w:p w14:paraId="2B79EE0D" w14:textId="77777777" w:rsidR="0015155B" w:rsidRPr="0015155B" w:rsidRDefault="00AA23C1" w:rsidP="0015155B">
      <w:pPr>
        <w:pStyle w:val="ListParagraph"/>
        <w:numPr>
          <w:ilvl w:val="0"/>
          <w:numId w:val="4"/>
        </w:numPr>
        <w:rPr>
          <w:rFonts w:eastAsia="Times New Roman" w:cs="Times New Roman"/>
          <w:b/>
          <w:bCs/>
          <w:i/>
          <w:iCs/>
          <w:kern w:val="0"/>
          <w:sz w:val="20"/>
          <w:szCs w:val="20"/>
          <w:lang w:eastAsia="en-GB"/>
          <w14:ligatures w14:val="none"/>
        </w:rPr>
      </w:pPr>
      <w:r w:rsidRPr="00EA73B0">
        <w:rPr>
          <w:rFonts w:eastAsia="Times New Roman" w:cs="Helvetica"/>
          <w:i/>
          <w:iCs/>
          <w:color w:val="070726"/>
          <w:kern w:val="36"/>
          <w:sz w:val="20"/>
          <w:szCs w:val="20"/>
          <w:lang w:eastAsia="en-GB"/>
          <w14:ligatures w14:val="none"/>
        </w:rPr>
        <w:t>Money, banking &amp; financial markets, principles of</w:t>
      </w:r>
      <w:r w:rsidR="00D13155" w:rsidRPr="00EA73B0">
        <w:rPr>
          <w:rFonts w:eastAsia="Times New Roman" w:cs="Helvetica"/>
          <w:i/>
          <w:iCs/>
          <w:color w:val="070726"/>
          <w:kern w:val="36"/>
          <w:sz w:val="20"/>
          <w:szCs w:val="20"/>
          <w:lang w:eastAsia="en-GB"/>
          <w14:ligatures w14:val="none"/>
        </w:rPr>
        <w:t xml:space="preserve"> </w:t>
      </w:r>
      <w:r w:rsidRPr="00EA73B0">
        <w:rPr>
          <w:rFonts w:eastAsia="Times New Roman" w:cs="Helvetica"/>
          <w:i/>
          <w:iCs/>
          <w:color w:val="070726"/>
          <w:kern w:val="0"/>
          <w:sz w:val="20"/>
          <w:szCs w:val="20"/>
          <w:lang w:eastAsia="en-GB"/>
          <w14:ligatures w14:val="none"/>
        </w:rPr>
        <w:t>Ritter, Lawrence S</w:t>
      </w:r>
      <w:r w:rsidR="00D13155" w:rsidRPr="00EA73B0">
        <w:rPr>
          <w:rFonts w:eastAsia="Times New Roman" w:cs="Helvetica"/>
          <w:i/>
          <w:iCs/>
          <w:color w:val="070726"/>
          <w:kern w:val="0"/>
          <w:sz w:val="20"/>
          <w:szCs w:val="20"/>
          <w:lang w:eastAsia="en-GB"/>
          <w14:ligatures w14:val="none"/>
        </w:rPr>
        <w:t>, Nov 2013</w:t>
      </w:r>
    </w:p>
    <w:p w14:paraId="335F9469" w14:textId="77777777" w:rsidR="00C17A06" w:rsidRPr="00C17A06" w:rsidRDefault="00E21EAD" w:rsidP="00C17A06">
      <w:pPr>
        <w:pStyle w:val="ListParagraph"/>
        <w:numPr>
          <w:ilvl w:val="0"/>
          <w:numId w:val="4"/>
        </w:numPr>
        <w:rPr>
          <w:rFonts w:eastAsia="Times New Roman" w:cs="Times New Roman"/>
          <w:b/>
          <w:bCs/>
          <w:i/>
          <w:iCs/>
          <w:kern w:val="0"/>
          <w:sz w:val="20"/>
          <w:szCs w:val="20"/>
          <w:lang w:eastAsia="en-GB"/>
          <w14:ligatures w14:val="none"/>
        </w:rPr>
      </w:pPr>
      <w:r w:rsidRPr="0015155B">
        <w:rPr>
          <w:rFonts w:eastAsia="Times New Roman" w:cs="Times New Roman"/>
          <w:i/>
          <w:iCs/>
          <w:color w:val="555555"/>
          <w:kern w:val="36"/>
          <w:sz w:val="20"/>
          <w:szCs w:val="20"/>
          <w:lang w:eastAsia="en-GB"/>
          <w14:ligatures w14:val="none"/>
        </w:rPr>
        <w:t>Recent Developments in Corporate Finance</w:t>
      </w:r>
      <w:r w:rsidR="0015155B" w:rsidRPr="0015155B">
        <w:rPr>
          <w:rFonts w:eastAsia="Times New Roman" w:cs="Times New Roman"/>
          <w:i/>
          <w:iCs/>
          <w:color w:val="555555"/>
          <w:kern w:val="36"/>
          <w:sz w:val="20"/>
          <w:szCs w:val="20"/>
          <w:lang w:eastAsia="en-GB"/>
          <w14:ligatures w14:val="none"/>
        </w:rPr>
        <w:t xml:space="preserve">, </w:t>
      </w:r>
      <w:hyperlink r:id="rId15" w:history="1">
        <w:r w:rsidR="0015155B" w:rsidRPr="0015155B">
          <w:rPr>
            <w:rFonts w:eastAsia="Times New Roman" w:cs="Times New Roman"/>
            <w:i/>
            <w:iCs/>
            <w:color w:val="2A5DB0"/>
            <w:kern w:val="0"/>
            <w:sz w:val="20"/>
            <w:szCs w:val="20"/>
            <w:u w:val="single"/>
            <w:lang w:eastAsia="en-GB"/>
            <w14:ligatures w14:val="none"/>
          </w:rPr>
          <w:t>Journal of Economic Literature</w:t>
        </w:r>
      </w:hyperlink>
      <w:r w:rsidR="0015155B">
        <w:rPr>
          <w:rFonts w:eastAsia="Times New Roman" w:cs="Times New Roman"/>
          <w:i/>
          <w:iCs/>
          <w:color w:val="555555"/>
          <w:kern w:val="0"/>
          <w:sz w:val="20"/>
          <w:szCs w:val="20"/>
          <w:lang w:eastAsia="en-GB"/>
          <w14:ligatures w14:val="none"/>
        </w:rPr>
        <w:t xml:space="preserve"> </w:t>
      </w:r>
      <w:r w:rsidR="0015155B" w:rsidRPr="0015155B">
        <w:rPr>
          <w:rFonts w:eastAsia="Times New Roman" w:cs="Times New Roman"/>
          <w:i/>
          <w:iCs/>
          <w:color w:val="555555"/>
          <w:kern w:val="0"/>
          <w:sz w:val="20"/>
          <w:szCs w:val="20"/>
          <w:lang w:eastAsia="en-GB"/>
          <w14:ligatures w14:val="none"/>
        </w:rPr>
        <w:t>Nashville: American Economic Association</w:t>
      </w:r>
      <w:r w:rsidR="0015155B">
        <w:rPr>
          <w:rFonts w:eastAsia="Times New Roman" w:cs="Times New Roman"/>
          <w:i/>
          <w:iCs/>
          <w:color w:val="555555"/>
          <w:kern w:val="0"/>
          <w:sz w:val="20"/>
          <w:szCs w:val="20"/>
          <w:lang w:eastAsia="en-GB"/>
          <w14:ligatures w14:val="none"/>
        </w:rPr>
        <w:t xml:space="preserve">. </w:t>
      </w:r>
      <w:r w:rsidR="00E876BE">
        <w:rPr>
          <w:rFonts w:eastAsia="Times New Roman" w:cs="Times New Roman"/>
          <w:i/>
          <w:iCs/>
          <w:color w:val="555555"/>
          <w:kern w:val="0"/>
          <w:sz w:val="20"/>
          <w:szCs w:val="20"/>
          <w:lang w:eastAsia="en-GB"/>
          <w14:ligatures w14:val="none"/>
        </w:rPr>
        <w:t>Mar</w:t>
      </w:r>
      <w:r w:rsidR="00EB1FBF">
        <w:rPr>
          <w:rFonts w:eastAsia="Times New Roman" w:cs="Times New Roman"/>
          <w:i/>
          <w:iCs/>
          <w:color w:val="555555"/>
          <w:kern w:val="0"/>
          <w:sz w:val="20"/>
          <w:szCs w:val="20"/>
          <w:lang w:eastAsia="en-GB"/>
          <w14:ligatures w14:val="none"/>
        </w:rPr>
        <w:t xml:space="preserve"> 2019</w:t>
      </w:r>
    </w:p>
    <w:p w14:paraId="666EC417" w14:textId="3963139B" w:rsidR="000C6F76" w:rsidRPr="00C17A06" w:rsidRDefault="000C6F76" w:rsidP="00C17A06">
      <w:pPr>
        <w:pStyle w:val="ListParagraph"/>
        <w:numPr>
          <w:ilvl w:val="0"/>
          <w:numId w:val="4"/>
        </w:numPr>
        <w:rPr>
          <w:rFonts w:eastAsia="Times New Roman" w:cs="Times New Roman"/>
          <w:b/>
          <w:bCs/>
          <w:i/>
          <w:iCs/>
          <w:kern w:val="0"/>
          <w:sz w:val="20"/>
          <w:szCs w:val="20"/>
          <w:lang w:eastAsia="en-GB"/>
          <w14:ligatures w14:val="none"/>
        </w:rPr>
      </w:pPr>
      <w:r w:rsidRPr="00C17A06">
        <w:rPr>
          <w:rFonts w:eastAsia="Times New Roman" w:cs="Helvetica"/>
          <w:i/>
          <w:iCs/>
          <w:color w:val="070726"/>
          <w:kern w:val="36"/>
          <w:sz w:val="20"/>
          <w:szCs w:val="20"/>
          <w:lang w:eastAsia="en-GB"/>
          <w14:ligatures w14:val="none"/>
        </w:rPr>
        <w:t>Financial management: principles and applications</w:t>
      </w:r>
      <w:r w:rsidR="00C17A06">
        <w:rPr>
          <w:rFonts w:eastAsia="Times New Roman" w:cs="Helvetica"/>
          <w:i/>
          <w:iCs/>
          <w:color w:val="070726"/>
          <w:kern w:val="36"/>
          <w:sz w:val="20"/>
          <w:szCs w:val="20"/>
          <w:lang w:eastAsia="en-GB"/>
          <w14:ligatures w14:val="none"/>
        </w:rPr>
        <w:t xml:space="preserve">, </w:t>
      </w:r>
      <w:r w:rsidRPr="00C17A06">
        <w:rPr>
          <w:rFonts w:eastAsia="Times New Roman" w:cs="Helvetica"/>
          <w:i/>
          <w:iCs/>
          <w:color w:val="070726"/>
          <w:kern w:val="0"/>
          <w:sz w:val="20"/>
          <w:szCs w:val="20"/>
          <w:lang w:eastAsia="en-GB"/>
          <w14:ligatures w14:val="none"/>
        </w:rPr>
        <w:t>Titman, Sheridan</w:t>
      </w:r>
      <w:r w:rsidR="00C17A06">
        <w:rPr>
          <w:rFonts w:eastAsia="Times New Roman" w:cs="Helvetica"/>
          <w:i/>
          <w:iCs/>
          <w:color w:val="070726"/>
          <w:kern w:val="0"/>
          <w:sz w:val="20"/>
          <w:szCs w:val="20"/>
          <w:lang w:eastAsia="en-GB"/>
          <w14:ligatures w14:val="none"/>
        </w:rPr>
        <w:t>,</w:t>
      </w:r>
      <w:r w:rsidR="00C7526C">
        <w:rPr>
          <w:rFonts w:eastAsia="Times New Roman" w:cs="Helvetica"/>
          <w:i/>
          <w:iCs/>
          <w:color w:val="070726"/>
          <w:kern w:val="0"/>
          <w:sz w:val="20"/>
          <w:szCs w:val="20"/>
          <w:lang w:eastAsia="en-GB"/>
          <w14:ligatures w14:val="none"/>
        </w:rPr>
        <w:t xml:space="preserve"> Jul 2013</w:t>
      </w:r>
    </w:p>
    <w:p w14:paraId="2C9322B3" w14:textId="77777777" w:rsidR="000C6F76" w:rsidRPr="0015155B" w:rsidRDefault="000C6F76" w:rsidP="00F302CD">
      <w:pPr>
        <w:pStyle w:val="ListParagraph"/>
        <w:ind w:left="765"/>
        <w:rPr>
          <w:rFonts w:eastAsia="Times New Roman" w:cs="Times New Roman"/>
          <w:b/>
          <w:bCs/>
          <w:i/>
          <w:iCs/>
          <w:kern w:val="0"/>
          <w:sz w:val="20"/>
          <w:szCs w:val="20"/>
          <w:lang w:eastAsia="en-GB"/>
          <w14:ligatures w14:val="none"/>
        </w:rPr>
      </w:pPr>
    </w:p>
    <w:p w14:paraId="0BA442E2" w14:textId="29A3F1AD" w:rsidR="00E21EAD" w:rsidRPr="00E21EAD" w:rsidRDefault="00E21EAD" w:rsidP="0015155B">
      <w:pPr>
        <w:pStyle w:val="ListParagraph"/>
        <w:ind w:left="765"/>
        <w:rPr>
          <w:rFonts w:eastAsia="Times New Roman" w:cs="Times New Roman"/>
          <w:b/>
          <w:bCs/>
          <w:i/>
          <w:iCs/>
          <w:kern w:val="0"/>
          <w:sz w:val="20"/>
          <w:szCs w:val="20"/>
          <w:lang w:eastAsia="en-GB"/>
          <w14:ligatures w14:val="none"/>
        </w:rPr>
      </w:pPr>
    </w:p>
    <w:p w14:paraId="616E3DBE" w14:textId="77777777" w:rsidR="00E21EAD" w:rsidRPr="005850A6" w:rsidRDefault="00E21EAD" w:rsidP="00C6568B">
      <w:pPr>
        <w:pStyle w:val="ListParagraph"/>
        <w:ind w:left="765"/>
        <w:rPr>
          <w:rFonts w:eastAsia="Times New Roman" w:cs="Times New Roman"/>
          <w:b/>
          <w:bCs/>
          <w:i/>
          <w:iCs/>
          <w:kern w:val="0"/>
          <w:sz w:val="20"/>
          <w:szCs w:val="20"/>
          <w:lang w:eastAsia="en-GB"/>
          <w14:ligatures w14:val="none"/>
        </w:rPr>
      </w:pPr>
    </w:p>
    <w:p w14:paraId="57E6B6C2" w14:textId="77777777" w:rsidR="00AA23C1" w:rsidRPr="00EA73B0" w:rsidRDefault="00AA23C1" w:rsidP="00EA73B0">
      <w:pPr>
        <w:pStyle w:val="ListParagraph"/>
        <w:ind w:left="765"/>
        <w:rPr>
          <w:rFonts w:eastAsia="Times New Roman" w:cs="Times New Roman"/>
          <w:b/>
          <w:bCs/>
          <w:i/>
          <w:iCs/>
          <w:kern w:val="0"/>
          <w:sz w:val="20"/>
          <w:szCs w:val="20"/>
          <w:lang w:eastAsia="en-GB"/>
          <w14:ligatures w14:val="none"/>
        </w:rPr>
      </w:pPr>
    </w:p>
    <w:p w14:paraId="1ABFD4C0" w14:textId="77777777" w:rsidR="00612FE1" w:rsidRPr="005E3907" w:rsidRDefault="00612FE1" w:rsidP="00BA6742">
      <w:pPr>
        <w:pStyle w:val="ListParagraph"/>
        <w:ind w:left="765"/>
        <w:rPr>
          <w:rFonts w:eastAsia="Times New Roman" w:cs="Times New Roman"/>
          <w:b/>
          <w:bCs/>
          <w:i/>
          <w:iCs/>
          <w:kern w:val="0"/>
          <w:sz w:val="20"/>
          <w:szCs w:val="20"/>
          <w:lang w:eastAsia="en-GB"/>
          <w14:ligatures w14:val="none"/>
        </w:rPr>
      </w:pPr>
    </w:p>
    <w:p w14:paraId="52885390" w14:textId="77777777" w:rsidR="00F064AB" w:rsidRPr="00484CD8" w:rsidRDefault="00F064AB" w:rsidP="00F064AB">
      <w:pPr>
        <w:pStyle w:val="ListParagraph"/>
        <w:ind w:left="765"/>
        <w:rPr>
          <w:rFonts w:eastAsia="Times New Roman" w:cs="Times New Roman"/>
          <w:b/>
          <w:bCs/>
          <w:i/>
          <w:iCs/>
          <w:kern w:val="0"/>
          <w:sz w:val="20"/>
          <w:szCs w:val="20"/>
          <w:lang w:eastAsia="en-GB"/>
          <w14:ligatures w14:val="none"/>
        </w:rPr>
      </w:pPr>
    </w:p>
    <w:p w14:paraId="5A9A43CC" w14:textId="77777777" w:rsidR="00087AA7" w:rsidRPr="0049063E" w:rsidRDefault="00087AA7" w:rsidP="00705DDE">
      <w:pPr>
        <w:rPr>
          <w:rFonts w:eastAsia="Times New Roman" w:cs="Times New Roman"/>
          <w:b/>
          <w:bCs/>
          <w:kern w:val="0"/>
          <w:sz w:val="28"/>
          <w:szCs w:val="28"/>
          <w:lang w:eastAsia="en-GB"/>
          <w14:ligatures w14:val="none"/>
        </w:rPr>
      </w:pPr>
    </w:p>
    <w:p w14:paraId="6259C8A9" w14:textId="7ACFCFA5" w:rsidR="004D3EB0" w:rsidRPr="005C5B8D" w:rsidRDefault="004D3EB0" w:rsidP="004D3EB0">
      <w:pPr>
        <w:rPr>
          <w:rFonts w:eastAsia="Times New Roman" w:cs="Times New Roman"/>
          <w:b/>
          <w:bCs/>
          <w:kern w:val="0"/>
          <w:lang w:eastAsia="en-GB"/>
          <w14:ligatures w14:val="none"/>
        </w:rPr>
      </w:pPr>
    </w:p>
    <w:p w14:paraId="64C6374F" w14:textId="2973F348" w:rsidR="00275AE0" w:rsidRPr="00B14C29" w:rsidRDefault="00275AE0" w:rsidP="00275AE0">
      <w:pPr>
        <w:rPr>
          <w:rFonts w:eastAsia="Times New Roman" w:cs="Times New Roman"/>
          <w:b/>
          <w:bCs/>
          <w:kern w:val="0"/>
          <w:lang w:eastAsia="en-GB"/>
          <w14:ligatures w14:val="none"/>
        </w:rPr>
      </w:pPr>
    </w:p>
    <w:p w14:paraId="06F794D7" w14:textId="2344BD26" w:rsidR="00902906" w:rsidRPr="00C71072" w:rsidRDefault="00902906" w:rsidP="00902906">
      <w:pPr>
        <w:rPr>
          <w:rFonts w:eastAsia="Times New Roman" w:cs="Times New Roman"/>
          <w:b/>
          <w:bCs/>
          <w:kern w:val="0"/>
          <w:sz w:val="28"/>
          <w:szCs w:val="28"/>
          <w:lang w:eastAsia="en-GB"/>
          <w14:ligatures w14:val="none"/>
        </w:rPr>
      </w:pPr>
    </w:p>
    <w:p w14:paraId="3FAE7649" w14:textId="63159EA5" w:rsidR="00DE4A36" w:rsidRPr="00DE4A36" w:rsidRDefault="00DE4A36" w:rsidP="00DE4A36">
      <w:pPr>
        <w:rPr>
          <w:rFonts w:ascii="Times New Roman" w:eastAsia="Times New Roman" w:hAnsi="Times New Roman" w:cs="Times New Roman"/>
          <w:kern w:val="0"/>
          <w:sz w:val="24"/>
          <w:szCs w:val="24"/>
          <w:lang w:eastAsia="en-GB"/>
          <w14:ligatures w14:val="none"/>
        </w:rPr>
      </w:pPr>
    </w:p>
    <w:p w14:paraId="42E2890B" w14:textId="22FCA7C3" w:rsidR="003E601D" w:rsidRPr="003E601D" w:rsidRDefault="003E601D" w:rsidP="003E601D">
      <w:pPr>
        <w:rPr>
          <w:rFonts w:ascii="Times New Roman" w:eastAsia="Times New Roman" w:hAnsi="Times New Roman" w:cs="Times New Roman"/>
          <w:kern w:val="0"/>
          <w:sz w:val="24"/>
          <w:szCs w:val="24"/>
          <w:lang w:eastAsia="en-GB"/>
          <w14:ligatures w14:val="none"/>
        </w:rPr>
      </w:pPr>
    </w:p>
    <w:p w14:paraId="70A5FEA5" w14:textId="07B032B5" w:rsidR="00F15930" w:rsidRPr="000D1168" w:rsidRDefault="00F15930" w:rsidP="00F15930">
      <w:pPr>
        <w:rPr>
          <w:rFonts w:eastAsia="Times New Roman" w:cs="Times New Roman"/>
          <w:b/>
          <w:bCs/>
          <w:kern w:val="0"/>
          <w:sz w:val="24"/>
          <w:szCs w:val="24"/>
          <w:lang w:eastAsia="en-GB"/>
          <w14:ligatures w14:val="none"/>
        </w:rPr>
      </w:pPr>
    </w:p>
    <w:p w14:paraId="68CB28D6" w14:textId="2B26FD99" w:rsidR="00AB3578" w:rsidRPr="00AB3578" w:rsidRDefault="00AB3578" w:rsidP="00AB3578">
      <w:pPr>
        <w:rPr>
          <w:rFonts w:eastAsia="Times New Roman" w:cs="Times New Roman"/>
          <w:b/>
          <w:bCs/>
          <w:kern w:val="0"/>
          <w:lang w:eastAsia="en-GB"/>
          <w14:ligatures w14:val="none"/>
        </w:rPr>
      </w:pPr>
    </w:p>
    <w:p w14:paraId="7F9D34A2" w14:textId="54EA9659" w:rsidR="00D56AFC" w:rsidRPr="00103D5B" w:rsidRDefault="00D56AFC" w:rsidP="00D56AFC">
      <w:pPr>
        <w:rPr>
          <w:rFonts w:eastAsia="Times New Roman" w:cs="Times New Roman"/>
          <w:b/>
          <w:bCs/>
          <w:kern w:val="0"/>
          <w:sz w:val="24"/>
          <w:szCs w:val="24"/>
          <w:lang w:eastAsia="en-GB"/>
          <w14:ligatures w14:val="none"/>
        </w:rPr>
      </w:pPr>
    </w:p>
    <w:p w14:paraId="474627EA" w14:textId="4CF91F11" w:rsidR="00E1330E" w:rsidRPr="00E1330E" w:rsidRDefault="00E1330E" w:rsidP="00E1330E">
      <w:pPr>
        <w:rPr>
          <w:rFonts w:ascii="Times New Roman" w:eastAsia="Times New Roman" w:hAnsi="Times New Roman" w:cs="Times New Roman"/>
          <w:kern w:val="0"/>
          <w:sz w:val="24"/>
          <w:szCs w:val="24"/>
          <w:lang w:eastAsia="en-GB"/>
          <w14:ligatures w14:val="none"/>
        </w:rPr>
      </w:pPr>
    </w:p>
    <w:p w14:paraId="397A592E" w14:textId="69760E0D" w:rsidR="00CA027A" w:rsidRPr="00CA027A" w:rsidRDefault="00CA027A" w:rsidP="00CA027A">
      <w:pPr>
        <w:rPr>
          <w:rFonts w:ascii="Times New Roman" w:eastAsia="Times New Roman" w:hAnsi="Times New Roman" w:cs="Times New Roman"/>
          <w:kern w:val="0"/>
          <w:sz w:val="24"/>
          <w:szCs w:val="24"/>
          <w:lang w:eastAsia="en-GB"/>
          <w14:ligatures w14:val="none"/>
        </w:rPr>
      </w:pPr>
    </w:p>
    <w:p w14:paraId="4FDE3F97" w14:textId="25BC19B3" w:rsidR="001010D5" w:rsidRPr="001010D5" w:rsidRDefault="001010D5" w:rsidP="001010D5">
      <w:pPr>
        <w:rPr>
          <w:rFonts w:ascii="Times New Roman" w:eastAsia="Times New Roman" w:hAnsi="Times New Roman" w:cs="Times New Roman"/>
          <w:kern w:val="0"/>
          <w:sz w:val="24"/>
          <w:szCs w:val="24"/>
          <w:lang w:eastAsia="en-GB"/>
          <w14:ligatures w14:val="none"/>
        </w:rPr>
      </w:pPr>
    </w:p>
    <w:p w14:paraId="204451C5" w14:textId="1C3A54A1" w:rsidR="00FE05E5" w:rsidRPr="0034118F" w:rsidRDefault="00FE05E5" w:rsidP="00FE05E5">
      <w:pPr>
        <w:rPr>
          <w:rFonts w:eastAsia="Times New Roman" w:cs="Times New Roman"/>
          <w:b/>
          <w:bCs/>
          <w:kern w:val="0"/>
          <w:lang w:eastAsia="en-GB"/>
          <w14:ligatures w14:val="none"/>
        </w:rPr>
      </w:pPr>
    </w:p>
    <w:p w14:paraId="22771265" w14:textId="7801BD44" w:rsidR="00B516A7" w:rsidRPr="0066721D" w:rsidRDefault="00B516A7" w:rsidP="00B516A7">
      <w:pPr>
        <w:rPr>
          <w:rFonts w:eastAsia="Times New Roman" w:cs="Times New Roman"/>
          <w:b/>
          <w:bCs/>
          <w:kern w:val="0"/>
          <w:lang w:eastAsia="en-GB"/>
          <w14:ligatures w14:val="none"/>
        </w:rPr>
      </w:pPr>
    </w:p>
    <w:p w14:paraId="7EA5C67E" w14:textId="4D096EED" w:rsidR="00486C11" w:rsidRPr="00B60CCE" w:rsidRDefault="00486C11" w:rsidP="00486C11">
      <w:pPr>
        <w:rPr>
          <w:rFonts w:eastAsia="Times New Roman" w:cs="Times New Roman"/>
          <w:b/>
          <w:bCs/>
          <w:kern w:val="0"/>
          <w:lang w:eastAsia="en-GB"/>
          <w14:ligatures w14:val="none"/>
        </w:rPr>
      </w:pPr>
    </w:p>
    <w:p w14:paraId="1A0E6294" w14:textId="38BCBEE5" w:rsidR="00486C11" w:rsidRPr="00B60CCE" w:rsidRDefault="002D7FB7" w:rsidP="00486C11">
      <w:pPr>
        <w:rPr>
          <w:rFonts w:eastAsia="Times New Roman" w:cs="Times New Roman"/>
          <w:b/>
          <w:bCs/>
          <w:kern w:val="0"/>
          <w:lang w:eastAsia="en-GB"/>
          <w14:ligatures w14:val="none"/>
        </w:rPr>
      </w:pPr>
      <w:r w:rsidRPr="00B60CCE">
        <w:rPr>
          <w:rFonts w:eastAsia="Times New Roman" w:cs="Times New Roman"/>
          <w:b/>
          <w:bCs/>
          <w:kern w:val="0"/>
          <w:lang w:eastAsia="en-GB"/>
          <w14:ligatures w14:val="none"/>
        </w:rPr>
        <w:br/>
      </w:r>
    </w:p>
    <w:p w14:paraId="01F79889" w14:textId="384E703C" w:rsidR="00371381" w:rsidRPr="00C849F7" w:rsidRDefault="00371381" w:rsidP="00371381">
      <w:pPr>
        <w:spacing w:after="240"/>
        <w:rPr>
          <w:rFonts w:eastAsia="Times New Roman" w:cs="Times New Roman"/>
          <w:b/>
          <w:bCs/>
          <w:kern w:val="0"/>
          <w:sz w:val="28"/>
          <w:szCs w:val="28"/>
          <w:lang w:eastAsia="en-GB"/>
          <w14:ligatures w14:val="none"/>
        </w:rPr>
      </w:pPr>
      <w:r w:rsidRPr="00C849F7">
        <w:rPr>
          <w:rFonts w:eastAsia="Times New Roman" w:cs="Times New Roman"/>
          <w:b/>
          <w:bCs/>
          <w:kern w:val="0"/>
          <w:sz w:val="28"/>
          <w:szCs w:val="28"/>
          <w:lang w:eastAsia="en-GB"/>
          <w14:ligatures w14:val="none"/>
        </w:rPr>
        <w:br/>
      </w:r>
      <w:r w:rsidRPr="00C849F7">
        <w:rPr>
          <w:rFonts w:eastAsia="Times New Roman" w:cs="Times New Roman"/>
          <w:b/>
          <w:bCs/>
          <w:kern w:val="0"/>
          <w:sz w:val="28"/>
          <w:szCs w:val="28"/>
          <w:lang w:eastAsia="en-GB"/>
          <w14:ligatures w14:val="none"/>
        </w:rPr>
        <w:br/>
      </w:r>
      <w:r w:rsidRPr="00C849F7">
        <w:rPr>
          <w:rFonts w:eastAsia="Times New Roman" w:cs="Times New Roman"/>
          <w:b/>
          <w:bCs/>
          <w:kern w:val="0"/>
          <w:sz w:val="28"/>
          <w:szCs w:val="28"/>
          <w:lang w:eastAsia="en-GB"/>
          <w14:ligatures w14:val="none"/>
        </w:rPr>
        <w:br/>
      </w:r>
    </w:p>
    <w:p w14:paraId="0ACA518F" w14:textId="12A3739F" w:rsidR="007D5A91" w:rsidRPr="00EA0C2E" w:rsidRDefault="007D5A91" w:rsidP="007D5A91">
      <w:pPr>
        <w:rPr>
          <w:rFonts w:eastAsia="Times New Roman" w:cs="Times New Roman"/>
          <w:b/>
          <w:bCs/>
          <w:kern w:val="0"/>
          <w:lang w:eastAsia="en-GB"/>
          <w14:ligatures w14:val="none"/>
        </w:rPr>
      </w:pPr>
    </w:p>
    <w:p w14:paraId="675C9E79" w14:textId="0EA788BC" w:rsidR="00C94B6E" w:rsidRPr="00EA0C2E" w:rsidRDefault="00C94B6E" w:rsidP="00C94B6E">
      <w:pPr>
        <w:rPr>
          <w:rFonts w:eastAsia="Times New Roman" w:cs="Times New Roman"/>
          <w:b/>
          <w:bCs/>
          <w:kern w:val="0"/>
          <w:lang w:eastAsia="en-GB"/>
          <w14:ligatures w14:val="none"/>
        </w:rPr>
      </w:pPr>
    </w:p>
    <w:p w14:paraId="0FD4D4A7" w14:textId="673866E4" w:rsidR="006445D2" w:rsidRPr="00EA0C2E" w:rsidRDefault="006445D2" w:rsidP="006445D2">
      <w:pPr>
        <w:rPr>
          <w:rFonts w:eastAsia="Times New Roman" w:cs="Times New Roman"/>
          <w:b/>
          <w:bCs/>
          <w:kern w:val="0"/>
          <w:lang w:eastAsia="en-GB"/>
          <w14:ligatures w14:val="none"/>
        </w:rPr>
      </w:pPr>
    </w:p>
    <w:p w14:paraId="00A31A28" w14:textId="72EEC7E2" w:rsidR="00545262" w:rsidRPr="00EA0C2E" w:rsidRDefault="00545262" w:rsidP="00545262">
      <w:pPr>
        <w:rPr>
          <w:rFonts w:eastAsia="Times New Roman" w:cs="Times New Roman"/>
          <w:b/>
          <w:bCs/>
          <w:kern w:val="0"/>
          <w:lang w:eastAsia="en-GB"/>
          <w14:ligatures w14:val="none"/>
        </w:rPr>
      </w:pPr>
    </w:p>
    <w:p w14:paraId="3ECB06F1" w14:textId="0C2F29B4" w:rsidR="00203EE2" w:rsidRPr="00EA0C2E" w:rsidRDefault="00203EE2" w:rsidP="00203EE2">
      <w:pPr>
        <w:rPr>
          <w:rFonts w:eastAsia="Times New Roman" w:cs="Times New Roman"/>
          <w:b/>
          <w:bCs/>
          <w:kern w:val="0"/>
          <w:lang w:eastAsia="en-GB"/>
          <w14:ligatures w14:val="none"/>
        </w:rPr>
      </w:pPr>
    </w:p>
    <w:p w14:paraId="2CDF45C6" w14:textId="0DD62BB0" w:rsidR="00FA08C7" w:rsidRPr="00EA0C2E" w:rsidRDefault="00FA08C7" w:rsidP="00FA08C7">
      <w:pPr>
        <w:rPr>
          <w:rFonts w:eastAsia="Times New Roman" w:cs="Times New Roman"/>
          <w:b/>
          <w:bCs/>
          <w:kern w:val="0"/>
          <w:lang w:eastAsia="en-GB"/>
          <w14:ligatures w14:val="none"/>
        </w:rPr>
      </w:pPr>
    </w:p>
    <w:p w14:paraId="67C46530" w14:textId="0C8475CE" w:rsidR="00945044" w:rsidRPr="00EA0C2E" w:rsidRDefault="00945044" w:rsidP="00F23D7C">
      <w:pPr>
        <w:pStyle w:val="ListParagraph"/>
        <w:rPr>
          <w:rFonts w:eastAsia="Times New Roman" w:cs="Times New Roman"/>
          <w:b/>
          <w:bCs/>
          <w:kern w:val="0"/>
          <w:lang w:eastAsia="en-GB"/>
          <w14:ligatures w14:val="none"/>
        </w:rPr>
      </w:pPr>
      <w:r w:rsidRPr="00EA0C2E">
        <w:rPr>
          <w:rFonts w:eastAsia="Times New Roman" w:cs="Times New Roman"/>
          <w:b/>
          <w:bCs/>
          <w:kern w:val="0"/>
          <w:lang w:eastAsia="en-GB"/>
          <w14:ligatures w14:val="none"/>
        </w:rPr>
        <w:br/>
      </w:r>
    </w:p>
    <w:p w14:paraId="737A91BF" w14:textId="746AD0F4" w:rsidR="00235678" w:rsidRPr="00235678" w:rsidRDefault="00235678" w:rsidP="00235678">
      <w:pPr>
        <w:spacing w:after="0" w:line="240" w:lineRule="auto"/>
        <w:rPr>
          <w:rFonts w:eastAsia="Times New Roman" w:cs="Times New Roman"/>
          <w:b/>
          <w:bCs/>
          <w:kern w:val="0"/>
          <w:lang w:eastAsia="en-GB"/>
          <w14:ligatures w14:val="none"/>
        </w:rPr>
      </w:pPr>
    </w:p>
    <w:p w14:paraId="60117D4A" w14:textId="77777777" w:rsidR="001443DD" w:rsidRPr="00797E70" w:rsidRDefault="001443DD" w:rsidP="00EB2C09">
      <w:pPr>
        <w:rPr>
          <w:rFonts w:eastAsia="Times New Roman" w:cs="Times New Roman"/>
          <w:b/>
          <w:bCs/>
          <w:kern w:val="0"/>
          <w:sz w:val="28"/>
          <w:szCs w:val="28"/>
          <w:lang w:eastAsia="en-GB"/>
          <w14:ligatures w14:val="none"/>
        </w:rPr>
      </w:pPr>
    </w:p>
    <w:p w14:paraId="6B566B8D" w14:textId="5AAD5412" w:rsidR="00513BCE" w:rsidRPr="001B4F63" w:rsidRDefault="00513BCE" w:rsidP="00513BCE">
      <w:pPr>
        <w:rPr>
          <w:rFonts w:eastAsia="Times New Roman" w:cs="Times New Roman"/>
          <w:b/>
          <w:bCs/>
          <w:kern w:val="0"/>
          <w:lang w:eastAsia="en-GB"/>
          <w14:ligatures w14:val="none"/>
        </w:rPr>
      </w:pPr>
    </w:p>
    <w:p w14:paraId="07261C90" w14:textId="6D68ECCB" w:rsidR="00D64E03" w:rsidRPr="006C2C8F" w:rsidRDefault="00D64E03" w:rsidP="00D64E03">
      <w:pPr>
        <w:rPr>
          <w:rFonts w:eastAsia="Times New Roman" w:cs="Times New Roman"/>
          <w:b/>
          <w:bCs/>
          <w:kern w:val="0"/>
          <w:lang w:eastAsia="en-GB"/>
          <w14:ligatures w14:val="none"/>
        </w:rPr>
      </w:pPr>
    </w:p>
    <w:p w14:paraId="5B327A52" w14:textId="5C2279DB" w:rsidR="001A409A" w:rsidRPr="006C2C8F" w:rsidRDefault="001A409A" w:rsidP="001A409A">
      <w:pPr>
        <w:rPr>
          <w:rFonts w:eastAsia="Times New Roman" w:cs="Times New Roman"/>
          <w:b/>
          <w:bCs/>
          <w:kern w:val="0"/>
          <w:lang w:eastAsia="en-GB"/>
          <w14:ligatures w14:val="none"/>
        </w:rPr>
      </w:pPr>
    </w:p>
    <w:p w14:paraId="685341EB" w14:textId="3A8B7D6C" w:rsidR="006D7D65" w:rsidRPr="006C2C8F" w:rsidRDefault="006D7D65" w:rsidP="006D7D65">
      <w:pPr>
        <w:rPr>
          <w:rFonts w:eastAsia="Times New Roman" w:cs="Times New Roman"/>
          <w:b/>
          <w:bCs/>
          <w:kern w:val="0"/>
          <w:lang w:eastAsia="en-GB"/>
          <w14:ligatures w14:val="none"/>
        </w:rPr>
      </w:pPr>
    </w:p>
    <w:p w14:paraId="15492015" w14:textId="5D14D2B3" w:rsidR="00F45F4F" w:rsidRPr="00F45F4F" w:rsidRDefault="00F45F4F" w:rsidP="00F45F4F">
      <w:pPr>
        <w:rPr>
          <w:rFonts w:eastAsia="Times New Roman" w:cs="Times New Roman"/>
          <w:b/>
          <w:bCs/>
          <w:kern w:val="0"/>
          <w:lang w:eastAsia="en-GB"/>
          <w14:ligatures w14:val="none"/>
        </w:rPr>
      </w:pPr>
    </w:p>
    <w:p w14:paraId="5BD02504" w14:textId="31608CE3" w:rsidR="003A78EE" w:rsidRPr="003A78EE" w:rsidRDefault="003A78EE" w:rsidP="003A78EE">
      <w:pPr>
        <w:rPr>
          <w:rFonts w:eastAsia="Times New Roman" w:cs="Times New Roman"/>
          <w:b/>
          <w:bCs/>
          <w:kern w:val="0"/>
          <w:lang w:eastAsia="en-GB"/>
          <w14:ligatures w14:val="none"/>
        </w:rPr>
      </w:pPr>
    </w:p>
    <w:p w14:paraId="6FB64514" w14:textId="5B28F932" w:rsidR="00473DCB" w:rsidRPr="006B4DEE" w:rsidRDefault="00473DCB" w:rsidP="00473DCB">
      <w:pPr>
        <w:rPr>
          <w:rFonts w:eastAsia="Times New Roman" w:cs="Times New Roman"/>
          <w:b/>
          <w:bCs/>
          <w:kern w:val="0"/>
          <w:lang w:eastAsia="en-GB"/>
          <w14:ligatures w14:val="none"/>
        </w:rPr>
      </w:pPr>
    </w:p>
    <w:p w14:paraId="78730FE9" w14:textId="3E84F173" w:rsidR="00196E5F" w:rsidRPr="00196E5F" w:rsidRDefault="00196E5F" w:rsidP="00196E5F">
      <w:pPr>
        <w:rPr>
          <w:rFonts w:eastAsia="Times New Roman" w:cs="Times New Roman"/>
          <w:b/>
          <w:bCs/>
          <w:kern w:val="0"/>
          <w:lang w:eastAsia="en-GB"/>
          <w14:ligatures w14:val="none"/>
        </w:rPr>
      </w:pPr>
    </w:p>
    <w:p w14:paraId="419AB53C" w14:textId="71365B12" w:rsidR="00CD3415" w:rsidRPr="0010466A" w:rsidRDefault="00CD3415" w:rsidP="00C13F67">
      <w:pPr>
        <w:rPr>
          <w:rFonts w:eastAsia="Times New Roman" w:cs="Times New Roman"/>
          <w:b/>
          <w:bCs/>
          <w:kern w:val="0"/>
          <w:sz w:val="28"/>
          <w:szCs w:val="28"/>
          <w:lang w:eastAsia="en-GB"/>
          <w14:ligatures w14:val="none"/>
        </w:rPr>
      </w:pPr>
    </w:p>
    <w:p w14:paraId="364B4588" w14:textId="4EEE04C4" w:rsidR="00C13F67" w:rsidRPr="008D0827" w:rsidRDefault="00C13F67" w:rsidP="00BF6C32">
      <w:pPr>
        <w:spacing w:after="240"/>
        <w:rPr>
          <w:rFonts w:eastAsia="Times New Roman" w:cs="Times New Roman"/>
          <w:b/>
          <w:bCs/>
          <w:kern w:val="0"/>
          <w:lang w:eastAsia="en-GB"/>
          <w14:ligatures w14:val="none"/>
        </w:rPr>
      </w:pPr>
    </w:p>
    <w:p w14:paraId="39239A31" w14:textId="118855AB" w:rsidR="00BF6C32" w:rsidRPr="00D212DD" w:rsidRDefault="00BF6C32" w:rsidP="00BF6C32">
      <w:pPr>
        <w:spacing w:after="240"/>
        <w:rPr>
          <w:rFonts w:eastAsia="Times New Roman" w:cs="Times New Roman"/>
          <w:b/>
          <w:bCs/>
          <w:kern w:val="0"/>
          <w:lang w:eastAsia="en-GB"/>
          <w14:ligatures w14:val="none"/>
        </w:rPr>
      </w:pP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r>
      <w:r w:rsidRPr="00D212DD">
        <w:rPr>
          <w:rFonts w:eastAsia="Times New Roman" w:cs="Times New Roman"/>
          <w:b/>
          <w:bCs/>
          <w:kern w:val="0"/>
          <w:lang w:eastAsia="en-GB"/>
          <w14:ligatures w14:val="none"/>
        </w:rPr>
        <w:br/>
      </w:r>
    </w:p>
    <w:p w14:paraId="0260420C" w14:textId="25DF1A33" w:rsidR="00CE2FE1" w:rsidRPr="00D212DD" w:rsidRDefault="00CE2FE1" w:rsidP="00CE2FE1">
      <w:pPr>
        <w:rPr>
          <w:rFonts w:eastAsia="Times New Roman" w:cs="Times New Roman"/>
          <w:b/>
          <w:bCs/>
          <w:kern w:val="0"/>
          <w:lang w:eastAsia="en-GB"/>
          <w14:ligatures w14:val="none"/>
        </w:rPr>
      </w:pPr>
    </w:p>
    <w:p w14:paraId="3DAF74D9" w14:textId="41D271BE" w:rsidR="001321CC" w:rsidRPr="00D212DD" w:rsidRDefault="001321CC" w:rsidP="001321CC">
      <w:pPr>
        <w:rPr>
          <w:rFonts w:eastAsia="Times New Roman" w:cs="Times New Roman"/>
          <w:b/>
          <w:bCs/>
          <w:kern w:val="0"/>
          <w:lang w:eastAsia="en-GB"/>
          <w14:ligatures w14:val="none"/>
        </w:rPr>
      </w:pPr>
    </w:p>
    <w:p w14:paraId="1D11F102" w14:textId="0F22903D" w:rsidR="009006E6" w:rsidRPr="00D212DD" w:rsidRDefault="009006E6" w:rsidP="009006E6">
      <w:pPr>
        <w:rPr>
          <w:rFonts w:eastAsia="Times New Roman" w:cs="Times New Roman"/>
          <w:b/>
          <w:bCs/>
          <w:kern w:val="0"/>
          <w:lang w:eastAsia="en-GB"/>
          <w14:ligatures w14:val="none"/>
        </w:rPr>
      </w:pPr>
    </w:p>
    <w:p w14:paraId="54E206A5" w14:textId="5457A33B" w:rsidR="001575D5" w:rsidRPr="00D212DD" w:rsidRDefault="001575D5" w:rsidP="001575D5">
      <w:pPr>
        <w:rPr>
          <w:rFonts w:eastAsia="Times New Roman" w:cs="Times New Roman"/>
          <w:b/>
          <w:bCs/>
          <w:kern w:val="0"/>
          <w:lang w:eastAsia="en-GB"/>
          <w14:ligatures w14:val="none"/>
        </w:rPr>
      </w:pPr>
    </w:p>
    <w:p w14:paraId="390768E6" w14:textId="7E25D722" w:rsidR="00274BD0" w:rsidRPr="00D212DD" w:rsidRDefault="00274BD0" w:rsidP="00274BD0">
      <w:pPr>
        <w:rPr>
          <w:rFonts w:eastAsia="Times New Roman" w:cs="Times New Roman"/>
          <w:b/>
          <w:bCs/>
          <w:kern w:val="0"/>
          <w:lang w:eastAsia="en-GB"/>
          <w14:ligatures w14:val="none"/>
        </w:rPr>
      </w:pPr>
    </w:p>
    <w:p w14:paraId="46CB9A4E" w14:textId="77777777" w:rsidR="00274BD0" w:rsidRPr="00D212DD" w:rsidRDefault="00274BD0" w:rsidP="00E23138">
      <w:pPr>
        <w:rPr>
          <w:rFonts w:eastAsia="Times New Roman" w:cs="Times New Roman"/>
          <w:b/>
          <w:bCs/>
          <w:kern w:val="0"/>
          <w:lang w:eastAsia="en-GB"/>
          <w14:ligatures w14:val="none"/>
        </w:rPr>
      </w:pPr>
    </w:p>
    <w:p w14:paraId="56EA9B77" w14:textId="77777777" w:rsidR="00856ADC" w:rsidRPr="00D212DD" w:rsidRDefault="00856ADC" w:rsidP="00B77E18">
      <w:pPr>
        <w:rPr>
          <w:rFonts w:eastAsia="Times New Roman" w:cs="Times New Roman"/>
          <w:b/>
          <w:bCs/>
          <w:kern w:val="0"/>
          <w:lang w:eastAsia="en-GB"/>
          <w14:ligatures w14:val="none"/>
        </w:rPr>
      </w:pPr>
    </w:p>
    <w:p w14:paraId="276A34DD" w14:textId="77777777" w:rsidR="00B77E18" w:rsidRPr="00D212DD" w:rsidRDefault="00B77E18" w:rsidP="005444A5">
      <w:pPr>
        <w:rPr>
          <w:rFonts w:eastAsia="Times New Roman" w:cs="Times New Roman"/>
          <w:b/>
          <w:bCs/>
          <w:kern w:val="0"/>
          <w:lang w:eastAsia="en-GB"/>
          <w14:ligatures w14:val="none"/>
        </w:rPr>
      </w:pPr>
    </w:p>
    <w:p w14:paraId="6C955A93" w14:textId="77777777" w:rsidR="005444A5" w:rsidRPr="00D212DD" w:rsidRDefault="005444A5" w:rsidP="00142D1C">
      <w:pPr>
        <w:rPr>
          <w:rFonts w:eastAsia="Times New Roman" w:cs="Times New Roman"/>
          <w:b/>
          <w:bCs/>
          <w:kern w:val="0"/>
          <w:lang w:eastAsia="en-GB"/>
          <w14:ligatures w14:val="none"/>
        </w:rPr>
      </w:pPr>
    </w:p>
    <w:p w14:paraId="7B2BC38F" w14:textId="77777777" w:rsidR="00142D1C" w:rsidRPr="00D212DD" w:rsidRDefault="00142D1C" w:rsidP="00C77AB6">
      <w:pPr>
        <w:rPr>
          <w:rFonts w:eastAsia="Times New Roman" w:cs="Times New Roman"/>
          <w:b/>
          <w:bCs/>
          <w:kern w:val="0"/>
          <w:lang w:eastAsia="en-GB"/>
          <w14:ligatures w14:val="none"/>
        </w:rPr>
      </w:pPr>
    </w:p>
    <w:p w14:paraId="4F389A62" w14:textId="77777777" w:rsidR="00142D1C" w:rsidRPr="00D212DD" w:rsidRDefault="00142D1C" w:rsidP="00C77AB6">
      <w:pPr>
        <w:rPr>
          <w:rFonts w:eastAsia="Times New Roman" w:cs="Times New Roman"/>
          <w:b/>
          <w:bCs/>
          <w:kern w:val="0"/>
          <w:lang w:eastAsia="en-GB"/>
          <w14:ligatures w14:val="none"/>
        </w:rPr>
      </w:pPr>
    </w:p>
    <w:p w14:paraId="78819DE3" w14:textId="78DC319C" w:rsidR="00561BF1" w:rsidRPr="00D212DD" w:rsidRDefault="00561BF1" w:rsidP="00561BF1">
      <w:pPr>
        <w:rPr>
          <w:rFonts w:eastAsia="Times New Roman" w:cs="Times New Roman"/>
          <w:b/>
          <w:bCs/>
          <w:kern w:val="0"/>
          <w:lang w:eastAsia="en-GB"/>
          <w14:ligatures w14:val="none"/>
        </w:rPr>
      </w:pPr>
    </w:p>
    <w:p w14:paraId="108DCBA4" w14:textId="1F9309C6" w:rsidR="00782307" w:rsidRPr="00D212DD" w:rsidRDefault="00782307" w:rsidP="00782307">
      <w:pPr>
        <w:rPr>
          <w:rFonts w:eastAsia="Times New Roman" w:cs="Times New Roman"/>
          <w:b/>
          <w:bCs/>
          <w:kern w:val="0"/>
          <w:lang w:eastAsia="en-GB"/>
          <w14:ligatures w14:val="none"/>
        </w:rPr>
      </w:pPr>
    </w:p>
    <w:p w14:paraId="42F5DBE7" w14:textId="2ACA035C" w:rsidR="00AC57E3" w:rsidRPr="00D212DD" w:rsidRDefault="00AC57E3" w:rsidP="00AC57E3">
      <w:pPr>
        <w:rPr>
          <w:rFonts w:eastAsia="Times New Roman" w:cs="Times New Roman"/>
          <w:b/>
          <w:bCs/>
          <w:kern w:val="0"/>
          <w:lang w:eastAsia="en-GB"/>
          <w14:ligatures w14:val="none"/>
        </w:rPr>
      </w:pPr>
    </w:p>
    <w:p w14:paraId="6BBE799A" w14:textId="6D020D46" w:rsidR="006B6640" w:rsidRPr="00D212DD" w:rsidRDefault="006B6640" w:rsidP="006B6640">
      <w:pPr>
        <w:rPr>
          <w:rFonts w:eastAsia="Times New Roman" w:cs="Times New Roman"/>
          <w:b/>
          <w:bCs/>
          <w:kern w:val="0"/>
          <w:lang w:eastAsia="en-GB"/>
          <w14:ligatures w14:val="none"/>
        </w:rPr>
      </w:pPr>
    </w:p>
    <w:p w14:paraId="68879F3D" w14:textId="054BF825" w:rsidR="00132BB6" w:rsidRPr="00D212DD" w:rsidRDefault="00132BB6" w:rsidP="00132BB6">
      <w:pPr>
        <w:rPr>
          <w:rFonts w:eastAsia="Times New Roman" w:cs="Times New Roman"/>
          <w:b/>
          <w:bCs/>
          <w:kern w:val="0"/>
          <w:lang w:eastAsia="en-GB"/>
          <w14:ligatures w14:val="none"/>
        </w:rPr>
      </w:pPr>
    </w:p>
    <w:p w14:paraId="5A732CEB" w14:textId="35F4D4DB" w:rsidR="00555C63" w:rsidRPr="00D212DD" w:rsidRDefault="00555C63" w:rsidP="00555C63">
      <w:pPr>
        <w:rPr>
          <w:rFonts w:eastAsia="Times New Roman" w:cs="Times New Roman"/>
          <w:b/>
          <w:bCs/>
          <w:kern w:val="0"/>
          <w:lang w:eastAsia="en-GB"/>
          <w14:ligatures w14:val="none"/>
        </w:rPr>
      </w:pPr>
    </w:p>
    <w:p w14:paraId="7E1D9DCF" w14:textId="0F8F1D19" w:rsidR="00C65798" w:rsidRPr="00D212DD" w:rsidRDefault="00C65798" w:rsidP="00C65798">
      <w:pPr>
        <w:rPr>
          <w:rFonts w:eastAsia="Times New Roman" w:cs="Times New Roman"/>
          <w:b/>
          <w:bCs/>
          <w:kern w:val="0"/>
          <w:lang w:eastAsia="en-GB"/>
          <w14:ligatures w14:val="none"/>
        </w:rPr>
      </w:pPr>
    </w:p>
    <w:p w14:paraId="41180769" w14:textId="513C00FD" w:rsidR="002820BA" w:rsidRPr="00D212DD" w:rsidRDefault="002820BA" w:rsidP="00C16212">
      <w:pPr>
        <w:ind w:left="360"/>
        <w:rPr>
          <w:rFonts w:eastAsia="Times New Roman" w:cs="Times New Roman"/>
          <w:b/>
          <w:bCs/>
          <w:kern w:val="0"/>
          <w:lang w:eastAsia="en-GB"/>
          <w14:ligatures w14:val="none"/>
        </w:rPr>
      </w:pPr>
    </w:p>
    <w:p w14:paraId="54E91AF1" w14:textId="51E11C30" w:rsidR="0038620C" w:rsidRPr="00D212DD" w:rsidRDefault="0038620C" w:rsidP="0038620C">
      <w:pPr>
        <w:rPr>
          <w:rFonts w:eastAsia="Times New Roman" w:cs="Times New Roman"/>
          <w:b/>
          <w:bCs/>
          <w:kern w:val="0"/>
          <w:lang w:eastAsia="en-GB"/>
          <w14:ligatures w14:val="none"/>
        </w:rPr>
      </w:pPr>
    </w:p>
    <w:p w14:paraId="05742068" w14:textId="0DBB72FC" w:rsidR="0080588D" w:rsidRPr="00D212DD" w:rsidRDefault="0080588D" w:rsidP="0080588D">
      <w:pPr>
        <w:rPr>
          <w:rFonts w:eastAsia="Times New Roman" w:cs="Times New Roman"/>
          <w:b/>
          <w:bCs/>
          <w:kern w:val="0"/>
          <w:lang w:eastAsia="en-GB"/>
          <w14:ligatures w14:val="none"/>
        </w:rPr>
      </w:pPr>
    </w:p>
    <w:p w14:paraId="6D5505F2" w14:textId="530BF4A5" w:rsidR="007B1DA5" w:rsidRPr="00D212DD" w:rsidRDefault="007B1DA5" w:rsidP="00104AA2">
      <w:pPr>
        <w:rPr>
          <w:rFonts w:eastAsia="Times New Roman" w:cs="Times New Roman"/>
          <w:b/>
          <w:bCs/>
          <w:kern w:val="0"/>
          <w:lang w:eastAsia="en-GB"/>
          <w14:ligatures w14:val="none"/>
        </w:rPr>
      </w:pPr>
    </w:p>
    <w:p w14:paraId="6FD9A683" w14:textId="4773FBB0" w:rsidR="00FB0DEF" w:rsidRPr="00D212DD" w:rsidRDefault="00FB0DEF" w:rsidP="00FB0DEF">
      <w:pPr>
        <w:rPr>
          <w:rFonts w:eastAsia="Times New Roman" w:cs="Times New Roman"/>
          <w:b/>
          <w:bCs/>
          <w:kern w:val="0"/>
          <w:lang w:eastAsia="en-GB"/>
          <w14:ligatures w14:val="none"/>
        </w:rPr>
      </w:pPr>
    </w:p>
    <w:p w14:paraId="0631DDFD" w14:textId="0BD5D8B8" w:rsidR="005610B8" w:rsidRPr="009B04EA" w:rsidRDefault="005610B8" w:rsidP="005610B8">
      <w:pPr>
        <w:rPr>
          <w:rFonts w:eastAsia="Times New Roman" w:cs="Times New Roman"/>
          <w:b/>
          <w:bCs/>
          <w:kern w:val="0"/>
          <w:lang w:eastAsia="en-GB"/>
          <w14:ligatures w14:val="none"/>
        </w:rPr>
      </w:pPr>
    </w:p>
    <w:p w14:paraId="1DB31642" w14:textId="421DF18D" w:rsidR="006751BE" w:rsidRPr="009B04EA" w:rsidRDefault="006751BE" w:rsidP="006751BE">
      <w:pPr>
        <w:rPr>
          <w:rFonts w:eastAsia="Times New Roman" w:cs="Times New Roman"/>
          <w:b/>
          <w:bCs/>
          <w:kern w:val="0"/>
          <w:lang w:eastAsia="en-GB"/>
          <w14:ligatures w14:val="none"/>
        </w:rPr>
      </w:pPr>
    </w:p>
    <w:p w14:paraId="2E4E6F81" w14:textId="7A69A4CF" w:rsidR="00511564" w:rsidRPr="00511564" w:rsidRDefault="00511564" w:rsidP="00511564">
      <w:pPr>
        <w:rPr>
          <w:rFonts w:ascii="Times New Roman" w:eastAsia="Times New Roman" w:hAnsi="Times New Roman" w:cs="Times New Roman"/>
          <w:kern w:val="0"/>
          <w:sz w:val="24"/>
          <w:szCs w:val="24"/>
          <w:lang w:eastAsia="en-GB"/>
          <w14:ligatures w14:val="none"/>
        </w:rPr>
      </w:pPr>
    </w:p>
    <w:p w14:paraId="61B4BF20" w14:textId="121868AE" w:rsidR="00095AFC" w:rsidRPr="00095AFC" w:rsidRDefault="00095AFC" w:rsidP="00095AFC">
      <w:pPr>
        <w:rPr>
          <w:rFonts w:ascii="Times New Roman" w:eastAsia="Times New Roman" w:hAnsi="Times New Roman" w:cs="Times New Roman"/>
          <w:kern w:val="0"/>
          <w:sz w:val="24"/>
          <w:szCs w:val="24"/>
          <w:lang w:eastAsia="en-GB"/>
          <w14:ligatures w14:val="none"/>
        </w:rPr>
      </w:pPr>
    </w:p>
    <w:p w14:paraId="188258D1" w14:textId="6E150B89" w:rsidR="007311D4" w:rsidRPr="007311D4" w:rsidRDefault="007311D4" w:rsidP="007311D4">
      <w:pPr>
        <w:rPr>
          <w:rFonts w:ascii="Times New Roman" w:eastAsia="Times New Roman" w:hAnsi="Times New Roman" w:cs="Times New Roman"/>
          <w:kern w:val="0"/>
          <w:sz w:val="24"/>
          <w:szCs w:val="24"/>
          <w:lang w:eastAsia="en-GB"/>
          <w14:ligatures w14:val="none"/>
        </w:rPr>
      </w:pPr>
    </w:p>
    <w:p w14:paraId="755082EA" w14:textId="5B95FFCC" w:rsidR="004C5519" w:rsidRPr="004C5519" w:rsidRDefault="004C5519" w:rsidP="004C5519">
      <w:pPr>
        <w:rPr>
          <w:rFonts w:ascii="Times New Roman" w:eastAsia="Times New Roman" w:hAnsi="Times New Roman" w:cs="Times New Roman"/>
          <w:kern w:val="0"/>
          <w:sz w:val="24"/>
          <w:szCs w:val="24"/>
          <w:lang w:eastAsia="en-GB"/>
          <w14:ligatures w14:val="none"/>
        </w:rPr>
      </w:pPr>
    </w:p>
    <w:p w14:paraId="34B54313" w14:textId="2CBB3362" w:rsidR="001777D7" w:rsidRPr="001777D7" w:rsidRDefault="001777D7" w:rsidP="001777D7">
      <w:pPr>
        <w:rPr>
          <w:rFonts w:eastAsia="Times New Roman" w:cs="Times New Roman"/>
          <w:b/>
          <w:bCs/>
          <w:kern w:val="0"/>
          <w:lang w:eastAsia="en-GB"/>
          <w14:ligatures w14:val="none"/>
        </w:rPr>
      </w:pPr>
    </w:p>
    <w:p w14:paraId="514E51DC" w14:textId="28DAF3DD" w:rsidR="00C522D9" w:rsidRDefault="00C522D9" w:rsidP="00C522D9">
      <w:pPr>
        <w:rPr>
          <w:rFonts w:ascii="Times New Roman" w:eastAsia="Times New Roman" w:hAnsi="Times New Roman" w:cs="Times New Roman"/>
          <w:kern w:val="0"/>
          <w:sz w:val="24"/>
          <w:szCs w:val="24"/>
          <w:lang w:eastAsia="en-GB"/>
          <w14:ligatures w14:val="none"/>
        </w:rPr>
      </w:pPr>
    </w:p>
    <w:p w14:paraId="36BD640D" w14:textId="2277544E" w:rsidR="008D24B1" w:rsidRDefault="008D24B1" w:rsidP="008D24B1">
      <w:pPr>
        <w:rPr>
          <w:rFonts w:ascii="Times New Roman" w:eastAsia="Times New Roman" w:hAnsi="Times New Roman" w:cs="Times New Roman"/>
          <w:kern w:val="0"/>
          <w:sz w:val="24"/>
          <w:szCs w:val="24"/>
          <w:lang w:eastAsia="en-GB"/>
          <w14:ligatures w14:val="none"/>
        </w:rPr>
      </w:pPr>
    </w:p>
    <w:p w14:paraId="233E51C1" w14:textId="77777777" w:rsidR="00EE0B66" w:rsidRPr="005D49DE" w:rsidRDefault="00EE0B66" w:rsidP="000273E0">
      <w:pPr>
        <w:rPr>
          <w:rFonts w:eastAsia="Times New Roman" w:cs="Times New Roman"/>
          <w:b/>
          <w:bCs/>
          <w:kern w:val="0"/>
          <w:lang w:eastAsia="en-GB"/>
          <w14:ligatures w14:val="none"/>
        </w:rPr>
      </w:pPr>
    </w:p>
    <w:p w14:paraId="2EFC1A59" w14:textId="54565A99" w:rsidR="00557FB0" w:rsidRPr="005D49DE" w:rsidRDefault="00557FB0" w:rsidP="00557FB0">
      <w:pPr>
        <w:rPr>
          <w:rFonts w:eastAsia="Times New Roman" w:cs="Times New Roman"/>
          <w:b/>
          <w:bCs/>
          <w:kern w:val="0"/>
          <w:lang w:eastAsia="en-GB"/>
          <w14:ligatures w14:val="none"/>
        </w:rPr>
      </w:pPr>
    </w:p>
    <w:p w14:paraId="1811F31E" w14:textId="188B84E0" w:rsidR="006A6879" w:rsidRPr="005D49DE" w:rsidRDefault="006A6879" w:rsidP="00B2382A">
      <w:pPr>
        <w:spacing w:after="0" w:line="240" w:lineRule="auto"/>
        <w:rPr>
          <w:rFonts w:eastAsia="Times New Roman" w:cs="Times New Roman"/>
          <w:b/>
          <w:bCs/>
          <w:kern w:val="0"/>
          <w:lang w:eastAsia="en-GB"/>
          <w14:ligatures w14:val="none"/>
        </w:rPr>
      </w:pPr>
    </w:p>
    <w:p w14:paraId="14E65A16" w14:textId="30AF5898" w:rsidR="00804113" w:rsidRPr="005D49DE" w:rsidRDefault="00804113" w:rsidP="00A64E45">
      <w:pPr>
        <w:rPr>
          <w:rFonts w:eastAsia="Times New Roman" w:cs="Times New Roman"/>
          <w:b/>
          <w:bCs/>
          <w:kern w:val="0"/>
          <w:lang w:eastAsia="en-GB"/>
          <w14:ligatures w14:val="none"/>
        </w:rPr>
      </w:pPr>
    </w:p>
    <w:p w14:paraId="7B46BF3A" w14:textId="4A29D1C0" w:rsidR="008433AC" w:rsidRPr="005D49DE" w:rsidRDefault="008433AC" w:rsidP="008433AC">
      <w:pPr>
        <w:rPr>
          <w:rFonts w:eastAsia="Times New Roman" w:cs="Times New Roman"/>
          <w:b/>
          <w:bCs/>
          <w:kern w:val="0"/>
          <w:lang w:eastAsia="en-GB"/>
          <w14:ligatures w14:val="none"/>
        </w:rPr>
      </w:pPr>
    </w:p>
    <w:p w14:paraId="144999F9" w14:textId="6423146C" w:rsidR="003B35BD" w:rsidRPr="005D49DE" w:rsidRDefault="003B35BD" w:rsidP="003B35BD">
      <w:pPr>
        <w:rPr>
          <w:rFonts w:eastAsia="Times New Roman" w:cs="Times New Roman"/>
          <w:b/>
          <w:bCs/>
          <w:kern w:val="0"/>
          <w:lang w:eastAsia="en-GB"/>
          <w14:ligatures w14:val="none"/>
        </w:rPr>
      </w:pPr>
    </w:p>
    <w:p w14:paraId="0C0039B5" w14:textId="66A4958F" w:rsidR="00B669A9" w:rsidRPr="005D49DE" w:rsidRDefault="00B669A9" w:rsidP="00B669A9">
      <w:pPr>
        <w:rPr>
          <w:rFonts w:eastAsia="Times New Roman" w:cs="Times New Roman"/>
          <w:b/>
          <w:bCs/>
          <w:kern w:val="0"/>
          <w:lang w:eastAsia="en-GB"/>
          <w14:ligatures w14:val="none"/>
        </w:rPr>
      </w:pPr>
    </w:p>
    <w:p w14:paraId="709A6BEB" w14:textId="7FB28B86" w:rsidR="001C0DBE" w:rsidRPr="005D49DE" w:rsidRDefault="001C0DBE" w:rsidP="001C0DBE">
      <w:pPr>
        <w:rPr>
          <w:rFonts w:eastAsia="Times New Roman" w:cs="Times New Roman"/>
          <w:b/>
          <w:bCs/>
          <w:kern w:val="0"/>
          <w:lang w:eastAsia="en-GB"/>
          <w14:ligatures w14:val="none"/>
        </w:rPr>
      </w:pPr>
    </w:p>
    <w:p w14:paraId="770F3B31" w14:textId="6F2B17FF" w:rsidR="00BC0859" w:rsidRPr="00BC0859" w:rsidRDefault="00BC0859" w:rsidP="00BC0859">
      <w:pPr>
        <w:rPr>
          <w:rFonts w:ascii="Times New Roman" w:eastAsia="Times New Roman" w:hAnsi="Times New Roman" w:cs="Times New Roman"/>
          <w:kern w:val="0"/>
          <w:sz w:val="24"/>
          <w:szCs w:val="24"/>
          <w:lang w:eastAsia="en-GB"/>
          <w14:ligatures w14:val="none"/>
        </w:rPr>
      </w:pPr>
    </w:p>
    <w:p w14:paraId="78F00629" w14:textId="1E5EBAB8" w:rsidR="006C328D" w:rsidRPr="006C328D" w:rsidRDefault="006C328D" w:rsidP="006C328D">
      <w:pPr>
        <w:rPr>
          <w:rFonts w:eastAsia="Times New Roman" w:cs="Times New Roman"/>
          <w:b/>
          <w:bCs/>
          <w:kern w:val="0"/>
          <w:lang w:eastAsia="en-GB"/>
          <w14:ligatures w14:val="none"/>
        </w:rPr>
      </w:pPr>
    </w:p>
    <w:p w14:paraId="2FF7E2A9" w14:textId="2B29440A" w:rsidR="003537E7" w:rsidRPr="003537E7" w:rsidRDefault="003537E7" w:rsidP="003537E7">
      <w:pPr>
        <w:rPr>
          <w:rFonts w:eastAsia="Times New Roman" w:cs="Times New Roman"/>
          <w:b/>
          <w:bCs/>
          <w:kern w:val="0"/>
          <w:lang w:eastAsia="en-GB"/>
          <w14:ligatures w14:val="none"/>
        </w:rPr>
      </w:pPr>
    </w:p>
    <w:p w14:paraId="17B37B01" w14:textId="53BF425D" w:rsidR="003537E7" w:rsidRPr="003537E7" w:rsidRDefault="003537E7" w:rsidP="003537E7">
      <w:pPr>
        <w:rPr>
          <w:rFonts w:eastAsia="Times New Roman" w:cs="Times New Roman"/>
          <w:b/>
          <w:bCs/>
          <w:kern w:val="0"/>
          <w:lang w:eastAsia="en-GB"/>
          <w14:ligatures w14:val="none"/>
        </w:rPr>
      </w:pPr>
    </w:p>
    <w:p w14:paraId="0FCC6C8C" w14:textId="5B8294C0" w:rsidR="007E33F1" w:rsidRPr="003537E7" w:rsidRDefault="007E33F1" w:rsidP="007E33F1">
      <w:pPr>
        <w:rPr>
          <w:rFonts w:eastAsia="Times New Roman" w:cs="Times New Roman"/>
          <w:b/>
          <w:bCs/>
          <w:kern w:val="0"/>
          <w:lang w:eastAsia="en-GB"/>
          <w14:ligatures w14:val="none"/>
        </w:rPr>
      </w:pPr>
    </w:p>
    <w:p w14:paraId="32A72723" w14:textId="306D0157" w:rsidR="007E33F1" w:rsidRDefault="007E33F1" w:rsidP="007E33F1">
      <w:pPr>
        <w:rPr>
          <w:rFonts w:eastAsia="Times New Roman" w:cs="Times New Roman"/>
          <w:b/>
          <w:bCs/>
          <w:kern w:val="0"/>
          <w:lang w:eastAsia="en-GB"/>
          <w14:ligatures w14:val="none"/>
        </w:rPr>
      </w:pPr>
    </w:p>
    <w:p w14:paraId="05CE3B31" w14:textId="77777777" w:rsidR="007E33F1" w:rsidRPr="007E33F1" w:rsidRDefault="007E33F1" w:rsidP="007E33F1">
      <w:pPr>
        <w:rPr>
          <w:rFonts w:eastAsia="Times New Roman" w:cs="Times New Roman"/>
          <w:b/>
          <w:bCs/>
          <w:kern w:val="0"/>
          <w:lang w:eastAsia="en-GB"/>
          <w14:ligatures w14:val="none"/>
        </w:rPr>
      </w:pPr>
    </w:p>
    <w:p w14:paraId="22DE3856" w14:textId="06665410" w:rsidR="002B30A3" w:rsidRPr="007E33F1" w:rsidRDefault="002B30A3" w:rsidP="002B30A3">
      <w:pPr>
        <w:rPr>
          <w:rFonts w:eastAsia="Times New Roman" w:cs="Times New Roman"/>
          <w:b/>
          <w:bCs/>
          <w:kern w:val="0"/>
          <w:lang w:eastAsia="en-GB"/>
          <w14:ligatures w14:val="none"/>
        </w:rPr>
      </w:pPr>
    </w:p>
    <w:p w14:paraId="75DE3410" w14:textId="1DDCCD17" w:rsidR="00BC1EAB" w:rsidRPr="007E33F1" w:rsidRDefault="00BC1EAB" w:rsidP="00BC1EAB">
      <w:pPr>
        <w:rPr>
          <w:rFonts w:eastAsia="Times New Roman" w:cs="Times New Roman"/>
          <w:b/>
          <w:bCs/>
          <w:kern w:val="0"/>
          <w:lang w:eastAsia="en-GB"/>
          <w14:ligatures w14:val="none"/>
        </w:rPr>
      </w:pPr>
    </w:p>
    <w:p w14:paraId="7D71B4E2" w14:textId="688046B7" w:rsidR="00BC1EAB" w:rsidRPr="007E33F1" w:rsidRDefault="00BC1EAB" w:rsidP="00BC1EAB">
      <w:pPr>
        <w:rPr>
          <w:rFonts w:eastAsia="Times New Roman" w:cs="Times New Roman"/>
          <w:b/>
          <w:bCs/>
          <w:kern w:val="0"/>
          <w:lang w:eastAsia="en-GB"/>
          <w14:ligatures w14:val="none"/>
        </w:rPr>
      </w:pPr>
    </w:p>
    <w:p w14:paraId="74A4F2B6" w14:textId="0E353160" w:rsidR="00BC1EAB" w:rsidRPr="007E33F1" w:rsidRDefault="00BC1EAB">
      <w:pPr>
        <w:rPr>
          <w:b/>
          <w:bCs/>
        </w:rPr>
      </w:pPr>
    </w:p>
    <w:sectPr w:rsidR="00BC1EAB" w:rsidRPr="007E33F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03D3F" w14:textId="77777777" w:rsidR="003E2946" w:rsidRDefault="003E2946" w:rsidP="003E2946">
      <w:pPr>
        <w:spacing w:after="0" w:line="240" w:lineRule="auto"/>
      </w:pPr>
      <w:r>
        <w:separator/>
      </w:r>
    </w:p>
  </w:endnote>
  <w:endnote w:type="continuationSeparator" w:id="0">
    <w:p w14:paraId="4B62C84C" w14:textId="77777777" w:rsidR="003E2946" w:rsidRDefault="003E2946" w:rsidP="003E2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roadway">
    <w:panose1 w:val="04040905080B02020502"/>
    <w:charset w:val="00"/>
    <w:family w:val="decorative"/>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__Mulish_b7c016">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7DB42" w14:textId="77777777" w:rsidR="003E2946" w:rsidRDefault="003E2946" w:rsidP="003E2946">
      <w:pPr>
        <w:spacing w:after="0" w:line="240" w:lineRule="auto"/>
      </w:pPr>
      <w:r>
        <w:separator/>
      </w:r>
    </w:p>
  </w:footnote>
  <w:footnote w:type="continuationSeparator" w:id="0">
    <w:p w14:paraId="0F1569C5" w14:textId="77777777" w:rsidR="003E2946" w:rsidRDefault="003E2946" w:rsidP="003E29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1868970"/>
      <w:docPartObj>
        <w:docPartGallery w:val="Page Numbers (Top of Page)"/>
        <w:docPartUnique/>
      </w:docPartObj>
    </w:sdtPr>
    <w:sdtContent>
      <w:p w14:paraId="50F704AD" w14:textId="12B57E2F" w:rsidR="003E2946" w:rsidRDefault="003E2946">
        <w:pPr>
          <w:pStyle w:val="Header"/>
        </w:pPr>
        <w:r>
          <w:fldChar w:fldCharType="begin"/>
        </w:r>
        <w:r>
          <w:instrText>PAGE   \* MERGEFORMAT</w:instrText>
        </w:r>
        <w:r>
          <w:fldChar w:fldCharType="separate"/>
        </w:r>
        <w:r>
          <w:t>2</w:t>
        </w:r>
        <w:r>
          <w:fldChar w:fldCharType="end"/>
        </w:r>
      </w:p>
    </w:sdtContent>
  </w:sdt>
  <w:p w14:paraId="50FB6180" w14:textId="77777777" w:rsidR="003E2946" w:rsidRDefault="003E2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876E4"/>
    <w:multiLevelType w:val="hybridMultilevel"/>
    <w:tmpl w:val="4424AD98"/>
    <w:lvl w:ilvl="0" w:tplc="9F3895BE">
      <w:start w:val="1"/>
      <w:numFmt w:val="decimal"/>
      <w:lvlText w:val="%1."/>
      <w:lvlJc w:val="left"/>
      <w:pPr>
        <w:ind w:left="720" w:hanging="360"/>
      </w:pPr>
      <w:rPr>
        <w:rFonts w:asciiTheme="minorHAnsi" w:hAnsiTheme="minorHAnsi"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492D01"/>
    <w:multiLevelType w:val="hybridMultilevel"/>
    <w:tmpl w:val="587E549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745409EA"/>
    <w:multiLevelType w:val="multilevel"/>
    <w:tmpl w:val="FF10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E66409"/>
    <w:multiLevelType w:val="hybridMultilevel"/>
    <w:tmpl w:val="B4AA86E6"/>
    <w:lvl w:ilvl="0" w:tplc="F8B82D3C">
      <w:start w:val="1"/>
      <w:numFmt w:val="decimal"/>
      <w:lvlText w:val="%1."/>
      <w:lvlJc w:val="left"/>
      <w:pPr>
        <w:ind w:left="720" w:hanging="360"/>
      </w:pPr>
      <w:rPr>
        <w:rFonts w:asciiTheme="minorHAnsi" w:hAnsiTheme="minorHAnsi"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4092938">
    <w:abstractNumId w:val="2"/>
  </w:num>
  <w:num w:numId="2" w16cid:durableId="1363745062">
    <w:abstractNumId w:val="3"/>
  </w:num>
  <w:num w:numId="3" w16cid:durableId="1845390818">
    <w:abstractNumId w:val="0"/>
  </w:num>
  <w:num w:numId="4" w16cid:durableId="28069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C4A"/>
    <w:rsid w:val="000026EC"/>
    <w:rsid w:val="000036F5"/>
    <w:rsid w:val="000152CA"/>
    <w:rsid w:val="000273E0"/>
    <w:rsid w:val="00040FEC"/>
    <w:rsid w:val="00060E9E"/>
    <w:rsid w:val="00076A22"/>
    <w:rsid w:val="00087AA7"/>
    <w:rsid w:val="00095AFC"/>
    <w:rsid w:val="000B4050"/>
    <w:rsid w:val="000B42BA"/>
    <w:rsid w:val="000B4D1E"/>
    <w:rsid w:val="000C17FF"/>
    <w:rsid w:val="000C6F76"/>
    <w:rsid w:val="000C7EBD"/>
    <w:rsid w:val="000D1168"/>
    <w:rsid w:val="000D26E7"/>
    <w:rsid w:val="000D37C3"/>
    <w:rsid w:val="000D3893"/>
    <w:rsid w:val="000D3F3E"/>
    <w:rsid w:val="000E0D6D"/>
    <w:rsid w:val="000E5DB4"/>
    <w:rsid w:val="000E7917"/>
    <w:rsid w:val="001010D5"/>
    <w:rsid w:val="00103D5B"/>
    <w:rsid w:val="0010466A"/>
    <w:rsid w:val="00104AA2"/>
    <w:rsid w:val="001321CC"/>
    <w:rsid w:val="00132BB6"/>
    <w:rsid w:val="00142D1C"/>
    <w:rsid w:val="001443DD"/>
    <w:rsid w:val="00150DC2"/>
    <w:rsid w:val="0015155B"/>
    <w:rsid w:val="001551AA"/>
    <w:rsid w:val="001575D5"/>
    <w:rsid w:val="00173DFB"/>
    <w:rsid w:val="00175B1D"/>
    <w:rsid w:val="001777D7"/>
    <w:rsid w:val="00180B36"/>
    <w:rsid w:val="00184F60"/>
    <w:rsid w:val="00195221"/>
    <w:rsid w:val="00196E5F"/>
    <w:rsid w:val="001A409A"/>
    <w:rsid w:val="001A46FA"/>
    <w:rsid w:val="001B4F63"/>
    <w:rsid w:val="001C0DBE"/>
    <w:rsid w:val="001C2A87"/>
    <w:rsid w:val="001C6B57"/>
    <w:rsid w:val="001D3E70"/>
    <w:rsid w:val="00203EE2"/>
    <w:rsid w:val="002117F9"/>
    <w:rsid w:val="00224D28"/>
    <w:rsid w:val="00235678"/>
    <w:rsid w:val="00274BD0"/>
    <w:rsid w:val="00275AE0"/>
    <w:rsid w:val="002820BA"/>
    <w:rsid w:val="0029018A"/>
    <w:rsid w:val="002A1F41"/>
    <w:rsid w:val="002A33EB"/>
    <w:rsid w:val="002A5B6A"/>
    <w:rsid w:val="002B30A3"/>
    <w:rsid w:val="002C4C21"/>
    <w:rsid w:val="002D25EC"/>
    <w:rsid w:val="002D7DEC"/>
    <w:rsid w:val="002D7FB7"/>
    <w:rsid w:val="002F2BC8"/>
    <w:rsid w:val="002F32A0"/>
    <w:rsid w:val="002F3781"/>
    <w:rsid w:val="002F67B9"/>
    <w:rsid w:val="0032395A"/>
    <w:rsid w:val="00340969"/>
    <w:rsid w:val="0034118F"/>
    <w:rsid w:val="003415EC"/>
    <w:rsid w:val="003468CF"/>
    <w:rsid w:val="00352D2E"/>
    <w:rsid w:val="003537E7"/>
    <w:rsid w:val="00354ADF"/>
    <w:rsid w:val="00356C4B"/>
    <w:rsid w:val="00362CDB"/>
    <w:rsid w:val="003633E7"/>
    <w:rsid w:val="00371381"/>
    <w:rsid w:val="00375BA4"/>
    <w:rsid w:val="0038620C"/>
    <w:rsid w:val="003863A2"/>
    <w:rsid w:val="003A78EE"/>
    <w:rsid w:val="003B35BD"/>
    <w:rsid w:val="003B6C4A"/>
    <w:rsid w:val="003C09A7"/>
    <w:rsid w:val="003C2AF7"/>
    <w:rsid w:val="003D5172"/>
    <w:rsid w:val="003E1805"/>
    <w:rsid w:val="003E2946"/>
    <w:rsid w:val="003E601D"/>
    <w:rsid w:val="003E62A6"/>
    <w:rsid w:val="00412552"/>
    <w:rsid w:val="00414243"/>
    <w:rsid w:val="00430DF0"/>
    <w:rsid w:val="004374CB"/>
    <w:rsid w:val="00443F35"/>
    <w:rsid w:val="00453DCF"/>
    <w:rsid w:val="00453ECF"/>
    <w:rsid w:val="004679CD"/>
    <w:rsid w:val="00473DCB"/>
    <w:rsid w:val="004758E7"/>
    <w:rsid w:val="00484CD8"/>
    <w:rsid w:val="00486C11"/>
    <w:rsid w:val="0049063E"/>
    <w:rsid w:val="00493F49"/>
    <w:rsid w:val="00495199"/>
    <w:rsid w:val="00496B34"/>
    <w:rsid w:val="004B3101"/>
    <w:rsid w:val="004C155B"/>
    <w:rsid w:val="004C5519"/>
    <w:rsid w:val="004D01F1"/>
    <w:rsid w:val="004D3009"/>
    <w:rsid w:val="004D3EB0"/>
    <w:rsid w:val="004F69C2"/>
    <w:rsid w:val="00505F08"/>
    <w:rsid w:val="0051115F"/>
    <w:rsid w:val="00511564"/>
    <w:rsid w:val="00513BCE"/>
    <w:rsid w:val="00534A64"/>
    <w:rsid w:val="00543028"/>
    <w:rsid w:val="005444A5"/>
    <w:rsid w:val="00545262"/>
    <w:rsid w:val="00551B22"/>
    <w:rsid w:val="00555C63"/>
    <w:rsid w:val="00557FB0"/>
    <w:rsid w:val="005610B8"/>
    <w:rsid w:val="00561BF1"/>
    <w:rsid w:val="005702B4"/>
    <w:rsid w:val="0057687F"/>
    <w:rsid w:val="005850A6"/>
    <w:rsid w:val="00585812"/>
    <w:rsid w:val="00591B96"/>
    <w:rsid w:val="00592A09"/>
    <w:rsid w:val="005947E9"/>
    <w:rsid w:val="005C1282"/>
    <w:rsid w:val="005C5B8D"/>
    <w:rsid w:val="005D49DE"/>
    <w:rsid w:val="005D6CB0"/>
    <w:rsid w:val="005E2DF8"/>
    <w:rsid w:val="005E3907"/>
    <w:rsid w:val="005F309B"/>
    <w:rsid w:val="005F5E20"/>
    <w:rsid w:val="00600F52"/>
    <w:rsid w:val="006033AD"/>
    <w:rsid w:val="006035E0"/>
    <w:rsid w:val="00605533"/>
    <w:rsid w:val="00606FAA"/>
    <w:rsid w:val="0061030E"/>
    <w:rsid w:val="00612FE1"/>
    <w:rsid w:val="006445D2"/>
    <w:rsid w:val="00645C48"/>
    <w:rsid w:val="00647858"/>
    <w:rsid w:val="0066721D"/>
    <w:rsid w:val="006751BE"/>
    <w:rsid w:val="00676F98"/>
    <w:rsid w:val="006773C5"/>
    <w:rsid w:val="00681608"/>
    <w:rsid w:val="00692401"/>
    <w:rsid w:val="006A628F"/>
    <w:rsid w:val="006A6879"/>
    <w:rsid w:val="006A7A12"/>
    <w:rsid w:val="006B4DEE"/>
    <w:rsid w:val="006B6640"/>
    <w:rsid w:val="006C2C8F"/>
    <w:rsid w:val="006C328D"/>
    <w:rsid w:val="006C56DF"/>
    <w:rsid w:val="006D7D65"/>
    <w:rsid w:val="006E0E23"/>
    <w:rsid w:val="00705D2B"/>
    <w:rsid w:val="00705DDE"/>
    <w:rsid w:val="00706473"/>
    <w:rsid w:val="00713138"/>
    <w:rsid w:val="00724232"/>
    <w:rsid w:val="00730A79"/>
    <w:rsid w:val="007311D4"/>
    <w:rsid w:val="007459B2"/>
    <w:rsid w:val="00752160"/>
    <w:rsid w:val="00756117"/>
    <w:rsid w:val="00764E19"/>
    <w:rsid w:val="00775BDC"/>
    <w:rsid w:val="00781E09"/>
    <w:rsid w:val="00782307"/>
    <w:rsid w:val="00783DD1"/>
    <w:rsid w:val="00785078"/>
    <w:rsid w:val="00793228"/>
    <w:rsid w:val="00797E70"/>
    <w:rsid w:val="007A2245"/>
    <w:rsid w:val="007A43D3"/>
    <w:rsid w:val="007A4452"/>
    <w:rsid w:val="007B1DA5"/>
    <w:rsid w:val="007B7521"/>
    <w:rsid w:val="007C0985"/>
    <w:rsid w:val="007C3C7B"/>
    <w:rsid w:val="007D0AEC"/>
    <w:rsid w:val="007D5A91"/>
    <w:rsid w:val="007E33F1"/>
    <w:rsid w:val="007E347F"/>
    <w:rsid w:val="00802BDA"/>
    <w:rsid w:val="00803304"/>
    <w:rsid w:val="00804113"/>
    <w:rsid w:val="0080588D"/>
    <w:rsid w:val="008428E0"/>
    <w:rsid w:val="008433AC"/>
    <w:rsid w:val="00846446"/>
    <w:rsid w:val="00846EE8"/>
    <w:rsid w:val="008541BA"/>
    <w:rsid w:val="0085620B"/>
    <w:rsid w:val="00856ADC"/>
    <w:rsid w:val="00865D5C"/>
    <w:rsid w:val="00882377"/>
    <w:rsid w:val="00886B66"/>
    <w:rsid w:val="00891A9B"/>
    <w:rsid w:val="00894C94"/>
    <w:rsid w:val="00896E6D"/>
    <w:rsid w:val="008A6762"/>
    <w:rsid w:val="008C4EF3"/>
    <w:rsid w:val="008D0827"/>
    <w:rsid w:val="008D24B1"/>
    <w:rsid w:val="008F031E"/>
    <w:rsid w:val="008F2E58"/>
    <w:rsid w:val="009006E6"/>
    <w:rsid w:val="00902906"/>
    <w:rsid w:val="0090356E"/>
    <w:rsid w:val="00916D56"/>
    <w:rsid w:val="00917CDE"/>
    <w:rsid w:val="00936F41"/>
    <w:rsid w:val="00945044"/>
    <w:rsid w:val="00960A3B"/>
    <w:rsid w:val="00964FA2"/>
    <w:rsid w:val="00967084"/>
    <w:rsid w:val="00986B6A"/>
    <w:rsid w:val="009917A2"/>
    <w:rsid w:val="00995B84"/>
    <w:rsid w:val="009A1CFC"/>
    <w:rsid w:val="009A693E"/>
    <w:rsid w:val="009B04EA"/>
    <w:rsid w:val="009B7546"/>
    <w:rsid w:val="009C4E15"/>
    <w:rsid w:val="009D15F4"/>
    <w:rsid w:val="009D249C"/>
    <w:rsid w:val="009E112F"/>
    <w:rsid w:val="009F1635"/>
    <w:rsid w:val="009F4437"/>
    <w:rsid w:val="00A05C25"/>
    <w:rsid w:val="00A252E0"/>
    <w:rsid w:val="00A27DAB"/>
    <w:rsid w:val="00A34111"/>
    <w:rsid w:val="00A37BEE"/>
    <w:rsid w:val="00A4487B"/>
    <w:rsid w:val="00A45554"/>
    <w:rsid w:val="00A57215"/>
    <w:rsid w:val="00A630A7"/>
    <w:rsid w:val="00A64E45"/>
    <w:rsid w:val="00A730B7"/>
    <w:rsid w:val="00A76622"/>
    <w:rsid w:val="00A7787B"/>
    <w:rsid w:val="00AA0D36"/>
    <w:rsid w:val="00AA23C1"/>
    <w:rsid w:val="00AA79D6"/>
    <w:rsid w:val="00AB3578"/>
    <w:rsid w:val="00AC2201"/>
    <w:rsid w:val="00AC57E3"/>
    <w:rsid w:val="00AD25F2"/>
    <w:rsid w:val="00AD2822"/>
    <w:rsid w:val="00AD6A39"/>
    <w:rsid w:val="00B00699"/>
    <w:rsid w:val="00B01797"/>
    <w:rsid w:val="00B10A87"/>
    <w:rsid w:val="00B14C29"/>
    <w:rsid w:val="00B2382A"/>
    <w:rsid w:val="00B516A7"/>
    <w:rsid w:val="00B561F4"/>
    <w:rsid w:val="00B60CCE"/>
    <w:rsid w:val="00B619ED"/>
    <w:rsid w:val="00B622BF"/>
    <w:rsid w:val="00B669A9"/>
    <w:rsid w:val="00B717B9"/>
    <w:rsid w:val="00B728BE"/>
    <w:rsid w:val="00B77E18"/>
    <w:rsid w:val="00B871F9"/>
    <w:rsid w:val="00BA6742"/>
    <w:rsid w:val="00BA7648"/>
    <w:rsid w:val="00BC0859"/>
    <w:rsid w:val="00BC1EAB"/>
    <w:rsid w:val="00BC6AAD"/>
    <w:rsid w:val="00BD2722"/>
    <w:rsid w:val="00BD5DAD"/>
    <w:rsid w:val="00BF26CC"/>
    <w:rsid w:val="00BF4322"/>
    <w:rsid w:val="00BF6C32"/>
    <w:rsid w:val="00BF7D25"/>
    <w:rsid w:val="00C05700"/>
    <w:rsid w:val="00C114C8"/>
    <w:rsid w:val="00C13F67"/>
    <w:rsid w:val="00C16212"/>
    <w:rsid w:val="00C17A06"/>
    <w:rsid w:val="00C522D9"/>
    <w:rsid w:val="00C62027"/>
    <w:rsid w:val="00C639BE"/>
    <w:rsid w:val="00C6568B"/>
    <w:rsid w:val="00C65798"/>
    <w:rsid w:val="00C71072"/>
    <w:rsid w:val="00C7526C"/>
    <w:rsid w:val="00C77AB6"/>
    <w:rsid w:val="00C807AD"/>
    <w:rsid w:val="00C815D3"/>
    <w:rsid w:val="00C82D6F"/>
    <w:rsid w:val="00C849F7"/>
    <w:rsid w:val="00C856B0"/>
    <w:rsid w:val="00C9451D"/>
    <w:rsid w:val="00C94B6E"/>
    <w:rsid w:val="00CA027A"/>
    <w:rsid w:val="00CB0094"/>
    <w:rsid w:val="00CC1B07"/>
    <w:rsid w:val="00CC5377"/>
    <w:rsid w:val="00CC640B"/>
    <w:rsid w:val="00CD3415"/>
    <w:rsid w:val="00CE2FE1"/>
    <w:rsid w:val="00CF00D3"/>
    <w:rsid w:val="00CF2EDA"/>
    <w:rsid w:val="00D018DF"/>
    <w:rsid w:val="00D04D2F"/>
    <w:rsid w:val="00D07DE7"/>
    <w:rsid w:val="00D13155"/>
    <w:rsid w:val="00D13EC1"/>
    <w:rsid w:val="00D15B30"/>
    <w:rsid w:val="00D212DD"/>
    <w:rsid w:val="00D40A4B"/>
    <w:rsid w:val="00D553DB"/>
    <w:rsid w:val="00D56AFC"/>
    <w:rsid w:val="00D64E03"/>
    <w:rsid w:val="00D7420F"/>
    <w:rsid w:val="00D8014A"/>
    <w:rsid w:val="00D81A82"/>
    <w:rsid w:val="00D85FC9"/>
    <w:rsid w:val="00D9259F"/>
    <w:rsid w:val="00D92AE6"/>
    <w:rsid w:val="00D93E6D"/>
    <w:rsid w:val="00DA21E1"/>
    <w:rsid w:val="00DA4B42"/>
    <w:rsid w:val="00DA6E54"/>
    <w:rsid w:val="00DB2A4E"/>
    <w:rsid w:val="00DB34F4"/>
    <w:rsid w:val="00DD221E"/>
    <w:rsid w:val="00DE4A36"/>
    <w:rsid w:val="00DE504A"/>
    <w:rsid w:val="00DF3401"/>
    <w:rsid w:val="00DF3A0E"/>
    <w:rsid w:val="00E04601"/>
    <w:rsid w:val="00E1212D"/>
    <w:rsid w:val="00E1330E"/>
    <w:rsid w:val="00E17179"/>
    <w:rsid w:val="00E21EAD"/>
    <w:rsid w:val="00E23138"/>
    <w:rsid w:val="00E23AD2"/>
    <w:rsid w:val="00E2662D"/>
    <w:rsid w:val="00E302DB"/>
    <w:rsid w:val="00E367D9"/>
    <w:rsid w:val="00E41931"/>
    <w:rsid w:val="00E47F6E"/>
    <w:rsid w:val="00E548F4"/>
    <w:rsid w:val="00E56A59"/>
    <w:rsid w:val="00E6166D"/>
    <w:rsid w:val="00E81CEF"/>
    <w:rsid w:val="00E82AFB"/>
    <w:rsid w:val="00E876BE"/>
    <w:rsid w:val="00EA0C2E"/>
    <w:rsid w:val="00EA4D1A"/>
    <w:rsid w:val="00EA73B0"/>
    <w:rsid w:val="00EB1FBF"/>
    <w:rsid w:val="00EB2C09"/>
    <w:rsid w:val="00EB3437"/>
    <w:rsid w:val="00EC0F5E"/>
    <w:rsid w:val="00EC2458"/>
    <w:rsid w:val="00ED254B"/>
    <w:rsid w:val="00EE0B66"/>
    <w:rsid w:val="00EF1E86"/>
    <w:rsid w:val="00F064AB"/>
    <w:rsid w:val="00F10A9D"/>
    <w:rsid w:val="00F15930"/>
    <w:rsid w:val="00F23D7C"/>
    <w:rsid w:val="00F302CD"/>
    <w:rsid w:val="00F45F4F"/>
    <w:rsid w:val="00F53F95"/>
    <w:rsid w:val="00F67A6E"/>
    <w:rsid w:val="00F70675"/>
    <w:rsid w:val="00F801CE"/>
    <w:rsid w:val="00F93D9D"/>
    <w:rsid w:val="00FA08C7"/>
    <w:rsid w:val="00FA3BEE"/>
    <w:rsid w:val="00FB0DEF"/>
    <w:rsid w:val="00FB3A44"/>
    <w:rsid w:val="00FB4946"/>
    <w:rsid w:val="00FE05E5"/>
    <w:rsid w:val="00FE21B8"/>
    <w:rsid w:val="00FE3F02"/>
    <w:rsid w:val="00FE527F"/>
    <w:rsid w:val="00FE78CD"/>
    <w:rsid w:val="00FF02B0"/>
    <w:rsid w:val="00FF2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AEFD6"/>
  <w15:chartTrackingRefBased/>
  <w15:docId w15:val="{C45A004E-160D-44EA-BFFC-BFB5A6AB1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6C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6C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6C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6C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6C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6C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6C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6C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6C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C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6C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6C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C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C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C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C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C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C4A"/>
    <w:rPr>
      <w:rFonts w:eastAsiaTheme="majorEastAsia" w:cstheme="majorBidi"/>
      <w:color w:val="272727" w:themeColor="text1" w:themeTint="D8"/>
    </w:rPr>
  </w:style>
  <w:style w:type="paragraph" w:styleId="Title">
    <w:name w:val="Title"/>
    <w:basedOn w:val="Normal"/>
    <w:next w:val="Normal"/>
    <w:link w:val="TitleChar"/>
    <w:uiPriority w:val="10"/>
    <w:qFormat/>
    <w:rsid w:val="003B6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6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C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6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C4A"/>
    <w:pPr>
      <w:spacing w:before="160"/>
      <w:jc w:val="center"/>
    </w:pPr>
    <w:rPr>
      <w:i/>
      <w:iCs/>
      <w:color w:val="404040" w:themeColor="text1" w:themeTint="BF"/>
    </w:rPr>
  </w:style>
  <w:style w:type="character" w:customStyle="1" w:styleId="QuoteChar">
    <w:name w:val="Quote Char"/>
    <w:basedOn w:val="DefaultParagraphFont"/>
    <w:link w:val="Quote"/>
    <w:uiPriority w:val="29"/>
    <w:rsid w:val="003B6C4A"/>
    <w:rPr>
      <w:i/>
      <w:iCs/>
      <w:color w:val="404040" w:themeColor="text1" w:themeTint="BF"/>
    </w:rPr>
  </w:style>
  <w:style w:type="paragraph" w:styleId="ListParagraph">
    <w:name w:val="List Paragraph"/>
    <w:basedOn w:val="Normal"/>
    <w:uiPriority w:val="34"/>
    <w:qFormat/>
    <w:rsid w:val="003B6C4A"/>
    <w:pPr>
      <w:ind w:left="720"/>
      <w:contextualSpacing/>
    </w:pPr>
  </w:style>
  <w:style w:type="character" w:styleId="IntenseEmphasis">
    <w:name w:val="Intense Emphasis"/>
    <w:basedOn w:val="DefaultParagraphFont"/>
    <w:uiPriority w:val="21"/>
    <w:qFormat/>
    <w:rsid w:val="003B6C4A"/>
    <w:rPr>
      <w:i/>
      <w:iCs/>
      <w:color w:val="0F4761" w:themeColor="accent1" w:themeShade="BF"/>
    </w:rPr>
  </w:style>
  <w:style w:type="paragraph" w:styleId="IntenseQuote">
    <w:name w:val="Intense Quote"/>
    <w:basedOn w:val="Normal"/>
    <w:next w:val="Normal"/>
    <w:link w:val="IntenseQuoteChar"/>
    <w:uiPriority w:val="30"/>
    <w:qFormat/>
    <w:rsid w:val="003B6C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6C4A"/>
    <w:rPr>
      <w:i/>
      <w:iCs/>
      <w:color w:val="0F4761" w:themeColor="accent1" w:themeShade="BF"/>
    </w:rPr>
  </w:style>
  <w:style w:type="character" w:styleId="IntenseReference">
    <w:name w:val="Intense Reference"/>
    <w:basedOn w:val="DefaultParagraphFont"/>
    <w:uiPriority w:val="32"/>
    <w:qFormat/>
    <w:rsid w:val="003B6C4A"/>
    <w:rPr>
      <w:b/>
      <w:bCs/>
      <w:smallCaps/>
      <w:color w:val="0F4761" w:themeColor="accent1" w:themeShade="BF"/>
      <w:spacing w:val="5"/>
    </w:rPr>
  </w:style>
  <w:style w:type="character" w:styleId="PlaceholderText">
    <w:name w:val="Placeholder Text"/>
    <w:basedOn w:val="DefaultParagraphFont"/>
    <w:uiPriority w:val="99"/>
    <w:semiHidden/>
    <w:rsid w:val="00534A64"/>
    <w:rPr>
      <w:color w:val="666666"/>
    </w:rPr>
  </w:style>
  <w:style w:type="character" w:styleId="SubtleEmphasis">
    <w:name w:val="Subtle Emphasis"/>
    <w:basedOn w:val="DefaultParagraphFont"/>
    <w:uiPriority w:val="19"/>
    <w:qFormat/>
    <w:rsid w:val="00F10A9D"/>
    <w:rPr>
      <w:i/>
      <w:iCs/>
      <w:color w:val="404040" w:themeColor="text1" w:themeTint="BF"/>
    </w:rPr>
  </w:style>
  <w:style w:type="paragraph" w:styleId="TOCHeading">
    <w:name w:val="TOC Heading"/>
    <w:basedOn w:val="Heading1"/>
    <w:next w:val="Normal"/>
    <w:uiPriority w:val="39"/>
    <w:unhideWhenUsed/>
    <w:qFormat/>
    <w:rsid w:val="00705D2B"/>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05D2B"/>
    <w:pPr>
      <w:spacing w:after="100"/>
    </w:pPr>
  </w:style>
  <w:style w:type="paragraph" w:styleId="TOC2">
    <w:name w:val="toc 2"/>
    <w:basedOn w:val="Normal"/>
    <w:next w:val="Normal"/>
    <w:autoRedefine/>
    <w:uiPriority w:val="39"/>
    <w:unhideWhenUsed/>
    <w:rsid w:val="00705D2B"/>
    <w:pPr>
      <w:spacing w:after="100"/>
      <w:ind w:left="220"/>
    </w:pPr>
  </w:style>
  <w:style w:type="paragraph" w:styleId="TOC3">
    <w:name w:val="toc 3"/>
    <w:basedOn w:val="Normal"/>
    <w:next w:val="Normal"/>
    <w:autoRedefine/>
    <w:uiPriority w:val="39"/>
    <w:unhideWhenUsed/>
    <w:rsid w:val="00705D2B"/>
    <w:pPr>
      <w:spacing w:after="100"/>
      <w:ind w:left="440"/>
    </w:pPr>
  </w:style>
  <w:style w:type="character" w:styleId="Hyperlink">
    <w:name w:val="Hyperlink"/>
    <w:basedOn w:val="DefaultParagraphFont"/>
    <w:uiPriority w:val="99"/>
    <w:unhideWhenUsed/>
    <w:rsid w:val="00705D2B"/>
    <w:rPr>
      <w:color w:val="467886" w:themeColor="hyperlink"/>
      <w:u w:val="single"/>
    </w:rPr>
  </w:style>
  <w:style w:type="paragraph" w:styleId="Header">
    <w:name w:val="header"/>
    <w:basedOn w:val="Normal"/>
    <w:link w:val="HeaderChar"/>
    <w:uiPriority w:val="99"/>
    <w:unhideWhenUsed/>
    <w:rsid w:val="003E2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946"/>
  </w:style>
  <w:style w:type="paragraph" w:styleId="Footer">
    <w:name w:val="footer"/>
    <w:basedOn w:val="Normal"/>
    <w:link w:val="FooterChar"/>
    <w:uiPriority w:val="99"/>
    <w:unhideWhenUsed/>
    <w:rsid w:val="003E2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166501">
      <w:bodyDiv w:val="1"/>
      <w:marLeft w:val="0"/>
      <w:marRight w:val="0"/>
      <w:marTop w:val="0"/>
      <w:marBottom w:val="0"/>
      <w:divBdr>
        <w:top w:val="none" w:sz="0" w:space="0" w:color="auto"/>
        <w:left w:val="none" w:sz="0" w:space="0" w:color="auto"/>
        <w:bottom w:val="none" w:sz="0" w:space="0" w:color="auto"/>
        <w:right w:val="none" w:sz="0" w:space="0" w:color="auto"/>
      </w:divBdr>
    </w:div>
    <w:div w:id="54084195">
      <w:bodyDiv w:val="1"/>
      <w:marLeft w:val="0"/>
      <w:marRight w:val="0"/>
      <w:marTop w:val="0"/>
      <w:marBottom w:val="0"/>
      <w:divBdr>
        <w:top w:val="none" w:sz="0" w:space="0" w:color="auto"/>
        <w:left w:val="none" w:sz="0" w:space="0" w:color="auto"/>
        <w:bottom w:val="none" w:sz="0" w:space="0" w:color="auto"/>
        <w:right w:val="none" w:sz="0" w:space="0" w:color="auto"/>
      </w:divBdr>
    </w:div>
    <w:div w:id="84571181">
      <w:bodyDiv w:val="1"/>
      <w:marLeft w:val="0"/>
      <w:marRight w:val="0"/>
      <w:marTop w:val="0"/>
      <w:marBottom w:val="0"/>
      <w:divBdr>
        <w:top w:val="none" w:sz="0" w:space="0" w:color="auto"/>
        <w:left w:val="none" w:sz="0" w:space="0" w:color="auto"/>
        <w:bottom w:val="none" w:sz="0" w:space="0" w:color="auto"/>
        <w:right w:val="none" w:sz="0" w:space="0" w:color="auto"/>
      </w:divBdr>
    </w:div>
    <w:div w:id="84571984">
      <w:bodyDiv w:val="1"/>
      <w:marLeft w:val="0"/>
      <w:marRight w:val="0"/>
      <w:marTop w:val="0"/>
      <w:marBottom w:val="0"/>
      <w:divBdr>
        <w:top w:val="none" w:sz="0" w:space="0" w:color="auto"/>
        <w:left w:val="none" w:sz="0" w:space="0" w:color="auto"/>
        <w:bottom w:val="none" w:sz="0" w:space="0" w:color="auto"/>
        <w:right w:val="none" w:sz="0" w:space="0" w:color="auto"/>
      </w:divBdr>
    </w:div>
    <w:div w:id="87968325">
      <w:bodyDiv w:val="1"/>
      <w:marLeft w:val="0"/>
      <w:marRight w:val="0"/>
      <w:marTop w:val="0"/>
      <w:marBottom w:val="0"/>
      <w:divBdr>
        <w:top w:val="none" w:sz="0" w:space="0" w:color="auto"/>
        <w:left w:val="none" w:sz="0" w:space="0" w:color="auto"/>
        <w:bottom w:val="none" w:sz="0" w:space="0" w:color="auto"/>
        <w:right w:val="none" w:sz="0" w:space="0" w:color="auto"/>
      </w:divBdr>
    </w:div>
    <w:div w:id="135689164">
      <w:bodyDiv w:val="1"/>
      <w:marLeft w:val="0"/>
      <w:marRight w:val="0"/>
      <w:marTop w:val="0"/>
      <w:marBottom w:val="0"/>
      <w:divBdr>
        <w:top w:val="none" w:sz="0" w:space="0" w:color="auto"/>
        <w:left w:val="none" w:sz="0" w:space="0" w:color="auto"/>
        <w:bottom w:val="none" w:sz="0" w:space="0" w:color="auto"/>
        <w:right w:val="none" w:sz="0" w:space="0" w:color="auto"/>
      </w:divBdr>
    </w:div>
    <w:div w:id="148982501">
      <w:bodyDiv w:val="1"/>
      <w:marLeft w:val="0"/>
      <w:marRight w:val="0"/>
      <w:marTop w:val="0"/>
      <w:marBottom w:val="0"/>
      <w:divBdr>
        <w:top w:val="none" w:sz="0" w:space="0" w:color="auto"/>
        <w:left w:val="none" w:sz="0" w:space="0" w:color="auto"/>
        <w:bottom w:val="none" w:sz="0" w:space="0" w:color="auto"/>
        <w:right w:val="none" w:sz="0" w:space="0" w:color="auto"/>
      </w:divBdr>
    </w:div>
    <w:div w:id="163055022">
      <w:bodyDiv w:val="1"/>
      <w:marLeft w:val="0"/>
      <w:marRight w:val="0"/>
      <w:marTop w:val="0"/>
      <w:marBottom w:val="0"/>
      <w:divBdr>
        <w:top w:val="none" w:sz="0" w:space="0" w:color="auto"/>
        <w:left w:val="none" w:sz="0" w:space="0" w:color="auto"/>
        <w:bottom w:val="none" w:sz="0" w:space="0" w:color="auto"/>
        <w:right w:val="none" w:sz="0" w:space="0" w:color="auto"/>
      </w:divBdr>
    </w:div>
    <w:div w:id="178664735">
      <w:bodyDiv w:val="1"/>
      <w:marLeft w:val="0"/>
      <w:marRight w:val="0"/>
      <w:marTop w:val="0"/>
      <w:marBottom w:val="0"/>
      <w:divBdr>
        <w:top w:val="none" w:sz="0" w:space="0" w:color="auto"/>
        <w:left w:val="none" w:sz="0" w:space="0" w:color="auto"/>
        <w:bottom w:val="none" w:sz="0" w:space="0" w:color="auto"/>
        <w:right w:val="none" w:sz="0" w:space="0" w:color="auto"/>
      </w:divBdr>
    </w:div>
    <w:div w:id="182019228">
      <w:bodyDiv w:val="1"/>
      <w:marLeft w:val="0"/>
      <w:marRight w:val="0"/>
      <w:marTop w:val="0"/>
      <w:marBottom w:val="0"/>
      <w:divBdr>
        <w:top w:val="none" w:sz="0" w:space="0" w:color="auto"/>
        <w:left w:val="none" w:sz="0" w:space="0" w:color="auto"/>
        <w:bottom w:val="none" w:sz="0" w:space="0" w:color="auto"/>
        <w:right w:val="none" w:sz="0" w:space="0" w:color="auto"/>
      </w:divBdr>
    </w:div>
    <w:div w:id="183598490">
      <w:bodyDiv w:val="1"/>
      <w:marLeft w:val="0"/>
      <w:marRight w:val="0"/>
      <w:marTop w:val="0"/>
      <w:marBottom w:val="0"/>
      <w:divBdr>
        <w:top w:val="none" w:sz="0" w:space="0" w:color="auto"/>
        <w:left w:val="none" w:sz="0" w:space="0" w:color="auto"/>
        <w:bottom w:val="none" w:sz="0" w:space="0" w:color="auto"/>
        <w:right w:val="none" w:sz="0" w:space="0" w:color="auto"/>
      </w:divBdr>
    </w:div>
    <w:div w:id="197932486">
      <w:bodyDiv w:val="1"/>
      <w:marLeft w:val="0"/>
      <w:marRight w:val="0"/>
      <w:marTop w:val="0"/>
      <w:marBottom w:val="0"/>
      <w:divBdr>
        <w:top w:val="none" w:sz="0" w:space="0" w:color="auto"/>
        <w:left w:val="none" w:sz="0" w:space="0" w:color="auto"/>
        <w:bottom w:val="none" w:sz="0" w:space="0" w:color="auto"/>
        <w:right w:val="none" w:sz="0" w:space="0" w:color="auto"/>
      </w:divBdr>
    </w:div>
    <w:div w:id="202450624">
      <w:bodyDiv w:val="1"/>
      <w:marLeft w:val="0"/>
      <w:marRight w:val="0"/>
      <w:marTop w:val="0"/>
      <w:marBottom w:val="0"/>
      <w:divBdr>
        <w:top w:val="none" w:sz="0" w:space="0" w:color="auto"/>
        <w:left w:val="none" w:sz="0" w:space="0" w:color="auto"/>
        <w:bottom w:val="none" w:sz="0" w:space="0" w:color="auto"/>
        <w:right w:val="none" w:sz="0" w:space="0" w:color="auto"/>
      </w:divBdr>
    </w:div>
    <w:div w:id="203298291">
      <w:bodyDiv w:val="1"/>
      <w:marLeft w:val="0"/>
      <w:marRight w:val="0"/>
      <w:marTop w:val="0"/>
      <w:marBottom w:val="0"/>
      <w:divBdr>
        <w:top w:val="none" w:sz="0" w:space="0" w:color="auto"/>
        <w:left w:val="none" w:sz="0" w:space="0" w:color="auto"/>
        <w:bottom w:val="none" w:sz="0" w:space="0" w:color="auto"/>
        <w:right w:val="none" w:sz="0" w:space="0" w:color="auto"/>
      </w:divBdr>
    </w:div>
    <w:div w:id="227040584">
      <w:bodyDiv w:val="1"/>
      <w:marLeft w:val="0"/>
      <w:marRight w:val="0"/>
      <w:marTop w:val="0"/>
      <w:marBottom w:val="0"/>
      <w:divBdr>
        <w:top w:val="none" w:sz="0" w:space="0" w:color="auto"/>
        <w:left w:val="none" w:sz="0" w:space="0" w:color="auto"/>
        <w:bottom w:val="none" w:sz="0" w:space="0" w:color="auto"/>
        <w:right w:val="none" w:sz="0" w:space="0" w:color="auto"/>
      </w:divBdr>
    </w:div>
    <w:div w:id="233200925">
      <w:bodyDiv w:val="1"/>
      <w:marLeft w:val="0"/>
      <w:marRight w:val="0"/>
      <w:marTop w:val="0"/>
      <w:marBottom w:val="0"/>
      <w:divBdr>
        <w:top w:val="none" w:sz="0" w:space="0" w:color="auto"/>
        <w:left w:val="none" w:sz="0" w:space="0" w:color="auto"/>
        <w:bottom w:val="none" w:sz="0" w:space="0" w:color="auto"/>
        <w:right w:val="none" w:sz="0" w:space="0" w:color="auto"/>
      </w:divBdr>
    </w:div>
    <w:div w:id="249898673">
      <w:bodyDiv w:val="1"/>
      <w:marLeft w:val="0"/>
      <w:marRight w:val="0"/>
      <w:marTop w:val="0"/>
      <w:marBottom w:val="0"/>
      <w:divBdr>
        <w:top w:val="none" w:sz="0" w:space="0" w:color="auto"/>
        <w:left w:val="none" w:sz="0" w:space="0" w:color="auto"/>
        <w:bottom w:val="none" w:sz="0" w:space="0" w:color="auto"/>
        <w:right w:val="none" w:sz="0" w:space="0" w:color="auto"/>
      </w:divBdr>
    </w:div>
    <w:div w:id="253439958">
      <w:bodyDiv w:val="1"/>
      <w:marLeft w:val="0"/>
      <w:marRight w:val="0"/>
      <w:marTop w:val="0"/>
      <w:marBottom w:val="0"/>
      <w:divBdr>
        <w:top w:val="none" w:sz="0" w:space="0" w:color="auto"/>
        <w:left w:val="none" w:sz="0" w:space="0" w:color="auto"/>
        <w:bottom w:val="none" w:sz="0" w:space="0" w:color="auto"/>
        <w:right w:val="none" w:sz="0" w:space="0" w:color="auto"/>
      </w:divBdr>
    </w:div>
    <w:div w:id="279536886">
      <w:bodyDiv w:val="1"/>
      <w:marLeft w:val="0"/>
      <w:marRight w:val="0"/>
      <w:marTop w:val="0"/>
      <w:marBottom w:val="0"/>
      <w:divBdr>
        <w:top w:val="none" w:sz="0" w:space="0" w:color="auto"/>
        <w:left w:val="none" w:sz="0" w:space="0" w:color="auto"/>
        <w:bottom w:val="none" w:sz="0" w:space="0" w:color="auto"/>
        <w:right w:val="none" w:sz="0" w:space="0" w:color="auto"/>
      </w:divBdr>
      <w:divsChild>
        <w:div w:id="268050478">
          <w:marLeft w:val="0"/>
          <w:marRight w:val="0"/>
          <w:marTop w:val="0"/>
          <w:marBottom w:val="75"/>
          <w:divBdr>
            <w:top w:val="none" w:sz="0" w:space="0" w:color="auto"/>
            <w:left w:val="none" w:sz="0" w:space="0" w:color="auto"/>
            <w:bottom w:val="none" w:sz="0" w:space="0" w:color="auto"/>
            <w:right w:val="none" w:sz="0" w:space="0" w:color="auto"/>
          </w:divBdr>
        </w:div>
        <w:div w:id="522787138">
          <w:marLeft w:val="0"/>
          <w:marRight w:val="0"/>
          <w:marTop w:val="0"/>
          <w:marBottom w:val="75"/>
          <w:divBdr>
            <w:top w:val="none" w:sz="0" w:space="0" w:color="auto"/>
            <w:left w:val="none" w:sz="0" w:space="0" w:color="auto"/>
            <w:bottom w:val="none" w:sz="0" w:space="0" w:color="auto"/>
            <w:right w:val="none" w:sz="0" w:space="0" w:color="auto"/>
          </w:divBdr>
        </w:div>
      </w:divsChild>
    </w:div>
    <w:div w:id="285238717">
      <w:bodyDiv w:val="1"/>
      <w:marLeft w:val="0"/>
      <w:marRight w:val="0"/>
      <w:marTop w:val="0"/>
      <w:marBottom w:val="0"/>
      <w:divBdr>
        <w:top w:val="none" w:sz="0" w:space="0" w:color="auto"/>
        <w:left w:val="none" w:sz="0" w:space="0" w:color="auto"/>
        <w:bottom w:val="none" w:sz="0" w:space="0" w:color="auto"/>
        <w:right w:val="none" w:sz="0" w:space="0" w:color="auto"/>
      </w:divBdr>
    </w:div>
    <w:div w:id="287781016">
      <w:bodyDiv w:val="1"/>
      <w:marLeft w:val="0"/>
      <w:marRight w:val="0"/>
      <w:marTop w:val="0"/>
      <w:marBottom w:val="0"/>
      <w:divBdr>
        <w:top w:val="none" w:sz="0" w:space="0" w:color="auto"/>
        <w:left w:val="none" w:sz="0" w:space="0" w:color="auto"/>
        <w:bottom w:val="none" w:sz="0" w:space="0" w:color="auto"/>
        <w:right w:val="none" w:sz="0" w:space="0" w:color="auto"/>
      </w:divBdr>
    </w:div>
    <w:div w:id="293218240">
      <w:bodyDiv w:val="1"/>
      <w:marLeft w:val="0"/>
      <w:marRight w:val="0"/>
      <w:marTop w:val="0"/>
      <w:marBottom w:val="0"/>
      <w:divBdr>
        <w:top w:val="none" w:sz="0" w:space="0" w:color="auto"/>
        <w:left w:val="none" w:sz="0" w:space="0" w:color="auto"/>
        <w:bottom w:val="none" w:sz="0" w:space="0" w:color="auto"/>
        <w:right w:val="none" w:sz="0" w:space="0" w:color="auto"/>
      </w:divBdr>
    </w:div>
    <w:div w:id="300382591">
      <w:bodyDiv w:val="1"/>
      <w:marLeft w:val="0"/>
      <w:marRight w:val="0"/>
      <w:marTop w:val="0"/>
      <w:marBottom w:val="0"/>
      <w:divBdr>
        <w:top w:val="none" w:sz="0" w:space="0" w:color="auto"/>
        <w:left w:val="none" w:sz="0" w:space="0" w:color="auto"/>
        <w:bottom w:val="none" w:sz="0" w:space="0" w:color="auto"/>
        <w:right w:val="none" w:sz="0" w:space="0" w:color="auto"/>
      </w:divBdr>
    </w:div>
    <w:div w:id="313529965">
      <w:bodyDiv w:val="1"/>
      <w:marLeft w:val="0"/>
      <w:marRight w:val="0"/>
      <w:marTop w:val="0"/>
      <w:marBottom w:val="0"/>
      <w:divBdr>
        <w:top w:val="none" w:sz="0" w:space="0" w:color="auto"/>
        <w:left w:val="none" w:sz="0" w:space="0" w:color="auto"/>
        <w:bottom w:val="none" w:sz="0" w:space="0" w:color="auto"/>
        <w:right w:val="none" w:sz="0" w:space="0" w:color="auto"/>
      </w:divBdr>
    </w:div>
    <w:div w:id="330110839">
      <w:bodyDiv w:val="1"/>
      <w:marLeft w:val="0"/>
      <w:marRight w:val="0"/>
      <w:marTop w:val="0"/>
      <w:marBottom w:val="0"/>
      <w:divBdr>
        <w:top w:val="none" w:sz="0" w:space="0" w:color="auto"/>
        <w:left w:val="none" w:sz="0" w:space="0" w:color="auto"/>
        <w:bottom w:val="none" w:sz="0" w:space="0" w:color="auto"/>
        <w:right w:val="none" w:sz="0" w:space="0" w:color="auto"/>
      </w:divBdr>
    </w:div>
    <w:div w:id="352390179">
      <w:bodyDiv w:val="1"/>
      <w:marLeft w:val="0"/>
      <w:marRight w:val="0"/>
      <w:marTop w:val="0"/>
      <w:marBottom w:val="0"/>
      <w:divBdr>
        <w:top w:val="none" w:sz="0" w:space="0" w:color="auto"/>
        <w:left w:val="none" w:sz="0" w:space="0" w:color="auto"/>
        <w:bottom w:val="none" w:sz="0" w:space="0" w:color="auto"/>
        <w:right w:val="none" w:sz="0" w:space="0" w:color="auto"/>
      </w:divBdr>
    </w:div>
    <w:div w:id="365641596">
      <w:bodyDiv w:val="1"/>
      <w:marLeft w:val="0"/>
      <w:marRight w:val="0"/>
      <w:marTop w:val="0"/>
      <w:marBottom w:val="0"/>
      <w:divBdr>
        <w:top w:val="none" w:sz="0" w:space="0" w:color="auto"/>
        <w:left w:val="none" w:sz="0" w:space="0" w:color="auto"/>
        <w:bottom w:val="none" w:sz="0" w:space="0" w:color="auto"/>
        <w:right w:val="none" w:sz="0" w:space="0" w:color="auto"/>
      </w:divBdr>
    </w:div>
    <w:div w:id="365832902">
      <w:bodyDiv w:val="1"/>
      <w:marLeft w:val="0"/>
      <w:marRight w:val="0"/>
      <w:marTop w:val="0"/>
      <w:marBottom w:val="0"/>
      <w:divBdr>
        <w:top w:val="none" w:sz="0" w:space="0" w:color="auto"/>
        <w:left w:val="none" w:sz="0" w:space="0" w:color="auto"/>
        <w:bottom w:val="none" w:sz="0" w:space="0" w:color="auto"/>
        <w:right w:val="none" w:sz="0" w:space="0" w:color="auto"/>
      </w:divBdr>
    </w:div>
    <w:div w:id="367023998">
      <w:bodyDiv w:val="1"/>
      <w:marLeft w:val="0"/>
      <w:marRight w:val="0"/>
      <w:marTop w:val="0"/>
      <w:marBottom w:val="0"/>
      <w:divBdr>
        <w:top w:val="none" w:sz="0" w:space="0" w:color="auto"/>
        <w:left w:val="none" w:sz="0" w:space="0" w:color="auto"/>
        <w:bottom w:val="none" w:sz="0" w:space="0" w:color="auto"/>
        <w:right w:val="none" w:sz="0" w:space="0" w:color="auto"/>
      </w:divBdr>
    </w:div>
    <w:div w:id="371156984">
      <w:bodyDiv w:val="1"/>
      <w:marLeft w:val="0"/>
      <w:marRight w:val="0"/>
      <w:marTop w:val="0"/>
      <w:marBottom w:val="0"/>
      <w:divBdr>
        <w:top w:val="none" w:sz="0" w:space="0" w:color="auto"/>
        <w:left w:val="none" w:sz="0" w:space="0" w:color="auto"/>
        <w:bottom w:val="none" w:sz="0" w:space="0" w:color="auto"/>
        <w:right w:val="none" w:sz="0" w:space="0" w:color="auto"/>
      </w:divBdr>
    </w:div>
    <w:div w:id="372656002">
      <w:bodyDiv w:val="1"/>
      <w:marLeft w:val="0"/>
      <w:marRight w:val="0"/>
      <w:marTop w:val="0"/>
      <w:marBottom w:val="0"/>
      <w:divBdr>
        <w:top w:val="none" w:sz="0" w:space="0" w:color="auto"/>
        <w:left w:val="none" w:sz="0" w:space="0" w:color="auto"/>
        <w:bottom w:val="none" w:sz="0" w:space="0" w:color="auto"/>
        <w:right w:val="none" w:sz="0" w:space="0" w:color="auto"/>
      </w:divBdr>
    </w:div>
    <w:div w:id="398135661">
      <w:bodyDiv w:val="1"/>
      <w:marLeft w:val="0"/>
      <w:marRight w:val="0"/>
      <w:marTop w:val="0"/>
      <w:marBottom w:val="0"/>
      <w:divBdr>
        <w:top w:val="none" w:sz="0" w:space="0" w:color="auto"/>
        <w:left w:val="none" w:sz="0" w:space="0" w:color="auto"/>
        <w:bottom w:val="none" w:sz="0" w:space="0" w:color="auto"/>
        <w:right w:val="none" w:sz="0" w:space="0" w:color="auto"/>
      </w:divBdr>
    </w:div>
    <w:div w:id="404229062">
      <w:bodyDiv w:val="1"/>
      <w:marLeft w:val="0"/>
      <w:marRight w:val="0"/>
      <w:marTop w:val="0"/>
      <w:marBottom w:val="0"/>
      <w:divBdr>
        <w:top w:val="none" w:sz="0" w:space="0" w:color="auto"/>
        <w:left w:val="none" w:sz="0" w:space="0" w:color="auto"/>
        <w:bottom w:val="none" w:sz="0" w:space="0" w:color="auto"/>
        <w:right w:val="none" w:sz="0" w:space="0" w:color="auto"/>
      </w:divBdr>
    </w:div>
    <w:div w:id="412239445">
      <w:bodyDiv w:val="1"/>
      <w:marLeft w:val="0"/>
      <w:marRight w:val="0"/>
      <w:marTop w:val="0"/>
      <w:marBottom w:val="0"/>
      <w:divBdr>
        <w:top w:val="none" w:sz="0" w:space="0" w:color="auto"/>
        <w:left w:val="none" w:sz="0" w:space="0" w:color="auto"/>
        <w:bottom w:val="none" w:sz="0" w:space="0" w:color="auto"/>
        <w:right w:val="none" w:sz="0" w:space="0" w:color="auto"/>
      </w:divBdr>
    </w:div>
    <w:div w:id="474641088">
      <w:bodyDiv w:val="1"/>
      <w:marLeft w:val="0"/>
      <w:marRight w:val="0"/>
      <w:marTop w:val="0"/>
      <w:marBottom w:val="0"/>
      <w:divBdr>
        <w:top w:val="none" w:sz="0" w:space="0" w:color="auto"/>
        <w:left w:val="none" w:sz="0" w:space="0" w:color="auto"/>
        <w:bottom w:val="none" w:sz="0" w:space="0" w:color="auto"/>
        <w:right w:val="none" w:sz="0" w:space="0" w:color="auto"/>
      </w:divBdr>
    </w:div>
    <w:div w:id="479151533">
      <w:bodyDiv w:val="1"/>
      <w:marLeft w:val="0"/>
      <w:marRight w:val="0"/>
      <w:marTop w:val="0"/>
      <w:marBottom w:val="0"/>
      <w:divBdr>
        <w:top w:val="none" w:sz="0" w:space="0" w:color="auto"/>
        <w:left w:val="none" w:sz="0" w:space="0" w:color="auto"/>
        <w:bottom w:val="none" w:sz="0" w:space="0" w:color="auto"/>
        <w:right w:val="none" w:sz="0" w:space="0" w:color="auto"/>
      </w:divBdr>
    </w:div>
    <w:div w:id="526066298">
      <w:bodyDiv w:val="1"/>
      <w:marLeft w:val="0"/>
      <w:marRight w:val="0"/>
      <w:marTop w:val="0"/>
      <w:marBottom w:val="0"/>
      <w:divBdr>
        <w:top w:val="none" w:sz="0" w:space="0" w:color="auto"/>
        <w:left w:val="none" w:sz="0" w:space="0" w:color="auto"/>
        <w:bottom w:val="none" w:sz="0" w:space="0" w:color="auto"/>
        <w:right w:val="none" w:sz="0" w:space="0" w:color="auto"/>
      </w:divBdr>
    </w:div>
    <w:div w:id="526329027">
      <w:bodyDiv w:val="1"/>
      <w:marLeft w:val="0"/>
      <w:marRight w:val="0"/>
      <w:marTop w:val="0"/>
      <w:marBottom w:val="0"/>
      <w:divBdr>
        <w:top w:val="none" w:sz="0" w:space="0" w:color="auto"/>
        <w:left w:val="none" w:sz="0" w:space="0" w:color="auto"/>
        <w:bottom w:val="none" w:sz="0" w:space="0" w:color="auto"/>
        <w:right w:val="none" w:sz="0" w:space="0" w:color="auto"/>
      </w:divBdr>
    </w:div>
    <w:div w:id="552086755">
      <w:bodyDiv w:val="1"/>
      <w:marLeft w:val="0"/>
      <w:marRight w:val="0"/>
      <w:marTop w:val="0"/>
      <w:marBottom w:val="0"/>
      <w:divBdr>
        <w:top w:val="none" w:sz="0" w:space="0" w:color="auto"/>
        <w:left w:val="none" w:sz="0" w:space="0" w:color="auto"/>
        <w:bottom w:val="none" w:sz="0" w:space="0" w:color="auto"/>
        <w:right w:val="none" w:sz="0" w:space="0" w:color="auto"/>
      </w:divBdr>
    </w:div>
    <w:div w:id="553351468">
      <w:bodyDiv w:val="1"/>
      <w:marLeft w:val="0"/>
      <w:marRight w:val="0"/>
      <w:marTop w:val="0"/>
      <w:marBottom w:val="0"/>
      <w:divBdr>
        <w:top w:val="none" w:sz="0" w:space="0" w:color="auto"/>
        <w:left w:val="none" w:sz="0" w:space="0" w:color="auto"/>
        <w:bottom w:val="none" w:sz="0" w:space="0" w:color="auto"/>
        <w:right w:val="none" w:sz="0" w:space="0" w:color="auto"/>
      </w:divBdr>
    </w:div>
    <w:div w:id="648634203">
      <w:bodyDiv w:val="1"/>
      <w:marLeft w:val="0"/>
      <w:marRight w:val="0"/>
      <w:marTop w:val="0"/>
      <w:marBottom w:val="0"/>
      <w:divBdr>
        <w:top w:val="none" w:sz="0" w:space="0" w:color="auto"/>
        <w:left w:val="none" w:sz="0" w:space="0" w:color="auto"/>
        <w:bottom w:val="none" w:sz="0" w:space="0" w:color="auto"/>
        <w:right w:val="none" w:sz="0" w:space="0" w:color="auto"/>
      </w:divBdr>
    </w:div>
    <w:div w:id="658575684">
      <w:bodyDiv w:val="1"/>
      <w:marLeft w:val="0"/>
      <w:marRight w:val="0"/>
      <w:marTop w:val="0"/>
      <w:marBottom w:val="0"/>
      <w:divBdr>
        <w:top w:val="none" w:sz="0" w:space="0" w:color="auto"/>
        <w:left w:val="none" w:sz="0" w:space="0" w:color="auto"/>
        <w:bottom w:val="none" w:sz="0" w:space="0" w:color="auto"/>
        <w:right w:val="none" w:sz="0" w:space="0" w:color="auto"/>
      </w:divBdr>
    </w:div>
    <w:div w:id="666395941">
      <w:bodyDiv w:val="1"/>
      <w:marLeft w:val="0"/>
      <w:marRight w:val="0"/>
      <w:marTop w:val="0"/>
      <w:marBottom w:val="0"/>
      <w:divBdr>
        <w:top w:val="none" w:sz="0" w:space="0" w:color="auto"/>
        <w:left w:val="none" w:sz="0" w:space="0" w:color="auto"/>
        <w:bottom w:val="none" w:sz="0" w:space="0" w:color="auto"/>
        <w:right w:val="none" w:sz="0" w:space="0" w:color="auto"/>
      </w:divBdr>
    </w:div>
    <w:div w:id="697047776">
      <w:bodyDiv w:val="1"/>
      <w:marLeft w:val="0"/>
      <w:marRight w:val="0"/>
      <w:marTop w:val="0"/>
      <w:marBottom w:val="0"/>
      <w:divBdr>
        <w:top w:val="none" w:sz="0" w:space="0" w:color="auto"/>
        <w:left w:val="none" w:sz="0" w:space="0" w:color="auto"/>
        <w:bottom w:val="none" w:sz="0" w:space="0" w:color="auto"/>
        <w:right w:val="none" w:sz="0" w:space="0" w:color="auto"/>
      </w:divBdr>
    </w:div>
    <w:div w:id="701856002">
      <w:bodyDiv w:val="1"/>
      <w:marLeft w:val="0"/>
      <w:marRight w:val="0"/>
      <w:marTop w:val="0"/>
      <w:marBottom w:val="0"/>
      <w:divBdr>
        <w:top w:val="none" w:sz="0" w:space="0" w:color="auto"/>
        <w:left w:val="none" w:sz="0" w:space="0" w:color="auto"/>
        <w:bottom w:val="none" w:sz="0" w:space="0" w:color="auto"/>
        <w:right w:val="none" w:sz="0" w:space="0" w:color="auto"/>
      </w:divBdr>
    </w:div>
    <w:div w:id="727261252">
      <w:bodyDiv w:val="1"/>
      <w:marLeft w:val="0"/>
      <w:marRight w:val="0"/>
      <w:marTop w:val="0"/>
      <w:marBottom w:val="0"/>
      <w:divBdr>
        <w:top w:val="none" w:sz="0" w:space="0" w:color="auto"/>
        <w:left w:val="none" w:sz="0" w:space="0" w:color="auto"/>
        <w:bottom w:val="none" w:sz="0" w:space="0" w:color="auto"/>
        <w:right w:val="none" w:sz="0" w:space="0" w:color="auto"/>
      </w:divBdr>
    </w:div>
    <w:div w:id="740249815">
      <w:bodyDiv w:val="1"/>
      <w:marLeft w:val="0"/>
      <w:marRight w:val="0"/>
      <w:marTop w:val="0"/>
      <w:marBottom w:val="0"/>
      <w:divBdr>
        <w:top w:val="none" w:sz="0" w:space="0" w:color="auto"/>
        <w:left w:val="none" w:sz="0" w:space="0" w:color="auto"/>
        <w:bottom w:val="none" w:sz="0" w:space="0" w:color="auto"/>
        <w:right w:val="none" w:sz="0" w:space="0" w:color="auto"/>
      </w:divBdr>
    </w:div>
    <w:div w:id="741216626">
      <w:bodyDiv w:val="1"/>
      <w:marLeft w:val="0"/>
      <w:marRight w:val="0"/>
      <w:marTop w:val="0"/>
      <w:marBottom w:val="0"/>
      <w:divBdr>
        <w:top w:val="none" w:sz="0" w:space="0" w:color="auto"/>
        <w:left w:val="none" w:sz="0" w:space="0" w:color="auto"/>
        <w:bottom w:val="none" w:sz="0" w:space="0" w:color="auto"/>
        <w:right w:val="none" w:sz="0" w:space="0" w:color="auto"/>
      </w:divBdr>
    </w:div>
    <w:div w:id="758143145">
      <w:bodyDiv w:val="1"/>
      <w:marLeft w:val="0"/>
      <w:marRight w:val="0"/>
      <w:marTop w:val="0"/>
      <w:marBottom w:val="0"/>
      <w:divBdr>
        <w:top w:val="none" w:sz="0" w:space="0" w:color="auto"/>
        <w:left w:val="none" w:sz="0" w:space="0" w:color="auto"/>
        <w:bottom w:val="none" w:sz="0" w:space="0" w:color="auto"/>
        <w:right w:val="none" w:sz="0" w:space="0" w:color="auto"/>
      </w:divBdr>
    </w:div>
    <w:div w:id="762722548">
      <w:bodyDiv w:val="1"/>
      <w:marLeft w:val="0"/>
      <w:marRight w:val="0"/>
      <w:marTop w:val="0"/>
      <w:marBottom w:val="0"/>
      <w:divBdr>
        <w:top w:val="none" w:sz="0" w:space="0" w:color="auto"/>
        <w:left w:val="none" w:sz="0" w:space="0" w:color="auto"/>
        <w:bottom w:val="none" w:sz="0" w:space="0" w:color="auto"/>
        <w:right w:val="none" w:sz="0" w:space="0" w:color="auto"/>
      </w:divBdr>
    </w:div>
    <w:div w:id="782266334">
      <w:bodyDiv w:val="1"/>
      <w:marLeft w:val="0"/>
      <w:marRight w:val="0"/>
      <w:marTop w:val="0"/>
      <w:marBottom w:val="0"/>
      <w:divBdr>
        <w:top w:val="none" w:sz="0" w:space="0" w:color="auto"/>
        <w:left w:val="none" w:sz="0" w:space="0" w:color="auto"/>
        <w:bottom w:val="none" w:sz="0" w:space="0" w:color="auto"/>
        <w:right w:val="none" w:sz="0" w:space="0" w:color="auto"/>
      </w:divBdr>
    </w:div>
    <w:div w:id="792678915">
      <w:bodyDiv w:val="1"/>
      <w:marLeft w:val="0"/>
      <w:marRight w:val="0"/>
      <w:marTop w:val="0"/>
      <w:marBottom w:val="0"/>
      <w:divBdr>
        <w:top w:val="none" w:sz="0" w:space="0" w:color="auto"/>
        <w:left w:val="none" w:sz="0" w:space="0" w:color="auto"/>
        <w:bottom w:val="none" w:sz="0" w:space="0" w:color="auto"/>
        <w:right w:val="none" w:sz="0" w:space="0" w:color="auto"/>
      </w:divBdr>
    </w:div>
    <w:div w:id="800147604">
      <w:bodyDiv w:val="1"/>
      <w:marLeft w:val="0"/>
      <w:marRight w:val="0"/>
      <w:marTop w:val="0"/>
      <w:marBottom w:val="0"/>
      <w:divBdr>
        <w:top w:val="none" w:sz="0" w:space="0" w:color="auto"/>
        <w:left w:val="none" w:sz="0" w:space="0" w:color="auto"/>
        <w:bottom w:val="none" w:sz="0" w:space="0" w:color="auto"/>
        <w:right w:val="none" w:sz="0" w:space="0" w:color="auto"/>
      </w:divBdr>
    </w:div>
    <w:div w:id="815031364">
      <w:bodyDiv w:val="1"/>
      <w:marLeft w:val="0"/>
      <w:marRight w:val="0"/>
      <w:marTop w:val="0"/>
      <w:marBottom w:val="0"/>
      <w:divBdr>
        <w:top w:val="none" w:sz="0" w:space="0" w:color="auto"/>
        <w:left w:val="none" w:sz="0" w:space="0" w:color="auto"/>
        <w:bottom w:val="none" w:sz="0" w:space="0" w:color="auto"/>
        <w:right w:val="none" w:sz="0" w:space="0" w:color="auto"/>
      </w:divBdr>
    </w:div>
    <w:div w:id="838076466">
      <w:bodyDiv w:val="1"/>
      <w:marLeft w:val="0"/>
      <w:marRight w:val="0"/>
      <w:marTop w:val="0"/>
      <w:marBottom w:val="0"/>
      <w:divBdr>
        <w:top w:val="none" w:sz="0" w:space="0" w:color="auto"/>
        <w:left w:val="none" w:sz="0" w:space="0" w:color="auto"/>
        <w:bottom w:val="none" w:sz="0" w:space="0" w:color="auto"/>
        <w:right w:val="none" w:sz="0" w:space="0" w:color="auto"/>
      </w:divBdr>
    </w:div>
    <w:div w:id="861552722">
      <w:bodyDiv w:val="1"/>
      <w:marLeft w:val="0"/>
      <w:marRight w:val="0"/>
      <w:marTop w:val="0"/>
      <w:marBottom w:val="0"/>
      <w:divBdr>
        <w:top w:val="none" w:sz="0" w:space="0" w:color="auto"/>
        <w:left w:val="none" w:sz="0" w:space="0" w:color="auto"/>
        <w:bottom w:val="none" w:sz="0" w:space="0" w:color="auto"/>
        <w:right w:val="none" w:sz="0" w:space="0" w:color="auto"/>
      </w:divBdr>
    </w:div>
    <w:div w:id="863595940">
      <w:bodyDiv w:val="1"/>
      <w:marLeft w:val="0"/>
      <w:marRight w:val="0"/>
      <w:marTop w:val="0"/>
      <w:marBottom w:val="0"/>
      <w:divBdr>
        <w:top w:val="none" w:sz="0" w:space="0" w:color="auto"/>
        <w:left w:val="none" w:sz="0" w:space="0" w:color="auto"/>
        <w:bottom w:val="none" w:sz="0" w:space="0" w:color="auto"/>
        <w:right w:val="none" w:sz="0" w:space="0" w:color="auto"/>
      </w:divBdr>
    </w:div>
    <w:div w:id="867639104">
      <w:bodyDiv w:val="1"/>
      <w:marLeft w:val="0"/>
      <w:marRight w:val="0"/>
      <w:marTop w:val="0"/>
      <w:marBottom w:val="0"/>
      <w:divBdr>
        <w:top w:val="none" w:sz="0" w:space="0" w:color="auto"/>
        <w:left w:val="none" w:sz="0" w:space="0" w:color="auto"/>
        <w:bottom w:val="none" w:sz="0" w:space="0" w:color="auto"/>
        <w:right w:val="none" w:sz="0" w:space="0" w:color="auto"/>
      </w:divBdr>
    </w:div>
    <w:div w:id="877396523">
      <w:bodyDiv w:val="1"/>
      <w:marLeft w:val="0"/>
      <w:marRight w:val="0"/>
      <w:marTop w:val="0"/>
      <w:marBottom w:val="0"/>
      <w:divBdr>
        <w:top w:val="none" w:sz="0" w:space="0" w:color="auto"/>
        <w:left w:val="none" w:sz="0" w:space="0" w:color="auto"/>
        <w:bottom w:val="none" w:sz="0" w:space="0" w:color="auto"/>
        <w:right w:val="none" w:sz="0" w:space="0" w:color="auto"/>
      </w:divBdr>
    </w:div>
    <w:div w:id="896546547">
      <w:bodyDiv w:val="1"/>
      <w:marLeft w:val="0"/>
      <w:marRight w:val="0"/>
      <w:marTop w:val="0"/>
      <w:marBottom w:val="0"/>
      <w:divBdr>
        <w:top w:val="none" w:sz="0" w:space="0" w:color="auto"/>
        <w:left w:val="none" w:sz="0" w:space="0" w:color="auto"/>
        <w:bottom w:val="none" w:sz="0" w:space="0" w:color="auto"/>
        <w:right w:val="none" w:sz="0" w:space="0" w:color="auto"/>
      </w:divBdr>
    </w:div>
    <w:div w:id="898711601">
      <w:bodyDiv w:val="1"/>
      <w:marLeft w:val="0"/>
      <w:marRight w:val="0"/>
      <w:marTop w:val="0"/>
      <w:marBottom w:val="0"/>
      <w:divBdr>
        <w:top w:val="none" w:sz="0" w:space="0" w:color="auto"/>
        <w:left w:val="none" w:sz="0" w:space="0" w:color="auto"/>
        <w:bottom w:val="none" w:sz="0" w:space="0" w:color="auto"/>
        <w:right w:val="none" w:sz="0" w:space="0" w:color="auto"/>
      </w:divBdr>
    </w:div>
    <w:div w:id="903175899">
      <w:bodyDiv w:val="1"/>
      <w:marLeft w:val="0"/>
      <w:marRight w:val="0"/>
      <w:marTop w:val="0"/>
      <w:marBottom w:val="0"/>
      <w:divBdr>
        <w:top w:val="none" w:sz="0" w:space="0" w:color="auto"/>
        <w:left w:val="none" w:sz="0" w:space="0" w:color="auto"/>
        <w:bottom w:val="none" w:sz="0" w:space="0" w:color="auto"/>
        <w:right w:val="none" w:sz="0" w:space="0" w:color="auto"/>
      </w:divBdr>
    </w:div>
    <w:div w:id="914172709">
      <w:bodyDiv w:val="1"/>
      <w:marLeft w:val="0"/>
      <w:marRight w:val="0"/>
      <w:marTop w:val="0"/>
      <w:marBottom w:val="0"/>
      <w:divBdr>
        <w:top w:val="none" w:sz="0" w:space="0" w:color="auto"/>
        <w:left w:val="none" w:sz="0" w:space="0" w:color="auto"/>
        <w:bottom w:val="none" w:sz="0" w:space="0" w:color="auto"/>
        <w:right w:val="none" w:sz="0" w:space="0" w:color="auto"/>
      </w:divBdr>
    </w:div>
    <w:div w:id="929312972">
      <w:bodyDiv w:val="1"/>
      <w:marLeft w:val="0"/>
      <w:marRight w:val="0"/>
      <w:marTop w:val="0"/>
      <w:marBottom w:val="0"/>
      <w:divBdr>
        <w:top w:val="none" w:sz="0" w:space="0" w:color="auto"/>
        <w:left w:val="none" w:sz="0" w:space="0" w:color="auto"/>
        <w:bottom w:val="none" w:sz="0" w:space="0" w:color="auto"/>
        <w:right w:val="none" w:sz="0" w:space="0" w:color="auto"/>
      </w:divBdr>
    </w:div>
    <w:div w:id="930742800">
      <w:bodyDiv w:val="1"/>
      <w:marLeft w:val="0"/>
      <w:marRight w:val="0"/>
      <w:marTop w:val="0"/>
      <w:marBottom w:val="0"/>
      <w:divBdr>
        <w:top w:val="none" w:sz="0" w:space="0" w:color="auto"/>
        <w:left w:val="none" w:sz="0" w:space="0" w:color="auto"/>
        <w:bottom w:val="none" w:sz="0" w:space="0" w:color="auto"/>
        <w:right w:val="none" w:sz="0" w:space="0" w:color="auto"/>
      </w:divBdr>
    </w:div>
    <w:div w:id="950665228">
      <w:bodyDiv w:val="1"/>
      <w:marLeft w:val="0"/>
      <w:marRight w:val="0"/>
      <w:marTop w:val="0"/>
      <w:marBottom w:val="0"/>
      <w:divBdr>
        <w:top w:val="none" w:sz="0" w:space="0" w:color="auto"/>
        <w:left w:val="none" w:sz="0" w:space="0" w:color="auto"/>
        <w:bottom w:val="none" w:sz="0" w:space="0" w:color="auto"/>
        <w:right w:val="none" w:sz="0" w:space="0" w:color="auto"/>
      </w:divBdr>
    </w:div>
    <w:div w:id="962812401">
      <w:bodyDiv w:val="1"/>
      <w:marLeft w:val="0"/>
      <w:marRight w:val="0"/>
      <w:marTop w:val="0"/>
      <w:marBottom w:val="0"/>
      <w:divBdr>
        <w:top w:val="none" w:sz="0" w:space="0" w:color="auto"/>
        <w:left w:val="none" w:sz="0" w:space="0" w:color="auto"/>
        <w:bottom w:val="none" w:sz="0" w:space="0" w:color="auto"/>
        <w:right w:val="none" w:sz="0" w:space="0" w:color="auto"/>
      </w:divBdr>
    </w:div>
    <w:div w:id="1014499762">
      <w:bodyDiv w:val="1"/>
      <w:marLeft w:val="0"/>
      <w:marRight w:val="0"/>
      <w:marTop w:val="0"/>
      <w:marBottom w:val="0"/>
      <w:divBdr>
        <w:top w:val="none" w:sz="0" w:space="0" w:color="auto"/>
        <w:left w:val="none" w:sz="0" w:space="0" w:color="auto"/>
        <w:bottom w:val="none" w:sz="0" w:space="0" w:color="auto"/>
        <w:right w:val="none" w:sz="0" w:space="0" w:color="auto"/>
      </w:divBdr>
    </w:div>
    <w:div w:id="1057437088">
      <w:bodyDiv w:val="1"/>
      <w:marLeft w:val="0"/>
      <w:marRight w:val="0"/>
      <w:marTop w:val="0"/>
      <w:marBottom w:val="0"/>
      <w:divBdr>
        <w:top w:val="none" w:sz="0" w:space="0" w:color="auto"/>
        <w:left w:val="none" w:sz="0" w:space="0" w:color="auto"/>
        <w:bottom w:val="none" w:sz="0" w:space="0" w:color="auto"/>
        <w:right w:val="none" w:sz="0" w:space="0" w:color="auto"/>
      </w:divBdr>
    </w:div>
    <w:div w:id="1062486283">
      <w:bodyDiv w:val="1"/>
      <w:marLeft w:val="0"/>
      <w:marRight w:val="0"/>
      <w:marTop w:val="0"/>
      <w:marBottom w:val="0"/>
      <w:divBdr>
        <w:top w:val="none" w:sz="0" w:space="0" w:color="auto"/>
        <w:left w:val="none" w:sz="0" w:space="0" w:color="auto"/>
        <w:bottom w:val="none" w:sz="0" w:space="0" w:color="auto"/>
        <w:right w:val="none" w:sz="0" w:space="0" w:color="auto"/>
      </w:divBdr>
    </w:div>
    <w:div w:id="1089739919">
      <w:bodyDiv w:val="1"/>
      <w:marLeft w:val="0"/>
      <w:marRight w:val="0"/>
      <w:marTop w:val="0"/>
      <w:marBottom w:val="0"/>
      <w:divBdr>
        <w:top w:val="none" w:sz="0" w:space="0" w:color="auto"/>
        <w:left w:val="none" w:sz="0" w:space="0" w:color="auto"/>
        <w:bottom w:val="none" w:sz="0" w:space="0" w:color="auto"/>
        <w:right w:val="none" w:sz="0" w:space="0" w:color="auto"/>
      </w:divBdr>
    </w:div>
    <w:div w:id="1095127679">
      <w:bodyDiv w:val="1"/>
      <w:marLeft w:val="0"/>
      <w:marRight w:val="0"/>
      <w:marTop w:val="0"/>
      <w:marBottom w:val="0"/>
      <w:divBdr>
        <w:top w:val="none" w:sz="0" w:space="0" w:color="auto"/>
        <w:left w:val="none" w:sz="0" w:space="0" w:color="auto"/>
        <w:bottom w:val="none" w:sz="0" w:space="0" w:color="auto"/>
        <w:right w:val="none" w:sz="0" w:space="0" w:color="auto"/>
      </w:divBdr>
    </w:div>
    <w:div w:id="1102797791">
      <w:bodyDiv w:val="1"/>
      <w:marLeft w:val="0"/>
      <w:marRight w:val="0"/>
      <w:marTop w:val="0"/>
      <w:marBottom w:val="0"/>
      <w:divBdr>
        <w:top w:val="none" w:sz="0" w:space="0" w:color="auto"/>
        <w:left w:val="none" w:sz="0" w:space="0" w:color="auto"/>
        <w:bottom w:val="none" w:sz="0" w:space="0" w:color="auto"/>
        <w:right w:val="none" w:sz="0" w:space="0" w:color="auto"/>
      </w:divBdr>
    </w:div>
    <w:div w:id="1128742912">
      <w:bodyDiv w:val="1"/>
      <w:marLeft w:val="0"/>
      <w:marRight w:val="0"/>
      <w:marTop w:val="0"/>
      <w:marBottom w:val="0"/>
      <w:divBdr>
        <w:top w:val="none" w:sz="0" w:space="0" w:color="auto"/>
        <w:left w:val="none" w:sz="0" w:space="0" w:color="auto"/>
        <w:bottom w:val="none" w:sz="0" w:space="0" w:color="auto"/>
        <w:right w:val="none" w:sz="0" w:space="0" w:color="auto"/>
      </w:divBdr>
    </w:div>
    <w:div w:id="1142846331">
      <w:bodyDiv w:val="1"/>
      <w:marLeft w:val="0"/>
      <w:marRight w:val="0"/>
      <w:marTop w:val="0"/>
      <w:marBottom w:val="0"/>
      <w:divBdr>
        <w:top w:val="none" w:sz="0" w:space="0" w:color="auto"/>
        <w:left w:val="none" w:sz="0" w:space="0" w:color="auto"/>
        <w:bottom w:val="none" w:sz="0" w:space="0" w:color="auto"/>
        <w:right w:val="none" w:sz="0" w:space="0" w:color="auto"/>
      </w:divBdr>
    </w:div>
    <w:div w:id="1149861333">
      <w:bodyDiv w:val="1"/>
      <w:marLeft w:val="0"/>
      <w:marRight w:val="0"/>
      <w:marTop w:val="0"/>
      <w:marBottom w:val="0"/>
      <w:divBdr>
        <w:top w:val="none" w:sz="0" w:space="0" w:color="auto"/>
        <w:left w:val="none" w:sz="0" w:space="0" w:color="auto"/>
        <w:bottom w:val="none" w:sz="0" w:space="0" w:color="auto"/>
        <w:right w:val="none" w:sz="0" w:space="0" w:color="auto"/>
      </w:divBdr>
    </w:div>
    <w:div w:id="1172767624">
      <w:bodyDiv w:val="1"/>
      <w:marLeft w:val="0"/>
      <w:marRight w:val="0"/>
      <w:marTop w:val="0"/>
      <w:marBottom w:val="0"/>
      <w:divBdr>
        <w:top w:val="none" w:sz="0" w:space="0" w:color="auto"/>
        <w:left w:val="none" w:sz="0" w:space="0" w:color="auto"/>
        <w:bottom w:val="none" w:sz="0" w:space="0" w:color="auto"/>
        <w:right w:val="none" w:sz="0" w:space="0" w:color="auto"/>
      </w:divBdr>
    </w:div>
    <w:div w:id="1210267315">
      <w:bodyDiv w:val="1"/>
      <w:marLeft w:val="0"/>
      <w:marRight w:val="0"/>
      <w:marTop w:val="0"/>
      <w:marBottom w:val="0"/>
      <w:divBdr>
        <w:top w:val="none" w:sz="0" w:space="0" w:color="auto"/>
        <w:left w:val="none" w:sz="0" w:space="0" w:color="auto"/>
        <w:bottom w:val="none" w:sz="0" w:space="0" w:color="auto"/>
        <w:right w:val="none" w:sz="0" w:space="0" w:color="auto"/>
      </w:divBdr>
    </w:div>
    <w:div w:id="1213662533">
      <w:bodyDiv w:val="1"/>
      <w:marLeft w:val="0"/>
      <w:marRight w:val="0"/>
      <w:marTop w:val="0"/>
      <w:marBottom w:val="0"/>
      <w:divBdr>
        <w:top w:val="none" w:sz="0" w:space="0" w:color="auto"/>
        <w:left w:val="none" w:sz="0" w:space="0" w:color="auto"/>
        <w:bottom w:val="none" w:sz="0" w:space="0" w:color="auto"/>
        <w:right w:val="none" w:sz="0" w:space="0" w:color="auto"/>
      </w:divBdr>
    </w:div>
    <w:div w:id="1221094097">
      <w:bodyDiv w:val="1"/>
      <w:marLeft w:val="0"/>
      <w:marRight w:val="0"/>
      <w:marTop w:val="0"/>
      <w:marBottom w:val="0"/>
      <w:divBdr>
        <w:top w:val="none" w:sz="0" w:space="0" w:color="auto"/>
        <w:left w:val="none" w:sz="0" w:space="0" w:color="auto"/>
        <w:bottom w:val="none" w:sz="0" w:space="0" w:color="auto"/>
        <w:right w:val="none" w:sz="0" w:space="0" w:color="auto"/>
      </w:divBdr>
    </w:div>
    <w:div w:id="1243951593">
      <w:bodyDiv w:val="1"/>
      <w:marLeft w:val="0"/>
      <w:marRight w:val="0"/>
      <w:marTop w:val="0"/>
      <w:marBottom w:val="0"/>
      <w:divBdr>
        <w:top w:val="none" w:sz="0" w:space="0" w:color="auto"/>
        <w:left w:val="none" w:sz="0" w:space="0" w:color="auto"/>
        <w:bottom w:val="none" w:sz="0" w:space="0" w:color="auto"/>
        <w:right w:val="none" w:sz="0" w:space="0" w:color="auto"/>
      </w:divBdr>
    </w:div>
    <w:div w:id="1271162161">
      <w:bodyDiv w:val="1"/>
      <w:marLeft w:val="0"/>
      <w:marRight w:val="0"/>
      <w:marTop w:val="0"/>
      <w:marBottom w:val="0"/>
      <w:divBdr>
        <w:top w:val="none" w:sz="0" w:space="0" w:color="auto"/>
        <w:left w:val="none" w:sz="0" w:space="0" w:color="auto"/>
        <w:bottom w:val="none" w:sz="0" w:space="0" w:color="auto"/>
        <w:right w:val="none" w:sz="0" w:space="0" w:color="auto"/>
      </w:divBdr>
    </w:div>
    <w:div w:id="1291471891">
      <w:bodyDiv w:val="1"/>
      <w:marLeft w:val="0"/>
      <w:marRight w:val="0"/>
      <w:marTop w:val="0"/>
      <w:marBottom w:val="0"/>
      <w:divBdr>
        <w:top w:val="none" w:sz="0" w:space="0" w:color="auto"/>
        <w:left w:val="none" w:sz="0" w:space="0" w:color="auto"/>
        <w:bottom w:val="none" w:sz="0" w:space="0" w:color="auto"/>
        <w:right w:val="none" w:sz="0" w:space="0" w:color="auto"/>
      </w:divBdr>
    </w:div>
    <w:div w:id="1297876920">
      <w:bodyDiv w:val="1"/>
      <w:marLeft w:val="0"/>
      <w:marRight w:val="0"/>
      <w:marTop w:val="0"/>
      <w:marBottom w:val="0"/>
      <w:divBdr>
        <w:top w:val="none" w:sz="0" w:space="0" w:color="auto"/>
        <w:left w:val="none" w:sz="0" w:space="0" w:color="auto"/>
        <w:bottom w:val="none" w:sz="0" w:space="0" w:color="auto"/>
        <w:right w:val="none" w:sz="0" w:space="0" w:color="auto"/>
      </w:divBdr>
    </w:div>
    <w:div w:id="1308626219">
      <w:bodyDiv w:val="1"/>
      <w:marLeft w:val="0"/>
      <w:marRight w:val="0"/>
      <w:marTop w:val="0"/>
      <w:marBottom w:val="0"/>
      <w:divBdr>
        <w:top w:val="none" w:sz="0" w:space="0" w:color="auto"/>
        <w:left w:val="none" w:sz="0" w:space="0" w:color="auto"/>
        <w:bottom w:val="none" w:sz="0" w:space="0" w:color="auto"/>
        <w:right w:val="none" w:sz="0" w:space="0" w:color="auto"/>
      </w:divBdr>
    </w:div>
    <w:div w:id="1316838343">
      <w:bodyDiv w:val="1"/>
      <w:marLeft w:val="0"/>
      <w:marRight w:val="0"/>
      <w:marTop w:val="0"/>
      <w:marBottom w:val="0"/>
      <w:divBdr>
        <w:top w:val="none" w:sz="0" w:space="0" w:color="auto"/>
        <w:left w:val="none" w:sz="0" w:space="0" w:color="auto"/>
        <w:bottom w:val="none" w:sz="0" w:space="0" w:color="auto"/>
        <w:right w:val="none" w:sz="0" w:space="0" w:color="auto"/>
      </w:divBdr>
    </w:div>
    <w:div w:id="1320038597">
      <w:bodyDiv w:val="1"/>
      <w:marLeft w:val="0"/>
      <w:marRight w:val="0"/>
      <w:marTop w:val="0"/>
      <w:marBottom w:val="0"/>
      <w:divBdr>
        <w:top w:val="none" w:sz="0" w:space="0" w:color="auto"/>
        <w:left w:val="none" w:sz="0" w:space="0" w:color="auto"/>
        <w:bottom w:val="none" w:sz="0" w:space="0" w:color="auto"/>
        <w:right w:val="none" w:sz="0" w:space="0" w:color="auto"/>
      </w:divBdr>
    </w:div>
    <w:div w:id="1389841880">
      <w:bodyDiv w:val="1"/>
      <w:marLeft w:val="0"/>
      <w:marRight w:val="0"/>
      <w:marTop w:val="0"/>
      <w:marBottom w:val="0"/>
      <w:divBdr>
        <w:top w:val="none" w:sz="0" w:space="0" w:color="auto"/>
        <w:left w:val="none" w:sz="0" w:space="0" w:color="auto"/>
        <w:bottom w:val="none" w:sz="0" w:space="0" w:color="auto"/>
        <w:right w:val="none" w:sz="0" w:space="0" w:color="auto"/>
      </w:divBdr>
    </w:div>
    <w:div w:id="1400442010">
      <w:bodyDiv w:val="1"/>
      <w:marLeft w:val="0"/>
      <w:marRight w:val="0"/>
      <w:marTop w:val="0"/>
      <w:marBottom w:val="0"/>
      <w:divBdr>
        <w:top w:val="none" w:sz="0" w:space="0" w:color="auto"/>
        <w:left w:val="none" w:sz="0" w:space="0" w:color="auto"/>
        <w:bottom w:val="none" w:sz="0" w:space="0" w:color="auto"/>
        <w:right w:val="none" w:sz="0" w:space="0" w:color="auto"/>
      </w:divBdr>
    </w:div>
    <w:div w:id="1401101679">
      <w:bodyDiv w:val="1"/>
      <w:marLeft w:val="0"/>
      <w:marRight w:val="0"/>
      <w:marTop w:val="0"/>
      <w:marBottom w:val="0"/>
      <w:divBdr>
        <w:top w:val="none" w:sz="0" w:space="0" w:color="auto"/>
        <w:left w:val="none" w:sz="0" w:space="0" w:color="auto"/>
        <w:bottom w:val="none" w:sz="0" w:space="0" w:color="auto"/>
        <w:right w:val="none" w:sz="0" w:space="0" w:color="auto"/>
      </w:divBdr>
    </w:div>
    <w:div w:id="1407144767">
      <w:bodyDiv w:val="1"/>
      <w:marLeft w:val="0"/>
      <w:marRight w:val="0"/>
      <w:marTop w:val="0"/>
      <w:marBottom w:val="0"/>
      <w:divBdr>
        <w:top w:val="none" w:sz="0" w:space="0" w:color="auto"/>
        <w:left w:val="none" w:sz="0" w:space="0" w:color="auto"/>
        <w:bottom w:val="none" w:sz="0" w:space="0" w:color="auto"/>
        <w:right w:val="none" w:sz="0" w:space="0" w:color="auto"/>
      </w:divBdr>
    </w:div>
    <w:div w:id="1427924017">
      <w:bodyDiv w:val="1"/>
      <w:marLeft w:val="0"/>
      <w:marRight w:val="0"/>
      <w:marTop w:val="0"/>
      <w:marBottom w:val="0"/>
      <w:divBdr>
        <w:top w:val="none" w:sz="0" w:space="0" w:color="auto"/>
        <w:left w:val="none" w:sz="0" w:space="0" w:color="auto"/>
        <w:bottom w:val="none" w:sz="0" w:space="0" w:color="auto"/>
        <w:right w:val="none" w:sz="0" w:space="0" w:color="auto"/>
      </w:divBdr>
    </w:div>
    <w:div w:id="1443694057">
      <w:bodyDiv w:val="1"/>
      <w:marLeft w:val="0"/>
      <w:marRight w:val="0"/>
      <w:marTop w:val="0"/>
      <w:marBottom w:val="0"/>
      <w:divBdr>
        <w:top w:val="none" w:sz="0" w:space="0" w:color="auto"/>
        <w:left w:val="none" w:sz="0" w:space="0" w:color="auto"/>
        <w:bottom w:val="none" w:sz="0" w:space="0" w:color="auto"/>
        <w:right w:val="none" w:sz="0" w:space="0" w:color="auto"/>
      </w:divBdr>
    </w:div>
    <w:div w:id="1457261473">
      <w:bodyDiv w:val="1"/>
      <w:marLeft w:val="0"/>
      <w:marRight w:val="0"/>
      <w:marTop w:val="0"/>
      <w:marBottom w:val="0"/>
      <w:divBdr>
        <w:top w:val="none" w:sz="0" w:space="0" w:color="auto"/>
        <w:left w:val="none" w:sz="0" w:space="0" w:color="auto"/>
        <w:bottom w:val="none" w:sz="0" w:space="0" w:color="auto"/>
        <w:right w:val="none" w:sz="0" w:space="0" w:color="auto"/>
      </w:divBdr>
    </w:div>
    <w:div w:id="1480347808">
      <w:bodyDiv w:val="1"/>
      <w:marLeft w:val="0"/>
      <w:marRight w:val="0"/>
      <w:marTop w:val="0"/>
      <w:marBottom w:val="0"/>
      <w:divBdr>
        <w:top w:val="none" w:sz="0" w:space="0" w:color="auto"/>
        <w:left w:val="none" w:sz="0" w:space="0" w:color="auto"/>
        <w:bottom w:val="none" w:sz="0" w:space="0" w:color="auto"/>
        <w:right w:val="none" w:sz="0" w:space="0" w:color="auto"/>
      </w:divBdr>
    </w:div>
    <w:div w:id="1489983497">
      <w:bodyDiv w:val="1"/>
      <w:marLeft w:val="0"/>
      <w:marRight w:val="0"/>
      <w:marTop w:val="0"/>
      <w:marBottom w:val="0"/>
      <w:divBdr>
        <w:top w:val="none" w:sz="0" w:space="0" w:color="auto"/>
        <w:left w:val="none" w:sz="0" w:space="0" w:color="auto"/>
        <w:bottom w:val="none" w:sz="0" w:space="0" w:color="auto"/>
        <w:right w:val="none" w:sz="0" w:space="0" w:color="auto"/>
      </w:divBdr>
    </w:div>
    <w:div w:id="1516577082">
      <w:bodyDiv w:val="1"/>
      <w:marLeft w:val="0"/>
      <w:marRight w:val="0"/>
      <w:marTop w:val="0"/>
      <w:marBottom w:val="0"/>
      <w:divBdr>
        <w:top w:val="none" w:sz="0" w:space="0" w:color="auto"/>
        <w:left w:val="none" w:sz="0" w:space="0" w:color="auto"/>
        <w:bottom w:val="none" w:sz="0" w:space="0" w:color="auto"/>
        <w:right w:val="none" w:sz="0" w:space="0" w:color="auto"/>
      </w:divBdr>
      <w:divsChild>
        <w:div w:id="357849471">
          <w:marLeft w:val="0"/>
          <w:marRight w:val="0"/>
          <w:marTop w:val="0"/>
          <w:marBottom w:val="0"/>
          <w:divBdr>
            <w:top w:val="none" w:sz="0" w:space="0" w:color="auto"/>
            <w:left w:val="none" w:sz="0" w:space="0" w:color="auto"/>
            <w:bottom w:val="none" w:sz="0" w:space="0" w:color="auto"/>
            <w:right w:val="none" w:sz="0" w:space="0" w:color="auto"/>
          </w:divBdr>
          <w:divsChild>
            <w:div w:id="1775593667">
              <w:marLeft w:val="0"/>
              <w:marRight w:val="0"/>
              <w:marTop w:val="0"/>
              <w:marBottom w:val="0"/>
              <w:divBdr>
                <w:top w:val="none" w:sz="0" w:space="0" w:color="auto"/>
                <w:left w:val="none" w:sz="0" w:space="0" w:color="auto"/>
                <w:bottom w:val="none" w:sz="0" w:space="0" w:color="auto"/>
                <w:right w:val="none" w:sz="0" w:space="0" w:color="auto"/>
              </w:divBdr>
            </w:div>
          </w:divsChild>
        </w:div>
        <w:div w:id="1632243011">
          <w:marLeft w:val="0"/>
          <w:marRight w:val="0"/>
          <w:marTop w:val="0"/>
          <w:marBottom w:val="0"/>
          <w:divBdr>
            <w:top w:val="none" w:sz="0" w:space="0" w:color="auto"/>
            <w:left w:val="none" w:sz="0" w:space="0" w:color="auto"/>
            <w:bottom w:val="none" w:sz="0" w:space="0" w:color="auto"/>
            <w:right w:val="none" w:sz="0" w:space="0" w:color="auto"/>
          </w:divBdr>
          <w:divsChild>
            <w:div w:id="116713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703816">
      <w:bodyDiv w:val="1"/>
      <w:marLeft w:val="0"/>
      <w:marRight w:val="0"/>
      <w:marTop w:val="0"/>
      <w:marBottom w:val="0"/>
      <w:divBdr>
        <w:top w:val="none" w:sz="0" w:space="0" w:color="auto"/>
        <w:left w:val="none" w:sz="0" w:space="0" w:color="auto"/>
        <w:bottom w:val="none" w:sz="0" w:space="0" w:color="auto"/>
        <w:right w:val="none" w:sz="0" w:space="0" w:color="auto"/>
      </w:divBdr>
    </w:div>
    <w:div w:id="1533955530">
      <w:bodyDiv w:val="1"/>
      <w:marLeft w:val="0"/>
      <w:marRight w:val="0"/>
      <w:marTop w:val="0"/>
      <w:marBottom w:val="0"/>
      <w:divBdr>
        <w:top w:val="none" w:sz="0" w:space="0" w:color="auto"/>
        <w:left w:val="none" w:sz="0" w:space="0" w:color="auto"/>
        <w:bottom w:val="none" w:sz="0" w:space="0" w:color="auto"/>
        <w:right w:val="none" w:sz="0" w:space="0" w:color="auto"/>
      </w:divBdr>
    </w:div>
    <w:div w:id="1537348473">
      <w:bodyDiv w:val="1"/>
      <w:marLeft w:val="0"/>
      <w:marRight w:val="0"/>
      <w:marTop w:val="0"/>
      <w:marBottom w:val="0"/>
      <w:divBdr>
        <w:top w:val="none" w:sz="0" w:space="0" w:color="auto"/>
        <w:left w:val="none" w:sz="0" w:space="0" w:color="auto"/>
        <w:bottom w:val="none" w:sz="0" w:space="0" w:color="auto"/>
        <w:right w:val="none" w:sz="0" w:space="0" w:color="auto"/>
      </w:divBdr>
    </w:div>
    <w:div w:id="1562984740">
      <w:bodyDiv w:val="1"/>
      <w:marLeft w:val="0"/>
      <w:marRight w:val="0"/>
      <w:marTop w:val="0"/>
      <w:marBottom w:val="0"/>
      <w:divBdr>
        <w:top w:val="none" w:sz="0" w:space="0" w:color="auto"/>
        <w:left w:val="none" w:sz="0" w:space="0" w:color="auto"/>
        <w:bottom w:val="none" w:sz="0" w:space="0" w:color="auto"/>
        <w:right w:val="none" w:sz="0" w:space="0" w:color="auto"/>
      </w:divBdr>
    </w:div>
    <w:div w:id="1572622186">
      <w:bodyDiv w:val="1"/>
      <w:marLeft w:val="0"/>
      <w:marRight w:val="0"/>
      <w:marTop w:val="0"/>
      <w:marBottom w:val="0"/>
      <w:divBdr>
        <w:top w:val="none" w:sz="0" w:space="0" w:color="auto"/>
        <w:left w:val="none" w:sz="0" w:space="0" w:color="auto"/>
        <w:bottom w:val="none" w:sz="0" w:space="0" w:color="auto"/>
        <w:right w:val="none" w:sz="0" w:space="0" w:color="auto"/>
      </w:divBdr>
    </w:div>
    <w:div w:id="1575822525">
      <w:bodyDiv w:val="1"/>
      <w:marLeft w:val="0"/>
      <w:marRight w:val="0"/>
      <w:marTop w:val="0"/>
      <w:marBottom w:val="0"/>
      <w:divBdr>
        <w:top w:val="none" w:sz="0" w:space="0" w:color="auto"/>
        <w:left w:val="none" w:sz="0" w:space="0" w:color="auto"/>
        <w:bottom w:val="none" w:sz="0" w:space="0" w:color="auto"/>
        <w:right w:val="none" w:sz="0" w:space="0" w:color="auto"/>
      </w:divBdr>
    </w:div>
    <w:div w:id="1579830343">
      <w:bodyDiv w:val="1"/>
      <w:marLeft w:val="0"/>
      <w:marRight w:val="0"/>
      <w:marTop w:val="0"/>
      <w:marBottom w:val="0"/>
      <w:divBdr>
        <w:top w:val="none" w:sz="0" w:space="0" w:color="auto"/>
        <w:left w:val="none" w:sz="0" w:space="0" w:color="auto"/>
        <w:bottom w:val="none" w:sz="0" w:space="0" w:color="auto"/>
        <w:right w:val="none" w:sz="0" w:space="0" w:color="auto"/>
      </w:divBdr>
    </w:div>
    <w:div w:id="1583105061">
      <w:bodyDiv w:val="1"/>
      <w:marLeft w:val="0"/>
      <w:marRight w:val="0"/>
      <w:marTop w:val="0"/>
      <w:marBottom w:val="0"/>
      <w:divBdr>
        <w:top w:val="none" w:sz="0" w:space="0" w:color="auto"/>
        <w:left w:val="none" w:sz="0" w:space="0" w:color="auto"/>
        <w:bottom w:val="none" w:sz="0" w:space="0" w:color="auto"/>
        <w:right w:val="none" w:sz="0" w:space="0" w:color="auto"/>
      </w:divBdr>
    </w:div>
    <w:div w:id="1638871341">
      <w:bodyDiv w:val="1"/>
      <w:marLeft w:val="0"/>
      <w:marRight w:val="0"/>
      <w:marTop w:val="0"/>
      <w:marBottom w:val="0"/>
      <w:divBdr>
        <w:top w:val="none" w:sz="0" w:space="0" w:color="auto"/>
        <w:left w:val="none" w:sz="0" w:space="0" w:color="auto"/>
        <w:bottom w:val="none" w:sz="0" w:space="0" w:color="auto"/>
        <w:right w:val="none" w:sz="0" w:space="0" w:color="auto"/>
      </w:divBdr>
    </w:div>
    <w:div w:id="1649355706">
      <w:bodyDiv w:val="1"/>
      <w:marLeft w:val="0"/>
      <w:marRight w:val="0"/>
      <w:marTop w:val="0"/>
      <w:marBottom w:val="0"/>
      <w:divBdr>
        <w:top w:val="none" w:sz="0" w:space="0" w:color="auto"/>
        <w:left w:val="none" w:sz="0" w:space="0" w:color="auto"/>
        <w:bottom w:val="none" w:sz="0" w:space="0" w:color="auto"/>
        <w:right w:val="none" w:sz="0" w:space="0" w:color="auto"/>
      </w:divBdr>
    </w:div>
    <w:div w:id="1673530828">
      <w:bodyDiv w:val="1"/>
      <w:marLeft w:val="0"/>
      <w:marRight w:val="0"/>
      <w:marTop w:val="0"/>
      <w:marBottom w:val="0"/>
      <w:divBdr>
        <w:top w:val="none" w:sz="0" w:space="0" w:color="auto"/>
        <w:left w:val="none" w:sz="0" w:space="0" w:color="auto"/>
        <w:bottom w:val="none" w:sz="0" w:space="0" w:color="auto"/>
        <w:right w:val="none" w:sz="0" w:space="0" w:color="auto"/>
      </w:divBdr>
    </w:div>
    <w:div w:id="1697922370">
      <w:bodyDiv w:val="1"/>
      <w:marLeft w:val="0"/>
      <w:marRight w:val="0"/>
      <w:marTop w:val="0"/>
      <w:marBottom w:val="0"/>
      <w:divBdr>
        <w:top w:val="none" w:sz="0" w:space="0" w:color="auto"/>
        <w:left w:val="none" w:sz="0" w:space="0" w:color="auto"/>
        <w:bottom w:val="none" w:sz="0" w:space="0" w:color="auto"/>
        <w:right w:val="none" w:sz="0" w:space="0" w:color="auto"/>
      </w:divBdr>
    </w:div>
    <w:div w:id="1723410065">
      <w:bodyDiv w:val="1"/>
      <w:marLeft w:val="0"/>
      <w:marRight w:val="0"/>
      <w:marTop w:val="0"/>
      <w:marBottom w:val="0"/>
      <w:divBdr>
        <w:top w:val="none" w:sz="0" w:space="0" w:color="auto"/>
        <w:left w:val="none" w:sz="0" w:space="0" w:color="auto"/>
        <w:bottom w:val="none" w:sz="0" w:space="0" w:color="auto"/>
        <w:right w:val="none" w:sz="0" w:space="0" w:color="auto"/>
      </w:divBdr>
    </w:div>
    <w:div w:id="1738243650">
      <w:bodyDiv w:val="1"/>
      <w:marLeft w:val="0"/>
      <w:marRight w:val="0"/>
      <w:marTop w:val="0"/>
      <w:marBottom w:val="0"/>
      <w:divBdr>
        <w:top w:val="none" w:sz="0" w:space="0" w:color="auto"/>
        <w:left w:val="none" w:sz="0" w:space="0" w:color="auto"/>
        <w:bottom w:val="none" w:sz="0" w:space="0" w:color="auto"/>
        <w:right w:val="none" w:sz="0" w:space="0" w:color="auto"/>
      </w:divBdr>
    </w:div>
    <w:div w:id="1739402137">
      <w:bodyDiv w:val="1"/>
      <w:marLeft w:val="0"/>
      <w:marRight w:val="0"/>
      <w:marTop w:val="0"/>
      <w:marBottom w:val="0"/>
      <w:divBdr>
        <w:top w:val="none" w:sz="0" w:space="0" w:color="auto"/>
        <w:left w:val="none" w:sz="0" w:space="0" w:color="auto"/>
        <w:bottom w:val="none" w:sz="0" w:space="0" w:color="auto"/>
        <w:right w:val="none" w:sz="0" w:space="0" w:color="auto"/>
      </w:divBdr>
    </w:div>
    <w:div w:id="1771008415">
      <w:bodyDiv w:val="1"/>
      <w:marLeft w:val="0"/>
      <w:marRight w:val="0"/>
      <w:marTop w:val="0"/>
      <w:marBottom w:val="0"/>
      <w:divBdr>
        <w:top w:val="none" w:sz="0" w:space="0" w:color="auto"/>
        <w:left w:val="none" w:sz="0" w:space="0" w:color="auto"/>
        <w:bottom w:val="none" w:sz="0" w:space="0" w:color="auto"/>
        <w:right w:val="none" w:sz="0" w:space="0" w:color="auto"/>
      </w:divBdr>
    </w:div>
    <w:div w:id="1858351005">
      <w:bodyDiv w:val="1"/>
      <w:marLeft w:val="0"/>
      <w:marRight w:val="0"/>
      <w:marTop w:val="0"/>
      <w:marBottom w:val="0"/>
      <w:divBdr>
        <w:top w:val="none" w:sz="0" w:space="0" w:color="auto"/>
        <w:left w:val="none" w:sz="0" w:space="0" w:color="auto"/>
        <w:bottom w:val="none" w:sz="0" w:space="0" w:color="auto"/>
        <w:right w:val="none" w:sz="0" w:space="0" w:color="auto"/>
      </w:divBdr>
    </w:div>
    <w:div w:id="1860965939">
      <w:bodyDiv w:val="1"/>
      <w:marLeft w:val="0"/>
      <w:marRight w:val="0"/>
      <w:marTop w:val="0"/>
      <w:marBottom w:val="0"/>
      <w:divBdr>
        <w:top w:val="none" w:sz="0" w:space="0" w:color="auto"/>
        <w:left w:val="none" w:sz="0" w:space="0" w:color="auto"/>
        <w:bottom w:val="none" w:sz="0" w:space="0" w:color="auto"/>
        <w:right w:val="none" w:sz="0" w:space="0" w:color="auto"/>
      </w:divBdr>
    </w:div>
    <w:div w:id="1862234091">
      <w:bodyDiv w:val="1"/>
      <w:marLeft w:val="0"/>
      <w:marRight w:val="0"/>
      <w:marTop w:val="0"/>
      <w:marBottom w:val="0"/>
      <w:divBdr>
        <w:top w:val="none" w:sz="0" w:space="0" w:color="auto"/>
        <w:left w:val="none" w:sz="0" w:space="0" w:color="auto"/>
        <w:bottom w:val="none" w:sz="0" w:space="0" w:color="auto"/>
        <w:right w:val="none" w:sz="0" w:space="0" w:color="auto"/>
      </w:divBdr>
    </w:div>
    <w:div w:id="1874072743">
      <w:bodyDiv w:val="1"/>
      <w:marLeft w:val="0"/>
      <w:marRight w:val="0"/>
      <w:marTop w:val="0"/>
      <w:marBottom w:val="0"/>
      <w:divBdr>
        <w:top w:val="none" w:sz="0" w:space="0" w:color="auto"/>
        <w:left w:val="none" w:sz="0" w:space="0" w:color="auto"/>
        <w:bottom w:val="none" w:sz="0" w:space="0" w:color="auto"/>
        <w:right w:val="none" w:sz="0" w:space="0" w:color="auto"/>
      </w:divBdr>
    </w:div>
    <w:div w:id="1892618683">
      <w:bodyDiv w:val="1"/>
      <w:marLeft w:val="0"/>
      <w:marRight w:val="0"/>
      <w:marTop w:val="0"/>
      <w:marBottom w:val="0"/>
      <w:divBdr>
        <w:top w:val="none" w:sz="0" w:space="0" w:color="auto"/>
        <w:left w:val="none" w:sz="0" w:space="0" w:color="auto"/>
        <w:bottom w:val="none" w:sz="0" w:space="0" w:color="auto"/>
        <w:right w:val="none" w:sz="0" w:space="0" w:color="auto"/>
      </w:divBdr>
    </w:div>
    <w:div w:id="1922787405">
      <w:bodyDiv w:val="1"/>
      <w:marLeft w:val="0"/>
      <w:marRight w:val="0"/>
      <w:marTop w:val="0"/>
      <w:marBottom w:val="0"/>
      <w:divBdr>
        <w:top w:val="none" w:sz="0" w:space="0" w:color="auto"/>
        <w:left w:val="none" w:sz="0" w:space="0" w:color="auto"/>
        <w:bottom w:val="none" w:sz="0" w:space="0" w:color="auto"/>
        <w:right w:val="none" w:sz="0" w:space="0" w:color="auto"/>
      </w:divBdr>
    </w:div>
    <w:div w:id="1928344302">
      <w:bodyDiv w:val="1"/>
      <w:marLeft w:val="0"/>
      <w:marRight w:val="0"/>
      <w:marTop w:val="0"/>
      <w:marBottom w:val="0"/>
      <w:divBdr>
        <w:top w:val="none" w:sz="0" w:space="0" w:color="auto"/>
        <w:left w:val="none" w:sz="0" w:space="0" w:color="auto"/>
        <w:bottom w:val="none" w:sz="0" w:space="0" w:color="auto"/>
        <w:right w:val="none" w:sz="0" w:space="0" w:color="auto"/>
      </w:divBdr>
    </w:div>
    <w:div w:id="1930430269">
      <w:bodyDiv w:val="1"/>
      <w:marLeft w:val="0"/>
      <w:marRight w:val="0"/>
      <w:marTop w:val="0"/>
      <w:marBottom w:val="0"/>
      <w:divBdr>
        <w:top w:val="none" w:sz="0" w:space="0" w:color="auto"/>
        <w:left w:val="none" w:sz="0" w:space="0" w:color="auto"/>
        <w:bottom w:val="none" w:sz="0" w:space="0" w:color="auto"/>
        <w:right w:val="none" w:sz="0" w:space="0" w:color="auto"/>
      </w:divBdr>
    </w:div>
    <w:div w:id="1947499741">
      <w:bodyDiv w:val="1"/>
      <w:marLeft w:val="0"/>
      <w:marRight w:val="0"/>
      <w:marTop w:val="0"/>
      <w:marBottom w:val="0"/>
      <w:divBdr>
        <w:top w:val="none" w:sz="0" w:space="0" w:color="auto"/>
        <w:left w:val="none" w:sz="0" w:space="0" w:color="auto"/>
        <w:bottom w:val="none" w:sz="0" w:space="0" w:color="auto"/>
        <w:right w:val="none" w:sz="0" w:space="0" w:color="auto"/>
      </w:divBdr>
    </w:div>
    <w:div w:id="1954824198">
      <w:bodyDiv w:val="1"/>
      <w:marLeft w:val="0"/>
      <w:marRight w:val="0"/>
      <w:marTop w:val="0"/>
      <w:marBottom w:val="0"/>
      <w:divBdr>
        <w:top w:val="none" w:sz="0" w:space="0" w:color="auto"/>
        <w:left w:val="none" w:sz="0" w:space="0" w:color="auto"/>
        <w:bottom w:val="none" w:sz="0" w:space="0" w:color="auto"/>
        <w:right w:val="none" w:sz="0" w:space="0" w:color="auto"/>
      </w:divBdr>
    </w:div>
    <w:div w:id="1958289034">
      <w:bodyDiv w:val="1"/>
      <w:marLeft w:val="0"/>
      <w:marRight w:val="0"/>
      <w:marTop w:val="0"/>
      <w:marBottom w:val="0"/>
      <w:divBdr>
        <w:top w:val="none" w:sz="0" w:space="0" w:color="auto"/>
        <w:left w:val="none" w:sz="0" w:space="0" w:color="auto"/>
        <w:bottom w:val="none" w:sz="0" w:space="0" w:color="auto"/>
        <w:right w:val="none" w:sz="0" w:space="0" w:color="auto"/>
      </w:divBdr>
    </w:div>
    <w:div w:id="1968122977">
      <w:bodyDiv w:val="1"/>
      <w:marLeft w:val="0"/>
      <w:marRight w:val="0"/>
      <w:marTop w:val="0"/>
      <w:marBottom w:val="0"/>
      <w:divBdr>
        <w:top w:val="none" w:sz="0" w:space="0" w:color="auto"/>
        <w:left w:val="none" w:sz="0" w:space="0" w:color="auto"/>
        <w:bottom w:val="none" w:sz="0" w:space="0" w:color="auto"/>
        <w:right w:val="none" w:sz="0" w:space="0" w:color="auto"/>
      </w:divBdr>
    </w:div>
    <w:div w:id="1982885175">
      <w:bodyDiv w:val="1"/>
      <w:marLeft w:val="0"/>
      <w:marRight w:val="0"/>
      <w:marTop w:val="0"/>
      <w:marBottom w:val="0"/>
      <w:divBdr>
        <w:top w:val="none" w:sz="0" w:space="0" w:color="auto"/>
        <w:left w:val="none" w:sz="0" w:space="0" w:color="auto"/>
        <w:bottom w:val="none" w:sz="0" w:space="0" w:color="auto"/>
        <w:right w:val="none" w:sz="0" w:space="0" w:color="auto"/>
      </w:divBdr>
    </w:div>
    <w:div w:id="1996492791">
      <w:bodyDiv w:val="1"/>
      <w:marLeft w:val="0"/>
      <w:marRight w:val="0"/>
      <w:marTop w:val="0"/>
      <w:marBottom w:val="0"/>
      <w:divBdr>
        <w:top w:val="none" w:sz="0" w:space="0" w:color="auto"/>
        <w:left w:val="none" w:sz="0" w:space="0" w:color="auto"/>
        <w:bottom w:val="none" w:sz="0" w:space="0" w:color="auto"/>
        <w:right w:val="none" w:sz="0" w:space="0" w:color="auto"/>
      </w:divBdr>
    </w:div>
    <w:div w:id="2009358721">
      <w:bodyDiv w:val="1"/>
      <w:marLeft w:val="0"/>
      <w:marRight w:val="0"/>
      <w:marTop w:val="0"/>
      <w:marBottom w:val="0"/>
      <w:divBdr>
        <w:top w:val="none" w:sz="0" w:space="0" w:color="auto"/>
        <w:left w:val="none" w:sz="0" w:space="0" w:color="auto"/>
        <w:bottom w:val="none" w:sz="0" w:space="0" w:color="auto"/>
        <w:right w:val="none" w:sz="0" w:space="0" w:color="auto"/>
      </w:divBdr>
    </w:div>
    <w:div w:id="2031487717">
      <w:bodyDiv w:val="1"/>
      <w:marLeft w:val="0"/>
      <w:marRight w:val="0"/>
      <w:marTop w:val="0"/>
      <w:marBottom w:val="0"/>
      <w:divBdr>
        <w:top w:val="none" w:sz="0" w:space="0" w:color="auto"/>
        <w:left w:val="none" w:sz="0" w:space="0" w:color="auto"/>
        <w:bottom w:val="none" w:sz="0" w:space="0" w:color="auto"/>
        <w:right w:val="none" w:sz="0" w:space="0" w:color="auto"/>
      </w:divBdr>
    </w:div>
    <w:div w:id="2083335420">
      <w:bodyDiv w:val="1"/>
      <w:marLeft w:val="0"/>
      <w:marRight w:val="0"/>
      <w:marTop w:val="0"/>
      <w:marBottom w:val="0"/>
      <w:divBdr>
        <w:top w:val="none" w:sz="0" w:space="0" w:color="auto"/>
        <w:left w:val="none" w:sz="0" w:space="0" w:color="auto"/>
        <w:bottom w:val="none" w:sz="0" w:space="0" w:color="auto"/>
        <w:right w:val="none" w:sz="0" w:space="0" w:color="auto"/>
      </w:divBdr>
    </w:div>
    <w:div w:id="2094155953">
      <w:bodyDiv w:val="1"/>
      <w:marLeft w:val="0"/>
      <w:marRight w:val="0"/>
      <w:marTop w:val="0"/>
      <w:marBottom w:val="0"/>
      <w:divBdr>
        <w:top w:val="none" w:sz="0" w:space="0" w:color="auto"/>
        <w:left w:val="none" w:sz="0" w:space="0" w:color="auto"/>
        <w:bottom w:val="none" w:sz="0" w:space="0" w:color="auto"/>
        <w:right w:val="none" w:sz="0" w:space="0" w:color="auto"/>
      </w:divBdr>
    </w:div>
    <w:div w:id="2101829549">
      <w:bodyDiv w:val="1"/>
      <w:marLeft w:val="0"/>
      <w:marRight w:val="0"/>
      <w:marTop w:val="0"/>
      <w:marBottom w:val="0"/>
      <w:divBdr>
        <w:top w:val="none" w:sz="0" w:space="0" w:color="auto"/>
        <w:left w:val="none" w:sz="0" w:space="0" w:color="auto"/>
        <w:bottom w:val="none" w:sz="0" w:space="0" w:color="auto"/>
        <w:right w:val="none" w:sz="0" w:space="0" w:color="auto"/>
      </w:divBdr>
    </w:div>
    <w:div w:id="2106804953">
      <w:bodyDiv w:val="1"/>
      <w:marLeft w:val="0"/>
      <w:marRight w:val="0"/>
      <w:marTop w:val="0"/>
      <w:marBottom w:val="0"/>
      <w:divBdr>
        <w:top w:val="none" w:sz="0" w:space="0" w:color="auto"/>
        <w:left w:val="none" w:sz="0" w:space="0" w:color="auto"/>
        <w:bottom w:val="none" w:sz="0" w:space="0" w:color="auto"/>
        <w:right w:val="none" w:sz="0" w:space="0" w:color="auto"/>
      </w:divBdr>
    </w:div>
    <w:div w:id="2137214053">
      <w:bodyDiv w:val="1"/>
      <w:marLeft w:val="0"/>
      <w:marRight w:val="0"/>
      <w:marTop w:val="0"/>
      <w:marBottom w:val="0"/>
      <w:divBdr>
        <w:top w:val="none" w:sz="0" w:space="0" w:color="auto"/>
        <w:left w:val="none" w:sz="0" w:space="0" w:color="auto"/>
        <w:bottom w:val="none" w:sz="0" w:space="0" w:color="auto"/>
        <w:right w:val="none" w:sz="0" w:space="0" w:color="auto"/>
      </w:divBdr>
    </w:div>
    <w:div w:id="2139061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roquest.com/pubidlinkhandler/sng/pubtitle/Journal+of+Economic+Literature/$N/$N/40735/PagePdf/213225058/A64165F48AAF4AD4PQ/1?accountid=130472"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8" ma:contentTypeDescription="Create a new document." ma:contentTypeScope="" ma:versionID="927f18e67df6385c286c2f910a8bbc58">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9649eff04cd2f951cacaadd3d17355ef"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CB7BD2-2E94-4091-A1B1-E0B80FB1C071}">
  <ds:schemaRefs>
    <ds:schemaRef ds:uri="http://schemas.openxmlformats.org/officeDocument/2006/bibliography"/>
  </ds:schemaRefs>
</ds:datastoreItem>
</file>

<file path=customXml/itemProps2.xml><?xml version="1.0" encoding="utf-8"?>
<ds:datastoreItem xmlns:ds="http://schemas.openxmlformats.org/officeDocument/2006/customXml" ds:itemID="{69B4F020-256D-4420-B21F-B3E416922856}">
  <ds:schemaRefs>
    <ds:schemaRef ds:uri="http://schemas.microsoft.com/sharepoint/v3/contenttype/forms"/>
  </ds:schemaRefs>
</ds:datastoreItem>
</file>

<file path=customXml/itemProps3.xml><?xml version="1.0" encoding="utf-8"?>
<ds:datastoreItem xmlns:ds="http://schemas.openxmlformats.org/officeDocument/2006/customXml" ds:itemID="{19B0A8B9-5D03-4BA6-9C75-266CC0EBCF95}">
  <ds:schemaRefs>
    <ds:schemaRef ds:uri="http://schemas.microsoft.com/office/2006/metadata/properties"/>
    <ds:schemaRef ds:uri="http://purl.org/dc/terms/"/>
    <ds:schemaRef ds:uri="http://purl.org/dc/elements/1.1/"/>
    <ds:schemaRef ds:uri="1b88a2b3-a887-4da5-bc58-1cd6fd79184b"/>
    <ds:schemaRef ds:uri="http://schemas.microsoft.com/office/2006/documentManagement/types"/>
    <ds:schemaRef ds:uri="http://www.w3.org/XML/1998/namespace"/>
    <ds:schemaRef ds:uri="http://purl.org/dc/dcmitype/"/>
    <ds:schemaRef ds:uri="http://schemas.microsoft.com/office/infopath/2007/PartnerControls"/>
    <ds:schemaRef ds:uri="http://schemas.openxmlformats.org/package/2006/metadata/core-properties"/>
    <ds:schemaRef ds:uri="791995b0-624b-4c5a-90b4-d742ddd9de15"/>
  </ds:schemaRefs>
</ds:datastoreItem>
</file>

<file path=customXml/itemProps4.xml><?xml version="1.0" encoding="utf-8"?>
<ds:datastoreItem xmlns:ds="http://schemas.openxmlformats.org/officeDocument/2006/customXml" ds:itemID="{601AA01A-CDF8-47C6-9739-9220C49C3C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5624</Words>
  <Characters>32063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Bikash Roy (2010168)</dc:creator>
  <cp:keywords/>
  <dc:description/>
  <cp:lastModifiedBy>Bikash Roy (2010168)</cp:lastModifiedBy>
  <cp:revision>2</cp:revision>
  <dcterms:created xsi:type="dcterms:W3CDTF">2024-08-20T11:31:00Z</dcterms:created>
  <dcterms:modified xsi:type="dcterms:W3CDTF">2024-08-20T11:31:00Z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