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4A16D8F3">
      <w:pPr>
        <w:pStyle w:val="style0"/>
        <w:widowControl w:val="false"/>
        <w:autoSpaceDE w:val="false"/>
        <w:autoSpaceDN w:val="false"/>
        <w:ind w:left="2408"/>
        <w:rPr>
          <w:rFonts w:cs="Trebuchet MS" w:eastAsia="Trebuchet MS" w:hAnsi="Trebuchet MS"/>
          <w:sz w:val="20"/>
        </w:rPr>
      </w:pPr>
      <w:r>
        <w:rPr>
          <w:rFonts w:cs="Trebuchet MS" w:eastAsia="Trebuchet MS" w:hAnsi="Trebuchet MS"/>
          <w:noProof/>
          <w:sz w:val="20"/>
          <w:lang w:val="en-AU" w:eastAsia="en-AU"/>
        </w:rPr>
        <w:drawing>
          <wp:inline distL="0" distT="0" distB="0" distR="0">
            <wp:extent cx="2739980" cy="561975"/>
            <wp:effectExtent l="0" t="0" r="0" b="0"/>
            <wp:docPr id="1026" name="Imag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1"/>
                    <pic:cNvPicPr/>
                  </pic:nvPicPr>
                  <pic:blipFill>
                    <a:blip r:embed="rId2" cstate="print"/>
                    <a:srcRect l="0" t="0" r="0" b="0"/>
                    <a:stretch/>
                  </pic:blipFill>
                  <pic:spPr>
                    <a:xfrm rot="0">
                      <a:off x="0" y="0"/>
                      <a:ext cx="2739980" cy="561975"/>
                    </a:xfrm>
                    <a:prstGeom prst="rect"/>
                  </pic:spPr>
                </pic:pic>
              </a:graphicData>
            </a:graphic>
          </wp:inline>
        </w:drawing>
      </w:r>
    </w:p>
    <w:p w14:paraId="698DAF60">
      <w:pPr>
        <w:pStyle w:val="style0"/>
        <w:widowControl w:val="false"/>
        <w:autoSpaceDE w:val="false"/>
        <w:autoSpaceDN w:val="false"/>
        <w:spacing w:before="284"/>
        <w:ind w:right="2"/>
        <w:jc w:val="center"/>
        <w:rPr>
          <w:rFonts w:ascii="Trebuchet MS" w:cs="Trebuchet MS" w:eastAsia="Trebuchet MS" w:hAnsi="Trebuchet MS"/>
          <w:sz w:val="38"/>
        </w:rPr>
      </w:pPr>
      <w:r>
        <w:rPr>
          <w:rFonts w:ascii="Trebuchet MS" w:cs="Trebuchet MS" w:eastAsia="Trebuchet MS" w:hAnsi="Trebuchet MS"/>
          <w:sz w:val="38"/>
        </w:rPr>
        <w:t>Master</w:t>
      </w:r>
      <w:r>
        <w:rPr>
          <w:rFonts w:ascii="Trebuchet MS" w:cs="Trebuchet MS" w:eastAsia="Trebuchet MS" w:hAnsi="Trebuchet MS"/>
          <w:spacing w:val="-26"/>
          <w:sz w:val="38"/>
        </w:rPr>
        <w:t xml:space="preserve"> </w:t>
      </w:r>
      <w:r>
        <w:rPr>
          <w:rFonts w:ascii="Trebuchet MS" w:cs="Trebuchet MS" w:eastAsia="Trebuchet MS" w:hAnsi="Trebuchet MS"/>
          <w:sz w:val="38"/>
        </w:rPr>
        <w:t>of</w:t>
      </w:r>
      <w:r>
        <w:rPr>
          <w:rFonts w:ascii="Trebuchet MS" w:cs="Trebuchet MS" w:eastAsia="Trebuchet MS" w:hAnsi="Trebuchet MS"/>
          <w:spacing w:val="-22"/>
          <w:sz w:val="38"/>
        </w:rPr>
        <w:t xml:space="preserve"> </w:t>
      </w:r>
      <w:r>
        <w:rPr>
          <w:rFonts w:ascii="Trebuchet MS" w:cs="Trebuchet MS" w:eastAsia="Trebuchet MS" w:hAnsi="Trebuchet MS"/>
          <w:sz w:val="38"/>
        </w:rPr>
        <w:t>Business</w:t>
      </w:r>
      <w:r>
        <w:rPr>
          <w:rFonts w:ascii="Trebuchet MS" w:cs="Trebuchet MS" w:eastAsia="Trebuchet MS" w:hAnsi="Trebuchet MS"/>
          <w:spacing w:val="-24"/>
          <w:sz w:val="38"/>
        </w:rPr>
        <w:t xml:space="preserve"> </w:t>
      </w:r>
      <w:r>
        <w:rPr>
          <w:rFonts w:ascii="Trebuchet MS" w:cs="Trebuchet MS" w:eastAsia="Trebuchet MS" w:hAnsi="Trebuchet MS"/>
          <w:spacing w:val="-2"/>
          <w:sz w:val="38"/>
        </w:rPr>
        <w:t>Administration</w:t>
      </w:r>
    </w:p>
    <w:p w14:paraId="7B8DF28D">
      <w:pPr>
        <w:pStyle w:val="style0"/>
        <w:widowControl w:val="false"/>
        <w:autoSpaceDE w:val="false"/>
        <w:autoSpaceDN w:val="false"/>
        <w:spacing w:before="180"/>
        <w:ind w:left="2" w:right="1"/>
        <w:jc w:val="center"/>
        <w:rPr>
          <w:rFonts w:ascii="Trebuchet MS" w:cs="Trebuchet MS" w:eastAsia="Trebuchet MS" w:hAnsi="Trebuchet MS"/>
          <w:sz w:val="32"/>
        </w:rPr>
      </w:pPr>
      <w:r>
        <w:rPr>
          <w:rFonts w:ascii="Trebuchet MS" w:cs="Trebuchet MS" w:eastAsia="Trebuchet MS" w:hAnsi="Trebuchet MS"/>
          <w:spacing w:val="-4"/>
          <w:sz w:val="32"/>
        </w:rPr>
        <w:t>International</w:t>
      </w:r>
      <w:r>
        <w:rPr>
          <w:rFonts w:ascii="Trebuchet MS" w:cs="Trebuchet MS" w:eastAsia="Trebuchet MS" w:hAnsi="Trebuchet MS"/>
          <w:spacing w:val="-17"/>
          <w:sz w:val="32"/>
        </w:rPr>
        <w:t xml:space="preserve"> </w:t>
      </w:r>
      <w:r>
        <w:rPr>
          <w:rFonts w:ascii="Trebuchet MS" w:cs="Trebuchet MS" w:eastAsia="Trebuchet MS" w:hAnsi="Trebuchet MS"/>
          <w:spacing w:val="-4"/>
          <w:sz w:val="32"/>
        </w:rPr>
        <w:t>Business</w:t>
      </w:r>
      <w:r>
        <w:rPr>
          <w:rFonts w:ascii="Trebuchet MS" w:cs="Trebuchet MS" w:eastAsia="Trebuchet MS" w:hAnsi="Trebuchet MS"/>
          <w:spacing w:val="-19"/>
          <w:sz w:val="32"/>
        </w:rPr>
        <w:t xml:space="preserve"> </w:t>
      </w:r>
      <w:r>
        <w:rPr>
          <w:rFonts w:ascii="Trebuchet MS" w:cs="Trebuchet MS" w:eastAsia="Trebuchet MS" w:hAnsi="Trebuchet MS"/>
          <w:spacing w:val="-4"/>
          <w:sz w:val="32"/>
        </w:rPr>
        <w:t>pathway</w:t>
      </w:r>
    </w:p>
    <w:p w14:paraId="0F9F1505">
      <w:pPr>
        <w:pStyle w:val="style0"/>
        <w:widowControl w:val="false"/>
        <w:autoSpaceDE w:val="false"/>
        <w:autoSpaceDN w:val="false"/>
        <w:rPr>
          <w:rFonts w:ascii="Trebuchet MS" w:cs="Trebuchet MS" w:eastAsia="Trebuchet MS" w:hAnsi="Trebuchet MS"/>
          <w:sz w:val="20"/>
          <w:szCs w:val="24"/>
        </w:rPr>
      </w:pPr>
    </w:p>
    <w:p w14:paraId="64F615CA">
      <w:pPr>
        <w:pStyle w:val="style0"/>
        <w:widowControl w:val="false"/>
        <w:autoSpaceDE w:val="false"/>
        <w:autoSpaceDN w:val="false"/>
        <w:rPr>
          <w:rFonts w:ascii="Trebuchet MS" w:cs="Trebuchet MS" w:eastAsia="Trebuchet MS" w:hAnsi="Trebuchet MS"/>
          <w:sz w:val="20"/>
          <w:szCs w:val="24"/>
        </w:rPr>
      </w:pPr>
    </w:p>
    <w:p w14:paraId="4FAED055">
      <w:pPr>
        <w:pStyle w:val="style0"/>
        <w:widowControl w:val="false"/>
        <w:autoSpaceDE w:val="false"/>
        <w:autoSpaceDN w:val="false"/>
        <w:spacing w:before="14"/>
        <w:rPr>
          <w:rFonts w:ascii="Trebuchet MS" w:cs="Trebuchet MS" w:eastAsia="Trebuchet MS" w:hAnsi="Trebuchet MS"/>
          <w:sz w:val="20"/>
          <w:szCs w:val="24"/>
        </w:rPr>
      </w:pPr>
      <w:r>
        <w:rPr>
          <w:rFonts w:ascii="Trebuchet MS" w:cs="Trebuchet MS" w:eastAsia="Trebuchet MS" w:hAnsi="Trebuchet MS"/>
          <w:noProof/>
          <w:sz w:val="20"/>
          <w:szCs w:val="24"/>
          <w:lang w:val="en-AU" w:eastAsia="en-AU"/>
        </w:rPr>
        <w:drawing>
          <wp:anchor distT="0" distB="0" distL="0" distR="0" simplePos="false" relativeHeight="2" behindDoc="true" locked="false" layoutInCell="true" allowOverlap="true">
            <wp:simplePos x="0" y="0"/>
            <wp:positionH relativeFrom="page">
              <wp:posOffset>2647950</wp:posOffset>
            </wp:positionH>
            <wp:positionV relativeFrom="paragraph">
              <wp:posOffset>170815</wp:posOffset>
            </wp:positionV>
            <wp:extent cx="2252343" cy="2028825"/>
            <wp:effectExtent l="0" t="0" r="0" b="9525"/>
            <wp:wrapTopAndBottom/>
            <wp:docPr id="1027" name="Imag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 2"/>
                    <pic:cNvPicPr/>
                  </pic:nvPicPr>
                  <pic:blipFill>
                    <a:blip r:embed="rId3" cstate="print"/>
                    <a:srcRect l="0" t="0" r="0" b="0"/>
                    <a:stretch/>
                  </pic:blipFill>
                  <pic:spPr>
                    <a:xfrm rot="0">
                      <a:off x="0" y="0"/>
                      <a:ext cx="2252343" cy="2028825"/>
                    </a:xfrm>
                    <a:prstGeom prst="rect"/>
                  </pic:spPr>
                </pic:pic>
              </a:graphicData>
            </a:graphic>
            <wp14:sizeRelV relativeFrom="margin">
              <wp14:pctHeight>0</wp14:pctHeight>
            </wp14:sizeRelV>
          </wp:anchor>
        </w:drawing>
      </w:r>
    </w:p>
    <w:p w14:paraId="007B2094">
      <w:pPr>
        <w:pStyle w:val="style0"/>
        <w:widowControl w:val="false"/>
        <w:autoSpaceDE w:val="false"/>
        <w:autoSpaceDN w:val="false"/>
        <w:spacing w:before="237"/>
        <w:ind w:left="1" w:right="2"/>
        <w:jc w:val="center"/>
        <w:outlineLvl w:val="0"/>
        <w:rPr>
          <w:rFonts w:ascii="Trebuchet MS" w:cs="Trebuchet MS" w:eastAsia="Trebuchet MS" w:hAnsi="Trebuchet MS"/>
          <w:b/>
          <w:bCs/>
          <w:sz w:val="48"/>
          <w:szCs w:val="48"/>
        </w:rPr>
      </w:pPr>
    </w:p>
    <w:p w14:paraId="0E9D7D20">
      <w:pPr>
        <w:pStyle w:val="style0"/>
        <w:widowControl w:val="false"/>
        <w:autoSpaceDE w:val="false"/>
        <w:autoSpaceDN w:val="false"/>
        <w:spacing w:before="286"/>
        <w:ind w:left="1819"/>
        <w:rPr>
          <w:rFonts w:ascii="Trebuchet MS" w:cs="Trebuchet MS" w:eastAsia="Trebuchet MS" w:hAnsi="Trebuchet MS"/>
          <w:sz w:val="28"/>
        </w:rPr>
      </w:pPr>
      <w:r>
        <w:rPr>
          <w:rFonts w:ascii="Arial" w:cs="宋体" w:eastAsia="宋体" w:hAnsi="Arial" w:hint="default"/>
          <w:b w:val="false"/>
          <w:bCs w:val="false"/>
          <w:i w:val="false"/>
          <w:iCs w:val="false"/>
          <w:color w:val="auto"/>
          <w:spacing w:val="-6"/>
          <w:kern w:val="0"/>
          <w:sz w:val="28"/>
          <w:szCs w:val="28"/>
          <w:highlight w:val="none"/>
          <w:vertAlign w:val="baseline"/>
          <w:em w:val="none"/>
          <w:lang w:val="en-AU" w:eastAsia="zh-CN"/>
        </w:rPr>
        <w:t>Assessment</w:t>
      </w:r>
      <w:r>
        <w:rPr>
          <w:rFonts w:ascii="Arial" w:cs="宋体" w:eastAsia="宋体" w:hAnsi="Arial" w:hint="default"/>
          <w:b w:val="false"/>
          <w:bCs w:val="false"/>
          <w:i w:val="false"/>
          <w:iCs w:val="false"/>
          <w:color w:val="auto"/>
          <w:spacing w:val="-23"/>
          <w:kern w:val="0"/>
          <w:sz w:val="28"/>
          <w:szCs w:val="28"/>
          <w:highlight w:val="none"/>
          <w:vertAlign w:val="baseline"/>
          <w:em w:val="none"/>
          <w:lang w:val="en-AU" w:eastAsia="zh-CN"/>
        </w:rPr>
        <w:t xml:space="preserve"> </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1:</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 xml:space="preserve"> </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Individual</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 xml:space="preserve"> </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report.</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 xml:space="preserve"> </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Weight:</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 xml:space="preserve"> </w:t>
      </w:r>
      <w:r>
        <w:rPr>
          <w:rFonts w:ascii="Arial" w:cs="宋体" w:eastAsia="宋体" w:hAnsi="Arial" w:hint="default"/>
          <w:b w:val="false"/>
          <w:bCs w:val="false"/>
          <w:i w:val="false"/>
          <w:iCs w:val="false"/>
          <w:color w:val="auto"/>
          <w:kern w:val="0"/>
          <w:sz w:val="28"/>
          <w:szCs w:val="28"/>
          <w:highlight w:val="none"/>
          <w:vertAlign w:val="baseline"/>
          <w:em w:val="none"/>
          <w:lang w:val="en-US" w:eastAsia="zh-CN"/>
        </w:rPr>
        <w:t>10</w:t>
      </w:r>
      <w:r>
        <w:rPr>
          <w:rFonts w:ascii="Arial" w:cs="宋体" w:eastAsia="宋体" w:hAnsi="Arial" w:hint="default"/>
          <w:b w:val="false"/>
          <w:bCs w:val="false"/>
          <w:i w:val="false"/>
          <w:iCs w:val="false"/>
          <w:color w:val="auto"/>
          <w:kern w:val="0"/>
          <w:sz w:val="28"/>
          <w:szCs w:val="28"/>
          <w:highlight w:val="none"/>
          <w:vertAlign w:val="baseline"/>
          <w:em w:val="none"/>
          <w:lang w:val="en-AU" w:eastAsia="zh-CN"/>
        </w:rPr>
        <w:t>0%</w:t>
      </w:r>
    </w:p>
    <w:p w14:paraId="52FBBE6A">
      <w:pPr>
        <w:pStyle w:val="style0"/>
        <w:rPr>
          <w:rFonts w:ascii="Trebuchet MS" w:cs="Trebuchet MS" w:eastAsia="Trebuchet MS" w:hAnsi="Trebuchet MS"/>
          <w:b/>
          <w:sz w:val="28"/>
        </w:rPr>
      </w:pPr>
    </w:p>
    <w:p w14:paraId="2131975E">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Module name: International Marketing: Principles and Practices</w:t>
      </w:r>
    </w:p>
    <w:p w14:paraId="4229824E">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Module code: LCAM7026</w:t>
      </w:r>
    </w:p>
    <w:p w14:paraId="1ECE3075">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cs="Helvetica" w:hAnsi="Trebuchet MS"/>
          <w:b/>
          <w:bCs/>
          <w:color w:val="000000"/>
          <w:sz w:val="27"/>
          <w:szCs w:val="27"/>
          <w:lang w:val="en-US"/>
        </w:rPr>
        <w:t xml:space="preserve">Company Name: Adidas </w:t>
      </w:r>
    </w:p>
    <w:p w14:paraId="4094AD33">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Lecturer name: Dr Amir Homayounfard</w:t>
      </w:r>
    </w:p>
    <w:p w14:paraId="759F18F7">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 xml:space="preserve">Student name: Henil Rajeshbhai Jasoliya </w:t>
      </w:r>
    </w:p>
    <w:bookmarkStart w:id="0" w:name="_GoBack"/>
    <w:bookmarkEnd w:id="0"/>
    <w:p w14:paraId="3F5791B2">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Student ID: 25323</w:t>
      </w:r>
      <w:r>
        <w:rPr>
          <w:rFonts w:cs="Helvetica" w:hAnsi="Trebuchet MS"/>
          <w:b/>
          <w:bCs/>
          <w:color w:val="000000"/>
          <w:sz w:val="27"/>
          <w:szCs w:val="27"/>
          <w:lang w:val="en-US"/>
        </w:rPr>
        <w:t>66</w:t>
      </w:r>
    </w:p>
    <w:p w14:paraId="0103E24F">
      <w:pPr>
        <w:pStyle w:val="style94"/>
        <w:shd w:val="clear" w:color="auto" w:fill="ffffff"/>
        <w:spacing w:before="0" w:beforeAutospacing="false" w:after="150" w:afterAutospacing="false" w:lineRule="auto" w:line="360"/>
        <w:jc w:val="both"/>
        <w:rPr>
          <w:rFonts w:ascii="Trebuchet MS" w:cs="Helvetica" w:hAnsi="Trebuchet MS"/>
          <w:b/>
          <w:bCs/>
          <w:color w:val="000000"/>
          <w:sz w:val="27"/>
          <w:szCs w:val="27"/>
        </w:rPr>
      </w:pPr>
      <w:r>
        <w:rPr>
          <w:rFonts w:ascii="Trebuchet MS" w:cs="Helvetica" w:hAnsi="Trebuchet MS"/>
          <w:b/>
          <w:bCs/>
          <w:color w:val="000000"/>
          <w:sz w:val="27"/>
          <w:szCs w:val="27"/>
        </w:rPr>
        <w:t>Word count:</w:t>
      </w:r>
      <w:r>
        <w:rPr>
          <w:rFonts w:cs="Helvetica" w:hAnsi="Trebuchet MS"/>
          <w:b/>
          <w:bCs/>
          <w:color w:val="000000"/>
          <w:sz w:val="27"/>
          <w:szCs w:val="27"/>
          <w:lang w:val="en-US"/>
        </w:rPr>
        <w:t xml:space="preserve"> 4953</w:t>
      </w:r>
    </w:p>
    <w:p w14:paraId="1D7D3322">
      <w:pPr>
        <w:pStyle w:val="style94"/>
        <w:shd w:val="clear" w:color="auto" w:fill="ffffff"/>
        <w:spacing w:before="0" w:beforeAutospacing="false" w:after="150" w:afterAutospacing="false" w:lineRule="auto" w:line="360"/>
        <w:jc w:val="both"/>
        <w:rPr>
          <w:rFonts w:ascii="Trebuchet MS" w:cs="Trebuchet MS" w:eastAsia="Trebuchet MS" w:hAnsi="Trebuchet MS"/>
          <w:b/>
          <w:sz w:val="28"/>
        </w:rPr>
      </w:pPr>
      <w:r>
        <w:rPr>
          <w:rFonts w:ascii="Trebuchet MS" w:cs="Helvetica" w:hAnsi="Trebuchet MS"/>
          <w:b/>
          <w:bCs/>
          <w:color w:val="000000"/>
          <w:sz w:val="27"/>
          <w:szCs w:val="27"/>
        </w:rPr>
        <w:t>Submission date: 13/08/2026</w:t>
      </w:r>
      <w:r>
        <w:rPr>
          <w:rFonts w:ascii="Trebuchet MS" w:cs="Trebuchet MS" w:eastAsia="Trebuchet MS" w:hAnsi="Trebuchet MS"/>
          <w:b/>
          <w:sz w:val="28"/>
        </w:rPr>
        <w:t xml:space="preserve"> </w:t>
      </w:r>
      <w:r>
        <w:rPr>
          <w:rFonts w:ascii="Trebuchet MS" w:cs="Trebuchet MS" w:eastAsia="Trebuchet MS" w:hAnsi="Trebuchet MS"/>
          <w:b/>
          <w:sz w:val="28"/>
        </w:rPr>
        <w:br w:type="page"/>
      </w:r>
    </w:p>
    <w:p w14:paraId="7512CEFC">
      <w:pPr>
        <w:pStyle w:val="style0"/>
        <w:spacing w:after="80" w:lineRule="auto" w:line="360"/>
        <w:jc w:val="both"/>
        <w:rPr>
          <w:szCs w:val="24"/>
        </w:rPr>
      </w:pPr>
      <w:r>
        <w:rPr>
          <w:szCs w:val="24"/>
        </w:rPr>
        <w:tab/>
      </w:r>
    </w:p>
    <w:p w14:paraId="259F48CC">
      <w:pPr>
        <w:pStyle w:val="style0"/>
        <w:widowControl w:val="false"/>
        <w:autoSpaceDE w:val="false"/>
        <w:autoSpaceDN w:val="false"/>
        <w:spacing w:before="80"/>
        <w:ind w:left="23"/>
        <w:rPr>
          <w:rFonts w:ascii="Trebuchet MS" w:cs="Trebuchet MS" w:eastAsia="Trebuchet MS" w:hAnsi="Trebuchet MS"/>
          <w:sz w:val="40"/>
        </w:rPr>
      </w:pPr>
      <w:r>
        <w:rPr>
          <w:rFonts w:ascii="Trebuchet MS" w:cs="Trebuchet MS" w:eastAsia="Trebuchet MS" w:hAnsi="Trebuchet MS"/>
          <w:color w:val="0e4660"/>
          <w:spacing w:val="-10"/>
          <w:sz w:val="40"/>
        </w:rPr>
        <w:t>AI</w:t>
      </w:r>
      <w:r>
        <w:rPr>
          <w:rFonts w:ascii="Trebuchet MS" w:cs="Trebuchet MS" w:eastAsia="Trebuchet MS" w:hAnsi="Trebuchet MS"/>
          <w:color w:val="0e4660"/>
          <w:spacing w:val="-44"/>
          <w:sz w:val="40"/>
        </w:rPr>
        <w:t xml:space="preserve"> </w:t>
      </w:r>
      <w:r>
        <w:rPr>
          <w:rFonts w:ascii="Trebuchet MS" w:cs="Trebuchet MS" w:eastAsia="Trebuchet MS" w:hAnsi="Trebuchet MS"/>
          <w:color w:val="0e4660"/>
          <w:spacing w:val="-10"/>
          <w:sz w:val="40"/>
        </w:rPr>
        <w:t>use</w:t>
      </w:r>
      <w:r>
        <w:rPr>
          <w:rFonts w:ascii="Trebuchet MS" w:cs="Trebuchet MS" w:eastAsia="Trebuchet MS" w:hAnsi="Trebuchet MS"/>
          <w:color w:val="0e4660"/>
          <w:spacing w:val="-42"/>
          <w:sz w:val="40"/>
        </w:rPr>
        <w:t xml:space="preserve"> </w:t>
      </w:r>
      <w:r>
        <w:rPr>
          <w:rFonts w:ascii="Trebuchet MS" w:cs="Trebuchet MS" w:eastAsia="Trebuchet MS" w:hAnsi="Trebuchet MS"/>
          <w:color w:val="0e4660"/>
          <w:spacing w:val="-10"/>
          <w:sz w:val="40"/>
        </w:rPr>
        <w:t>acknowledgement</w:t>
      </w:r>
    </w:p>
    <w:p w14:paraId="6AB87321">
      <w:pPr>
        <w:pStyle w:val="style0"/>
        <w:widowControl w:val="false"/>
        <w:autoSpaceDE w:val="false"/>
        <w:autoSpaceDN w:val="false"/>
        <w:spacing w:before="180"/>
        <w:ind w:left="23"/>
        <w:outlineLvl w:val="1"/>
        <w:rPr>
          <w:rFonts w:ascii="Trebuchet MS" w:cs="Trebuchet MS" w:eastAsia="Trebuchet MS" w:hAnsi="Trebuchet MS"/>
          <w:b/>
          <w:bCs/>
          <w:sz w:val="24"/>
          <w:szCs w:val="24"/>
        </w:rPr>
      </w:pPr>
      <w:r>
        <w:rPr>
          <w:rFonts w:ascii="Trebuchet MS" w:cs="Trebuchet MS" w:eastAsia="Trebuchet MS" w:hAnsi="Trebuchet MS"/>
          <w:b/>
          <w:bCs/>
          <w:spacing w:val="-4"/>
          <w:sz w:val="24"/>
          <w:szCs w:val="24"/>
          <w:u w:val="single"/>
        </w:rPr>
        <w:t>Note:</w:t>
      </w:r>
      <w:r>
        <w:rPr>
          <w:rFonts w:ascii="Trebuchet MS" w:cs="Trebuchet MS" w:eastAsia="Trebuchet MS" w:hAnsi="Trebuchet MS"/>
          <w:b/>
          <w:bCs/>
          <w:spacing w:val="-15"/>
          <w:sz w:val="24"/>
          <w:szCs w:val="24"/>
          <w:u w:val="single"/>
        </w:rPr>
        <w:t xml:space="preserve"> </w:t>
      </w:r>
      <w:r>
        <w:rPr>
          <w:rFonts w:ascii="Trebuchet MS" w:cs="Trebuchet MS" w:eastAsia="Trebuchet MS" w:hAnsi="Trebuchet MS"/>
          <w:b/>
          <w:bCs/>
          <w:spacing w:val="-4"/>
          <w:sz w:val="24"/>
          <w:szCs w:val="24"/>
          <w:u w:val="single"/>
        </w:rPr>
        <w:t>One</w:t>
      </w:r>
      <w:r>
        <w:rPr>
          <w:rFonts w:ascii="Trebuchet MS" w:cs="Trebuchet MS" w:eastAsia="Trebuchet MS" w:hAnsi="Trebuchet MS"/>
          <w:b/>
          <w:bCs/>
          <w:spacing w:val="-13"/>
          <w:sz w:val="24"/>
          <w:szCs w:val="24"/>
          <w:u w:val="single"/>
        </w:rPr>
        <w:t xml:space="preserve"> </w:t>
      </w:r>
      <w:r>
        <w:rPr>
          <w:rFonts w:ascii="Trebuchet MS" w:cs="Trebuchet MS" w:eastAsia="Trebuchet MS" w:hAnsi="Trebuchet MS"/>
          <w:b/>
          <w:bCs/>
          <w:spacing w:val="-4"/>
          <w:sz w:val="24"/>
          <w:szCs w:val="24"/>
          <w:u w:val="single"/>
        </w:rPr>
        <w:t>acknowledgement</w:t>
      </w:r>
      <w:r>
        <w:rPr>
          <w:rFonts w:ascii="Trebuchet MS" w:cs="Trebuchet MS" w:eastAsia="Trebuchet MS" w:hAnsi="Trebuchet MS"/>
          <w:b/>
          <w:bCs/>
          <w:spacing w:val="-13"/>
          <w:sz w:val="24"/>
          <w:szCs w:val="24"/>
          <w:u w:val="single"/>
        </w:rPr>
        <w:t xml:space="preserve"> </w:t>
      </w:r>
      <w:r>
        <w:rPr>
          <w:rFonts w:ascii="Trebuchet MS" w:cs="Trebuchet MS" w:eastAsia="Trebuchet MS" w:hAnsi="Trebuchet MS"/>
          <w:b/>
          <w:bCs/>
          <w:spacing w:val="-4"/>
          <w:sz w:val="24"/>
          <w:szCs w:val="24"/>
          <w:u w:val="single"/>
        </w:rPr>
        <w:t>is</w:t>
      </w:r>
      <w:r>
        <w:rPr>
          <w:rFonts w:ascii="Trebuchet MS" w:cs="Trebuchet MS" w:eastAsia="Trebuchet MS" w:hAnsi="Trebuchet MS"/>
          <w:b/>
          <w:bCs/>
          <w:spacing w:val="-17"/>
          <w:sz w:val="24"/>
          <w:szCs w:val="24"/>
          <w:u w:val="single"/>
        </w:rPr>
        <w:t xml:space="preserve"> </w:t>
      </w:r>
      <w:r>
        <w:rPr>
          <w:rFonts w:ascii="Trebuchet MS" w:cs="Trebuchet MS" w:eastAsia="Trebuchet MS" w:hAnsi="Trebuchet MS"/>
          <w:b/>
          <w:bCs/>
          <w:spacing w:val="-4"/>
          <w:sz w:val="24"/>
          <w:szCs w:val="24"/>
          <w:u w:val="single"/>
        </w:rPr>
        <w:t>needed</w:t>
      </w:r>
      <w:r>
        <w:rPr>
          <w:rFonts w:ascii="Trebuchet MS" w:cs="Trebuchet MS" w:eastAsia="Trebuchet MS" w:hAnsi="Trebuchet MS"/>
          <w:b/>
          <w:bCs/>
          <w:spacing w:val="-15"/>
          <w:sz w:val="24"/>
          <w:szCs w:val="24"/>
          <w:u w:val="single"/>
        </w:rPr>
        <w:t xml:space="preserve"> </w:t>
      </w:r>
      <w:r>
        <w:rPr>
          <w:rFonts w:ascii="Trebuchet MS" w:cs="Trebuchet MS" w:eastAsia="Trebuchet MS" w:hAnsi="Trebuchet MS"/>
          <w:b/>
          <w:bCs/>
          <w:spacing w:val="-4"/>
          <w:sz w:val="24"/>
          <w:szCs w:val="24"/>
          <w:u w:val="single"/>
        </w:rPr>
        <w:t>for</w:t>
      </w:r>
      <w:r>
        <w:rPr>
          <w:rFonts w:ascii="Trebuchet MS" w:cs="Trebuchet MS" w:eastAsia="Trebuchet MS" w:hAnsi="Trebuchet MS"/>
          <w:b/>
          <w:bCs/>
          <w:spacing w:val="-13"/>
          <w:sz w:val="24"/>
          <w:szCs w:val="24"/>
          <w:u w:val="single"/>
        </w:rPr>
        <w:t xml:space="preserve"> </w:t>
      </w:r>
      <w:r>
        <w:rPr>
          <w:rFonts w:ascii="Trebuchet MS" w:cs="Trebuchet MS" w:eastAsia="Trebuchet MS" w:hAnsi="Trebuchet MS"/>
          <w:b/>
          <w:bCs/>
          <w:spacing w:val="-4"/>
          <w:sz w:val="24"/>
          <w:szCs w:val="24"/>
          <w:u w:val="single"/>
        </w:rPr>
        <w:t>each</w:t>
      </w:r>
      <w:r>
        <w:rPr>
          <w:rFonts w:ascii="Trebuchet MS" w:cs="Trebuchet MS" w:eastAsia="Trebuchet MS" w:hAnsi="Trebuchet MS"/>
          <w:b/>
          <w:bCs/>
          <w:spacing w:val="-5"/>
          <w:sz w:val="24"/>
          <w:szCs w:val="24"/>
          <w:u w:val="single"/>
        </w:rPr>
        <w:t xml:space="preserve"> </w:t>
      </w:r>
      <w:r>
        <w:rPr>
          <w:rFonts w:ascii="Trebuchet MS" w:cs="Trebuchet MS" w:eastAsia="Trebuchet MS" w:hAnsi="Trebuchet MS"/>
          <w:b/>
          <w:bCs/>
          <w:spacing w:val="-4"/>
          <w:sz w:val="24"/>
          <w:szCs w:val="24"/>
          <w:u w:val="single"/>
        </w:rPr>
        <w:t>used</w:t>
      </w:r>
      <w:r>
        <w:rPr>
          <w:rFonts w:ascii="Trebuchet MS" w:cs="Trebuchet MS" w:eastAsia="Trebuchet MS" w:hAnsi="Trebuchet MS"/>
          <w:b/>
          <w:bCs/>
          <w:spacing w:val="-13"/>
          <w:sz w:val="24"/>
          <w:szCs w:val="24"/>
          <w:u w:val="single"/>
        </w:rPr>
        <w:t xml:space="preserve"> </w:t>
      </w:r>
      <w:r>
        <w:rPr>
          <w:rFonts w:ascii="Trebuchet MS" w:cs="Trebuchet MS" w:eastAsia="Trebuchet MS" w:hAnsi="Trebuchet MS"/>
          <w:b/>
          <w:bCs/>
          <w:spacing w:val="-4"/>
          <w:sz w:val="24"/>
          <w:szCs w:val="24"/>
          <w:u w:val="single"/>
        </w:rPr>
        <w:t>AI</w:t>
      </w:r>
      <w:r>
        <w:rPr>
          <w:rFonts w:ascii="Trebuchet MS" w:cs="Trebuchet MS" w:eastAsia="Trebuchet MS" w:hAnsi="Trebuchet MS"/>
          <w:b/>
          <w:bCs/>
          <w:spacing w:val="-15"/>
          <w:sz w:val="24"/>
          <w:szCs w:val="24"/>
          <w:u w:val="single"/>
        </w:rPr>
        <w:t xml:space="preserve"> </w:t>
      </w:r>
      <w:r>
        <w:rPr>
          <w:rFonts w:ascii="Trebuchet MS" w:cs="Trebuchet MS" w:eastAsia="Trebuchet MS" w:hAnsi="Trebuchet MS"/>
          <w:b/>
          <w:bCs/>
          <w:spacing w:val="-4"/>
          <w:sz w:val="24"/>
          <w:szCs w:val="24"/>
          <w:u w:val="single"/>
        </w:rPr>
        <w:t>tool.</w:t>
      </w:r>
    </w:p>
    <w:p w14:paraId="41259B98">
      <w:pPr>
        <w:pStyle w:val="style0"/>
        <w:widowControl w:val="false"/>
        <w:autoSpaceDE w:val="false"/>
        <w:autoSpaceDN w:val="false"/>
        <w:rPr>
          <w:rFonts w:ascii="Trebuchet MS" w:cs="Trebuchet MS" w:eastAsia="Trebuchet MS" w:hAnsi="Trebuchet MS"/>
          <w:b/>
          <w:sz w:val="24"/>
          <w:szCs w:val="24"/>
        </w:rPr>
      </w:pPr>
    </w:p>
    <w:p w14:paraId="5ACEF18E">
      <w:pPr>
        <w:pStyle w:val="style0"/>
        <w:widowControl w:val="false"/>
        <w:autoSpaceDE w:val="false"/>
        <w:autoSpaceDN w:val="false"/>
        <w:spacing w:before="165"/>
        <w:rPr>
          <w:rFonts w:ascii="Trebuchet MS" w:cs="Trebuchet MS" w:eastAsia="Trebuchet MS" w:hAnsi="Trebuchet MS"/>
          <w:b/>
          <w:sz w:val="24"/>
          <w:szCs w:val="24"/>
        </w:rPr>
      </w:pPr>
    </w:p>
    <w:p w14:paraId="5015BE89">
      <w:pPr>
        <w:pStyle w:val="style0"/>
        <w:widowControl w:val="false"/>
        <w:autoSpaceDE w:val="false"/>
        <w:autoSpaceDN w:val="false"/>
        <w:spacing w:lineRule="auto" w:line="292"/>
        <w:ind w:left="23" w:right="73"/>
        <w:rPr>
          <w:rFonts w:ascii="Trebuchet MS" w:cs="Trebuchet MS" w:eastAsia="Trebuchet MS" w:hAnsi="Trebuchet MS"/>
          <w:sz w:val="24"/>
          <w:szCs w:val="24"/>
        </w:rPr>
      </w:pPr>
      <w:r>
        <w:rPr>
          <w:rFonts w:ascii="Trebuchet MS" w:cs="Trebuchet MS" w:eastAsia="Trebuchet MS" w:hAnsi="Trebuchet MS"/>
          <w:spacing w:val="-6"/>
          <w:sz w:val="24"/>
          <w:szCs w:val="24"/>
        </w:rPr>
        <w:t>I</w:t>
      </w:r>
      <w:r>
        <w:rPr>
          <w:rFonts w:ascii="Trebuchet MS" w:cs="Trebuchet MS" w:eastAsia="Trebuchet MS" w:hAnsi="Trebuchet MS"/>
          <w:spacing w:val="-25"/>
          <w:sz w:val="24"/>
          <w:szCs w:val="24"/>
        </w:rPr>
        <w:t xml:space="preserve"> </w:t>
      </w:r>
      <w:r>
        <w:rPr>
          <w:rFonts w:ascii="Trebuchet MS" w:cs="Trebuchet MS" w:eastAsia="Trebuchet MS" w:hAnsi="Trebuchet MS"/>
          <w:spacing w:val="-6"/>
          <w:sz w:val="24"/>
          <w:szCs w:val="24"/>
        </w:rPr>
        <w:t>acknowledge</w:t>
      </w:r>
      <w:r>
        <w:rPr>
          <w:rFonts w:ascii="Trebuchet MS" w:cs="Trebuchet MS" w:eastAsia="Trebuchet MS" w:hAnsi="Trebuchet MS"/>
          <w:spacing w:val="-24"/>
          <w:sz w:val="24"/>
          <w:szCs w:val="24"/>
        </w:rPr>
        <w:t xml:space="preserve"> </w:t>
      </w:r>
      <w:r>
        <w:rPr>
          <w:rFonts w:ascii="Trebuchet MS" w:cs="Trebuchet MS" w:eastAsia="Trebuchet MS" w:hAnsi="Trebuchet MS"/>
          <w:spacing w:val="-6"/>
          <w:sz w:val="24"/>
          <w:szCs w:val="24"/>
        </w:rPr>
        <w:t>the</w:t>
      </w:r>
      <w:r>
        <w:rPr>
          <w:rFonts w:ascii="Trebuchet MS" w:cs="Trebuchet MS" w:eastAsia="Trebuchet MS" w:hAnsi="Trebuchet MS"/>
          <w:spacing w:val="-24"/>
          <w:sz w:val="24"/>
          <w:szCs w:val="24"/>
        </w:rPr>
        <w:t xml:space="preserve"> </w:t>
      </w:r>
      <w:r>
        <w:rPr>
          <w:rFonts w:ascii="Trebuchet MS" w:cs="Trebuchet MS" w:eastAsia="Trebuchet MS" w:hAnsi="Trebuchet MS"/>
          <w:spacing w:val="-6"/>
          <w:sz w:val="24"/>
          <w:szCs w:val="24"/>
        </w:rPr>
        <w:t>use</w:t>
      </w:r>
      <w:r>
        <w:rPr>
          <w:rFonts w:ascii="Trebuchet MS" w:cs="Trebuchet MS" w:eastAsia="Trebuchet MS" w:hAnsi="Trebuchet MS"/>
          <w:spacing w:val="-24"/>
          <w:sz w:val="24"/>
          <w:szCs w:val="24"/>
        </w:rPr>
        <w:t xml:space="preserve"> </w:t>
      </w:r>
      <w:r>
        <w:rPr>
          <w:rFonts w:ascii="Trebuchet MS" w:cs="Trebuchet MS" w:eastAsia="Trebuchet MS" w:hAnsi="Trebuchet MS"/>
          <w:spacing w:val="-6"/>
          <w:sz w:val="24"/>
          <w:szCs w:val="24"/>
        </w:rPr>
        <w:t>of</w:t>
      </w:r>
      <w:r>
        <w:rPr>
          <w:rFonts w:ascii="Trebuchet MS" w:cs="Trebuchet MS" w:eastAsia="Trebuchet MS" w:hAnsi="Trebuchet MS"/>
          <w:spacing w:val="-24"/>
          <w:sz w:val="24"/>
          <w:szCs w:val="24"/>
        </w:rPr>
        <w:t xml:space="preserve"> </w:t>
      </w:r>
      <w:r>
        <w:rPr>
          <w:rFonts w:ascii="Trebuchet MS" w:cs="Trebuchet MS" w:eastAsia="Trebuchet MS" w:hAnsi="Trebuchet MS"/>
          <w:spacing w:val="-6"/>
          <w:sz w:val="24"/>
          <w:szCs w:val="24"/>
        </w:rPr>
        <w:t>[</w:t>
      </w:r>
      <w:r>
        <w:rPr>
          <w:rFonts w:ascii="Trebuchet MS" w:cs="Trebuchet MS" w:eastAsia="Trebuchet MS" w:hAnsi="Trebuchet MS"/>
          <w:spacing w:val="-6"/>
          <w:sz w:val="24"/>
          <w:szCs w:val="24"/>
        </w:rPr>
        <w:t>ChatGPT</w:t>
      </w:r>
      <w:r>
        <w:rPr>
          <w:rFonts w:ascii="Trebuchet MS" w:cs="Trebuchet MS" w:eastAsia="Trebuchet MS" w:hAnsi="Trebuchet MS"/>
          <w:spacing w:val="-6"/>
          <w:sz w:val="24"/>
          <w:szCs w:val="24"/>
        </w:rPr>
        <w:t>]</w:t>
      </w:r>
      <w:r>
        <w:rPr>
          <w:rFonts w:ascii="Trebuchet MS" w:cs="Trebuchet MS" w:eastAsia="Trebuchet MS" w:hAnsi="Trebuchet MS"/>
          <w:spacing w:val="-23"/>
          <w:sz w:val="24"/>
          <w:szCs w:val="24"/>
        </w:rPr>
        <w:t xml:space="preserve"> </w:t>
      </w:r>
      <w:r>
        <w:rPr>
          <w:rFonts w:ascii="Trebuchet MS" w:cs="Trebuchet MS" w:eastAsia="Trebuchet MS" w:hAnsi="Trebuchet MS"/>
          <w:spacing w:val="-6"/>
          <w:sz w:val="24"/>
          <w:szCs w:val="24"/>
        </w:rPr>
        <w:t>[(</w:t>
      </w:r>
      <w:r>
        <w:rPr>
          <w:rFonts w:ascii="Trebuchet MS" w:cs="Trebuchet MS" w:eastAsia="Trebuchet MS" w:hAnsi="Trebuchet MS"/>
          <w:spacing w:val="-6"/>
          <w:sz w:val="24"/>
          <w:szCs w:val="24"/>
        </w:rPr>
        <w:t>https://chatgpt.com/</w:t>
      </w:r>
      <w:r>
        <w:rPr>
          <w:rFonts w:ascii="Trebuchet MS" w:cs="Trebuchet MS" w:eastAsia="Trebuchet MS" w:hAnsi="Trebuchet MS"/>
          <w:spacing w:val="-6"/>
          <w:sz w:val="24"/>
          <w:szCs w:val="24"/>
        </w:rPr>
        <w:t>)]</w:t>
      </w:r>
      <w:r>
        <w:rPr>
          <w:rFonts w:ascii="Trebuchet MS" w:cs="Trebuchet MS" w:eastAsia="Trebuchet MS" w:hAnsi="Trebuchet MS"/>
          <w:spacing w:val="-18"/>
          <w:sz w:val="24"/>
          <w:szCs w:val="24"/>
        </w:rPr>
        <w:t xml:space="preserve"> </w:t>
      </w:r>
      <w:r>
        <w:rPr>
          <w:rFonts w:ascii="Trebuchet MS" w:cs="Trebuchet MS" w:eastAsia="Trebuchet MS" w:hAnsi="Trebuchet MS"/>
          <w:spacing w:val="-6"/>
          <w:sz w:val="24"/>
          <w:szCs w:val="24"/>
        </w:rPr>
        <w:t>on</w:t>
      </w:r>
      <w:r>
        <w:rPr>
          <w:rFonts w:ascii="Trebuchet MS" w:cs="Trebuchet MS" w:eastAsia="Trebuchet MS" w:hAnsi="Trebuchet MS"/>
          <w:spacing w:val="-19"/>
          <w:sz w:val="24"/>
          <w:szCs w:val="24"/>
        </w:rPr>
        <w:t xml:space="preserve"> </w:t>
      </w:r>
      <w:r>
        <w:rPr>
          <w:rFonts w:ascii="Trebuchet MS" w:cs="Trebuchet MS" w:eastAsia="Trebuchet MS" w:hAnsi="Trebuchet MS"/>
          <w:spacing w:val="-6"/>
          <w:sz w:val="24"/>
          <w:szCs w:val="24"/>
        </w:rPr>
        <w:t>[</w:t>
      </w:r>
      <w:r>
        <w:rPr>
          <w:rFonts w:ascii="Trebuchet MS" w:cs="Trebuchet MS" w:eastAsia="Trebuchet MS" w:hAnsi="Trebuchet MS"/>
          <w:spacing w:val="-6"/>
          <w:sz w:val="24"/>
          <w:szCs w:val="24"/>
        </w:rPr>
        <w:t>10</w:t>
      </w:r>
      <w:r>
        <w:rPr>
          <w:rFonts w:ascii="Trebuchet MS" w:cs="Trebuchet MS" w:eastAsia="Trebuchet MS" w:hAnsi="Trebuchet MS"/>
          <w:spacing w:val="-6"/>
          <w:sz w:val="24"/>
          <w:szCs w:val="24"/>
          <w:vertAlign w:val="superscript"/>
        </w:rPr>
        <w:t>th</w:t>
      </w:r>
      <w:r>
        <w:rPr>
          <w:rFonts w:ascii="Trebuchet MS" w:cs="Trebuchet MS" w:eastAsia="Trebuchet MS" w:hAnsi="Trebuchet MS"/>
          <w:spacing w:val="-6"/>
          <w:sz w:val="24"/>
          <w:szCs w:val="24"/>
        </w:rPr>
        <w:t xml:space="preserve"> August 2026</w:t>
      </w:r>
      <w:r>
        <w:rPr>
          <w:rFonts w:ascii="Trebuchet MS" w:cs="Trebuchet MS" w:eastAsia="Trebuchet MS" w:hAnsi="Trebuchet MS"/>
          <w:spacing w:val="-6"/>
          <w:sz w:val="24"/>
          <w:szCs w:val="24"/>
        </w:rPr>
        <w:t>]</w:t>
      </w:r>
      <w:r>
        <w:rPr>
          <w:rFonts w:ascii="Trebuchet MS" w:cs="Trebuchet MS" w:eastAsia="Trebuchet MS" w:hAnsi="Trebuchet MS"/>
          <w:spacing w:val="-23"/>
          <w:sz w:val="24"/>
          <w:szCs w:val="24"/>
        </w:rPr>
        <w:t xml:space="preserve"> </w:t>
      </w:r>
      <w:r>
        <w:rPr>
          <w:rFonts w:ascii="Trebuchet MS" w:cs="Trebuchet MS" w:eastAsia="Trebuchet MS" w:hAnsi="Trebuchet MS"/>
          <w:spacing w:val="-6"/>
          <w:sz w:val="24"/>
          <w:szCs w:val="24"/>
        </w:rPr>
        <w:t>to</w:t>
      </w:r>
      <w:r>
        <w:rPr>
          <w:rFonts w:ascii="Trebuchet MS" w:cs="Trebuchet MS" w:eastAsia="Trebuchet MS" w:hAnsi="Trebuchet MS"/>
          <w:spacing w:val="-24"/>
          <w:sz w:val="24"/>
          <w:szCs w:val="24"/>
        </w:rPr>
        <w:t xml:space="preserve"> </w:t>
      </w:r>
      <w:r>
        <w:rPr>
          <w:rFonts w:ascii="Trebuchet MS" w:cs="Trebuchet MS" w:eastAsia="Trebuchet MS" w:hAnsi="Trebuchet MS"/>
          <w:spacing w:val="-6"/>
          <w:sz w:val="24"/>
          <w:szCs w:val="24"/>
        </w:rPr>
        <w:t>[</w:t>
      </w:r>
      <w:r>
        <w:rPr>
          <w:rFonts w:ascii="Trebuchet MS" w:hAnsi="Trebuchet MS"/>
          <w:sz w:val="24"/>
          <w:szCs w:val="24"/>
        </w:rPr>
        <w:t>support my academic work by assisting with the structuring, development and refinement of ideas for the international marketing analysis of Adidas in Germany and the United States, including the application of relevant analytical frameworks and the organisation of the report</w:t>
      </w:r>
      <w:r>
        <w:rPr>
          <w:rFonts w:ascii="Trebuchet MS" w:cs="Trebuchet MS" w:eastAsia="Trebuchet MS" w:hAnsi="Trebuchet MS"/>
          <w:spacing w:val="-6"/>
          <w:sz w:val="24"/>
          <w:szCs w:val="24"/>
        </w:rPr>
        <w:t>].</w:t>
      </w:r>
      <w:r>
        <w:rPr>
          <w:rFonts w:ascii="Trebuchet MS" w:cs="Trebuchet MS" w:eastAsia="Trebuchet MS" w:hAnsi="Trebuchet MS"/>
          <w:spacing w:val="-22"/>
          <w:sz w:val="24"/>
          <w:szCs w:val="24"/>
        </w:rPr>
        <w:t xml:space="preserve"> </w:t>
      </w:r>
      <w:r>
        <w:rPr>
          <w:rFonts w:ascii="Trebuchet MS" w:cs="Trebuchet MS" w:eastAsia="Trebuchet MS" w:hAnsi="Trebuchet MS"/>
          <w:spacing w:val="-6"/>
          <w:sz w:val="24"/>
          <w:szCs w:val="24"/>
        </w:rPr>
        <w:t>I</w:t>
      </w:r>
      <w:r>
        <w:rPr>
          <w:rFonts w:ascii="Trebuchet MS" w:cs="Trebuchet MS" w:eastAsia="Trebuchet MS" w:hAnsi="Trebuchet MS"/>
          <w:spacing w:val="-25"/>
          <w:sz w:val="24"/>
          <w:szCs w:val="24"/>
        </w:rPr>
        <w:t xml:space="preserve"> </w:t>
      </w:r>
      <w:r>
        <w:rPr>
          <w:rFonts w:ascii="Trebuchet MS" w:cs="Trebuchet MS" w:eastAsia="Trebuchet MS" w:hAnsi="Trebuchet MS"/>
          <w:spacing w:val="-6"/>
          <w:sz w:val="24"/>
          <w:szCs w:val="24"/>
        </w:rPr>
        <w:t xml:space="preserve">used </w:t>
      </w:r>
      <w:r>
        <w:rPr>
          <w:rFonts w:ascii="Trebuchet MS" w:cs="Trebuchet MS" w:eastAsia="Trebuchet MS" w:hAnsi="Trebuchet MS"/>
          <w:sz w:val="24"/>
          <w:szCs w:val="24"/>
        </w:rPr>
        <w:t>the</w:t>
      </w:r>
      <w:r>
        <w:rPr>
          <w:rFonts w:ascii="Trebuchet MS" w:cs="Trebuchet MS" w:eastAsia="Trebuchet MS" w:hAnsi="Trebuchet MS"/>
          <w:spacing w:val="-18"/>
          <w:sz w:val="24"/>
          <w:szCs w:val="24"/>
        </w:rPr>
        <w:t xml:space="preserve"> </w:t>
      </w:r>
      <w:r>
        <w:rPr>
          <w:rFonts w:ascii="Trebuchet MS" w:cs="Trebuchet MS" w:eastAsia="Trebuchet MS" w:hAnsi="Trebuchet MS"/>
          <w:sz w:val="24"/>
          <w:szCs w:val="24"/>
        </w:rPr>
        <w:t>prompt(s):</w:t>
      </w:r>
    </w:p>
    <w:p w14:paraId="6D3B6176">
      <w:pPr>
        <w:pStyle w:val="style0"/>
        <w:widowControl w:val="false"/>
        <w:numPr>
          <w:ilvl w:val="0"/>
          <w:numId w:val="1"/>
        </w:numPr>
        <w:tabs>
          <w:tab w:val="left" w:leader="none" w:pos="271"/>
        </w:tabs>
        <w:autoSpaceDE w:val="false"/>
        <w:autoSpaceDN w:val="false"/>
        <w:spacing w:before="160"/>
        <w:ind w:left="271" w:hanging="248"/>
        <w:rPr>
          <w:rFonts w:ascii="Trebuchet MS" w:cs="Trebuchet MS" w:eastAsia="Trebuchet MS" w:hAnsi="Trebuchet MS"/>
          <w:sz w:val="24"/>
          <w:szCs w:val="24"/>
        </w:rPr>
      </w:pPr>
      <w:r>
        <w:rPr>
          <w:rFonts w:ascii="Trebuchet MS" w:cs="Trebuchet MS" w:eastAsia="Trebuchet MS" w:hAnsi="Trebuchet MS"/>
          <w:spacing w:val="-2"/>
          <w:sz w:val="24"/>
          <w:szCs w:val="24"/>
        </w:rPr>
        <w:t>[</w:t>
      </w:r>
      <w:r>
        <w:rPr>
          <w:rFonts w:ascii="Trebuchet MS" w:hAnsi="Trebuchet MS"/>
          <w:sz w:val="24"/>
          <w:szCs w:val="24"/>
        </w:rPr>
        <w:t>Review and improve the academic structure and clarity of my comparative analysis of Adidas in Germany and the United States, including the PESTEL analysis, cultural analysis, STP, marketing mix, market entry strategy, ethical issues, recommendations and reflective account. Suggest ways to make the discussion more coherent and academically appropriate</w:t>
      </w:r>
      <w:r>
        <w:t>.</w:t>
      </w:r>
      <w:r>
        <w:rPr>
          <w:rFonts w:ascii="Trebuchet MS" w:cs="Trebuchet MS" w:eastAsia="Trebuchet MS" w:hAnsi="Trebuchet MS"/>
          <w:spacing w:val="-2"/>
          <w:sz w:val="24"/>
          <w:szCs w:val="24"/>
        </w:rPr>
        <w:t>]</w:t>
      </w:r>
    </w:p>
    <w:p w14:paraId="1A16E7F3">
      <w:pPr>
        <w:pStyle w:val="style0"/>
        <w:widowControl w:val="false"/>
        <w:numPr>
          <w:ilvl w:val="0"/>
          <w:numId w:val="1"/>
        </w:numPr>
        <w:tabs>
          <w:tab w:val="left" w:leader="none" w:pos="271"/>
        </w:tabs>
        <w:autoSpaceDE w:val="false"/>
        <w:autoSpaceDN w:val="false"/>
        <w:spacing w:before="217"/>
        <w:ind w:left="271" w:hanging="248"/>
        <w:rPr>
          <w:rFonts w:ascii="Trebuchet MS" w:cs="Trebuchet MS" w:eastAsia="Trebuchet MS" w:hAnsi="Trebuchet MS"/>
          <w:sz w:val="24"/>
        </w:rPr>
      </w:pPr>
      <w:r>
        <w:rPr>
          <w:rFonts w:ascii="Trebuchet MS" w:cs="Trebuchet MS" w:eastAsia="Trebuchet MS" w:hAnsi="Trebuchet MS"/>
          <w:spacing w:val="-2"/>
          <w:sz w:val="24"/>
        </w:rPr>
        <w:t>[</w:t>
      </w:r>
      <w:r>
        <w:rPr>
          <w:rFonts w:ascii="Trebuchet MS" w:cs="Trebuchet MS" w:eastAsia="Trebuchet MS" w:hAnsi="Trebuchet MS"/>
          <w:spacing w:val="-2"/>
          <w:sz w:val="24"/>
        </w:rPr>
        <w:t>Prompt</w:t>
      </w:r>
      <w:r>
        <w:rPr>
          <w:rFonts w:ascii="Trebuchet MS" w:cs="Trebuchet MS" w:eastAsia="Trebuchet MS" w:hAnsi="Trebuchet MS"/>
          <w:spacing w:val="-2"/>
          <w:sz w:val="24"/>
        </w:rPr>
        <w:t>]</w:t>
      </w:r>
    </w:p>
    <w:p w14:paraId="7BCD2752">
      <w:pPr>
        <w:pStyle w:val="style0"/>
        <w:widowControl w:val="false"/>
        <w:numPr>
          <w:ilvl w:val="0"/>
          <w:numId w:val="1"/>
        </w:numPr>
        <w:tabs>
          <w:tab w:val="left" w:leader="none" w:pos="271"/>
        </w:tabs>
        <w:autoSpaceDE w:val="false"/>
        <w:autoSpaceDN w:val="false"/>
        <w:spacing w:before="221"/>
        <w:ind w:left="271" w:hanging="248"/>
        <w:rPr>
          <w:rFonts w:ascii="Trebuchet MS" w:cs="Trebuchet MS" w:eastAsia="Trebuchet MS" w:hAnsi="Trebuchet MS"/>
          <w:sz w:val="24"/>
        </w:rPr>
      </w:pPr>
      <w:r>
        <w:rPr>
          <w:rFonts w:ascii="Trebuchet MS" w:cs="Trebuchet MS" w:eastAsia="Trebuchet MS" w:hAnsi="Trebuchet MS"/>
          <w:spacing w:val="-2"/>
          <w:sz w:val="24"/>
        </w:rPr>
        <w:t>[Prompt]</w:t>
      </w:r>
    </w:p>
    <w:p w14:paraId="64DB2868">
      <w:pPr>
        <w:pStyle w:val="style0"/>
        <w:rPr>
          <w:rFonts w:ascii="Trebuchet MS" w:cs="Trebuchet MS" w:eastAsia="Trebuchet MS" w:hAnsi="Trebuchet MS"/>
          <w:spacing w:val="-4"/>
        </w:rPr>
      </w:pPr>
    </w:p>
    <w:p w14:paraId="039A4131">
      <w:pPr>
        <w:pStyle w:val="style0"/>
        <w:rPr>
          <w:szCs w:val="24"/>
        </w:rPr>
      </w:pPr>
      <w:r>
        <w:rPr>
          <w:rFonts w:ascii="Trebuchet MS" w:cs="Trebuchet MS" w:eastAsia="Trebuchet MS" w:hAnsi="Trebuchet MS"/>
          <w:spacing w:val="-4"/>
        </w:rPr>
        <w:t>I</w:t>
      </w:r>
      <w:r>
        <w:rPr>
          <w:rFonts w:ascii="Trebuchet MS" w:cs="Trebuchet MS" w:eastAsia="Trebuchet MS" w:hAnsi="Trebuchet MS"/>
          <w:spacing w:val="-22"/>
        </w:rPr>
        <w:t xml:space="preserve"> </w:t>
      </w:r>
      <w:r>
        <w:rPr>
          <w:rFonts w:ascii="Trebuchet MS" w:cs="Trebuchet MS" w:eastAsia="Trebuchet MS" w:hAnsi="Trebuchet MS"/>
          <w:spacing w:val="-4"/>
        </w:rPr>
        <w:t>confirm</w:t>
      </w:r>
      <w:r>
        <w:rPr>
          <w:rFonts w:ascii="Trebuchet MS" w:cs="Trebuchet MS" w:eastAsia="Trebuchet MS" w:hAnsi="Trebuchet MS"/>
          <w:spacing w:val="-18"/>
        </w:rPr>
        <w:t xml:space="preserve"> </w:t>
      </w:r>
      <w:r>
        <w:rPr>
          <w:rFonts w:ascii="Trebuchet MS" w:cs="Trebuchet MS" w:eastAsia="Trebuchet MS" w:hAnsi="Trebuchet MS"/>
          <w:spacing w:val="-4"/>
        </w:rPr>
        <w:t>that</w:t>
      </w:r>
      <w:r>
        <w:rPr>
          <w:rFonts w:ascii="Trebuchet MS" w:cs="Trebuchet MS" w:eastAsia="Trebuchet MS" w:hAnsi="Trebuchet MS"/>
          <w:spacing w:val="-17"/>
        </w:rPr>
        <w:t xml:space="preserve"> </w:t>
      </w:r>
      <w:r>
        <w:rPr>
          <w:rFonts w:ascii="Trebuchet MS" w:cs="Trebuchet MS" w:eastAsia="Trebuchet MS" w:hAnsi="Trebuchet MS"/>
          <w:spacing w:val="-4"/>
        </w:rPr>
        <w:t>I</w:t>
      </w:r>
      <w:r>
        <w:rPr>
          <w:rFonts w:ascii="Trebuchet MS" w:cs="Trebuchet MS" w:eastAsia="Trebuchet MS" w:hAnsi="Trebuchet MS"/>
          <w:spacing w:val="-22"/>
        </w:rPr>
        <w:t xml:space="preserve"> </w:t>
      </w:r>
      <w:r>
        <w:rPr>
          <w:rFonts w:ascii="Trebuchet MS" w:cs="Trebuchet MS" w:eastAsia="Trebuchet MS" w:hAnsi="Trebuchet MS"/>
          <w:spacing w:val="-4"/>
        </w:rPr>
        <w:t>have</w:t>
      </w:r>
      <w:r>
        <w:rPr>
          <w:rFonts w:ascii="Trebuchet MS" w:cs="Trebuchet MS" w:eastAsia="Trebuchet MS" w:hAnsi="Trebuchet MS"/>
          <w:spacing w:val="-21"/>
        </w:rPr>
        <w:t xml:space="preserve"> </w:t>
      </w:r>
      <w:r>
        <w:rPr>
          <w:rFonts w:ascii="Trebuchet MS" w:cs="Trebuchet MS" w:eastAsia="Trebuchet MS" w:hAnsi="Trebuchet MS"/>
          <w:spacing w:val="-4"/>
        </w:rPr>
        <w:t>not</w:t>
      </w:r>
      <w:r>
        <w:rPr>
          <w:rFonts w:ascii="Trebuchet MS" w:cs="Trebuchet MS" w:eastAsia="Trebuchet MS" w:hAnsi="Trebuchet MS"/>
          <w:spacing w:val="-17"/>
        </w:rPr>
        <w:t xml:space="preserve"> </w:t>
      </w:r>
      <w:r>
        <w:rPr>
          <w:rFonts w:ascii="Trebuchet MS" w:cs="Trebuchet MS" w:eastAsia="Trebuchet MS" w:hAnsi="Trebuchet MS"/>
          <w:spacing w:val="-4"/>
        </w:rPr>
        <w:t>presented</w:t>
      </w:r>
      <w:r>
        <w:rPr>
          <w:rFonts w:ascii="Trebuchet MS" w:cs="Trebuchet MS" w:eastAsia="Trebuchet MS" w:hAnsi="Trebuchet MS"/>
          <w:spacing w:val="-19"/>
        </w:rPr>
        <w:t xml:space="preserve"> </w:t>
      </w:r>
      <w:r>
        <w:rPr>
          <w:rFonts w:ascii="Trebuchet MS" w:cs="Trebuchet MS" w:eastAsia="Trebuchet MS" w:hAnsi="Trebuchet MS"/>
          <w:spacing w:val="-4"/>
        </w:rPr>
        <w:t>any</w:t>
      </w:r>
      <w:r>
        <w:rPr>
          <w:rFonts w:ascii="Trebuchet MS" w:cs="Trebuchet MS" w:eastAsia="Trebuchet MS" w:hAnsi="Trebuchet MS"/>
          <w:spacing w:val="-18"/>
        </w:rPr>
        <w:t xml:space="preserve"> </w:t>
      </w:r>
      <w:r>
        <w:rPr>
          <w:rFonts w:ascii="Trebuchet MS" w:cs="Trebuchet MS" w:eastAsia="Trebuchet MS" w:hAnsi="Trebuchet MS"/>
          <w:spacing w:val="-4"/>
        </w:rPr>
        <w:t>AI</w:t>
      </w:r>
      <w:r>
        <w:rPr>
          <w:rFonts w:ascii="Trebuchet MS" w:cs="Trebuchet MS" w:eastAsia="Trebuchet MS" w:hAnsi="Trebuchet MS"/>
          <w:spacing w:val="-22"/>
        </w:rPr>
        <w:t xml:space="preserve"> </w:t>
      </w:r>
      <w:r>
        <w:rPr>
          <w:rFonts w:ascii="Trebuchet MS" w:cs="Trebuchet MS" w:eastAsia="Trebuchet MS" w:hAnsi="Trebuchet MS"/>
          <w:spacing w:val="-4"/>
        </w:rPr>
        <w:t>generated</w:t>
      </w:r>
      <w:r>
        <w:rPr>
          <w:rFonts w:ascii="Trebuchet MS" w:cs="Trebuchet MS" w:eastAsia="Trebuchet MS" w:hAnsi="Trebuchet MS"/>
          <w:spacing w:val="-19"/>
        </w:rPr>
        <w:t xml:space="preserve"> </w:t>
      </w:r>
      <w:r>
        <w:rPr>
          <w:rFonts w:ascii="Trebuchet MS" w:cs="Trebuchet MS" w:eastAsia="Trebuchet MS" w:hAnsi="Trebuchet MS"/>
          <w:spacing w:val="-4"/>
        </w:rPr>
        <w:t>text</w:t>
      </w:r>
      <w:r>
        <w:rPr>
          <w:rFonts w:ascii="Trebuchet MS" w:cs="Trebuchet MS" w:eastAsia="Trebuchet MS" w:hAnsi="Trebuchet MS"/>
          <w:spacing w:val="-17"/>
        </w:rPr>
        <w:t xml:space="preserve"> </w:t>
      </w:r>
      <w:r>
        <w:rPr>
          <w:rFonts w:ascii="Trebuchet MS" w:cs="Trebuchet MS" w:eastAsia="Trebuchet MS" w:hAnsi="Trebuchet MS"/>
          <w:spacing w:val="-4"/>
        </w:rPr>
        <w:t>as</w:t>
      </w:r>
      <w:r>
        <w:rPr>
          <w:rFonts w:ascii="Trebuchet MS" w:cs="Trebuchet MS" w:eastAsia="Trebuchet MS" w:hAnsi="Trebuchet MS"/>
          <w:spacing w:val="-21"/>
        </w:rPr>
        <w:t xml:space="preserve"> </w:t>
      </w:r>
      <w:r>
        <w:rPr>
          <w:rFonts w:ascii="Trebuchet MS" w:cs="Trebuchet MS" w:eastAsia="Trebuchet MS" w:hAnsi="Trebuchet MS"/>
          <w:spacing w:val="-4"/>
        </w:rPr>
        <w:t>my</w:t>
      </w:r>
      <w:r>
        <w:rPr>
          <w:rFonts w:ascii="Trebuchet MS" w:cs="Trebuchet MS" w:eastAsia="Trebuchet MS" w:hAnsi="Trebuchet MS"/>
          <w:spacing w:val="-18"/>
        </w:rPr>
        <w:t xml:space="preserve"> </w:t>
      </w:r>
      <w:r>
        <w:rPr>
          <w:rFonts w:ascii="Trebuchet MS" w:cs="Trebuchet MS" w:eastAsia="Trebuchet MS" w:hAnsi="Trebuchet MS"/>
          <w:spacing w:val="-4"/>
        </w:rPr>
        <w:t>own</w:t>
      </w:r>
      <w:r>
        <w:rPr>
          <w:rFonts w:ascii="Trebuchet MS" w:cs="Trebuchet MS" w:eastAsia="Trebuchet MS" w:hAnsi="Trebuchet MS"/>
          <w:spacing w:val="-21"/>
        </w:rPr>
        <w:t xml:space="preserve"> </w:t>
      </w:r>
      <w:r>
        <w:rPr>
          <w:rFonts w:ascii="Trebuchet MS" w:cs="Trebuchet MS" w:eastAsia="Trebuchet MS" w:hAnsi="Trebuchet MS"/>
          <w:spacing w:val="-4"/>
        </w:rPr>
        <w:t>work.</w:t>
      </w:r>
      <w:r>
        <w:rPr>
          <w:rFonts w:ascii="Trebuchet MS" w:cs="Trebuchet MS" w:eastAsia="Trebuchet MS" w:hAnsi="Trebuchet MS"/>
          <w:spacing w:val="-18"/>
        </w:rPr>
        <w:t xml:space="preserve"> </w:t>
      </w:r>
      <w:r>
        <w:rPr>
          <w:rFonts w:ascii="Trebuchet MS" w:cs="Trebuchet MS" w:eastAsia="Trebuchet MS" w:hAnsi="Trebuchet MS"/>
          <w:spacing w:val="-4"/>
        </w:rPr>
        <w:t>I</w:t>
      </w:r>
      <w:r>
        <w:rPr>
          <w:rFonts w:ascii="Trebuchet MS" w:cs="Trebuchet MS" w:eastAsia="Trebuchet MS" w:hAnsi="Trebuchet MS"/>
          <w:spacing w:val="-22"/>
        </w:rPr>
        <w:t xml:space="preserve"> </w:t>
      </w:r>
      <w:r>
        <w:rPr>
          <w:rFonts w:ascii="Trebuchet MS" w:cs="Trebuchet MS" w:eastAsia="Trebuchet MS" w:hAnsi="Trebuchet MS"/>
          <w:spacing w:val="-4"/>
        </w:rPr>
        <w:t>confirm</w:t>
      </w:r>
      <w:r>
        <w:rPr>
          <w:rFonts w:ascii="Trebuchet MS" w:cs="Trebuchet MS" w:eastAsia="Trebuchet MS" w:hAnsi="Trebuchet MS"/>
          <w:spacing w:val="-18"/>
        </w:rPr>
        <w:t xml:space="preserve"> </w:t>
      </w:r>
      <w:r>
        <w:rPr>
          <w:rFonts w:ascii="Trebuchet MS" w:cs="Trebuchet MS" w:eastAsia="Trebuchet MS" w:hAnsi="Trebuchet MS"/>
          <w:spacing w:val="-4"/>
        </w:rPr>
        <w:t>I have</w:t>
      </w:r>
      <w:r>
        <w:rPr>
          <w:rFonts w:ascii="Trebuchet MS" w:cs="Trebuchet MS" w:eastAsia="Trebuchet MS" w:hAnsi="Trebuchet MS"/>
          <w:spacing w:val="-24"/>
        </w:rPr>
        <w:t xml:space="preserve"> </w:t>
      </w:r>
      <w:r>
        <w:rPr>
          <w:rFonts w:ascii="Trebuchet MS" w:cs="Trebuchet MS" w:eastAsia="Trebuchet MS" w:hAnsi="Trebuchet MS"/>
          <w:spacing w:val="-4"/>
        </w:rPr>
        <w:t>copies</w:t>
      </w:r>
      <w:r>
        <w:rPr>
          <w:rFonts w:ascii="Trebuchet MS" w:cs="Trebuchet MS" w:eastAsia="Trebuchet MS" w:hAnsi="Trebuchet MS"/>
          <w:spacing w:val="-24"/>
        </w:rPr>
        <w:t xml:space="preserve"> </w:t>
      </w:r>
      <w:r>
        <w:rPr>
          <w:rFonts w:ascii="Trebuchet MS" w:cs="Trebuchet MS" w:eastAsia="Trebuchet MS" w:hAnsi="Trebuchet MS"/>
          <w:spacing w:val="-4"/>
        </w:rPr>
        <w:t>of</w:t>
      </w:r>
      <w:r>
        <w:rPr>
          <w:rFonts w:ascii="Trebuchet MS" w:cs="Trebuchet MS" w:eastAsia="Trebuchet MS" w:hAnsi="Trebuchet MS"/>
          <w:spacing w:val="-24"/>
        </w:rPr>
        <w:t xml:space="preserve"> </w:t>
      </w:r>
      <w:r>
        <w:rPr>
          <w:rFonts w:ascii="Trebuchet MS" w:cs="Trebuchet MS" w:eastAsia="Trebuchet MS" w:hAnsi="Trebuchet MS"/>
          <w:spacing w:val="-4"/>
        </w:rPr>
        <w:t>my</w:t>
      </w:r>
      <w:r>
        <w:rPr>
          <w:rFonts w:ascii="Trebuchet MS" w:cs="Trebuchet MS" w:eastAsia="Trebuchet MS" w:hAnsi="Trebuchet MS"/>
          <w:spacing w:val="-20"/>
        </w:rPr>
        <w:t xml:space="preserve"> </w:t>
      </w:r>
      <w:r>
        <w:rPr>
          <w:rFonts w:ascii="Trebuchet MS" w:cs="Trebuchet MS" w:eastAsia="Trebuchet MS" w:hAnsi="Trebuchet MS"/>
          <w:spacing w:val="-4"/>
        </w:rPr>
        <w:t>drafts,</w:t>
      </w:r>
      <w:r>
        <w:rPr>
          <w:rFonts w:ascii="Trebuchet MS" w:cs="Trebuchet MS" w:eastAsia="Trebuchet MS" w:hAnsi="Trebuchet MS"/>
          <w:spacing w:val="-26"/>
        </w:rPr>
        <w:t xml:space="preserve"> </w:t>
      </w:r>
      <w:r>
        <w:rPr>
          <w:rFonts w:ascii="Trebuchet MS" w:cs="Trebuchet MS" w:eastAsia="Trebuchet MS" w:hAnsi="Trebuchet MS"/>
          <w:spacing w:val="-4"/>
        </w:rPr>
        <w:t>notes,</w:t>
      </w:r>
      <w:r>
        <w:rPr>
          <w:rFonts w:ascii="Trebuchet MS" w:cs="Trebuchet MS" w:eastAsia="Trebuchet MS" w:hAnsi="Trebuchet MS"/>
          <w:spacing w:val="-21"/>
        </w:rPr>
        <w:t xml:space="preserve"> </w:t>
      </w:r>
      <w:r>
        <w:rPr>
          <w:rFonts w:ascii="Trebuchet MS" w:cs="Trebuchet MS" w:eastAsia="Trebuchet MS" w:hAnsi="Trebuchet MS"/>
          <w:spacing w:val="-4"/>
        </w:rPr>
        <w:t>and</w:t>
      </w:r>
      <w:r>
        <w:rPr>
          <w:rFonts w:ascii="Trebuchet MS" w:cs="Trebuchet MS" w:eastAsia="Trebuchet MS" w:hAnsi="Trebuchet MS"/>
          <w:spacing w:val="-22"/>
        </w:rPr>
        <w:t xml:space="preserve"> </w:t>
      </w:r>
      <w:r>
        <w:rPr>
          <w:rFonts w:ascii="Trebuchet MS" w:cs="Trebuchet MS" w:eastAsia="Trebuchet MS" w:hAnsi="Trebuchet MS"/>
          <w:spacing w:val="-4"/>
        </w:rPr>
        <w:t>other</w:t>
      </w:r>
      <w:r>
        <w:rPr>
          <w:rFonts w:ascii="Trebuchet MS" w:cs="Trebuchet MS" w:eastAsia="Trebuchet MS" w:hAnsi="Trebuchet MS"/>
          <w:spacing w:val="-22"/>
        </w:rPr>
        <w:t xml:space="preserve"> </w:t>
      </w:r>
      <w:r>
        <w:rPr>
          <w:rFonts w:ascii="Trebuchet MS" w:cs="Trebuchet MS" w:eastAsia="Trebuchet MS" w:hAnsi="Trebuchet MS"/>
          <w:spacing w:val="-4"/>
        </w:rPr>
        <w:t>resources</w:t>
      </w:r>
      <w:r>
        <w:rPr>
          <w:rFonts w:ascii="Trebuchet MS" w:cs="Trebuchet MS" w:eastAsia="Trebuchet MS" w:hAnsi="Trebuchet MS"/>
          <w:spacing w:val="-24"/>
        </w:rPr>
        <w:t xml:space="preserve"> </w:t>
      </w:r>
      <w:r>
        <w:rPr>
          <w:rFonts w:ascii="Trebuchet MS" w:cs="Trebuchet MS" w:eastAsia="Trebuchet MS" w:hAnsi="Trebuchet MS"/>
          <w:spacing w:val="-4"/>
        </w:rPr>
        <w:t>I</w:t>
      </w:r>
      <w:r>
        <w:rPr>
          <w:rFonts w:ascii="Trebuchet MS" w:cs="Trebuchet MS" w:eastAsia="Trebuchet MS" w:hAnsi="Trebuchet MS"/>
          <w:spacing w:val="-25"/>
        </w:rPr>
        <w:t xml:space="preserve"> </w:t>
      </w:r>
      <w:r>
        <w:rPr>
          <w:rFonts w:ascii="Trebuchet MS" w:cs="Trebuchet MS" w:eastAsia="Trebuchet MS" w:hAnsi="Trebuchet MS"/>
          <w:spacing w:val="-4"/>
        </w:rPr>
        <w:t>used</w:t>
      </w:r>
      <w:r>
        <w:rPr>
          <w:rFonts w:ascii="Trebuchet MS" w:cs="Trebuchet MS" w:eastAsia="Trebuchet MS" w:hAnsi="Trebuchet MS"/>
          <w:spacing w:val="-22"/>
        </w:rPr>
        <w:t xml:space="preserve"> </w:t>
      </w:r>
      <w:r>
        <w:rPr>
          <w:rFonts w:ascii="Trebuchet MS" w:cs="Trebuchet MS" w:eastAsia="Trebuchet MS" w:hAnsi="Trebuchet MS"/>
          <w:spacing w:val="-4"/>
        </w:rPr>
        <w:t>before,</w:t>
      </w:r>
      <w:r>
        <w:rPr>
          <w:rFonts w:ascii="Trebuchet MS" w:cs="Trebuchet MS" w:eastAsia="Trebuchet MS" w:hAnsi="Trebuchet MS"/>
          <w:spacing w:val="-21"/>
        </w:rPr>
        <w:t xml:space="preserve"> </w:t>
      </w:r>
      <w:r>
        <w:rPr>
          <w:rFonts w:ascii="Trebuchet MS" w:cs="Trebuchet MS" w:eastAsia="Trebuchet MS" w:hAnsi="Trebuchet MS"/>
          <w:spacing w:val="-4"/>
        </w:rPr>
        <w:t>and</w:t>
      </w:r>
      <w:r>
        <w:rPr>
          <w:rFonts w:ascii="Trebuchet MS" w:cs="Trebuchet MS" w:eastAsia="Trebuchet MS" w:hAnsi="Trebuchet MS"/>
          <w:spacing w:val="-22"/>
        </w:rPr>
        <w:t xml:space="preserve"> </w:t>
      </w:r>
      <w:r>
        <w:rPr>
          <w:rFonts w:ascii="Trebuchet MS" w:cs="Trebuchet MS" w:eastAsia="Trebuchet MS" w:hAnsi="Trebuchet MS"/>
          <w:spacing w:val="-4"/>
        </w:rPr>
        <w:t>after</w:t>
      </w:r>
      <w:r>
        <w:rPr>
          <w:rFonts w:ascii="Trebuchet MS" w:cs="Trebuchet MS" w:eastAsia="Trebuchet MS" w:hAnsi="Trebuchet MS"/>
          <w:spacing w:val="-22"/>
        </w:rPr>
        <w:t xml:space="preserve"> </w:t>
      </w:r>
      <w:r>
        <w:rPr>
          <w:rFonts w:ascii="Trebuchet MS" w:cs="Trebuchet MS" w:eastAsia="Trebuchet MS" w:hAnsi="Trebuchet MS"/>
          <w:spacing w:val="-4"/>
        </w:rPr>
        <w:t>the</w:t>
      </w:r>
      <w:r>
        <w:rPr>
          <w:rFonts w:ascii="Trebuchet MS" w:cs="Trebuchet MS" w:eastAsia="Trebuchet MS" w:hAnsi="Trebuchet MS"/>
          <w:spacing w:val="-24"/>
        </w:rPr>
        <w:t xml:space="preserve"> </w:t>
      </w:r>
      <w:r>
        <w:rPr>
          <w:rFonts w:ascii="Trebuchet MS" w:cs="Trebuchet MS" w:eastAsia="Trebuchet MS" w:hAnsi="Trebuchet MS"/>
          <w:spacing w:val="-4"/>
        </w:rPr>
        <w:t>use</w:t>
      </w:r>
      <w:r>
        <w:rPr>
          <w:rFonts w:ascii="Trebuchet MS" w:cs="Trebuchet MS" w:eastAsia="Trebuchet MS" w:hAnsi="Trebuchet MS"/>
          <w:spacing w:val="-24"/>
        </w:rPr>
        <w:t xml:space="preserve"> </w:t>
      </w:r>
      <w:r>
        <w:rPr>
          <w:rFonts w:ascii="Trebuchet MS" w:cs="Trebuchet MS" w:eastAsia="Trebuchet MS" w:hAnsi="Trebuchet MS"/>
          <w:spacing w:val="-4"/>
        </w:rPr>
        <w:t xml:space="preserve">of </w:t>
      </w:r>
      <w:r>
        <w:rPr>
          <w:rFonts w:ascii="Trebuchet MS" w:cs="Trebuchet MS" w:eastAsia="Trebuchet MS" w:hAnsi="Trebuchet MS"/>
        </w:rPr>
        <w:t>AI</w:t>
      </w:r>
      <w:r>
        <w:rPr>
          <w:rFonts w:ascii="Trebuchet MS" w:cs="Trebuchet MS" w:eastAsia="Trebuchet MS" w:hAnsi="Trebuchet MS"/>
          <w:spacing w:val="-25"/>
        </w:rPr>
        <w:t xml:space="preserve"> </w:t>
      </w:r>
      <w:r>
        <w:rPr>
          <w:rFonts w:ascii="Trebuchet MS" w:cs="Trebuchet MS" w:eastAsia="Trebuchet MS" w:hAnsi="Trebuchet MS"/>
        </w:rPr>
        <w:t>tools</w:t>
      </w:r>
      <w:r>
        <w:rPr>
          <w:rFonts w:ascii="Trebuchet MS" w:cs="Trebuchet MS" w:eastAsia="Trebuchet MS" w:hAnsi="Trebuchet MS"/>
          <w:spacing w:val="-24"/>
        </w:rPr>
        <w:t xml:space="preserve"> </w:t>
      </w:r>
      <w:r>
        <w:rPr>
          <w:rFonts w:ascii="Trebuchet MS" w:cs="Trebuchet MS" w:eastAsia="Trebuchet MS" w:hAnsi="Trebuchet MS"/>
        </w:rPr>
        <w:t>which</w:t>
      </w:r>
      <w:r>
        <w:rPr>
          <w:rFonts w:ascii="Trebuchet MS" w:cs="Trebuchet MS" w:eastAsia="Trebuchet MS" w:hAnsi="Trebuchet MS"/>
          <w:spacing w:val="-24"/>
        </w:rPr>
        <w:t xml:space="preserve"> </w:t>
      </w:r>
      <w:r>
        <w:rPr>
          <w:rFonts w:ascii="Trebuchet MS" w:cs="Trebuchet MS" w:eastAsia="Trebuchet MS" w:hAnsi="Trebuchet MS"/>
        </w:rPr>
        <w:t>I</w:t>
      </w:r>
      <w:r>
        <w:rPr>
          <w:rFonts w:ascii="Trebuchet MS" w:cs="Trebuchet MS" w:eastAsia="Trebuchet MS" w:hAnsi="Trebuchet MS"/>
          <w:spacing w:val="-25"/>
        </w:rPr>
        <w:t xml:space="preserve"> </w:t>
      </w:r>
      <w:r>
        <w:rPr>
          <w:rFonts w:ascii="Trebuchet MS" w:cs="Trebuchet MS" w:eastAsia="Trebuchet MS" w:hAnsi="Trebuchet MS"/>
        </w:rPr>
        <w:t>may</w:t>
      </w:r>
      <w:r>
        <w:rPr>
          <w:rFonts w:ascii="Trebuchet MS" w:cs="Trebuchet MS" w:eastAsia="Trebuchet MS" w:hAnsi="Trebuchet MS"/>
          <w:spacing w:val="-21"/>
        </w:rPr>
        <w:t xml:space="preserve"> </w:t>
      </w:r>
      <w:r>
        <w:rPr>
          <w:rFonts w:ascii="Trebuchet MS" w:cs="Trebuchet MS" w:eastAsia="Trebuchet MS" w:hAnsi="Trebuchet MS"/>
        </w:rPr>
        <w:t>be</w:t>
      </w:r>
      <w:r>
        <w:rPr>
          <w:rFonts w:ascii="Trebuchet MS" w:cs="Trebuchet MS" w:eastAsia="Trebuchet MS" w:hAnsi="Trebuchet MS"/>
          <w:spacing w:val="-23"/>
        </w:rPr>
        <w:t xml:space="preserve"> </w:t>
      </w:r>
      <w:r>
        <w:rPr>
          <w:rFonts w:ascii="Trebuchet MS" w:cs="Trebuchet MS" w:eastAsia="Trebuchet MS" w:hAnsi="Trebuchet MS"/>
        </w:rPr>
        <w:t>asked</w:t>
      </w:r>
      <w:r>
        <w:rPr>
          <w:rFonts w:ascii="Trebuchet MS" w:cs="Trebuchet MS" w:eastAsia="Trebuchet MS" w:hAnsi="Trebuchet MS"/>
          <w:spacing w:val="-22"/>
        </w:rPr>
        <w:t xml:space="preserve"> </w:t>
      </w:r>
      <w:r>
        <w:rPr>
          <w:rFonts w:ascii="Trebuchet MS" w:cs="Trebuchet MS" w:eastAsia="Trebuchet MS" w:hAnsi="Trebuchet MS"/>
        </w:rPr>
        <w:t>to</w:t>
      </w:r>
      <w:r>
        <w:rPr>
          <w:rFonts w:ascii="Trebuchet MS" w:cs="Trebuchet MS" w:eastAsia="Trebuchet MS" w:hAnsi="Trebuchet MS"/>
          <w:spacing w:val="-24"/>
        </w:rPr>
        <w:t xml:space="preserve"> </w:t>
      </w:r>
      <w:r>
        <w:rPr>
          <w:rFonts w:ascii="Trebuchet MS" w:cs="Trebuchet MS" w:eastAsia="Trebuchet MS" w:hAnsi="Trebuchet MS"/>
        </w:rPr>
        <w:t>provide</w:t>
      </w:r>
      <w:r>
        <w:rPr>
          <w:rFonts w:ascii="Trebuchet MS" w:cs="Trebuchet MS" w:eastAsia="Trebuchet MS" w:hAnsi="Trebuchet MS"/>
          <w:spacing w:val="-24"/>
        </w:rPr>
        <w:t xml:space="preserve"> </w:t>
      </w:r>
      <w:r>
        <w:rPr>
          <w:rFonts w:ascii="Trebuchet MS" w:cs="Trebuchet MS" w:eastAsia="Trebuchet MS" w:hAnsi="Trebuchet MS"/>
        </w:rPr>
        <w:t>in</w:t>
      </w:r>
      <w:r>
        <w:rPr>
          <w:rFonts w:ascii="Trebuchet MS" w:cs="Trebuchet MS" w:eastAsia="Trebuchet MS" w:hAnsi="Trebuchet MS"/>
          <w:spacing w:val="-24"/>
        </w:rPr>
        <w:t xml:space="preserve"> </w:t>
      </w:r>
      <w:r>
        <w:rPr>
          <w:rFonts w:ascii="Trebuchet MS" w:cs="Trebuchet MS" w:eastAsia="Trebuchet MS" w:hAnsi="Trebuchet MS"/>
        </w:rPr>
        <w:t>evidence.</w:t>
      </w:r>
      <w:r>
        <w:rPr>
          <w:szCs w:val="24"/>
        </w:rPr>
        <w:br w:type="page"/>
      </w:r>
    </w:p>
    <w:p w14:paraId="535C5B5C">
      <w:pPr>
        <w:pStyle w:val="style266"/>
        <w:spacing w:lineRule="auto" w:line="360"/>
        <w:jc w:val="center"/>
        <w:rPr>
          <w:rFonts w:ascii="Times New Roman" w:cs="Times New Roman" w:hAnsi="Times New Roman"/>
          <w:bCs/>
          <w:color w:val="auto"/>
          <w:szCs w:val="24"/>
        </w:rPr>
      </w:pPr>
      <w:r>
        <w:rPr>
          <w:rFonts w:ascii="Times New Roman" w:cs="Times New Roman" w:hAnsi="Times New Roman"/>
          <w:bCs/>
          <w:color w:val="auto"/>
          <w:szCs w:val="24"/>
        </w:rPr>
        <w:t>Table of Contents</w:t>
      </w:r>
    </w:p>
    <w:p w14:paraId="716D80F9">
      <w:pPr>
        <w:pStyle w:val="style19"/>
        <w:tabs>
          <w:tab w:val="right" w:leader="dot" w:pos="8990"/>
        </w:tabs>
        <w:spacing w:lineRule="auto" w:line="360"/>
        <w:jc w:val="both"/>
        <w:rPr>
          <w:rFonts w:ascii="Cambria" w:cs="宋体" w:eastAsia="宋体" w:hAnsi="Cambria"/>
          <w:noProof/>
          <w:sz w:val="24"/>
          <w:szCs w:val="24"/>
          <w:lang w:val="en-AU" w:eastAsia="en-AU"/>
        </w:rPr>
      </w:pPr>
      <w:r>
        <w:rPr>
          <w:sz w:val="24"/>
          <w:szCs w:val="24"/>
        </w:rPr>
        <w:fldChar w:fldCharType="begin"/>
      </w:r>
      <w:r>
        <w:rPr>
          <w:sz w:val="24"/>
          <w:szCs w:val="24"/>
        </w:rPr>
        <w:instrText xml:space="preserve"> TOC \o "1-3" \h \z \u </w:instrText>
      </w:r>
      <w:r>
        <w:rPr>
          <w:sz w:val="24"/>
          <w:szCs w:val="24"/>
        </w:rPr>
        <w:fldChar w:fldCharType="separate"/>
      </w:r>
      <w:r>
        <w:rPr/>
        <w:fldChar w:fldCharType="begin"/>
      </w:r>
      <w:r>
        <w:instrText xml:space="preserve"> HYPERLINK \l "_Toc237268415" </w:instrText>
      </w:r>
      <w:r>
        <w:rPr/>
        <w:fldChar w:fldCharType="separate"/>
      </w:r>
      <w:r>
        <w:rPr>
          <w:rStyle w:val="style85"/>
          <w:noProof/>
          <w:sz w:val="24"/>
          <w:szCs w:val="24"/>
        </w:rPr>
        <w:t>SECTION 1: INTERNATIONAL MARKET ENTRY STRATEGY AND MARKETING MIX</w:t>
      </w:r>
      <w:r>
        <w:rPr>
          <w:noProof/>
          <w:webHidden/>
          <w:sz w:val="24"/>
          <w:szCs w:val="24"/>
        </w:rPr>
        <w:tab/>
      </w:r>
      <w:r>
        <w:rPr>
          <w:noProof/>
          <w:webHidden/>
          <w:sz w:val="24"/>
          <w:szCs w:val="24"/>
        </w:rPr>
        <w:fldChar w:fldCharType="begin"/>
      </w:r>
      <w:r>
        <w:rPr>
          <w:noProof/>
          <w:webHidden/>
          <w:sz w:val="24"/>
          <w:szCs w:val="24"/>
        </w:rPr>
        <w:instrText xml:space="preserve"> PAGEREF _Toc237268415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14:paraId="10F9D04A">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"_Toc237268416" </w:instrText>
      </w:r>
      <w:r>
        <w:rPr/>
        <w:fldChar w:fldCharType="separate"/>
      </w:r>
      <w:r>
        <w:rPr>
          <w:rStyle w:val="style85"/>
          <w:noProof/>
          <w:sz w:val="24"/>
          <w:szCs w:val="24"/>
        </w:rPr>
        <w:t>1.1 Company Overview</w:t>
      </w:r>
      <w:r>
        <w:rPr>
          <w:noProof/>
          <w:webHidden/>
          <w:sz w:val="24"/>
          <w:szCs w:val="24"/>
        </w:rPr>
        <w:tab/>
      </w:r>
      <w:r>
        <w:rPr>
          <w:noProof/>
          <w:webHidden/>
          <w:sz w:val="24"/>
          <w:szCs w:val="24"/>
        </w:rPr>
        <w:fldChar w:fldCharType="begin"/>
      </w:r>
      <w:r>
        <w:rPr>
          <w:noProof/>
          <w:webHidden/>
          <w:sz w:val="24"/>
          <w:szCs w:val="24"/>
        </w:rPr>
        <w:instrText xml:space="preserve"> PAGEREF _Toc237268416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14:paraId="5AB855DD">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"_Toc237268417" </w:instrText>
      </w:r>
      <w:r>
        <w:rPr/>
        <w:fldChar w:fldCharType="separate"/>
      </w:r>
      <w:r>
        <w:rPr>
          <w:rStyle w:val="style85"/>
          <w:noProof/>
          <w:sz w:val="24"/>
          <w:szCs w:val="24"/>
        </w:rPr>
        <w:t>1.2 Macro-Environment: PESTEL Analysis</w:t>
      </w:r>
      <w:r>
        <w:rPr>
          <w:noProof/>
          <w:webHidden/>
          <w:sz w:val="24"/>
          <w:szCs w:val="24"/>
        </w:rPr>
        <w:tab/>
      </w:r>
      <w:r>
        <w:rPr>
          <w:noProof/>
          <w:webHidden/>
          <w:sz w:val="24"/>
          <w:szCs w:val="24"/>
        </w:rPr>
        <w:fldChar w:fldCharType="begin"/>
      </w:r>
      <w:r>
        <w:rPr>
          <w:noProof/>
          <w:webHidden/>
          <w:sz w:val="24"/>
          <w:szCs w:val="24"/>
        </w:rPr>
        <w:instrText xml:space="preserve"> PAGEREF _Toc237268417 \h </w:instrText>
      </w:r>
      <w:r>
        <w:rPr>
          <w:noProof/>
          <w:webHidden/>
          <w:sz w:val="24"/>
          <w:szCs w:val="24"/>
        </w:rPr>
        <w:fldChar w:fldCharType="separate"/>
      </w:r>
      <w:r>
        <w:rPr>
          <w:noProof/>
          <w:webHidden/>
          <w:sz w:val="24"/>
          <w:szCs w:val="24"/>
        </w:rPr>
        <w:t>3</w:t>
      </w:r>
      <w:r>
        <w:rPr>
          <w:noProof/>
          <w:webHidden/>
          <w:sz w:val="24"/>
          <w:szCs w:val="24"/>
        </w:rPr>
        <w:fldChar w:fldCharType="end"/>
      </w:r>
      <w:r>
        <w:rPr/>
        <w:fldChar w:fldCharType="end"/>
      </w:r>
    </w:p>
    <w:p w14:paraId="6CC2D4DA">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"_Toc237268418" </w:instrText>
      </w:r>
      <w:r>
        <w:rPr/>
        <w:fldChar w:fldCharType="separate"/>
      </w:r>
      <w:r>
        <w:rPr>
          <w:rStyle w:val="style85"/>
          <w:noProof/>
          <w:sz w:val="24"/>
          <w:szCs w:val="24"/>
        </w:rPr>
        <w:t>PESTEL Analysis - Germany: Discussion</w:t>
      </w:r>
      <w:r>
        <w:rPr>
          <w:noProof/>
          <w:webHidden/>
          <w:sz w:val="24"/>
          <w:szCs w:val="24"/>
        </w:rPr>
        <w:tab/>
      </w:r>
      <w:r>
        <w:rPr>
          <w:noProof/>
          <w:webHidden/>
          <w:sz w:val="24"/>
          <w:szCs w:val="24"/>
        </w:rPr>
        <w:fldChar w:fldCharType="begin"/>
      </w:r>
      <w:r>
        <w:rPr>
          <w:noProof/>
          <w:webHidden/>
          <w:sz w:val="24"/>
          <w:szCs w:val="24"/>
        </w:rPr>
        <w:instrText xml:space="preserve"> PAGEREF _Toc237268418 \h </w:instrText>
      </w:r>
      <w:r>
        <w:rPr>
          <w:noProof/>
          <w:webHidden/>
          <w:sz w:val="24"/>
          <w:szCs w:val="24"/>
        </w:rPr>
        <w:fldChar w:fldCharType="separate"/>
      </w:r>
      <w:r>
        <w:rPr>
          <w:noProof/>
          <w:webHidden/>
          <w:sz w:val="24"/>
          <w:szCs w:val="24"/>
        </w:rPr>
        <w:t>6</w:t>
      </w:r>
      <w:r>
        <w:rPr>
          <w:noProof/>
          <w:webHidden/>
          <w:sz w:val="24"/>
          <w:szCs w:val="24"/>
        </w:rPr>
        <w:fldChar w:fldCharType="end"/>
      </w:r>
      <w:r>
        <w:rPr/>
        <w:fldChar w:fldCharType="end"/>
      </w:r>
    </w:p>
    <w:p w14:paraId="096C99AC">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"_Toc237268419" </w:instrText>
      </w:r>
      <w:r>
        <w:rPr/>
        <w:fldChar w:fldCharType="separate"/>
      </w:r>
      <w:r>
        <w:rPr>
          <w:rStyle w:val="style85"/>
          <w:noProof/>
          <w:sz w:val="24"/>
          <w:szCs w:val="24"/>
        </w:rPr>
        <w:t>PESTEL Analysis - United States: Discussion</w:t>
      </w:r>
      <w:r>
        <w:rPr>
          <w:noProof/>
          <w:webHidden/>
          <w:sz w:val="24"/>
          <w:szCs w:val="24"/>
        </w:rPr>
        <w:tab/>
      </w:r>
      <w:r>
        <w:rPr>
          <w:noProof/>
          <w:webHidden/>
          <w:sz w:val="24"/>
          <w:szCs w:val="24"/>
        </w:rPr>
        <w:fldChar w:fldCharType="begin"/>
      </w:r>
      <w:r>
        <w:rPr>
          <w:noProof/>
          <w:webHidden/>
          <w:sz w:val="24"/>
          <w:szCs w:val="24"/>
        </w:rPr>
        <w:instrText xml:space="preserve"> PAGEREF _Toc237268419 \h </w:instrText>
      </w:r>
      <w:r>
        <w:rPr>
          <w:noProof/>
          <w:webHidden/>
          <w:sz w:val="24"/>
          <w:szCs w:val="24"/>
        </w:rPr>
        <w:fldChar w:fldCharType="separate"/>
      </w:r>
      <w:r>
        <w:rPr>
          <w:noProof/>
          <w:webHidden/>
          <w:sz w:val="24"/>
          <w:szCs w:val="24"/>
        </w:rPr>
        <w:t>8</w:t>
      </w:r>
      <w:r>
        <w:rPr>
          <w:noProof/>
          <w:webHidden/>
          <w:sz w:val="24"/>
          <w:szCs w:val="24"/>
        </w:rPr>
        <w:fldChar w:fldCharType="end"/>
      </w:r>
      <w:r>
        <w:rPr/>
        <w:fldChar w:fldCharType="end"/>
      </w:r>
    </w:p>
    <w:p w14:paraId="2650134F">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"_Toc237268420" </w:instrText>
      </w:r>
      <w:r>
        <w:rPr/>
        <w:fldChar w:fldCharType="separate"/>
      </w:r>
      <w:r>
        <w:rPr>
          <w:rStyle w:val="style85"/>
          <w:noProof/>
          <w:sz w:val="24"/>
          <w:szCs w:val="24"/>
        </w:rPr>
        <w:t>1.3 Cultural Analysis: Hofstede Cultural Dimensions Framework</w:t>
      </w:r>
      <w:r>
        <w:rPr>
          <w:noProof/>
          <w:webHidden/>
          <w:sz w:val="24"/>
          <w:szCs w:val="24"/>
        </w:rPr>
        <w:tab/>
      </w:r>
      <w:r>
        <w:rPr>
          <w:noProof/>
          <w:webHidden/>
          <w:sz w:val="24"/>
          <w:szCs w:val="24"/>
        </w:rPr>
        <w:fldChar w:fldCharType="begin"/>
      </w:r>
      <w:r>
        <w:rPr>
          <w:noProof/>
          <w:webHidden/>
          <w:sz w:val="24"/>
          <w:szCs w:val="24"/>
        </w:rPr>
        <w:instrText xml:space="preserve"> PAGEREF _Toc237268420 \h </w:instrText>
      </w:r>
      <w:r>
        <w:rPr>
          <w:noProof/>
          <w:webHidden/>
          <w:sz w:val="24"/>
          <w:szCs w:val="24"/>
        </w:rPr>
        <w:fldChar w:fldCharType="separate"/>
      </w:r>
      <w:r>
        <w:rPr>
          <w:noProof/>
          <w:webHidden/>
          <w:sz w:val="24"/>
          <w:szCs w:val="24"/>
        </w:rPr>
        <w:t>9</w:t>
      </w:r>
      <w:r>
        <w:rPr>
          <w:noProof/>
          <w:webHidden/>
          <w:sz w:val="24"/>
          <w:szCs w:val="24"/>
        </w:rPr>
        <w:fldChar w:fldCharType="end"/>
      </w:r>
      <w:r>
        <w:rPr/>
        <w:fldChar w:fldCharType="end"/>
      </w:r>
    </w:p>
    <w:p w14:paraId="69017D89">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"_Toc237268421" </w:instrText>
      </w:r>
      <w:r>
        <w:rPr/>
        <w:fldChar w:fldCharType="separate"/>
      </w:r>
      <w:r>
        <w:rPr>
          <w:rStyle w:val="style85"/>
          <w:noProof/>
          <w:sz w:val="24"/>
          <w:szCs w:val="24"/>
        </w:rPr>
        <w:t>1.4 STP Analysis</w:t>
      </w:r>
      <w:r>
        <w:rPr>
          <w:noProof/>
          <w:webHidden/>
          <w:sz w:val="24"/>
          <w:szCs w:val="24"/>
        </w:rPr>
        <w:tab/>
      </w:r>
      <w:r>
        <w:rPr>
          <w:noProof/>
          <w:webHidden/>
          <w:sz w:val="24"/>
          <w:szCs w:val="24"/>
        </w:rPr>
        <w:fldChar w:fldCharType="begin"/>
      </w:r>
      <w:r>
        <w:rPr>
          <w:noProof/>
          <w:webHidden/>
          <w:sz w:val="24"/>
          <w:szCs w:val="24"/>
        </w:rPr>
        <w:instrText xml:space="preserve"> PAGEREF _Toc237268421 \h </w:instrText>
      </w:r>
      <w:r>
        <w:rPr>
          <w:noProof/>
          <w:webHidden/>
          <w:sz w:val="24"/>
          <w:szCs w:val="24"/>
        </w:rPr>
        <w:fldChar w:fldCharType="separate"/>
      </w:r>
      <w:r>
        <w:rPr>
          <w:noProof/>
          <w:webHidden/>
          <w:sz w:val="24"/>
          <w:szCs w:val="24"/>
        </w:rPr>
        <w:t>13</w:t>
      </w:r>
      <w:r>
        <w:rPr>
          <w:noProof/>
          <w:webHidden/>
          <w:sz w:val="24"/>
          <w:szCs w:val="24"/>
        </w:rPr>
        <w:fldChar w:fldCharType="end"/>
      </w:r>
      <w:r>
        <w:rPr/>
        <w:fldChar w:fldCharType="end"/>
      </w:r>
    </w:p>
    <w:p w14:paraId="7939E7AD">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"_Toc237268422" </w:instrText>
      </w:r>
      <w:r>
        <w:rPr/>
        <w:fldChar w:fldCharType="separate"/>
      </w:r>
      <w:r>
        <w:rPr>
          <w:rStyle w:val="style85"/>
          <w:noProof/>
          <w:sz w:val="24"/>
          <w:szCs w:val="24"/>
        </w:rPr>
        <w:t>STP Analysis - Germany: Discussion</w:t>
      </w:r>
      <w:r>
        <w:rPr>
          <w:noProof/>
          <w:webHidden/>
          <w:sz w:val="24"/>
          <w:szCs w:val="24"/>
        </w:rPr>
        <w:tab/>
      </w:r>
      <w:r>
        <w:rPr>
          <w:noProof/>
          <w:webHidden/>
          <w:sz w:val="24"/>
          <w:szCs w:val="24"/>
        </w:rPr>
        <w:fldChar w:fldCharType="begin"/>
      </w:r>
      <w:r>
        <w:rPr>
          <w:noProof/>
          <w:webHidden/>
          <w:sz w:val="24"/>
          <w:szCs w:val="24"/>
        </w:rPr>
        <w:instrText xml:space="preserve"> PAGEREF _Toc237268422 \h </w:instrText>
      </w:r>
      <w:r>
        <w:rPr>
          <w:noProof/>
          <w:webHidden/>
          <w:sz w:val="24"/>
          <w:szCs w:val="24"/>
        </w:rPr>
        <w:fldChar w:fldCharType="separate"/>
      </w:r>
      <w:r>
        <w:rPr>
          <w:noProof/>
          <w:webHidden/>
          <w:sz w:val="24"/>
          <w:szCs w:val="24"/>
        </w:rPr>
        <w:t>14</w:t>
      </w:r>
      <w:r>
        <w:rPr>
          <w:noProof/>
          <w:webHidden/>
          <w:sz w:val="24"/>
          <w:szCs w:val="24"/>
        </w:rPr>
        <w:fldChar w:fldCharType="end"/>
      </w:r>
      <w:r>
        <w:rPr/>
        <w:fldChar w:fldCharType="end"/>
      </w:r>
    </w:p>
    <w:p w14:paraId="3D79E22A">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"_Toc237268423" </w:instrText>
      </w:r>
      <w:r>
        <w:rPr/>
        <w:fldChar w:fldCharType="separate"/>
      </w:r>
      <w:r>
        <w:rPr>
          <w:rStyle w:val="style85"/>
          <w:noProof/>
          <w:sz w:val="24"/>
          <w:szCs w:val="24"/>
        </w:rPr>
        <w:t>STP Analysis - United States: Discussion</w:t>
      </w:r>
      <w:r>
        <w:rPr>
          <w:noProof/>
          <w:webHidden/>
          <w:sz w:val="24"/>
          <w:szCs w:val="24"/>
        </w:rPr>
        <w:tab/>
      </w:r>
      <w:r>
        <w:rPr>
          <w:noProof/>
          <w:webHidden/>
          <w:sz w:val="24"/>
          <w:szCs w:val="24"/>
        </w:rPr>
        <w:fldChar w:fldCharType="begin"/>
      </w:r>
      <w:r>
        <w:rPr>
          <w:noProof/>
          <w:webHidden/>
          <w:sz w:val="24"/>
          <w:szCs w:val="24"/>
        </w:rPr>
        <w:instrText xml:space="preserve"> PAGEREF _Toc237268423 \h </w:instrText>
      </w:r>
      <w:r>
        <w:rPr>
          <w:noProof/>
          <w:webHidden/>
          <w:sz w:val="24"/>
          <w:szCs w:val="24"/>
        </w:rPr>
        <w:fldChar w:fldCharType="separate"/>
      </w:r>
      <w:r>
        <w:rPr>
          <w:noProof/>
          <w:webHidden/>
          <w:sz w:val="24"/>
          <w:szCs w:val="24"/>
        </w:rPr>
        <w:t>15</w:t>
      </w:r>
      <w:r>
        <w:rPr>
          <w:noProof/>
          <w:webHidden/>
          <w:sz w:val="24"/>
          <w:szCs w:val="24"/>
        </w:rPr>
        <w:fldChar w:fldCharType="end"/>
      </w:r>
      <w:r>
        <w:rPr/>
        <w:fldChar w:fldCharType="end"/>
      </w:r>
    </w:p>
    <w:p w14:paraId="07E64B17">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"_Toc237268424" </w:instrText>
      </w:r>
      <w:r>
        <w:rPr/>
        <w:fldChar w:fldCharType="separate"/>
      </w:r>
      <w:r>
        <w:rPr>
          <w:rStyle w:val="style85"/>
          <w:noProof/>
          <w:sz w:val="24"/>
          <w:szCs w:val="24"/>
        </w:rPr>
        <w:t>1.5 International Marketing Mix (7Ps)</w:t>
      </w:r>
      <w:r>
        <w:rPr>
          <w:noProof/>
          <w:webHidden/>
          <w:sz w:val="24"/>
          <w:szCs w:val="24"/>
        </w:rPr>
        <w:tab/>
      </w:r>
      <w:r>
        <w:rPr>
          <w:noProof/>
          <w:webHidden/>
          <w:sz w:val="24"/>
          <w:szCs w:val="24"/>
        </w:rPr>
        <w:fldChar w:fldCharType="begin"/>
      </w:r>
      <w:r>
        <w:rPr>
          <w:noProof/>
          <w:webHidden/>
          <w:sz w:val="24"/>
          <w:szCs w:val="24"/>
        </w:rPr>
        <w:instrText xml:space="preserve"> PAGEREF _Toc237268424 \h </w:instrText>
      </w:r>
      <w:r>
        <w:rPr>
          <w:noProof/>
          <w:webHidden/>
          <w:sz w:val="24"/>
          <w:szCs w:val="24"/>
        </w:rPr>
        <w:fldChar w:fldCharType="separate"/>
      </w:r>
      <w:r>
        <w:rPr>
          <w:noProof/>
          <w:webHidden/>
          <w:sz w:val="24"/>
          <w:szCs w:val="24"/>
        </w:rPr>
        <w:t>16</w:t>
      </w:r>
      <w:r>
        <w:rPr>
          <w:noProof/>
          <w:webHidden/>
          <w:sz w:val="24"/>
          <w:szCs w:val="24"/>
        </w:rPr>
        <w:fldChar w:fldCharType="end"/>
      </w:r>
      <w:r>
        <w:rPr/>
        <w:fldChar w:fldCharType="end"/>
      </w:r>
    </w:p>
    <w:p w14:paraId="28DB5F10">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"_Toc237268425" </w:instrText>
      </w:r>
      <w:r>
        <w:rPr/>
        <w:fldChar w:fldCharType="separate"/>
      </w:r>
      <w:r>
        <w:rPr>
          <w:rStyle w:val="style85"/>
          <w:noProof/>
          <w:sz w:val="24"/>
          <w:szCs w:val="24"/>
        </w:rPr>
        <w:t>7Ps Analysis - Germany: Discussion</w:t>
      </w:r>
      <w:r>
        <w:rPr>
          <w:noProof/>
          <w:webHidden/>
          <w:sz w:val="24"/>
          <w:szCs w:val="24"/>
        </w:rPr>
        <w:tab/>
      </w:r>
      <w:r>
        <w:rPr>
          <w:noProof/>
          <w:webHidden/>
          <w:sz w:val="24"/>
          <w:szCs w:val="24"/>
        </w:rPr>
        <w:fldChar w:fldCharType="begin"/>
      </w:r>
      <w:r>
        <w:rPr>
          <w:noProof/>
          <w:webHidden/>
          <w:sz w:val="24"/>
          <w:szCs w:val="24"/>
        </w:rPr>
        <w:instrText xml:space="preserve"> PAGEREF _Toc237268425 \h </w:instrText>
      </w:r>
      <w:r>
        <w:rPr>
          <w:noProof/>
          <w:webHidden/>
          <w:sz w:val="24"/>
          <w:szCs w:val="24"/>
        </w:rPr>
        <w:fldChar w:fldCharType="separate"/>
      </w:r>
      <w:r>
        <w:rPr>
          <w:noProof/>
          <w:webHidden/>
          <w:sz w:val="24"/>
          <w:szCs w:val="24"/>
        </w:rPr>
        <w:t>17</w:t>
      </w:r>
      <w:r>
        <w:rPr>
          <w:noProof/>
          <w:webHidden/>
          <w:sz w:val="24"/>
          <w:szCs w:val="24"/>
        </w:rPr>
        <w:fldChar w:fldCharType="end"/>
      </w:r>
      <w:r>
        <w:rPr/>
        <w:fldChar w:fldCharType="end"/>
      </w:r>
    </w:p>
    <w:p w14:paraId="02DABB03">
      <w:pPr>
        <w:pStyle w:val="style21"/>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"_Toc237268426" </w:instrText>
      </w:r>
      <w:r>
        <w:rPr/>
        <w:fldChar w:fldCharType="separate"/>
      </w:r>
      <w:r>
        <w:rPr>
          <w:rStyle w:val="style85"/>
          <w:noProof/>
          <w:sz w:val="24"/>
          <w:szCs w:val="24"/>
        </w:rPr>
        <w:t>7Ps Analysis - United States: Discussion</w:t>
      </w:r>
      <w:r>
        <w:rPr>
          <w:noProof/>
          <w:webHidden/>
          <w:sz w:val="24"/>
          <w:szCs w:val="24"/>
        </w:rPr>
        <w:tab/>
      </w:r>
      <w:r>
        <w:rPr>
          <w:noProof/>
          <w:webHidden/>
          <w:sz w:val="24"/>
          <w:szCs w:val="24"/>
        </w:rPr>
        <w:fldChar w:fldCharType="begin"/>
      </w:r>
      <w:r>
        <w:rPr>
          <w:noProof/>
          <w:webHidden/>
          <w:sz w:val="24"/>
          <w:szCs w:val="24"/>
        </w:rPr>
        <w:instrText xml:space="preserve"> PAGEREF _Toc237268426 \h </w:instrText>
      </w:r>
      <w:r>
        <w:rPr>
          <w:noProof/>
          <w:webHidden/>
          <w:sz w:val="24"/>
          <w:szCs w:val="24"/>
        </w:rPr>
        <w:fldChar w:fldCharType="separate"/>
      </w:r>
      <w:r>
        <w:rPr>
          <w:noProof/>
          <w:webHidden/>
          <w:sz w:val="24"/>
          <w:szCs w:val="24"/>
        </w:rPr>
        <w:t>19</w:t>
      </w:r>
      <w:r>
        <w:rPr>
          <w:noProof/>
          <w:webHidden/>
          <w:sz w:val="24"/>
          <w:szCs w:val="24"/>
        </w:rPr>
        <w:fldChar w:fldCharType="end"/>
      </w:r>
      <w:r>
        <w:rPr/>
        <w:fldChar w:fldCharType="end"/>
      </w:r>
    </w:p>
    <w:p w14:paraId="1C451F89">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"_Toc237268427" </w:instrText>
      </w:r>
      <w:r>
        <w:rPr/>
        <w:fldChar w:fldCharType="separate"/>
      </w:r>
      <w:r>
        <w:rPr>
          <w:rStyle w:val="style85"/>
          <w:noProof/>
          <w:sz w:val="24"/>
          <w:szCs w:val="24"/>
        </w:rPr>
        <w:t>1.6 Market Entry Strategy - United States</w:t>
      </w:r>
      <w:r>
        <w:rPr>
          <w:noProof/>
          <w:webHidden/>
          <w:sz w:val="24"/>
          <w:szCs w:val="24"/>
        </w:rPr>
        <w:tab/>
      </w:r>
      <w:r>
        <w:rPr>
          <w:noProof/>
          <w:webHidden/>
          <w:sz w:val="24"/>
          <w:szCs w:val="24"/>
        </w:rPr>
        <w:fldChar w:fldCharType="begin"/>
      </w:r>
      <w:r>
        <w:rPr>
          <w:noProof/>
          <w:webHidden/>
          <w:sz w:val="24"/>
          <w:szCs w:val="24"/>
        </w:rPr>
        <w:instrText xml:space="preserve"> PAGEREF _Toc237268427 \h </w:instrText>
      </w:r>
      <w:r>
        <w:rPr>
          <w:noProof/>
          <w:webHidden/>
          <w:sz w:val="24"/>
          <w:szCs w:val="24"/>
        </w:rPr>
        <w:fldChar w:fldCharType="separate"/>
      </w:r>
      <w:r>
        <w:rPr>
          <w:noProof/>
          <w:webHidden/>
          <w:sz w:val="24"/>
          <w:szCs w:val="24"/>
        </w:rPr>
        <w:t>20</w:t>
      </w:r>
      <w:r>
        <w:rPr>
          <w:noProof/>
          <w:webHidden/>
          <w:sz w:val="24"/>
          <w:szCs w:val="24"/>
        </w:rPr>
        <w:fldChar w:fldCharType="end"/>
      </w:r>
      <w:r>
        <w:rPr/>
        <w:fldChar w:fldCharType="end"/>
      </w:r>
    </w:p>
    <w:p w14:paraId="22D77C27">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"_Toc237268428" </w:instrText>
      </w:r>
      <w:r>
        <w:rPr/>
        <w:fldChar w:fldCharType="separate"/>
      </w:r>
      <w:r>
        <w:rPr>
          <w:rStyle w:val="style85"/>
          <w:noProof/>
          <w:sz w:val="24"/>
          <w:szCs w:val="24"/>
        </w:rPr>
        <w:t>1.7 Ethical Issues in Marketing Mix - United States</w:t>
      </w:r>
      <w:r>
        <w:rPr>
          <w:noProof/>
          <w:webHidden/>
          <w:sz w:val="24"/>
          <w:szCs w:val="24"/>
        </w:rPr>
        <w:tab/>
      </w:r>
      <w:r>
        <w:rPr>
          <w:noProof/>
          <w:webHidden/>
          <w:sz w:val="24"/>
          <w:szCs w:val="24"/>
        </w:rPr>
        <w:fldChar w:fldCharType="begin"/>
      </w:r>
      <w:r>
        <w:rPr>
          <w:noProof/>
          <w:webHidden/>
          <w:sz w:val="24"/>
          <w:szCs w:val="24"/>
        </w:rPr>
        <w:instrText xml:space="preserve"> PAGEREF _Toc237268428 \h </w:instrText>
      </w:r>
      <w:r>
        <w:rPr>
          <w:noProof/>
          <w:webHidden/>
          <w:sz w:val="24"/>
          <w:szCs w:val="24"/>
        </w:rPr>
        <w:fldChar w:fldCharType="separate"/>
      </w:r>
      <w:r>
        <w:rPr>
          <w:noProof/>
          <w:webHidden/>
          <w:sz w:val="24"/>
          <w:szCs w:val="24"/>
        </w:rPr>
        <w:t>21</w:t>
      </w:r>
      <w:r>
        <w:rPr>
          <w:noProof/>
          <w:webHidden/>
          <w:sz w:val="24"/>
          <w:szCs w:val="24"/>
        </w:rPr>
        <w:fldChar w:fldCharType="end"/>
      </w:r>
      <w:r>
        <w:rPr/>
        <w:fldChar w:fldCharType="end"/>
      </w:r>
    </w:p>
    <w:p w14:paraId="3FC2A32F">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"_Toc237268429" </w:instrText>
      </w:r>
      <w:r>
        <w:rPr/>
        <w:fldChar w:fldCharType="separate"/>
      </w:r>
      <w:r>
        <w:rPr>
          <w:rStyle w:val="style85"/>
          <w:noProof/>
          <w:sz w:val="24"/>
          <w:szCs w:val="24"/>
        </w:rPr>
        <w:t>1.8 Recommendations for International Marketing Strategy</w:t>
      </w:r>
      <w:r>
        <w:rPr>
          <w:noProof/>
          <w:webHidden/>
          <w:sz w:val="24"/>
          <w:szCs w:val="24"/>
        </w:rPr>
        <w:tab/>
      </w:r>
      <w:r>
        <w:rPr>
          <w:noProof/>
          <w:webHidden/>
          <w:sz w:val="24"/>
          <w:szCs w:val="24"/>
        </w:rPr>
        <w:fldChar w:fldCharType="begin"/>
      </w:r>
      <w:r>
        <w:rPr>
          <w:noProof/>
          <w:webHidden/>
          <w:sz w:val="24"/>
          <w:szCs w:val="24"/>
        </w:rPr>
        <w:instrText xml:space="preserve"> PAGEREF _Toc237268429 \h </w:instrText>
      </w:r>
      <w:r>
        <w:rPr>
          <w:noProof/>
          <w:webHidden/>
          <w:sz w:val="24"/>
          <w:szCs w:val="24"/>
        </w:rPr>
        <w:fldChar w:fldCharType="separate"/>
      </w:r>
      <w:r>
        <w:rPr>
          <w:noProof/>
          <w:webHidden/>
          <w:sz w:val="24"/>
          <w:szCs w:val="24"/>
        </w:rPr>
        <w:t>22</w:t>
      </w:r>
      <w:r>
        <w:rPr>
          <w:noProof/>
          <w:webHidden/>
          <w:sz w:val="24"/>
          <w:szCs w:val="24"/>
        </w:rPr>
        <w:fldChar w:fldCharType="end"/>
      </w:r>
      <w:r>
        <w:rPr/>
        <w:fldChar w:fldCharType="end"/>
      </w:r>
    </w:p>
    <w:p w14:paraId="28FB12B3">
      <w:pPr>
        <w:pStyle w:val="style19"/>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"_Toc237268430" </w:instrText>
      </w:r>
      <w:r>
        <w:rPr/>
        <w:fldChar w:fldCharType="separate"/>
      </w:r>
      <w:r>
        <w:rPr>
          <w:rStyle w:val="style85"/>
          <w:noProof/>
          <w:sz w:val="24"/>
          <w:szCs w:val="24"/>
        </w:rPr>
        <w:t>SECTION 2: REFLECTIVE ACCOUNT</w:t>
      </w:r>
      <w:r>
        <w:rPr>
          <w:noProof/>
          <w:webHidden/>
          <w:sz w:val="24"/>
          <w:szCs w:val="24"/>
        </w:rPr>
        <w:tab/>
      </w:r>
      <w:r>
        <w:rPr>
          <w:noProof/>
          <w:webHidden/>
          <w:sz w:val="24"/>
          <w:szCs w:val="24"/>
        </w:rPr>
        <w:fldChar w:fldCharType="begin"/>
      </w:r>
      <w:r>
        <w:rPr>
          <w:noProof/>
          <w:webHidden/>
          <w:sz w:val="24"/>
          <w:szCs w:val="24"/>
        </w:rPr>
        <w:instrText xml:space="preserve"> PAGEREF _Toc237268430 \h </w:instrText>
      </w:r>
      <w:r>
        <w:rPr>
          <w:noProof/>
          <w:webHidden/>
          <w:sz w:val="24"/>
          <w:szCs w:val="24"/>
        </w:rPr>
        <w:fldChar w:fldCharType="separate"/>
      </w:r>
      <w:r>
        <w:rPr>
          <w:noProof/>
          <w:webHidden/>
          <w:sz w:val="24"/>
          <w:szCs w:val="24"/>
        </w:rPr>
        <w:t>24</w:t>
      </w:r>
      <w:r>
        <w:rPr>
          <w:noProof/>
          <w:webHidden/>
          <w:sz w:val="24"/>
          <w:szCs w:val="24"/>
        </w:rPr>
        <w:fldChar w:fldCharType="end"/>
      </w:r>
      <w:r>
        <w:rPr/>
        <w:fldChar w:fldCharType="end"/>
      </w:r>
    </w:p>
    <w:p w14:paraId="43092196">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"_Toc237268431" </w:instrText>
      </w:r>
      <w:r>
        <w:rPr/>
        <w:fldChar w:fldCharType="separate"/>
      </w:r>
      <w:r>
        <w:rPr>
          <w:rStyle w:val="style85"/>
          <w:noProof/>
          <w:sz w:val="24"/>
          <w:szCs w:val="24"/>
        </w:rPr>
        <w:t>2.1 Description</w:t>
      </w:r>
      <w:r>
        <w:rPr>
          <w:noProof/>
          <w:webHidden/>
          <w:sz w:val="24"/>
          <w:szCs w:val="24"/>
        </w:rPr>
        <w:tab/>
      </w:r>
      <w:r>
        <w:rPr>
          <w:noProof/>
          <w:webHidden/>
          <w:sz w:val="24"/>
          <w:szCs w:val="24"/>
        </w:rPr>
        <w:fldChar w:fldCharType="begin"/>
      </w:r>
      <w:r>
        <w:rPr>
          <w:noProof/>
          <w:webHidden/>
          <w:sz w:val="24"/>
          <w:szCs w:val="24"/>
        </w:rPr>
        <w:instrText xml:space="preserve"> PAGEREF _Toc237268431 \h </w:instrText>
      </w:r>
      <w:r>
        <w:rPr>
          <w:noProof/>
          <w:webHidden/>
          <w:sz w:val="24"/>
          <w:szCs w:val="24"/>
        </w:rPr>
        <w:fldChar w:fldCharType="separate"/>
      </w:r>
      <w:r>
        <w:rPr>
          <w:noProof/>
          <w:webHidden/>
          <w:sz w:val="24"/>
          <w:szCs w:val="24"/>
        </w:rPr>
        <w:t>24</w:t>
      </w:r>
      <w:r>
        <w:rPr>
          <w:noProof/>
          <w:webHidden/>
          <w:sz w:val="24"/>
          <w:szCs w:val="24"/>
        </w:rPr>
        <w:fldChar w:fldCharType="end"/>
      </w:r>
      <w:r>
        <w:rPr/>
        <w:fldChar w:fldCharType="end"/>
      </w:r>
    </w:p>
    <w:p w14:paraId="505A590C">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"_Toc237268432" </w:instrText>
      </w:r>
      <w:r>
        <w:rPr/>
        <w:fldChar w:fldCharType="separate"/>
      </w:r>
      <w:r>
        <w:rPr>
          <w:rStyle w:val="style85"/>
          <w:noProof/>
          <w:sz w:val="24"/>
          <w:szCs w:val="24"/>
        </w:rPr>
        <w:t>2.2 Feelings</w:t>
      </w:r>
      <w:r>
        <w:rPr>
          <w:noProof/>
          <w:webHidden/>
          <w:sz w:val="24"/>
          <w:szCs w:val="24"/>
        </w:rPr>
        <w:tab/>
      </w:r>
      <w:r>
        <w:rPr>
          <w:noProof/>
          <w:webHidden/>
          <w:sz w:val="24"/>
          <w:szCs w:val="24"/>
        </w:rPr>
        <w:fldChar w:fldCharType="begin"/>
      </w:r>
      <w:r>
        <w:rPr>
          <w:noProof/>
          <w:webHidden/>
          <w:sz w:val="24"/>
          <w:szCs w:val="24"/>
        </w:rPr>
        <w:instrText xml:space="preserve"> PAGEREF _Toc237268432 \h </w:instrText>
      </w:r>
      <w:r>
        <w:rPr>
          <w:noProof/>
          <w:webHidden/>
          <w:sz w:val="24"/>
          <w:szCs w:val="24"/>
        </w:rPr>
        <w:fldChar w:fldCharType="separate"/>
      </w:r>
      <w:r>
        <w:rPr>
          <w:noProof/>
          <w:webHidden/>
          <w:sz w:val="24"/>
          <w:szCs w:val="24"/>
        </w:rPr>
        <w:t>24</w:t>
      </w:r>
      <w:r>
        <w:rPr>
          <w:noProof/>
          <w:webHidden/>
          <w:sz w:val="24"/>
          <w:szCs w:val="24"/>
        </w:rPr>
        <w:fldChar w:fldCharType="end"/>
      </w:r>
      <w:r>
        <w:rPr/>
        <w:fldChar w:fldCharType="end"/>
      </w:r>
    </w:p>
    <w:p w14:paraId="35170E3B">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"_Toc237268433" </w:instrText>
      </w:r>
      <w:r>
        <w:rPr/>
        <w:fldChar w:fldCharType="separate"/>
      </w:r>
      <w:r>
        <w:rPr>
          <w:rStyle w:val="style85"/>
          <w:noProof/>
          <w:sz w:val="24"/>
          <w:szCs w:val="24"/>
        </w:rPr>
        <w:t>2.3 Evaluation</w:t>
      </w:r>
      <w:r>
        <w:rPr>
          <w:noProof/>
          <w:webHidden/>
          <w:sz w:val="24"/>
          <w:szCs w:val="24"/>
        </w:rPr>
        <w:tab/>
      </w:r>
      <w:r>
        <w:rPr>
          <w:noProof/>
          <w:webHidden/>
          <w:sz w:val="24"/>
          <w:szCs w:val="24"/>
        </w:rPr>
        <w:fldChar w:fldCharType="begin"/>
      </w:r>
      <w:r>
        <w:rPr>
          <w:noProof/>
          <w:webHidden/>
          <w:sz w:val="24"/>
          <w:szCs w:val="24"/>
        </w:rPr>
        <w:instrText xml:space="preserve"> PAGEREF _Toc237268433 \h </w:instrText>
      </w:r>
      <w:r>
        <w:rPr>
          <w:noProof/>
          <w:webHidden/>
          <w:sz w:val="24"/>
          <w:szCs w:val="24"/>
        </w:rPr>
        <w:fldChar w:fldCharType="separate"/>
      </w:r>
      <w:r>
        <w:rPr>
          <w:noProof/>
          <w:webHidden/>
          <w:sz w:val="24"/>
          <w:szCs w:val="24"/>
        </w:rPr>
        <w:t>24</w:t>
      </w:r>
      <w:r>
        <w:rPr>
          <w:noProof/>
          <w:webHidden/>
          <w:sz w:val="24"/>
          <w:szCs w:val="24"/>
        </w:rPr>
        <w:fldChar w:fldCharType="end"/>
      </w:r>
      <w:r>
        <w:rPr/>
        <w:fldChar w:fldCharType="end"/>
      </w:r>
    </w:p>
    <w:p w14:paraId="5089C45A">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"_Toc237268434" </w:instrText>
      </w:r>
      <w:r>
        <w:rPr/>
        <w:fldChar w:fldCharType="separate"/>
      </w:r>
      <w:r>
        <w:rPr>
          <w:rStyle w:val="style85"/>
          <w:noProof/>
          <w:sz w:val="24"/>
          <w:szCs w:val="24"/>
        </w:rPr>
        <w:t>2.4 Analysis</w:t>
      </w:r>
      <w:r>
        <w:rPr>
          <w:noProof/>
          <w:webHidden/>
          <w:sz w:val="24"/>
          <w:szCs w:val="24"/>
        </w:rPr>
        <w:tab/>
      </w:r>
      <w:r>
        <w:rPr>
          <w:noProof/>
          <w:webHidden/>
          <w:sz w:val="24"/>
          <w:szCs w:val="24"/>
        </w:rPr>
        <w:fldChar w:fldCharType="begin"/>
      </w:r>
      <w:r>
        <w:rPr>
          <w:noProof/>
          <w:webHidden/>
          <w:sz w:val="24"/>
          <w:szCs w:val="24"/>
        </w:rPr>
        <w:instrText xml:space="preserve"> PAGEREF _Toc237268434 \h </w:instrText>
      </w:r>
      <w:r>
        <w:rPr>
          <w:noProof/>
          <w:webHidden/>
          <w:sz w:val="24"/>
          <w:szCs w:val="24"/>
        </w:rPr>
        <w:fldChar w:fldCharType="separate"/>
      </w:r>
      <w:r>
        <w:rPr>
          <w:noProof/>
          <w:webHidden/>
          <w:sz w:val="24"/>
          <w:szCs w:val="24"/>
        </w:rPr>
        <w:t>25</w:t>
      </w:r>
      <w:r>
        <w:rPr>
          <w:noProof/>
          <w:webHidden/>
          <w:sz w:val="24"/>
          <w:szCs w:val="24"/>
        </w:rPr>
        <w:fldChar w:fldCharType="end"/>
      </w:r>
      <w:r>
        <w:rPr/>
        <w:fldChar w:fldCharType="end"/>
      </w:r>
    </w:p>
    <w:p w14:paraId="503E7F25">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"_Toc237268435" </w:instrText>
      </w:r>
      <w:r>
        <w:rPr/>
        <w:fldChar w:fldCharType="separate"/>
      </w:r>
      <w:r>
        <w:rPr>
          <w:rStyle w:val="style85"/>
          <w:noProof/>
          <w:sz w:val="24"/>
          <w:szCs w:val="24"/>
        </w:rPr>
        <w:t>2.5 Conclusion</w:t>
      </w:r>
      <w:r>
        <w:rPr>
          <w:noProof/>
          <w:webHidden/>
          <w:sz w:val="24"/>
          <w:szCs w:val="24"/>
        </w:rPr>
        <w:tab/>
      </w:r>
      <w:r>
        <w:rPr>
          <w:noProof/>
          <w:webHidden/>
          <w:sz w:val="24"/>
          <w:szCs w:val="24"/>
        </w:rPr>
        <w:fldChar w:fldCharType="begin"/>
      </w:r>
      <w:r>
        <w:rPr>
          <w:noProof/>
          <w:webHidden/>
          <w:sz w:val="24"/>
          <w:szCs w:val="24"/>
        </w:rPr>
        <w:instrText xml:space="preserve"> PAGEREF _Toc237268435 \h </w:instrText>
      </w:r>
      <w:r>
        <w:rPr>
          <w:noProof/>
          <w:webHidden/>
          <w:sz w:val="24"/>
          <w:szCs w:val="24"/>
        </w:rPr>
        <w:fldChar w:fldCharType="separate"/>
      </w:r>
      <w:r>
        <w:rPr>
          <w:noProof/>
          <w:webHidden/>
          <w:sz w:val="24"/>
          <w:szCs w:val="24"/>
        </w:rPr>
        <w:t>25</w:t>
      </w:r>
      <w:r>
        <w:rPr>
          <w:noProof/>
          <w:webHidden/>
          <w:sz w:val="24"/>
          <w:szCs w:val="24"/>
        </w:rPr>
        <w:fldChar w:fldCharType="end"/>
      </w:r>
      <w:r>
        <w:rPr/>
        <w:fldChar w:fldCharType="end"/>
      </w:r>
    </w:p>
    <w:p w14:paraId="08A08F1A">
      <w:pPr>
        <w:pStyle w:val="style20"/>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"_Toc237268436" </w:instrText>
      </w:r>
      <w:r>
        <w:rPr/>
        <w:fldChar w:fldCharType="separate"/>
      </w:r>
      <w:r>
        <w:rPr>
          <w:rStyle w:val="style85"/>
          <w:noProof/>
          <w:sz w:val="24"/>
          <w:szCs w:val="24"/>
        </w:rPr>
        <w:t>2.6 Action Plan</w:t>
      </w:r>
      <w:r>
        <w:rPr>
          <w:noProof/>
          <w:webHidden/>
          <w:sz w:val="24"/>
          <w:szCs w:val="24"/>
        </w:rPr>
        <w:tab/>
      </w:r>
      <w:r>
        <w:rPr>
          <w:noProof/>
          <w:webHidden/>
          <w:sz w:val="24"/>
          <w:szCs w:val="24"/>
        </w:rPr>
        <w:fldChar w:fldCharType="begin"/>
      </w:r>
      <w:r>
        <w:rPr>
          <w:noProof/>
          <w:webHidden/>
          <w:sz w:val="24"/>
          <w:szCs w:val="24"/>
        </w:rPr>
        <w:instrText xml:space="preserve"> PAGEREF _Toc237268436 \h </w:instrText>
      </w:r>
      <w:r>
        <w:rPr>
          <w:noProof/>
          <w:webHidden/>
          <w:sz w:val="24"/>
          <w:szCs w:val="24"/>
        </w:rPr>
        <w:fldChar w:fldCharType="separate"/>
      </w:r>
      <w:r>
        <w:rPr>
          <w:noProof/>
          <w:webHidden/>
          <w:sz w:val="24"/>
          <w:szCs w:val="24"/>
        </w:rPr>
        <w:t>26</w:t>
      </w:r>
      <w:r>
        <w:rPr>
          <w:noProof/>
          <w:webHidden/>
          <w:sz w:val="24"/>
          <w:szCs w:val="24"/>
        </w:rPr>
        <w:fldChar w:fldCharType="end"/>
      </w:r>
      <w:r>
        <w:rPr/>
        <w:fldChar w:fldCharType="end"/>
      </w:r>
    </w:p>
    <w:p w14:paraId="129E9810">
      <w:pPr>
        <w:pStyle w:val="style19"/>
        <w:tabs>
          <w:tab w:val="right" w:leader="dot" w:pos="8990"/>
        </w:tabs>
        <w:spacing w:lineRule="auto" w:line="360"/>
        <w:jc w:val="both"/>
        <w:rPr>
          <w:rFonts w:ascii="Cambria" w:cs="宋体" w:eastAsia="宋体" w:hAnsi="Cambria"/>
          <w:noProof/>
          <w:sz w:val="24"/>
          <w:szCs w:val="24"/>
          <w:lang w:val="en-AU" w:eastAsia="en-AU"/>
        </w:rPr>
      </w:pPr>
      <w:r>
        <w:rPr/>
        <w:fldChar w:fldCharType="begin"/>
      </w:r>
      <w:r>
        <w:instrText xml:space="preserve"> HYPERLINK \l "_Toc237268437" </w:instrText>
      </w:r>
      <w:r>
        <w:rPr/>
        <w:fldChar w:fldCharType="separate"/>
      </w:r>
      <w:r>
        <w:rPr>
          <w:rStyle w:val="style85"/>
          <w:noProof/>
          <w:sz w:val="24"/>
          <w:szCs w:val="24"/>
        </w:rPr>
        <w:t>REFERENCES</w:t>
      </w:r>
      <w:r>
        <w:rPr>
          <w:noProof/>
          <w:webHidden/>
          <w:sz w:val="24"/>
          <w:szCs w:val="24"/>
        </w:rPr>
        <w:tab/>
      </w:r>
      <w:r>
        <w:rPr>
          <w:noProof/>
          <w:webHidden/>
          <w:sz w:val="24"/>
          <w:szCs w:val="24"/>
        </w:rPr>
        <w:fldChar w:fldCharType="begin"/>
      </w:r>
      <w:r>
        <w:rPr>
          <w:noProof/>
          <w:webHidden/>
          <w:sz w:val="24"/>
          <w:szCs w:val="24"/>
        </w:rPr>
        <w:instrText xml:space="preserve"> PAGEREF _Toc237268437 \h </w:instrText>
      </w:r>
      <w:r>
        <w:rPr>
          <w:noProof/>
          <w:webHidden/>
          <w:sz w:val="24"/>
          <w:szCs w:val="24"/>
        </w:rPr>
        <w:fldChar w:fldCharType="separate"/>
      </w:r>
      <w:r>
        <w:rPr>
          <w:noProof/>
          <w:webHidden/>
          <w:sz w:val="24"/>
          <w:szCs w:val="24"/>
        </w:rPr>
        <w:t>27</w:t>
      </w:r>
      <w:r>
        <w:rPr>
          <w:noProof/>
          <w:webHidden/>
          <w:sz w:val="24"/>
          <w:szCs w:val="24"/>
        </w:rPr>
        <w:fldChar w:fldCharType="end"/>
      </w:r>
      <w:r>
        <w:rPr/>
        <w:fldChar w:fldCharType="end"/>
      </w:r>
    </w:p>
    <w:p w14:paraId="1929A933">
      <w:pPr>
        <w:pStyle w:val="style0"/>
        <w:spacing w:lineRule="auto" w:line="360"/>
        <w:jc w:val="both"/>
        <w:rPr/>
      </w:pPr>
      <w:r>
        <w:rPr>
          <w:b/>
          <w:bCs/>
          <w:noProof/>
          <w:sz w:val="24"/>
          <w:szCs w:val="24"/>
        </w:rPr>
        <w:fldChar w:fldCharType="end"/>
      </w:r>
    </w:p>
    <w:bookmarkStart w:id="1" w:name="_Toc237268415"/>
    <w:p w14:paraId="226D59B0">
      <w:pPr>
        <w:pStyle w:val="style1"/>
        <w:rPr/>
      </w:pPr>
      <w:r>
        <w:t>SECTION 1: INTERNATIONAL MARKET ENTRY STRATEGY AND MARKETING MIX</w:t>
      </w:r>
      <w:bookmarkEnd w:id="1"/>
    </w:p>
    <w:bookmarkStart w:id="2" w:name="_Toc237268416"/>
    <w:p w14:paraId="58168243">
      <w:pPr>
        <w:pStyle w:val="style2"/>
        <w:rPr/>
      </w:pPr>
      <w:r>
        <w:t xml:space="preserve">1.1 </w:t>
      </w:r>
      <w:r>
        <w:t>Company</w:t>
      </w:r>
      <w:r>
        <w:t xml:space="preserve"> Overview</w:t>
      </w:r>
      <w:bookmarkEnd w:id="2"/>
    </w:p>
    <w:p w14:paraId="72902F8F">
      <w:pPr>
        <w:pStyle w:val="style0"/>
        <w:spacing w:after="160" w:lineRule="auto" w:line="360"/>
        <w:jc w:val="both"/>
        <w:rPr>
          <w:sz w:val="24"/>
          <w:szCs w:val="24"/>
        </w:rPr>
      </w:pPr>
      <w:r>
        <w:rPr>
          <w:sz w:val="24"/>
          <w:szCs w:val="24"/>
        </w:rPr>
        <w:t>Adidas AG is a global leader in the sportswear industry with its main offices in Herzogenaurach, Germany. The company was established in 1949 by Adolf Dassler and today has operations in more than 160 countries, with the company reporting EUR 21.4 billion in net sales worldwide in 2023 (</w:t>
      </w:r>
      <w:r>
        <w:rPr>
          <w:rFonts w:ascii="Arial" w:cs="Arial" w:eastAsia="Arial" w:hAnsi="Arial"/>
          <w:color w:val="455f7c"/>
          <w:sz w:val="23"/>
          <w:szCs w:val="23"/>
        </w:rPr>
        <w:t xml:space="preserve"> </w:t>
      </w:r>
      <w:r>
        <w:rPr>
          <w:sz w:val="24"/>
          <w:szCs w:val="24"/>
        </w:rPr>
        <w:t xml:space="preserve">Statista, 2025). </w:t>
      </w:r>
    </w:p>
    <w:p w14:paraId="207D7E62">
      <w:pPr>
        <w:pStyle w:val="style0"/>
        <w:spacing w:after="160" w:lineRule="auto" w:line="360"/>
        <w:jc w:val="center"/>
        <w:rPr>
          <w:sz w:val="24"/>
          <w:szCs w:val="24"/>
        </w:rPr>
      </w:pPr>
      <w:r>
        <w:rPr>
          <w:noProof/>
          <w:sz w:val="24"/>
          <w:szCs w:val="24"/>
          <w:lang w:val="en-AU" w:eastAsia="en-AU"/>
        </w:rPr>
        <w:drawing>
          <wp:inline distL="0" distT="0" distB="0" distR="0">
            <wp:extent cx="5715000" cy="3302000"/>
            <wp:effectExtent l="0" t="0" r="0" b="0"/>
            <wp:docPr id="1028" name="image4.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4.png"/>
                    <pic:cNvPicPr/>
                  </pic:nvPicPr>
                  <pic:blipFill>
                    <a:blip r:embed="rId4" cstate="print"/>
                    <a:srcRect l="0" t="0" r="0" b="0"/>
                    <a:stretch/>
                  </pic:blipFill>
                  <pic:spPr>
                    <a:xfrm rot="0">
                      <a:off x="0" y="0"/>
                      <a:ext cx="5715000" cy="3302000"/>
                    </a:xfrm>
                    <a:prstGeom prst="rect"/>
                    <a:ln cmpd="sng" cap="flat" w="9525">
                      <a:solidFill>
                        <a:srgbClr val="000000"/>
                      </a:solidFill>
                      <a:prstDash val="solid"/>
                      <a:round/>
                      <a:headEnd len="med" w="med" type="none"/>
                      <a:tailEnd len="med" w="med" type="none"/>
                    </a:ln>
                  </pic:spPr>
                </pic:pic>
              </a:graphicData>
            </a:graphic>
          </wp:inline>
        </w:drawing>
      </w:r>
    </w:p>
    <w:p w14:paraId="09662BC7">
      <w:pPr>
        <w:pStyle w:val="style0"/>
        <w:spacing w:after="160" w:lineRule="auto" w:line="360"/>
        <w:jc w:val="center"/>
        <w:rPr>
          <w:sz w:val="24"/>
          <w:szCs w:val="24"/>
        </w:rPr>
      </w:pPr>
      <w:r>
        <w:rPr>
          <w:b/>
          <w:bCs/>
          <w:sz w:val="24"/>
          <w:szCs w:val="24"/>
        </w:rPr>
        <w:t xml:space="preserve">Figure 1: Net sales of the adidas </w:t>
      </w:r>
      <w:r>
        <w:rPr>
          <w:b/>
          <w:bCs/>
          <w:sz w:val="24"/>
          <w:szCs w:val="24"/>
        </w:rPr>
        <w:br/>
      </w:r>
      <w:r>
        <w:rPr>
          <w:sz w:val="24"/>
          <w:szCs w:val="24"/>
        </w:rPr>
        <w:t>(Source: Statista, 2025)</w:t>
      </w:r>
    </w:p>
    <w:p w14:paraId="2FAA3148">
      <w:pPr>
        <w:pStyle w:val="style0"/>
        <w:spacing w:after="160" w:lineRule="auto" w:line="360"/>
        <w:jc w:val="both"/>
        <w:rPr>
          <w:sz w:val="24"/>
          <w:szCs w:val="24"/>
        </w:rPr>
      </w:pPr>
      <w:r>
        <w:rPr>
          <w:sz w:val="24"/>
          <w:szCs w:val="24"/>
        </w:rPr>
        <w:t xml:space="preserve">The brand has over 59,000 employees across the globe and a strong dual-market presence; Germany as its home market and the USA as the largest host market (about 22% of total revenues) in the world (‌Adidas.group, 2023). This report compares the macro-environmental, cultural factors, segmentation-targeting-positioning (STP), International Marketing Mix (7Ps), market entry strategy, ethical issues and future recommendations of these two markets. </w:t>
      </w:r>
    </w:p>
    <w:bookmarkStart w:id="3" w:name="_Toc237268417"/>
    <w:p w14:paraId="2F3175A4">
      <w:pPr>
        <w:pStyle w:val="style2"/>
        <w:spacing w:before="240" w:after="120"/>
        <w:rPr>
          <w:szCs w:val="24"/>
        </w:rPr>
      </w:pPr>
      <w:r>
        <w:rPr>
          <w:szCs w:val="24"/>
        </w:rPr>
        <w:t>1.2 Macro-Environment: PESTEL Analysis</w:t>
      </w:r>
      <w:bookmarkEnd w:id="3"/>
    </w:p>
    <w:p w14:paraId="177AF04B">
      <w:pPr>
        <w:pStyle w:val="style0"/>
        <w:rPr>
          <w:b/>
          <w:sz w:val="24"/>
          <w:szCs w:val="24"/>
        </w:rPr>
      </w:pPr>
      <w:r>
        <w:rPr>
          <w:b/>
          <w:sz w:val="24"/>
          <w:szCs w:val="24"/>
        </w:rPr>
        <w:t>Table 1: PESTEL Analysis - Germany</w:t>
      </w:r>
    </w:p>
    <w:tbl>
      <w:tblPr>
        <w:tblStyle w:val="style4101"/>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2E7C50C3">
        <w:trPr>
          <w:tblHeader/>
        </w:trPr>
        <w:tc>
          <w:tcPr>
            <w:tcW w:w="4750" w:type="dxa"/>
            <w:tcBorders/>
            <w:shd w:val="clear" w:color="auto" w:fill="ddeeff"/>
            <w:tcMar>
              <w:top w:w="60" w:type="dxa"/>
              <w:left w:w="80" w:type="dxa"/>
              <w:bottom w:w="60" w:type="dxa"/>
              <w:right w:w="80" w:type="dxa"/>
            </w:tcMar>
          </w:tcPr>
          <w:p w14:paraId="62612D4F">
            <w:pPr>
              <w:pStyle w:val="style0"/>
              <w:spacing w:after="60" w:lineRule="auto" w:line="360"/>
              <w:jc w:val="both"/>
              <w:rPr>
                <w:sz w:val="24"/>
                <w:szCs w:val="24"/>
              </w:rPr>
            </w:pPr>
            <w:r>
              <w:rPr>
                <w:b/>
                <w:bCs/>
                <w:sz w:val="24"/>
                <w:szCs w:val="24"/>
              </w:rPr>
              <w:t>PESTEL Factor</w:t>
            </w:r>
          </w:p>
        </w:tc>
        <w:tc>
          <w:tcPr>
            <w:tcW w:w="4750" w:type="dxa"/>
            <w:tcBorders/>
            <w:shd w:val="clear" w:color="auto" w:fill="ddeeff"/>
            <w:tcMar>
              <w:top w:w="60" w:type="dxa"/>
              <w:left w:w="80" w:type="dxa"/>
              <w:bottom w:w="60" w:type="dxa"/>
              <w:right w:w="80" w:type="dxa"/>
            </w:tcMar>
          </w:tcPr>
          <w:p w14:paraId="45141527">
            <w:pPr>
              <w:pStyle w:val="style0"/>
              <w:spacing w:after="60" w:lineRule="auto" w:line="360"/>
              <w:jc w:val="both"/>
              <w:rPr>
                <w:sz w:val="24"/>
                <w:szCs w:val="24"/>
              </w:rPr>
            </w:pPr>
            <w:r>
              <w:rPr>
                <w:b/>
                <w:bCs/>
                <w:sz w:val="24"/>
                <w:szCs w:val="24"/>
              </w:rPr>
              <w:t>Key Indicators and Observations - Germany</w:t>
            </w:r>
          </w:p>
        </w:tc>
      </w:tr>
      <w:tr w14:paraId="7F2904A1">
        <w:tblPrEx/>
        <w:trPr/>
        <w:tc>
          <w:tcPr>
            <w:tcW w:w="4750" w:type="dxa"/>
            <w:tcBorders/>
            <w:tcMar>
              <w:top w:w="60" w:type="dxa"/>
              <w:left w:w="80" w:type="dxa"/>
              <w:bottom w:w="60" w:type="dxa"/>
              <w:right w:w="80" w:type="dxa"/>
            </w:tcMar>
          </w:tcPr>
          <w:p w14:paraId="72330947">
            <w:pPr>
              <w:pStyle w:val="style0"/>
              <w:spacing w:after="60" w:lineRule="auto" w:line="360"/>
              <w:jc w:val="both"/>
              <w:rPr>
                <w:sz w:val="24"/>
                <w:szCs w:val="24"/>
              </w:rPr>
            </w:pPr>
            <w:r>
              <w:rPr>
                <w:sz w:val="24"/>
                <w:szCs w:val="24"/>
              </w:rPr>
              <w:t>Political</w:t>
            </w:r>
          </w:p>
        </w:tc>
        <w:tc>
          <w:tcPr>
            <w:tcW w:w="4750" w:type="dxa"/>
            <w:tcBorders/>
            <w:tcMar>
              <w:top w:w="60" w:type="dxa"/>
              <w:left w:w="80" w:type="dxa"/>
              <w:bottom w:w="60" w:type="dxa"/>
              <w:right w:w="80" w:type="dxa"/>
            </w:tcMar>
          </w:tcPr>
          <w:p w14:paraId="2AF7CABA">
            <w:pPr>
              <w:pStyle w:val="style0"/>
              <w:spacing w:after="60" w:lineRule="auto" w:line="360"/>
              <w:jc w:val="both"/>
              <w:rPr>
                <w:sz w:val="24"/>
                <w:szCs w:val="24"/>
              </w:rPr>
            </w:pPr>
            <w:r>
              <w:rPr>
                <w:sz w:val="24"/>
                <w:szCs w:val="24"/>
              </w:rPr>
              <w:t xml:space="preserve">Stable liberal democracy; Membership in EU single market; robust consumer protection laws; government support for sustainable manufacturing. Germany has a federal system which establishes consistent national trade policy (trade.gov, 2025). </w:t>
            </w:r>
          </w:p>
        </w:tc>
      </w:tr>
      <w:tr w14:paraId="4B468548">
        <w:tblPrEx/>
        <w:trPr/>
        <w:tc>
          <w:tcPr>
            <w:tcW w:w="4750" w:type="dxa"/>
            <w:tcBorders/>
            <w:tcMar>
              <w:top w:w="60" w:type="dxa"/>
              <w:left w:w="80" w:type="dxa"/>
              <w:bottom w:w="60" w:type="dxa"/>
              <w:right w:w="80" w:type="dxa"/>
            </w:tcMar>
          </w:tcPr>
          <w:p w14:paraId="63A38421">
            <w:pPr>
              <w:pStyle w:val="style0"/>
              <w:spacing w:after="60" w:lineRule="auto" w:line="360"/>
              <w:jc w:val="both"/>
              <w:rPr>
                <w:sz w:val="24"/>
                <w:szCs w:val="24"/>
              </w:rPr>
            </w:pPr>
            <w:r>
              <w:rPr>
                <w:sz w:val="24"/>
                <w:szCs w:val="24"/>
              </w:rPr>
              <w:t>Economic</w:t>
            </w:r>
          </w:p>
        </w:tc>
        <w:tc>
          <w:tcPr>
            <w:tcW w:w="4750" w:type="dxa"/>
            <w:tcBorders/>
            <w:tcMar>
              <w:top w:w="60" w:type="dxa"/>
              <w:left w:w="80" w:type="dxa"/>
              <w:bottom w:w="60" w:type="dxa"/>
              <w:right w:w="80" w:type="dxa"/>
            </w:tcMar>
          </w:tcPr>
          <w:p w14:paraId="1310D8B5">
            <w:pPr>
              <w:pStyle w:val="style0"/>
              <w:spacing w:after="60" w:lineRule="auto" w:line="360"/>
              <w:jc w:val="both"/>
              <w:rPr>
                <w:sz w:val="24"/>
                <w:szCs w:val="24"/>
              </w:rPr>
            </w:pPr>
            <w:r>
              <w:rPr>
                <w:sz w:val="24"/>
                <w:szCs w:val="24"/>
              </w:rPr>
              <w:t>GDP: EUR 4.12 trillion (2023); GDP per capita: EUR 49,200 (approx.) ; Unemployment rate: 5.7% (profit.org, 2026).</w:t>
            </w:r>
          </w:p>
          <w:p w14:paraId="08564EC1">
            <w:pPr>
              <w:pStyle w:val="style0"/>
              <w:spacing w:after="60" w:lineRule="auto" w:line="360"/>
              <w:jc w:val="center"/>
              <w:rPr>
                <w:sz w:val="24"/>
                <w:szCs w:val="24"/>
              </w:rPr>
            </w:pPr>
            <w:r>
              <w:rPr>
                <w:noProof/>
                <w:sz w:val="24"/>
                <w:szCs w:val="24"/>
                <w:lang w:val="en-AU" w:eastAsia="en-AU"/>
              </w:rPr>
              <w:drawing>
                <wp:inline distL="0" distT="0" distB="0" distR="0">
                  <wp:extent cx="2924175" cy="1714500"/>
                  <wp:effectExtent l="0" t="0" r="0" b="0"/>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2924175" cy="1714500"/>
                          </a:xfrm>
                          <a:prstGeom prst="rect"/>
                          <a:ln cmpd="sng" cap="flat" w="9525">
                            <a:solidFill>
                              <a:srgbClr val="000000"/>
                            </a:solidFill>
                            <a:prstDash val="solid"/>
                            <a:round/>
                            <a:headEnd len="med" w="med" type="none"/>
                            <a:tailEnd len="med" w="med" type="none"/>
                          </a:ln>
                        </pic:spPr>
                      </pic:pic>
                    </a:graphicData>
                  </a:graphic>
                </wp:inline>
              </w:drawing>
            </w:r>
          </w:p>
          <w:p w14:paraId="72180206">
            <w:pPr>
              <w:pStyle w:val="style0"/>
              <w:spacing w:after="60" w:lineRule="auto" w:line="360"/>
              <w:jc w:val="center"/>
              <w:rPr>
                <w:sz w:val="24"/>
                <w:szCs w:val="24"/>
              </w:rPr>
            </w:pPr>
            <w:r>
              <w:rPr>
                <w:b/>
                <w:bCs/>
                <w:sz w:val="24"/>
                <w:szCs w:val="24"/>
              </w:rPr>
              <w:t>Figure 2:Unemployment rate</w:t>
            </w:r>
            <w:r>
              <w:rPr>
                <w:b/>
                <w:bCs/>
                <w:sz w:val="24"/>
                <w:szCs w:val="24"/>
              </w:rPr>
              <w:br/>
            </w:r>
            <w:r>
              <w:rPr>
                <w:sz w:val="24"/>
                <w:szCs w:val="24"/>
              </w:rPr>
              <w:t>(Source: profit.org, 2026)</w:t>
            </w:r>
          </w:p>
          <w:p w14:paraId="1E129E10">
            <w:pPr>
              <w:pStyle w:val="style0"/>
              <w:spacing w:after="60" w:lineRule="auto" w:line="360"/>
              <w:jc w:val="both"/>
              <w:rPr>
                <w:sz w:val="24"/>
                <w:szCs w:val="24"/>
              </w:rPr>
            </w:pPr>
            <w:r>
              <w:rPr>
                <w:sz w:val="24"/>
                <w:szCs w:val="24"/>
              </w:rPr>
              <w:t xml:space="preserve">Consumer purchasing power is high; Sportswear market: EUR 7.8 Billion (Statista, 2024). </w:t>
            </w:r>
          </w:p>
        </w:tc>
      </w:tr>
      <w:tr w14:paraId="4BD69857">
        <w:tblPrEx/>
        <w:trPr/>
        <w:tc>
          <w:tcPr>
            <w:tcW w:w="4750" w:type="dxa"/>
            <w:tcBorders/>
            <w:tcMar>
              <w:top w:w="60" w:type="dxa"/>
              <w:left w:w="80" w:type="dxa"/>
              <w:bottom w:w="60" w:type="dxa"/>
              <w:right w:w="80" w:type="dxa"/>
            </w:tcMar>
          </w:tcPr>
          <w:p w14:paraId="6B740135">
            <w:pPr>
              <w:pStyle w:val="style0"/>
              <w:spacing w:after="60" w:lineRule="auto" w:line="360"/>
              <w:jc w:val="both"/>
              <w:rPr>
                <w:sz w:val="24"/>
                <w:szCs w:val="24"/>
              </w:rPr>
            </w:pPr>
            <w:r>
              <w:rPr>
                <w:sz w:val="24"/>
                <w:szCs w:val="24"/>
              </w:rPr>
              <w:t>Social</w:t>
            </w:r>
          </w:p>
        </w:tc>
        <w:tc>
          <w:tcPr>
            <w:tcW w:w="4750" w:type="dxa"/>
            <w:tcBorders/>
            <w:tcMar>
              <w:top w:w="60" w:type="dxa"/>
              <w:left w:w="80" w:type="dxa"/>
              <w:bottom w:w="60" w:type="dxa"/>
              <w:right w:w="80" w:type="dxa"/>
            </w:tcMar>
          </w:tcPr>
          <w:p w14:paraId="5C5F373A">
            <w:pPr>
              <w:pStyle w:val="style0"/>
              <w:spacing w:after="60" w:lineRule="auto" w:line="360"/>
              <w:jc w:val="both"/>
              <w:rPr>
                <w:sz w:val="24"/>
                <w:szCs w:val="24"/>
              </w:rPr>
            </w:pPr>
            <w:r>
              <w:rPr>
                <w:sz w:val="24"/>
                <w:szCs w:val="24"/>
              </w:rPr>
              <w:t xml:space="preserve">Population 84.5 million (2024); increased health awareness; trend of athleisure; ageing population (median age 44.6); -41 million Germans regularly participate in sports (Raj Shrivastav, 2024). </w:t>
            </w:r>
          </w:p>
        </w:tc>
      </w:tr>
      <w:tr w14:paraId="23020E6E">
        <w:tblPrEx/>
        <w:trPr/>
        <w:tc>
          <w:tcPr>
            <w:tcW w:w="4750" w:type="dxa"/>
            <w:tcBorders/>
            <w:tcMar>
              <w:top w:w="60" w:type="dxa"/>
              <w:left w:w="80" w:type="dxa"/>
              <w:bottom w:w="60" w:type="dxa"/>
              <w:right w:w="80" w:type="dxa"/>
            </w:tcMar>
          </w:tcPr>
          <w:p w14:paraId="029F2D82">
            <w:pPr>
              <w:pStyle w:val="style0"/>
              <w:spacing w:after="60" w:lineRule="auto" w:line="360"/>
              <w:jc w:val="both"/>
              <w:rPr>
                <w:sz w:val="24"/>
                <w:szCs w:val="24"/>
              </w:rPr>
            </w:pPr>
            <w:r>
              <w:rPr>
                <w:sz w:val="24"/>
                <w:szCs w:val="24"/>
              </w:rPr>
              <w:t>Technological</w:t>
            </w:r>
          </w:p>
        </w:tc>
        <w:tc>
          <w:tcPr>
            <w:tcW w:w="4750" w:type="dxa"/>
            <w:tcBorders/>
            <w:tcMar>
              <w:top w:w="60" w:type="dxa"/>
              <w:left w:w="80" w:type="dxa"/>
              <w:bottom w:w="60" w:type="dxa"/>
              <w:right w:w="80" w:type="dxa"/>
            </w:tcMar>
          </w:tcPr>
          <w:p w14:paraId="2FA176EB">
            <w:pPr>
              <w:pStyle w:val="style0"/>
              <w:spacing w:after="60" w:lineRule="auto" w:line="360"/>
              <w:jc w:val="both"/>
              <w:rPr>
                <w:sz w:val="24"/>
                <w:szCs w:val="24"/>
              </w:rPr>
            </w:pPr>
            <w:r>
              <w:rPr>
                <w:sz w:val="24"/>
                <w:szCs w:val="24"/>
              </w:rPr>
              <w:t xml:space="preserve">One of the top R&amp;D hubs in Europe, as well as  R&amp;D spending as a share of GDP (Eurostat, 2023) and advanced e-commerce systems, along with Industry 4.0 adoption. On the other hand, online sportswear market growth is projected to amount to 4.0 % in 2025 (Technavio, 2025). </w:t>
            </w:r>
          </w:p>
          <w:p w14:paraId="605BF308">
            <w:pPr>
              <w:pStyle w:val="style0"/>
              <w:spacing w:after="60" w:lineRule="auto" w:line="360"/>
              <w:jc w:val="center"/>
              <w:rPr>
                <w:sz w:val="24"/>
                <w:szCs w:val="24"/>
              </w:rPr>
            </w:pPr>
            <w:r>
              <w:rPr>
                <w:noProof/>
                <w:sz w:val="24"/>
                <w:szCs w:val="24"/>
                <w:lang w:val="en-AU" w:eastAsia="en-AU"/>
              </w:rPr>
              <w:drawing>
                <wp:inline distL="0" distT="0" distB="0" distR="0">
                  <wp:extent cx="2924175" cy="2235200"/>
                  <wp:effectExtent l="0" t="0" r="0" b="0"/>
                  <wp:docPr id="1030"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6" cstate="print"/>
                          <a:srcRect l="0" t="0" r="0" b="0"/>
                          <a:stretch/>
                        </pic:blipFill>
                        <pic:spPr>
                          <a:xfrm rot="0">
                            <a:off x="0" y="0"/>
                            <a:ext cx="2924175" cy="2235200"/>
                          </a:xfrm>
                          <a:prstGeom prst="rect"/>
                          <a:ln cmpd="sng" cap="flat" w="9525">
                            <a:solidFill>
                              <a:srgbClr val="000000"/>
                            </a:solidFill>
                            <a:prstDash val="solid"/>
                            <a:round/>
                            <a:headEnd len="med" w="med" type="none"/>
                            <a:tailEnd len="med" w="med" type="none"/>
                          </a:ln>
                        </pic:spPr>
                      </pic:pic>
                    </a:graphicData>
                  </a:graphic>
                </wp:inline>
              </w:drawing>
            </w:r>
          </w:p>
          <w:p w14:paraId="42876CB2">
            <w:pPr>
              <w:pStyle w:val="style0"/>
              <w:spacing w:after="60" w:lineRule="auto" w:line="360"/>
              <w:jc w:val="center"/>
              <w:rPr>
                <w:b/>
                <w:bCs/>
                <w:sz w:val="24"/>
                <w:szCs w:val="24"/>
              </w:rPr>
            </w:pPr>
            <w:r>
              <w:rPr>
                <w:b/>
                <w:bCs/>
                <w:sz w:val="24"/>
                <w:szCs w:val="24"/>
              </w:rPr>
              <w:t>Figure 3: Sports wear market</w:t>
            </w:r>
          </w:p>
          <w:p w14:paraId="6061CCFE">
            <w:pPr>
              <w:pStyle w:val="style0"/>
              <w:spacing w:after="60" w:lineRule="auto" w:line="360"/>
              <w:jc w:val="center"/>
              <w:rPr>
                <w:sz w:val="24"/>
                <w:szCs w:val="24"/>
              </w:rPr>
            </w:pPr>
            <w:r>
              <w:rPr>
                <w:sz w:val="24"/>
                <w:szCs w:val="24"/>
              </w:rPr>
              <w:t>(Source:Technavio, 2025)</w:t>
            </w:r>
          </w:p>
        </w:tc>
      </w:tr>
      <w:tr w14:paraId="6DFBC8AC">
        <w:tblPrEx/>
        <w:trPr/>
        <w:tc>
          <w:tcPr>
            <w:tcW w:w="4750" w:type="dxa"/>
            <w:tcBorders/>
            <w:tcMar>
              <w:top w:w="60" w:type="dxa"/>
              <w:left w:w="80" w:type="dxa"/>
              <w:bottom w:w="60" w:type="dxa"/>
              <w:right w:w="80" w:type="dxa"/>
            </w:tcMar>
          </w:tcPr>
          <w:p w14:paraId="20F069DB">
            <w:pPr>
              <w:pStyle w:val="style0"/>
              <w:spacing w:after="60" w:lineRule="auto" w:line="360"/>
              <w:jc w:val="both"/>
              <w:rPr>
                <w:sz w:val="24"/>
                <w:szCs w:val="24"/>
              </w:rPr>
            </w:pPr>
            <w:r>
              <w:rPr>
                <w:sz w:val="24"/>
                <w:szCs w:val="24"/>
              </w:rPr>
              <w:t>Environmental</w:t>
            </w:r>
          </w:p>
        </w:tc>
        <w:tc>
          <w:tcPr>
            <w:tcW w:w="4750" w:type="dxa"/>
            <w:tcBorders/>
            <w:tcMar>
              <w:top w:w="60" w:type="dxa"/>
              <w:left w:w="80" w:type="dxa"/>
              <w:bottom w:w="60" w:type="dxa"/>
              <w:right w:w="80" w:type="dxa"/>
            </w:tcMar>
          </w:tcPr>
          <w:p w14:paraId="4219AC82">
            <w:pPr>
              <w:pStyle w:val="style0"/>
              <w:spacing w:after="60" w:lineRule="auto" w:line="360"/>
              <w:jc w:val="both"/>
              <w:rPr>
                <w:sz w:val="24"/>
                <w:szCs w:val="24"/>
              </w:rPr>
            </w:pPr>
            <w:r>
              <w:rPr>
                <w:sz w:val="24"/>
                <w:szCs w:val="24"/>
              </w:rPr>
              <w:t xml:space="preserve">EU environmental regulations, German 2045 carbon neutrality target, of consumers willing to pay a premium price for sustainable sportswear (Nielsen, 2023), environmental regulations of the EU must be adhered to. </w:t>
            </w:r>
          </w:p>
        </w:tc>
      </w:tr>
      <w:tr w14:paraId="63134209">
        <w:tblPrEx/>
        <w:trPr/>
        <w:tc>
          <w:tcPr>
            <w:tcW w:w="4750" w:type="dxa"/>
            <w:tcBorders/>
            <w:tcMar>
              <w:top w:w="60" w:type="dxa"/>
              <w:left w:w="80" w:type="dxa"/>
              <w:bottom w:w="60" w:type="dxa"/>
              <w:right w:w="80" w:type="dxa"/>
            </w:tcMar>
          </w:tcPr>
          <w:p w14:paraId="6F4E5954">
            <w:pPr>
              <w:pStyle w:val="style0"/>
              <w:spacing w:after="60" w:lineRule="auto" w:line="360"/>
              <w:jc w:val="both"/>
              <w:rPr>
                <w:sz w:val="24"/>
                <w:szCs w:val="24"/>
              </w:rPr>
            </w:pPr>
            <w:r>
              <w:rPr>
                <w:sz w:val="24"/>
                <w:szCs w:val="24"/>
              </w:rPr>
              <w:t>Legal</w:t>
            </w:r>
          </w:p>
        </w:tc>
        <w:tc>
          <w:tcPr>
            <w:tcW w:w="4750" w:type="dxa"/>
            <w:tcBorders/>
            <w:tcMar>
              <w:top w:w="60" w:type="dxa"/>
              <w:left w:w="80" w:type="dxa"/>
              <w:bottom w:w="60" w:type="dxa"/>
              <w:right w:w="80" w:type="dxa"/>
            </w:tcMar>
          </w:tcPr>
          <w:p w14:paraId="2BC5EC9E">
            <w:pPr>
              <w:pStyle w:val="style0"/>
              <w:spacing w:after="60" w:lineRule="auto" w:line="360"/>
              <w:jc w:val="both"/>
              <w:rPr>
                <w:sz w:val="24"/>
                <w:szCs w:val="24"/>
              </w:rPr>
            </w:pPr>
            <w:r>
              <w:rPr>
                <w:sz w:val="24"/>
                <w:szCs w:val="24"/>
              </w:rPr>
              <w:t xml:space="preserve">Compliance with the EU GDPR; extremely tight product-safety regulations; German Supply Chain Due Diligence Act (LkSG), which comes into effect in January 2023 and will call for human-rights audits throughout supply chains. </w:t>
            </w:r>
          </w:p>
        </w:tc>
      </w:tr>
    </w:tbl>
    <w:p w14:paraId="74D94EE6">
      <w:pPr>
        <w:pStyle w:val="style0"/>
        <w:spacing w:after="80" w:lineRule="auto" w:line="360"/>
        <w:jc w:val="both"/>
        <w:rPr>
          <w:sz w:val="24"/>
          <w:szCs w:val="24"/>
        </w:rPr>
      </w:pPr>
    </w:p>
    <w:bookmarkStart w:id="4" w:name="_Toc237268418"/>
    <w:p w14:paraId="4FB4C284">
      <w:pPr>
        <w:pStyle w:val="style3"/>
        <w:spacing w:before="180" w:after="80"/>
        <w:rPr/>
      </w:pPr>
      <w:r>
        <w:t>PESTEL Analysis - Germany: Discussion</w:t>
      </w:r>
      <w:bookmarkEnd w:id="4"/>
    </w:p>
    <w:p w14:paraId="6497309F">
      <w:pPr>
        <w:pStyle w:val="style0"/>
        <w:spacing w:after="80" w:lineRule="auto" w:line="360"/>
        <w:jc w:val="both"/>
        <w:rPr>
          <w:sz w:val="24"/>
          <w:szCs w:val="24"/>
        </w:rPr>
      </w:pPr>
      <w:r>
        <w:rPr>
          <w:sz w:val="24"/>
          <w:szCs w:val="24"/>
        </w:rPr>
        <w:t>Adidas operations in Germany are supported by a stable and favourable political environment. Under the EU single-market principle, supply chains and marketing strategies can be coordinated across the EU flawlessly (European Commission, 2023). From an economic point of view, consumers are in a good position in Germany, as GDP is EUR 4.12 trillion and approximately EUR 49,200 per capita in 2023 (profit.org, 2026). This provides a strong overall commercial opportunity for Adidas.</w:t>
      </w:r>
    </w:p>
    <w:p w14:paraId="17312878">
      <w:pPr>
        <w:pStyle w:val="style0"/>
        <w:spacing w:after="80" w:lineRule="auto" w:line="360"/>
        <w:jc w:val="both"/>
        <w:rPr>
          <w:sz w:val="24"/>
          <w:szCs w:val="24"/>
        </w:rPr>
      </w:pPr>
      <w:r>
        <w:rPr>
          <w:sz w:val="24"/>
          <w:szCs w:val="24"/>
        </w:rPr>
        <w:t xml:space="preserve">Socially, there is a clear trend towards health and wellness lifestyles in Germany. The Germans population participate in sports regularly, which is at the core of the product and communication strategy of Adidas (Adidas 2018). </w:t>
      </w:r>
    </w:p>
    <w:p w14:paraId="53EA3BDD">
      <w:pPr>
        <w:pStyle w:val="style0"/>
        <w:spacing w:after="80" w:lineRule="auto" w:line="360"/>
        <w:jc w:val="both"/>
        <w:rPr>
          <w:sz w:val="24"/>
          <w:szCs w:val="24"/>
        </w:rPr>
      </w:pPr>
      <w:r>
        <w:rPr>
          <w:sz w:val="24"/>
          <w:szCs w:val="24"/>
        </w:rPr>
        <w:t>Adidas is under heavy pressure to decarbonise its value chain due to the EU's Green Deal and the German 2045 net-zero target. In response, Adidas has launched its "Move for the Planet" initiative and pledged to utilize sustainable materials for 9 out of 10 articles by 2025 (adidas.group, 2024). From January 2023, the German Supply Chain Due Diligence Act (Lieferkettensorgfaltspflichtengesetz, LkSG) will impose a much stricter compliance obligation on Adidas to audit human rights compliance in global supply chain, which is relevant for sourcing in Asia (Bundesregierung, 2021).</w:t>
      </w:r>
    </w:p>
    <w:p w14:paraId="5C0776EF">
      <w:pPr>
        <w:pStyle w:val="style0"/>
        <w:rPr>
          <w:b/>
          <w:sz w:val="24"/>
          <w:szCs w:val="24"/>
        </w:rPr>
      </w:pPr>
      <w:r>
        <w:rPr>
          <w:b/>
          <w:sz w:val="24"/>
          <w:szCs w:val="24"/>
        </w:rPr>
        <w:t>Table 2: PESTEL Analysis - United States</w:t>
      </w:r>
    </w:p>
    <w:p w14:paraId="486BE384">
      <w:pPr>
        <w:pStyle w:val="style0"/>
        <w:rPr/>
      </w:pPr>
    </w:p>
    <w:tbl>
      <w:tblPr>
        <w:tblStyle w:val="style4102"/>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22295A03">
        <w:trPr>
          <w:tblHeader/>
        </w:trPr>
        <w:tc>
          <w:tcPr>
            <w:tcW w:w="4750" w:type="dxa"/>
            <w:tcBorders/>
            <w:shd w:val="clear" w:color="auto" w:fill="ddeeff"/>
            <w:tcMar>
              <w:top w:w="60" w:type="dxa"/>
              <w:left w:w="80" w:type="dxa"/>
              <w:bottom w:w="60" w:type="dxa"/>
              <w:right w:w="80" w:type="dxa"/>
            </w:tcMar>
          </w:tcPr>
          <w:p w14:paraId="256A8D03">
            <w:pPr>
              <w:pStyle w:val="style0"/>
              <w:spacing w:after="60" w:lineRule="auto" w:line="360"/>
              <w:jc w:val="both"/>
              <w:rPr>
                <w:sz w:val="24"/>
                <w:szCs w:val="24"/>
              </w:rPr>
            </w:pPr>
            <w:r>
              <w:rPr>
                <w:b/>
                <w:bCs/>
                <w:sz w:val="24"/>
                <w:szCs w:val="24"/>
              </w:rPr>
              <w:t>PESTEL Factor</w:t>
            </w:r>
          </w:p>
        </w:tc>
        <w:tc>
          <w:tcPr>
            <w:tcW w:w="4750" w:type="dxa"/>
            <w:tcBorders/>
            <w:shd w:val="clear" w:color="auto" w:fill="ddeeff"/>
            <w:tcMar>
              <w:top w:w="60" w:type="dxa"/>
              <w:left w:w="80" w:type="dxa"/>
              <w:bottom w:w="60" w:type="dxa"/>
              <w:right w:w="80" w:type="dxa"/>
            </w:tcMar>
          </w:tcPr>
          <w:p w14:paraId="03B06BEF">
            <w:pPr>
              <w:pStyle w:val="style0"/>
              <w:spacing w:after="60" w:lineRule="auto" w:line="360"/>
              <w:jc w:val="both"/>
              <w:rPr>
                <w:sz w:val="24"/>
                <w:szCs w:val="24"/>
              </w:rPr>
            </w:pPr>
            <w:r>
              <w:rPr>
                <w:b/>
                <w:bCs/>
                <w:sz w:val="24"/>
                <w:szCs w:val="24"/>
              </w:rPr>
              <w:t>Key Indicators and Observations - USA</w:t>
            </w:r>
          </w:p>
        </w:tc>
      </w:tr>
      <w:tr w14:paraId="32107AF6">
        <w:tblPrEx/>
        <w:trPr/>
        <w:tc>
          <w:tcPr>
            <w:tcW w:w="4750" w:type="dxa"/>
            <w:tcBorders/>
            <w:tcMar>
              <w:top w:w="60" w:type="dxa"/>
              <w:left w:w="80" w:type="dxa"/>
              <w:bottom w:w="60" w:type="dxa"/>
              <w:right w:w="80" w:type="dxa"/>
            </w:tcMar>
          </w:tcPr>
          <w:p w14:paraId="276EE2AF">
            <w:pPr>
              <w:pStyle w:val="style0"/>
              <w:spacing w:after="60" w:lineRule="auto" w:line="360"/>
              <w:jc w:val="both"/>
              <w:rPr>
                <w:sz w:val="24"/>
                <w:szCs w:val="24"/>
              </w:rPr>
            </w:pPr>
            <w:r>
              <w:rPr>
                <w:sz w:val="24"/>
                <w:szCs w:val="24"/>
              </w:rPr>
              <w:t>Political</w:t>
            </w:r>
          </w:p>
        </w:tc>
        <w:tc>
          <w:tcPr>
            <w:tcW w:w="4750" w:type="dxa"/>
            <w:tcBorders/>
            <w:tcMar>
              <w:top w:w="60" w:type="dxa"/>
              <w:left w:w="80" w:type="dxa"/>
              <w:bottom w:w="60" w:type="dxa"/>
              <w:right w:w="80" w:type="dxa"/>
            </w:tcMar>
          </w:tcPr>
          <w:p w14:paraId="63FB12E3">
            <w:pPr>
              <w:pStyle w:val="style0"/>
              <w:spacing w:after="60" w:lineRule="auto" w:line="360"/>
              <w:jc w:val="both"/>
              <w:rPr>
                <w:sz w:val="24"/>
                <w:szCs w:val="24"/>
              </w:rPr>
            </w:pPr>
            <w:r>
              <w:rPr>
                <w:sz w:val="24"/>
                <w:szCs w:val="24"/>
              </w:rPr>
              <w:t>Federal democratic republic; complex federal-state regulatory landscape; Section 301 trade tariffs on Chinese imports: protectionist policy tendencies (ustr.gov, 2026).</w:t>
            </w:r>
          </w:p>
        </w:tc>
      </w:tr>
      <w:tr w14:paraId="73E17E52">
        <w:tblPrEx/>
        <w:trPr/>
        <w:tc>
          <w:tcPr>
            <w:tcW w:w="4750" w:type="dxa"/>
            <w:tcBorders/>
            <w:tcMar>
              <w:top w:w="60" w:type="dxa"/>
              <w:left w:w="80" w:type="dxa"/>
              <w:bottom w:w="60" w:type="dxa"/>
              <w:right w:w="80" w:type="dxa"/>
            </w:tcMar>
          </w:tcPr>
          <w:p w14:paraId="3D4A09CE">
            <w:pPr>
              <w:pStyle w:val="style0"/>
              <w:spacing w:after="60" w:lineRule="auto" w:line="360"/>
              <w:jc w:val="both"/>
              <w:rPr>
                <w:sz w:val="24"/>
                <w:szCs w:val="24"/>
              </w:rPr>
            </w:pPr>
            <w:r>
              <w:rPr>
                <w:sz w:val="24"/>
                <w:szCs w:val="24"/>
              </w:rPr>
              <w:t>Economic</w:t>
            </w:r>
          </w:p>
        </w:tc>
        <w:tc>
          <w:tcPr>
            <w:tcW w:w="4750" w:type="dxa"/>
            <w:tcBorders/>
            <w:tcMar>
              <w:top w:w="60" w:type="dxa"/>
              <w:left w:w="80" w:type="dxa"/>
              <w:bottom w:w="60" w:type="dxa"/>
              <w:right w:w="80" w:type="dxa"/>
            </w:tcMar>
          </w:tcPr>
          <w:p w14:paraId="5C6706E4">
            <w:pPr>
              <w:pStyle w:val="style0"/>
              <w:spacing w:after="60" w:lineRule="auto" w:line="360"/>
              <w:jc w:val="both"/>
              <w:rPr>
                <w:sz w:val="24"/>
                <w:szCs w:val="24"/>
              </w:rPr>
            </w:pPr>
            <w:r>
              <w:rPr>
                <w:sz w:val="24"/>
                <w:szCs w:val="24"/>
              </w:rPr>
              <w:t>GDP: $27.81 trillion (2023) (Statista, 2020); GDP per capita approx. $80,412; unemployment 3.7%; world's largest consumer market; US athletic footwear market valued $24.0 billion.</w:t>
            </w:r>
          </w:p>
          <w:p w14:paraId="7780379C">
            <w:pPr>
              <w:pStyle w:val="style0"/>
              <w:spacing w:after="60" w:lineRule="auto" w:line="360"/>
              <w:jc w:val="center"/>
              <w:rPr>
                <w:sz w:val="24"/>
                <w:szCs w:val="24"/>
              </w:rPr>
            </w:pPr>
            <w:r>
              <w:rPr>
                <w:noProof/>
                <w:sz w:val="24"/>
                <w:szCs w:val="24"/>
                <w:lang w:val="en-AU" w:eastAsia="en-AU"/>
              </w:rPr>
              <w:drawing>
                <wp:inline distL="0" distT="0" distB="0" distR="0">
                  <wp:extent cx="2924175" cy="1803400"/>
                  <wp:effectExtent l="0" t="0" r="0" b="0"/>
                  <wp:docPr id="1031"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image1.png"/>
                          <pic:cNvPicPr/>
                        </pic:nvPicPr>
                        <pic:blipFill>
                          <a:blip r:embed="rId7" cstate="print"/>
                          <a:srcRect l="0" t="0" r="0" b="0"/>
                          <a:stretch/>
                        </pic:blipFill>
                        <pic:spPr>
                          <a:xfrm rot="0">
                            <a:off x="0" y="0"/>
                            <a:ext cx="2924175" cy="1803400"/>
                          </a:xfrm>
                          <a:prstGeom prst="rect"/>
                          <a:ln cmpd="sng" cap="flat" w="9525">
                            <a:solidFill>
                              <a:srgbClr val="000000"/>
                            </a:solidFill>
                            <a:prstDash val="solid"/>
                            <a:round/>
                            <a:headEnd len="med" w="med" type="none"/>
                            <a:tailEnd len="med" w="med" type="none"/>
                          </a:ln>
                        </pic:spPr>
                      </pic:pic>
                    </a:graphicData>
                  </a:graphic>
                </wp:inline>
              </w:drawing>
            </w:r>
          </w:p>
          <w:p w14:paraId="0CE25343">
            <w:pPr>
              <w:pStyle w:val="style0"/>
              <w:spacing w:after="60" w:lineRule="auto" w:line="360"/>
              <w:jc w:val="center"/>
              <w:rPr>
                <w:b/>
                <w:bCs/>
                <w:sz w:val="24"/>
                <w:szCs w:val="24"/>
              </w:rPr>
            </w:pPr>
            <w:r>
              <w:rPr>
                <w:b/>
                <w:bCs/>
                <w:sz w:val="24"/>
                <w:szCs w:val="24"/>
              </w:rPr>
              <w:t xml:space="preserve">Figure 4: </w:t>
            </w:r>
            <w:r>
              <w:rPr>
                <w:b/>
                <w:bCs/>
                <w:color w:val="0f2741"/>
                <w:sz w:val="24"/>
                <w:szCs w:val="24"/>
              </w:rPr>
              <w:t>GDP</w:t>
            </w:r>
            <w:r>
              <w:rPr>
                <w:b/>
                <w:bCs/>
                <w:sz w:val="24"/>
                <w:szCs w:val="24"/>
              </w:rPr>
              <w:t xml:space="preserve"> in USA</w:t>
            </w:r>
          </w:p>
          <w:p w14:paraId="61A0E0EB">
            <w:pPr>
              <w:pStyle w:val="style0"/>
              <w:spacing w:after="60" w:lineRule="auto" w:line="360"/>
              <w:jc w:val="center"/>
              <w:rPr>
                <w:sz w:val="24"/>
                <w:szCs w:val="24"/>
              </w:rPr>
            </w:pPr>
            <w:r>
              <w:rPr>
                <w:sz w:val="24"/>
                <w:szCs w:val="24"/>
              </w:rPr>
              <w:t>(Source: Statista, 2020)</w:t>
            </w:r>
          </w:p>
        </w:tc>
      </w:tr>
      <w:tr w14:paraId="52B65502">
        <w:tblPrEx/>
        <w:trPr/>
        <w:tc>
          <w:tcPr>
            <w:tcW w:w="4750" w:type="dxa"/>
            <w:tcBorders/>
            <w:tcMar>
              <w:top w:w="60" w:type="dxa"/>
              <w:left w:w="80" w:type="dxa"/>
              <w:bottom w:w="60" w:type="dxa"/>
              <w:right w:w="80" w:type="dxa"/>
            </w:tcMar>
          </w:tcPr>
          <w:p w14:paraId="2CB7FFA9">
            <w:pPr>
              <w:pStyle w:val="style0"/>
              <w:spacing w:after="60" w:lineRule="auto" w:line="360"/>
              <w:jc w:val="both"/>
              <w:rPr>
                <w:sz w:val="24"/>
                <w:szCs w:val="24"/>
              </w:rPr>
            </w:pPr>
            <w:r>
              <w:rPr>
                <w:sz w:val="24"/>
                <w:szCs w:val="24"/>
              </w:rPr>
              <w:t>Social</w:t>
            </w:r>
          </w:p>
        </w:tc>
        <w:tc>
          <w:tcPr>
            <w:tcW w:w="4750" w:type="dxa"/>
            <w:tcBorders/>
            <w:tcMar>
              <w:top w:w="60" w:type="dxa"/>
              <w:left w:w="80" w:type="dxa"/>
              <w:bottom w:w="60" w:type="dxa"/>
              <w:right w:w="80" w:type="dxa"/>
            </w:tcMar>
          </w:tcPr>
          <w:p w14:paraId="29D7B137">
            <w:pPr>
              <w:pStyle w:val="style0"/>
              <w:spacing w:after="60" w:lineRule="auto" w:line="360"/>
              <w:jc w:val="both"/>
              <w:rPr>
                <w:sz w:val="24"/>
                <w:szCs w:val="24"/>
              </w:rPr>
            </w:pPr>
            <w:r>
              <w:rPr>
                <w:sz w:val="24"/>
                <w:szCs w:val="24"/>
              </w:rPr>
              <w:t xml:space="preserve">335 million people (2024), very diverse multicultural population, sports culture is strong (NBA, NFL, MLB, MLS), purchasing behaviour is influenced by influencers, and a majority of non-white people is expected by 2045 (US Census Bureau, 2023). </w:t>
            </w:r>
          </w:p>
        </w:tc>
      </w:tr>
      <w:tr w14:paraId="2BB128EB">
        <w:tblPrEx/>
        <w:trPr/>
        <w:tc>
          <w:tcPr>
            <w:tcW w:w="4750" w:type="dxa"/>
            <w:tcBorders/>
            <w:tcMar>
              <w:top w:w="60" w:type="dxa"/>
              <w:left w:w="80" w:type="dxa"/>
              <w:bottom w:w="60" w:type="dxa"/>
              <w:right w:w="80" w:type="dxa"/>
            </w:tcMar>
          </w:tcPr>
          <w:p w14:paraId="37E81940">
            <w:pPr>
              <w:pStyle w:val="style0"/>
              <w:spacing w:after="60" w:lineRule="auto" w:line="360"/>
              <w:jc w:val="both"/>
              <w:rPr>
                <w:sz w:val="24"/>
                <w:szCs w:val="24"/>
              </w:rPr>
            </w:pPr>
            <w:r>
              <w:rPr>
                <w:sz w:val="24"/>
                <w:szCs w:val="24"/>
              </w:rPr>
              <w:t>Technological</w:t>
            </w:r>
          </w:p>
        </w:tc>
        <w:tc>
          <w:tcPr>
            <w:tcW w:w="4750" w:type="dxa"/>
            <w:tcBorders/>
            <w:tcMar>
              <w:top w:w="60" w:type="dxa"/>
              <w:left w:w="80" w:type="dxa"/>
              <w:bottom w:w="60" w:type="dxa"/>
              <w:right w:w="80" w:type="dxa"/>
            </w:tcMar>
          </w:tcPr>
          <w:p w14:paraId="5E1D78D3">
            <w:pPr>
              <w:pStyle w:val="style0"/>
              <w:spacing w:after="60" w:lineRule="auto" w:line="360"/>
              <w:jc w:val="both"/>
              <w:rPr>
                <w:sz w:val="24"/>
                <w:szCs w:val="24"/>
              </w:rPr>
            </w:pPr>
            <w:r>
              <w:rPr>
                <w:sz w:val="24"/>
                <w:szCs w:val="24"/>
              </w:rPr>
              <w:t xml:space="preserve">Smartphone penetration 91%; AI-based personalisation in retail becomes a growing reality; advanced logistics (same-day delivery) makes its way into reality; AR virtual try-on technology becomes more mainstream. </w:t>
            </w:r>
          </w:p>
        </w:tc>
      </w:tr>
      <w:tr w14:paraId="388D202A">
        <w:tblPrEx/>
        <w:trPr/>
        <w:tc>
          <w:tcPr>
            <w:tcW w:w="4750" w:type="dxa"/>
            <w:tcBorders/>
            <w:tcMar>
              <w:top w:w="60" w:type="dxa"/>
              <w:left w:w="80" w:type="dxa"/>
              <w:bottom w:w="60" w:type="dxa"/>
              <w:right w:w="80" w:type="dxa"/>
            </w:tcMar>
          </w:tcPr>
          <w:p w14:paraId="467B9949">
            <w:pPr>
              <w:pStyle w:val="style0"/>
              <w:spacing w:after="60" w:lineRule="auto" w:line="360"/>
              <w:jc w:val="both"/>
              <w:rPr>
                <w:sz w:val="24"/>
                <w:szCs w:val="24"/>
              </w:rPr>
            </w:pPr>
            <w:r>
              <w:rPr>
                <w:sz w:val="24"/>
                <w:szCs w:val="24"/>
              </w:rPr>
              <w:t>Environmental</w:t>
            </w:r>
          </w:p>
        </w:tc>
        <w:tc>
          <w:tcPr>
            <w:tcW w:w="4750" w:type="dxa"/>
            <w:tcBorders/>
            <w:tcMar>
              <w:top w:w="60" w:type="dxa"/>
              <w:left w:w="80" w:type="dxa"/>
              <w:bottom w:w="60" w:type="dxa"/>
              <w:right w:w="80" w:type="dxa"/>
            </w:tcMar>
          </w:tcPr>
          <w:p w14:paraId="0EB45E2A">
            <w:pPr>
              <w:pStyle w:val="style0"/>
              <w:spacing w:after="60" w:lineRule="auto" w:line="360"/>
              <w:jc w:val="both"/>
              <w:rPr>
                <w:sz w:val="24"/>
                <w:szCs w:val="24"/>
              </w:rPr>
            </w:pPr>
            <w:r>
              <w:rPr>
                <w:sz w:val="24"/>
                <w:szCs w:val="24"/>
              </w:rPr>
              <w:t>Growing sustainability awareness; SEC climate-disclosure rules require Scope 1-3 emissions reporting; state-level regulations; increasing ESG investor pressure (</w:t>
            </w:r>
            <w:r>
              <w:rPr>
                <w:rFonts w:ascii="Arial" w:cs="Arial" w:eastAsia="Arial" w:hAnsi="Arial"/>
                <w:color w:val="222222"/>
                <w:sz w:val="20"/>
                <w:szCs w:val="20"/>
              </w:rPr>
              <w:t>Fisch and Miazad, 2026</w:t>
            </w:r>
            <w:r>
              <w:rPr>
                <w:sz w:val="24"/>
                <w:szCs w:val="24"/>
              </w:rPr>
              <w:t>).</w:t>
            </w:r>
          </w:p>
        </w:tc>
      </w:tr>
      <w:tr w14:paraId="0366B6E8">
        <w:tblPrEx/>
        <w:trPr/>
        <w:tc>
          <w:tcPr>
            <w:tcW w:w="4750" w:type="dxa"/>
            <w:tcBorders/>
            <w:tcMar>
              <w:top w:w="60" w:type="dxa"/>
              <w:left w:w="80" w:type="dxa"/>
              <w:bottom w:w="60" w:type="dxa"/>
              <w:right w:w="80" w:type="dxa"/>
            </w:tcMar>
          </w:tcPr>
          <w:p w14:paraId="1917B9DC">
            <w:pPr>
              <w:pStyle w:val="style0"/>
              <w:spacing w:after="60" w:lineRule="auto" w:line="360"/>
              <w:jc w:val="both"/>
              <w:rPr>
                <w:sz w:val="24"/>
                <w:szCs w:val="24"/>
              </w:rPr>
            </w:pPr>
            <w:r>
              <w:rPr>
                <w:sz w:val="24"/>
                <w:szCs w:val="24"/>
              </w:rPr>
              <w:t>Legal</w:t>
            </w:r>
          </w:p>
        </w:tc>
        <w:tc>
          <w:tcPr>
            <w:tcW w:w="4750" w:type="dxa"/>
            <w:tcBorders/>
            <w:tcMar>
              <w:top w:w="60" w:type="dxa"/>
              <w:left w:w="80" w:type="dxa"/>
              <w:bottom w:w="60" w:type="dxa"/>
              <w:right w:w="80" w:type="dxa"/>
            </w:tcMar>
          </w:tcPr>
          <w:p w14:paraId="3E41F527">
            <w:pPr>
              <w:pStyle w:val="style0"/>
              <w:spacing w:after="60" w:lineRule="auto" w:line="360"/>
              <w:jc w:val="both"/>
              <w:rPr>
                <w:sz w:val="24"/>
                <w:szCs w:val="24"/>
              </w:rPr>
            </w:pPr>
            <w:r>
              <w:rPr>
                <w:sz w:val="24"/>
                <w:szCs w:val="24"/>
              </w:rPr>
              <w:t xml:space="preserve">FTC advertising standards and Green Guides; IP/trademark, USPTO, 2023); Americans with </w:t>
            </w:r>
            <w:r>
              <w:rPr>
                <w:sz w:val="24"/>
                <w:szCs w:val="24"/>
              </w:rPr>
              <w:t xml:space="preserve">Disabilities Act (ADA) and digital accessibility; CCPA data privacy (California). </w:t>
            </w:r>
          </w:p>
        </w:tc>
      </w:tr>
    </w:tbl>
    <w:p w14:paraId="16839EAD">
      <w:pPr>
        <w:pStyle w:val="style0"/>
        <w:spacing w:after="80" w:lineRule="auto" w:line="360"/>
        <w:jc w:val="both"/>
        <w:rPr>
          <w:sz w:val="24"/>
          <w:szCs w:val="24"/>
        </w:rPr>
      </w:pPr>
    </w:p>
    <w:bookmarkStart w:id="5" w:name="_Toc237268419"/>
    <w:p w14:paraId="526B15C2">
      <w:pPr>
        <w:pStyle w:val="style3"/>
        <w:spacing w:before="180" w:after="80"/>
        <w:rPr/>
      </w:pPr>
      <w:r>
        <w:t>PESTEL Analysis - United States: Discussion</w:t>
      </w:r>
      <w:bookmarkEnd w:id="5"/>
    </w:p>
    <w:p w14:paraId="712E952E">
      <w:pPr>
        <w:pStyle w:val="style0"/>
        <w:jc w:val="center"/>
        <w:rPr/>
      </w:pPr>
      <w:r>
        <w:rPr>
          <w:noProof/>
          <w:lang w:val="en-AU" w:eastAsia="en-AU"/>
        </w:rPr>
        <w:drawing>
          <wp:inline distL="0" distT="0" distB="0" distR="0">
            <wp:extent cx="5715000" cy="3124200"/>
            <wp:effectExtent l="0" t="0" r="0" b="0"/>
            <wp:docPr id="1032"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image5.png"/>
                    <pic:cNvPicPr/>
                  </pic:nvPicPr>
                  <pic:blipFill>
                    <a:blip r:embed="rId8" cstate="print"/>
                    <a:srcRect l="0" t="0" r="0" b="0"/>
                    <a:stretch/>
                  </pic:blipFill>
                  <pic:spPr>
                    <a:xfrm rot="0">
                      <a:off x="0" y="0"/>
                      <a:ext cx="5715000" cy="3124200"/>
                    </a:xfrm>
                    <a:prstGeom prst="rect"/>
                    <a:ln cmpd="sng" cap="flat" w="9525">
                      <a:solidFill>
                        <a:srgbClr val="000000"/>
                      </a:solidFill>
                      <a:prstDash val="solid"/>
                      <a:round/>
                      <a:headEnd len="med" w="med" type="none"/>
                      <a:tailEnd len="med" w="med" type="none"/>
                    </a:ln>
                  </pic:spPr>
                </pic:pic>
              </a:graphicData>
            </a:graphic>
          </wp:inline>
        </w:drawing>
      </w:r>
    </w:p>
    <w:p w14:paraId="231E0085">
      <w:pPr>
        <w:pStyle w:val="style0"/>
        <w:jc w:val="center"/>
        <w:rPr>
          <w:b/>
          <w:bCs/>
        </w:rPr>
      </w:pPr>
      <w:r>
        <w:rPr>
          <w:b/>
          <w:bCs/>
        </w:rPr>
        <w:t xml:space="preserve">Figure 5: Total sales </w:t>
      </w:r>
    </w:p>
    <w:p w14:paraId="5106BD11">
      <w:pPr>
        <w:pStyle w:val="style0"/>
        <w:jc w:val="center"/>
        <w:rPr/>
      </w:pPr>
      <w:r>
        <w:t xml:space="preserve">(Source: </w:t>
      </w:r>
      <w:r>
        <w:rPr>
          <w:sz w:val="24"/>
          <w:szCs w:val="24"/>
        </w:rPr>
        <w:t>Gaius Ufondu, 2025</w:t>
      </w:r>
      <w:r>
        <w:t>)</w:t>
      </w:r>
    </w:p>
    <w:p w14:paraId="0A900B59">
      <w:pPr>
        <w:pStyle w:val="style0"/>
        <w:spacing w:after="80" w:lineRule="auto" w:line="360"/>
        <w:jc w:val="both"/>
        <w:rPr>
          <w:sz w:val="24"/>
          <w:szCs w:val="24"/>
        </w:rPr>
      </w:pPr>
      <w:r>
        <w:rPr>
          <w:sz w:val="24"/>
          <w:szCs w:val="24"/>
        </w:rPr>
        <w:t>Its biggest single revenue market is, naturally, the United States, where Adidas total sales were around $90M billion, down from $5.0 billion in 2022, in part due to the impact of the termination of the sponsorship with Ye (Kanye West) (Gaius Ufondu, 2025). The political situation in the USA is intricate. Manufacturers must pay an effective duty of up to on goods from China, due to Section 301 tariffs on Chinese-manufactured goods, and this will raise the cost of Adidas's Chinese imports (ustr.gov, 2026b). This has led Adidas to expand its production in Vietnam, Cambodia and Indonesia, as by 2023 of the company's footwear production took place there.</w:t>
      </w:r>
    </w:p>
    <w:p w14:paraId="53100476">
      <w:pPr>
        <w:pStyle w:val="style0"/>
        <w:spacing w:after="80" w:lineRule="auto" w:line="360"/>
        <w:jc w:val="both"/>
        <w:rPr>
          <w:sz w:val="24"/>
          <w:szCs w:val="24"/>
        </w:rPr>
      </w:pPr>
      <w:r>
        <w:rPr>
          <w:sz w:val="24"/>
          <w:szCs w:val="24"/>
        </w:rPr>
        <w:t xml:space="preserve">Competitive gap is a strategic challenge. From a social perspective, sports culture and celebrity influence are great drivers of consumer behaviour within the USA. Adidas has official partnerships with the NBA, MLS and many NCAA programmes, bringing a strong consumer </w:t>
      </w:r>
      <w:r>
        <w:rPr>
          <w:sz w:val="24"/>
          <w:szCs w:val="24"/>
        </w:rPr>
        <w:t>connection with sports-engaged consumers. By 2045, the non-white population in the United States is expected to exceed the white population (US Census Bureau, 2023), making it crucial to have proactive multicultural marketing strategies.</w:t>
      </w:r>
    </w:p>
    <w:p w14:paraId="28880660">
      <w:pPr>
        <w:pStyle w:val="style0"/>
        <w:spacing w:after="80" w:lineRule="auto" w:line="360"/>
        <w:jc w:val="both"/>
        <w:rPr>
          <w:sz w:val="24"/>
          <w:szCs w:val="24"/>
        </w:rPr>
      </w:pPr>
      <w:r>
        <w:rPr>
          <w:sz w:val="24"/>
          <w:szCs w:val="24"/>
        </w:rPr>
        <w:t>Retail innovation is all the rage in the United States, technologically speaking. An AI-backed data analytics system is used to provide personalized product recommendations in the Adidas "adiClub" program, which has been adopted by around people across the world by 2023, with the rate of usage being particularly high in the US market (Barr, 2026).</w:t>
      </w:r>
    </w:p>
    <w:p w14:paraId="05694CBF">
      <w:pPr>
        <w:pStyle w:val="style0"/>
        <w:spacing w:after="80" w:lineRule="auto" w:line="360"/>
        <w:jc w:val="center"/>
        <w:rPr>
          <w:sz w:val="24"/>
          <w:szCs w:val="24"/>
        </w:rPr>
      </w:pPr>
      <w:r>
        <w:rPr>
          <w:noProof/>
          <w:sz w:val="24"/>
          <w:szCs w:val="24"/>
          <w:lang w:val="en-AU" w:eastAsia="en-AU"/>
        </w:rPr>
        <w:drawing>
          <wp:inline distL="0" distT="0" distB="0" distR="0">
            <wp:extent cx="4514850" cy="2638425"/>
            <wp:effectExtent l="0" t="0" r="0" b="0"/>
            <wp:docPr id="1033" name="image7.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image7.png"/>
                    <pic:cNvPicPr/>
                  </pic:nvPicPr>
                  <pic:blipFill>
                    <a:blip r:embed="rId9" cstate="print"/>
                    <a:srcRect l="0" t="0" r="0" b="0"/>
                    <a:stretch/>
                  </pic:blipFill>
                  <pic:spPr>
                    <a:xfrm rot="0">
                      <a:off x="0" y="0"/>
                      <a:ext cx="4514850" cy="2638425"/>
                    </a:xfrm>
                    <a:prstGeom prst="rect"/>
                    <a:ln cmpd="sng" cap="flat" w="9525">
                      <a:solidFill>
                        <a:srgbClr val="000000"/>
                      </a:solidFill>
                      <a:prstDash val="solid"/>
                      <a:round/>
                      <a:headEnd len="med" w="med" type="none"/>
                      <a:tailEnd len="med" w="med" type="none"/>
                    </a:ln>
                  </pic:spPr>
                </pic:pic>
              </a:graphicData>
            </a:graphic>
          </wp:inline>
        </w:drawing>
      </w:r>
    </w:p>
    <w:p w14:paraId="33B1F3E2">
      <w:pPr>
        <w:pStyle w:val="style0"/>
        <w:spacing w:after="80" w:lineRule="auto" w:line="360"/>
        <w:jc w:val="center"/>
        <w:rPr>
          <w:sz w:val="24"/>
          <w:szCs w:val="24"/>
        </w:rPr>
      </w:pPr>
      <w:r>
        <w:rPr>
          <w:b/>
          <w:bCs/>
          <w:sz w:val="24"/>
          <w:szCs w:val="24"/>
        </w:rPr>
        <w:t xml:space="preserve">Figure 6: AdiCLUb </w:t>
      </w:r>
      <w:r>
        <w:rPr>
          <w:b/>
          <w:bCs/>
          <w:sz w:val="24"/>
          <w:szCs w:val="24"/>
        </w:rPr>
        <w:br/>
      </w:r>
      <w:r>
        <w:rPr>
          <w:sz w:val="24"/>
          <w:szCs w:val="24"/>
        </w:rPr>
        <w:t>(Source: Barr, 2026)</w:t>
      </w:r>
    </w:p>
    <w:p w14:paraId="4CE5FD4B">
      <w:pPr>
        <w:pStyle w:val="style0"/>
        <w:spacing w:after="80" w:lineRule="auto" w:line="360"/>
        <w:jc w:val="both"/>
        <w:rPr>
          <w:sz w:val="24"/>
          <w:szCs w:val="24"/>
        </w:rPr>
      </w:pPr>
      <w:r>
        <w:rPr>
          <w:sz w:val="24"/>
          <w:szCs w:val="24"/>
        </w:rPr>
        <w:t>The proposed climate disclosure rules (2024) by the Securities and Exchange Commission (SEC) have an immediate impact on the US regulatory obligations of listed companies, including Adidas, by mandating that they report on Scope 1, 2, and 3 emissions. Adidas continues to invest in the courts in the United States to defend the iconic three-striped mark (USPTO, 2023), which it has been using for years.Adidas is constantly spending in the United States courts to safeguard its own brand identity, which has been in use for years and is being used by Adidas.</w:t>
      </w:r>
    </w:p>
    <w:bookmarkStart w:id="6" w:name="_Toc237268420"/>
    <w:p w14:paraId="2E32F812">
      <w:pPr>
        <w:pStyle w:val="style2"/>
        <w:spacing w:before="240" w:after="120"/>
        <w:rPr>
          <w:szCs w:val="24"/>
        </w:rPr>
      </w:pPr>
      <w:r>
        <w:rPr>
          <w:szCs w:val="24"/>
        </w:rPr>
        <w:t>1.3 Cultural Analysis: Hofstede Cultural Dimensions Framework</w:t>
      </w:r>
      <w:bookmarkEnd w:id="6"/>
    </w:p>
    <w:p w14:paraId="74638B80">
      <w:pPr>
        <w:pStyle w:val="style0"/>
        <w:spacing w:after="80" w:lineRule="auto" w:line="360"/>
        <w:jc w:val="both"/>
        <w:rPr>
          <w:sz w:val="24"/>
          <w:szCs w:val="24"/>
        </w:rPr>
      </w:pPr>
      <w:r>
        <w:rPr>
          <w:b/>
          <w:bCs/>
          <w:sz w:val="24"/>
          <w:szCs w:val="24"/>
        </w:rPr>
        <w:t>Table 3: Hofstede Cultural Dimensions - Germany vs United States</w:t>
      </w:r>
    </w:p>
    <w:tbl>
      <w:tblPr>
        <w:tblStyle w:val="style4103"/>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375"/>
        <w:gridCol w:w="2375"/>
        <w:gridCol w:w="2375"/>
        <w:gridCol w:w="2375"/>
      </w:tblGrid>
      <w:tr w14:paraId="473A3A46">
        <w:trPr>
          <w:tblHeader/>
        </w:trPr>
        <w:tc>
          <w:tcPr>
            <w:tcW w:w="2375" w:type="dxa"/>
            <w:tcBorders/>
            <w:shd w:val="clear" w:color="auto" w:fill="ddeeff"/>
            <w:tcMar>
              <w:top w:w="60" w:type="dxa"/>
              <w:left w:w="80" w:type="dxa"/>
              <w:bottom w:w="60" w:type="dxa"/>
              <w:right w:w="80" w:type="dxa"/>
            </w:tcMar>
          </w:tcPr>
          <w:p w14:paraId="29EB99D9">
            <w:pPr>
              <w:pStyle w:val="style0"/>
              <w:spacing w:after="60" w:lineRule="auto" w:line="360"/>
              <w:jc w:val="both"/>
              <w:rPr>
                <w:sz w:val="24"/>
                <w:szCs w:val="24"/>
              </w:rPr>
            </w:pPr>
            <w:r>
              <w:rPr>
                <w:b/>
                <w:bCs/>
                <w:sz w:val="24"/>
                <w:szCs w:val="24"/>
              </w:rPr>
              <w:t>Hofstede Dimension</w:t>
            </w:r>
          </w:p>
        </w:tc>
        <w:tc>
          <w:tcPr>
            <w:tcW w:w="2375" w:type="dxa"/>
            <w:tcBorders/>
            <w:shd w:val="clear" w:color="auto" w:fill="ddeeff"/>
            <w:tcMar>
              <w:top w:w="60" w:type="dxa"/>
              <w:left w:w="80" w:type="dxa"/>
              <w:bottom w:w="60" w:type="dxa"/>
              <w:right w:w="80" w:type="dxa"/>
            </w:tcMar>
          </w:tcPr>
          <w:p w14:paraId="4E79E67C">
            <w:pPr>
              <w:pStyle w:val="style0"/>
              <w:spacing w:after="60" w:lineRule="auto" w:line="360"/>
              <w:jc w:val="both"/>
              <w:rPr>
                <w:sz w:val="24"/>
                <w:szCs w:val="24"/>
              </w:rPr>
            </w:pPr>
            <w:r>
              <w:rPr>
                <w:b/>
                <w:bCs/>
                <w:sz w:val="24"/>
                <w:szCs w:val="24"/>
              </w:rPr>
              <w:t>Germany (Score)</w:t>
            </w:r>
          </w:p>
        </w:tc>
        <w:tc>
          <w:tcPr>
            <w:tcW w:w="2375" w:type="dxa"/>
            <w:tcBorders/>
            <w:shd w:val="clear" w:color="auto" w:fill="ddeeff"/>
            <w:tcMar>
              <w:top w:w="60" w:type="dxa"/>
              <w:left w:w="80" w:type="dxa"/>
              <w:bottom w:w="60" w:type="dxa"/>
              <w:right w:w="80" w:type="dxa"/>
            </w:tcMar>
          </w:tcPr>
          <w:p w14:paraId="358BF5EB">
            <w:pPr>
              <w:pStyle w:val="style0"/>
              <w:spacing w:after="60" w:lineRule="auto" w:line="360"/>
              <w:jc w:val="both"/>
              <w:rPr>
                <w:sz w:val="24"/>
                <w:szCs w:val="24"/>
              </w:rPr>
            </w:pPr>
            <w:r>
              <w:rPr>
                <w:b/>
                <w:bCs/>
                <w:sz w:val="24"/>
                <w:szCs w:val="24"/>
              </w:rPr>
              <w:t>USA (Score)</w:t>
            </w:r>
          </w:p>
        </w:tc>
        <w:tc>
          <w:tcPr>
            <w:tcW w:w="2375" w:type="dxa"/>
            <w:tcBorders/>
            <w:shd w:val="clear" w:color="auto" w:fill="ddeeff"/>
            <w:tcMar>
              <w:top w:w="60" w:type="dxa"/>
              <w:left w:w="80" w:type="dxa"/>
              <w:bottom w:w="60" w:type="dxa"/>
              <w:right w:w="80" w:type="dxa"/>
            </w:tcMar>
          </w:tcPr>
          <w:p w14:paraId="55660E2A">
            <w:pPr>
              <w:pStyle w:val="style0"/>
              <w:spacing w:after="60" w:lineRule="auto" w:line="360"/>
              <w:jc w:val="both"/>
              <w:rPr>
                <w:sz w:val="24"/>
                <w:szCs w:val="24"/>
              </w:rPr>
            </w:pPr>
            <w:r>
              <w:rPr>
                <w:b/>
                <w:bCs/>
                <w:sz w:val="24"/>
                <w:szCs w:val="24"/>
              </w:rPr>
              <w:t>Comparative Marketing Implication for Adidas</w:t>
            </w:r>
          </w:p>
        </w:tc>
      </w:tr>
      <w:tr w14:paraId="7944272D">
        <w:tblPrEx/>
        <w:trPr/>
        <w:tc>
          <w:tcPr>
            <w:tcW w:w="2375" w:type="dxa"/>
            <w:tcBorders/>
            <w:tcMar>
              <w:top w:w="60" w:type="dxa"/>
              <w:left w:w="80" w:type="dxa"/>
              <w:bottom w:w="60" w:type="dxa"/>
              <w:right w:w="80" w:type="dxa"/>
            </w:tcMar>
          </w:tcPr>
          <w:p w14:paraId="1FDA612E">
            <w:pPr>
              <w:pStyle w:val="style0"/>
              <w:spacing w:after="60" w:lineRule="auto" w:line="360"/>
              <w:jc w:val="both"/>
              <w:rPr>
                <w:sz w:val="24"/>
                <w:szCs w:val="24"/>
              </w:rPr>
            </w:pPr>
            <w:r>
              <w:rPr>
                <w:sz w:val="24"/>
                <w:szCs w:val="24"/>
              </w:rPr>
              <w:t>Power Distance</w:t>
            </w:r>
          </w:p>
        </w:tc>
        <w:tc>
          <w:tcPr>
            <w:tcW w:w="2375" w:type="dxa"/>
            <w:tcBorders/>
            <w:tcMar>
              <w:top w:w="60" w:type="dxa"/>
              <w:left w:w="80" w:type="dxa"/>
              <w:bottom w:w="60" w:type="dxa"/>
              <w:right w:w="80" w:type="dxa"/>
            </w:tcMar>
          </w:tcPr>
          <w:p w14:paraId="17CEDBB5">
            <w:pPr>
              <w:pStyle w:val="style0"/>
              <w:spacing w:after="60" w:lineRule="auto" w:line="360"/>
              <w:jc w:val="both"/>
              <w:rPr>
                <w:sz w:val="24"/>
                <w:szCs w:val="24"/>
              </w:rPr>
            </w:pPr>
            <w:r>
              <w:rPr>
                <w:sz w:val="24"/>
                <w:szCs w:val="24"/>
              </w:rPr>
              <w:t>35</w:t>
            </w:r>
          </w:p>
        </w:tc>
        <w:tc>
          <w:tcPr>
            <w:tcW w:w="2375" w:type="dxa"/>
            <w:tcBorders/>
            <w:tcMar>
              <w:top w:w="60" w:type="dxa"/>
              <w:left w:w="80" w:type="dxa"/>
              <w:bottom w:w="60" w:type="dxa"/>
              <w:right w:w="80" w:type="dxa"/>
            </w:tcMar>
          </w:tcPr>
          <w:p w14:paraId="75CF78DB">
            <w:pPr>
              <w:pStyle w:val="style0"/>
              <w:spacing w:after="60" w:lineRule="auto" w:line="360"/>
              <w:jc w:val="both"/>
              <w:rPr>
                <w:sz w:val="24"/>
                <w:szCs w:val="24"/>
              </w:rPr>
            </w:pPr>
            <w:r>
              <w:rPr>
                <w:sz w:val="24"/>
                <w:szCs w:val="24"/>
              </w:rPr>
              <w:t>40</w:t>
            </w:r>
          </w:p>
        </w:tc>
        <w:tc>
          <w:tcPr>
            <w:tcW w:w="2375" w:type="dxa"/>
            <w:tcBorders/>
            <w:tcMar>
              <w:top w:w="60" w:type="dxa"/>
              <w:left w:w="80" w:type="dxa"/>
              <w:bottom w:w="60" w:type="dxa"/>
              <w:right w:w="80" w:type="dxa"/>
            </w:tcMar>
          </w:tcPr>
          <w:p w14:paraId="335C5C0D">
            <w:pPr>
              <w:pStyle w:val="style0"/>
              <w:spacing w:after="60" w:lineRule="auto" w:line="360"/>
              <w:jc w:val="both"/>
              <w:rPr>
                <w:sz w:val="24"/>
                <w:szCs w:val="24"/>
              </w:rPr>
            </w:pPr>
            <w:r>
              <w:rPr>
                <w:sz w:val="24"/>
                <w:szCs w:val="24"/>
              </w:rPr>
              <w:t xml:space="preserve">There is a relatively equalitarian character to both markets. Flat consumer-oriented messages and easy-to-access brand representatives are employed instead of the authoritative/celebrity authority messages in both nations. </w:t>
            </w:r>
          </w:p>
        </w:tc>
      </w:tr>
      <w:tr w14:paraId="26DFD02C">
        <w:tblPrEx/>
        <w:trPr/>
        <w:tc>
          <w:tcPr>
            <w:tcW w:w="2375" w:type="dxa"/>
            <w:tcBorders/>
            <w:tcMar>
              <w:top w:w="60" w:type="dxa"/>
              <w:left w:w="80" w:type="dxa"/>
              <w:bottom w:w="60" w:type="dxa"/>
              <w:right w:w="80" w:type="dxa"/>
            </w:tcMar>
          </w:tcPr>
          <w:p w14:paraId="469FDBFD">
            <w:pPr>
              <w:pStyle w:val="style0"/>
              <w:spacing w:after="60" w:lineRule="auto" w:line="360"/>
              <w:jc w:val="both"/>
              <w:rPr>
                <w:sz w:val="24"/>
                <w:szCs w:val="24"/>
              </w:rPr>
            </w:pPr>
            <w:r>
              <w:rPr>
                <w:sz w:val="24"/>
                <w:szCs w:val="24"/>
              </w:rPr>
              <w:t>Individualism</w:t>
            </w:r>
          </w:p>
        </w:tc>
        <w:tc>
          <w:tcPr>
            <w:tcW w:w="2375" w:type="dxa"/>
            <w:tcBorders/>
            <w:tcMar>
              <w:top w:w="60" w:type="dxa"/>
              <w:left w:w="80" w:type="dxa"/>
              <w:bottom w:w="60" w:type="dxa"/>
              <w:right w:w="80" w:type="dxa"/>
            </w:tcMar>
          </w:tcPr>
          <w:p w14:paraId="7DC74F73">
            <w:pPr>
              <w:pStyle w:val="style0"/>
              <w:spacing w:after="60" w:lineRule="auto" w:line="360"/>
              <w:jc w:val="both"/>
              <w:rPr>
                <w:sz w:val="24"/>
                <w:szCs w:val="24"/>
              </w:rPr>
            </w:pPr>
            <w:r>
              <w:rPr>
                <w:sz w:val="24"/>
                <w:szCs w:val="24"/>
              </w:rPr>
              <w:t>67</w:t>
            </w:r>
          </w:p>
        </w:tc>
        <w:tc>
          <w:tcPr>
            <w:tcW w:w="2375" w:type="dxa"/>
            <w:tcBorders/>
            <w:tcMar>
              <w:top w:w="60" w:type="dxa"/>
              <w:left w:w="80" w:type="dxa"/>
              <w:bottom w:w="60" w:type="dxa"/>
              <w:right w:w="80" w:type="dxa"/>
            </w:tcMar>
          </w:tcPr>
          <w:p w14:paraId="623FE71C">
            <w:pPr>
              <w:pStyle w:val="style0"/>
              <w:spacing w:after="60" w:lineRule="auto" w:line="360"/>
              <w:jc w:val="both"/>
              <w:rPr>
                <w:sz w:val="24"/>
                <w:szCs w:val="24"/>
              </w:rPr>
            </w:pPr>
            <w:r>
              <w:rPr>
                <w:sz w:val="24"/>
                <w:szCs w:val="24"/>
              </w:rPr>
              <w:t>91</w:t>
            </w:r>
          </w:p>
        </w:tc>
        <w:tc>
          <w:tcPr>
            <w:tcW w:w="2375" w:type="dxa"/>
            <w:tcBorders/>
            <w:tcMar>
              <w:top w:w="60" w:type="dxa"/>
              <w:left w:w="80" w:type="dxa"/>
              <w:bottom w:w="60" w:type="dxa"/>
              <w:right w:w="80" w:type="dxa"/>
            </w:tcMar>
          </w:tcPr>
          <w:p w14:paraId="48921296">
            <w:pPr>
              <w:pStyle w:val="style0"/>
              <w:spacing w:after="60" w:lineRule="auto" w:line="360"/>
              <w:jc w:val="both"/>
              <w:rPr>
                <w:sz w:val="24"/>
                <w:szCs w:val="24"/>
              </w:rPr>
            </w:pPr>
            <w:r>
              <w:rPr>
                <w:sz w:val="24"/>
                <w:szCs w:val="24"/>
              </w:rPr>
              <w:t xml:space="preserve">The personal-achievement campaigns that are ingrained in American society are stimulated by high US individualism. The focus of the adidas US campaign is on individual expression. German campaigns are about individual performance and a sense of </w:t>
            </w:r>
            <w:r>
              <w:rPr>
                <w:sz w:val="24"/>
                <w:szCs w:val="24"/>
              </w:rPr>
              <w:t>community/club identity (‌</w:t>
            </w:r>
            <w:r>
              <w:rPr>
                <w:rFonts w:ascii="Arial" w:cs="Arial" w:eastAsia="Arial" w:hAnsi="Arial"/>
                <w:color w:val="222222"/>
                <w:sz w:val="20"/>
                <w:szCs w:val="20"/>
              </w:rPr>
              <w:t>Slepičková, 2026</w:t>
            </w:r>
            <w:r>
              <w:rPr>
                <w:sz w:val="24"/>
                <w:szCs w:val="24"/>
              </w:rPr>
              <w:t xml:space="preserve">). </w:t>
            </w:r>
          </w:p>
        </w:tc>
      </w:tr>
      <w:tr w14:paraId="0129D062">
        <w:tblPrEx/>
        <w:trPr/>
        <w:tc>
          <w:tcPr>
            <w:tcW w:w="2375" w:type="dxa"/>
            <w:tcBorders/>
            <w:tcMar>
              <w:top w:w="60" w:type="dxa"/>
              <w:left w:w="80" w:type="dxa"/>
              <w:bottom w:w="60" w:type="dxa"/>
              <w:right w:w="80" w:type="dxa"/>
            </w:tcMar>
          </w:tcPr>
          <w:p w14:paraId="7341ECFE">
            <w:pPr>
              <w:pStyle w:val="style0"/>
              <w:spacing w:after="60" w:lineRule="auto" w:line="360"/>
              <w:jc w:val="both"/>
              <w:rPr>
                <w:sz w:val="24"/>
                <w:szCs w:val="24"/>
              </w:rPr>
            </w:pPr>
            <w:r>
              <w:rPr>
                <w:sz w:val="24"/>
                <w:szCs w:val="24"/>
              </w:rPr>
              <w:t>Masculinity</w:t>
            </w:r>
          </w:p>
        </w:tc>
        <w:tc>
          <w:tcPr>
            <w:tcW w:w="2375" w:type="dxa"/>
            <w:tcBorders/>
            <w:tcMar>
              <w:top w:w="60" w:type="dxa"/>
              <w:left w:w="80" w:type="dxa"/>
              <w:bottom w:w="60" w:type="dxa"/>
              <w:right w:w="80" w:type="dxa"/>
            </w:tcMar>
          </w:tcPr>
          <w:p w14:paraId="432DB147">
            <w:pPr>
              <w:pStyle w:val="style0"/>
              <w:spacing w:after="60" w:lineRule="auto" w:line="360"/>
              <w:jc w:val="both"/>
              <w:rPr>
                <w:sz w:val="24"/>
                <w:szCs w:val="24"/>
              </w:rPr>
            </w:pPr>
            <w:r>
              <w:rPr>
                <w:sz w:val="24"/>
                <w:szCs w:val="24"/>
              </w:rPr>
              <w:t>66</w:t>
            </w:r>
          </w:p>
        </w:tc>
        <w:tc>
          <w:tcPr>
            <w:tcW w:w="2375" w:type="dxa"/>
            <w:tcBorders/>
            <w:tcMar>
              <w:top w:w="60" w:type="dxa"/>
              <w:left w:w="80" w:type="dxa"/>
              <w:bottom w:w="60" w:type="dxa"/>
              <w:right w:w="80" w:type="dxa"/>
            </w:tcMar>
          </w:tcPr>
          <w:p w14:paraId="4AF6C4F0">
            <w:pPr>
              <w:pStyle w:val="style0"/>
              <w:spacing w:after="60" w:lineRule="auto" w:line="360"/>
              <w:jc w:val="both"/>
              <w:rPr>
                <w:sz w:val="24"/>
                <w:szCs w:val="24"/>
              </w:rPr>
            </w:pPr>
            <w:r>
              <w:rPr>
                <w:sz w:val="24"/>
                <w:szCs w:val="24"/>
              </w:rPr>
              <w:t>62</w:t>
            </w:r>
          </w:p>
        </w:tc>
        <w:tc>
          <w:tcPr>
            <w:tcW w:w="2375" w:type="dxa"/>
            <w:tcBorders/>
            <w:tcMar>
              <w:top w:w="60" w:type="dxa"/>
              <w:left w:w="80" w:type="dxa"/>
              <w:bottom w:w="60" w:type="dxa"/>
              <w:right w:w="80" w:type="dxa"/>
            </w:tcMar>
          </w:tcPr>
          <w:p w14:paraId="77EE0459">
            <w:pPr>
              <w:pStyle w:val="style0"/>
              <w:spacing w:after="60" w:lineRule="auto" w:line="360"/>
              <w:jc w:val="both"/>
              <w:rPr>
                <w:sz w:val="24"/>
                <w:szCs w:val="24"/>
              </w:rPr>
            </w:pPr>
            <w:r>
              <w:rPr>
                <w:sz w:val="24"/>
                <w:szCs w:val="24"/>
              </w:rPr>
              <w:t xml:space="preserve">They both score moderately high and performance, achievement, and competition messages work for them both, as does community wellness for the German market. </w:t>
            </w:r>
          </w:p>
        </w:tc>
      </w:tr>
      <w:tr w14:paraId="11C5952F">
        <w:tblPrEx/>
        <w:trPr/>
        <w:tc>
          <w:tcPr>
            <w:tcW w:w="2375" w:type="dxa"/>
            <w:tcBorders/>
            <w:tcMar>
              <w:top w:w="60" w:type="dxa"/>
              <w:left w:w="80" w:type="dxa"/>
              <w:bottom w:w="60" w:type="dxa"/>
              <w:right w:w="80" w:type="dxa"/>
            </w:tcMar>
          </w:tcPr>
          <w:p w14:paraId="3C2BF16E">
            <w:pPr>
              <w:pStyle w:val="style0"/>
              <w:spacing w:after="60" w:lineRule="auto" w:line="360"/>
              <w:jc w:val="both"/>
              <w:rPr>
                <w:sz w:val="24"/>
                <w:szCs w:val="24"/>
              </w:rPr>
            </w:pPr>
            <w:r>
              <w:rPr>
                <w:sz w:val="24"/>
                <w:szCs w:val="24"/>
              </w:rPr>
              <w:t>Uncertainty Avoidance</w:t>
            </w:r>
          </w:p>
        </w:tc>
        <w:tc>
          <w:tcPr>
            <w:tcW w:w="2375" w:type="dxa"/>
            <w:tcBorders/>
            <w:tcMar>
              <w:top w:w="60" w:type="dxa"/>
              <w:left w:w="80" w:type="dxa"/>
              <w:bottom w:w="60" w:type="dxa"/>
              <w:right w:w="80" w:type="dxa"/>
            </w:tcMar>
          </w:tcPr>
          <w:p w14:paraId="7CD9DAC8">
            <w:pPr>
              <w:pStyle w:val="style0"/>
              <w:spacing w:after="60" w:lineRule="auto" w:line="360"/>
              <w:jc w:val="both"/>
              <w:rPr>
                <w:sz w:val="24"/>
                <w:szCs w:val="24"/>
              </w:rPr>
            </w:pPr>
            <w:r>
              <w:rPr>
                <w:sz w:val="24"/>
                <w:szCs w:val="24"/>
              </w:rPr>
              <w:t>65</w:t>
            </w:r>
          </w:p>
        </w:tc>
        <w:tc>
          <w:tcPr>
            <w:tcW w:w="2375" w:type="dxa"/>
            <w:tcBorders/>
            <w:tcMar>
              <w:top w:w="60" w:type="dxa"/>
              <w:left w:w="80" w:type="dxa"/>
              <w:bottom w:w="60" w:type="dxa"/>
              <w:right w:w="80" w:type="dxa"/>
            </w:tcMar>
          </w:tcPr>
          <w:p w14:paraId="4CAB1D72">
            <w:pPr>
              <w:pStyle w:val="style0"/>
              <w:spacing w:after="60" w:lineRule="auto" w:line="360"/>
              <w:jc w:val="both"/>
              <w:rPr>
                <w:sz w:val="24"/>
                <w:szCs w:val="24"/>
              </w:rPr>
            </w:pPr>
            <w:r>
              <w:rPr>
                <w:sz w:val="24"/>
                <w:szCs w:val="24"/>
              </w:rPr>
              <w:t>46</w:t>
            </w:r>
          </w:p>
        </w:tc>
        <w:tc>
          <w:tcPr>
            <w:tcW w:w="2375" w:type="dxa"/>
            <w:tcBorders/>
            <w:tcMar>
              <w:top w:w="60" w:type="dxa"/>
              <w:left w:w="80" w:type="dxa"/>
              <w:bottom w:w="60" w:type="dxa"/>
              <w:right w:w="80" w:type="dxa"/>
            </w:tcMar>
          </w:tcPr>
          <w:p w14:paraId="5B9582BE">
            <w:pPr>
              <w:pStyle w:val="style0"/>
              <w:spacing w:after="60" w:lineRule="auto" w:line="360"/>
              <w:jc w:val="both"/>
              <w:rPr>
                <w:sz w:val="24"/>
                <w:szCs w:val="24"/>
              </w:rPr>
            </w:pPr>
            <w:r>
              <w:rPr>
                <w:sz w:val="24"/>
                <w:szCs w:val="24"/>
              </w:rPr>
              <w:t xml:space="preserve">Germans like products to be well-specified, backed up by quality promises and confirmed sustainability data. American consumers are more willing to take chances, accept novelty and hyped drops, and embrace experimental </w:t>
            </w:r>
            <w:r>
              <w:rPr>
                <w:sz w:val="24"/>
                <w:szCs w:val="24"/>
              </w:rPr>
              <w:t>collaborations (</w:t>
            </w:r>
            <w:r>
              <w:rPr>
                <w:rFonts w:ascii="Arial" w:cs="Arial" w:eastAsia="Arial" w:hAnsi="Arial"/>
                <w:color w:val="222222"/>
                <w:sz w:val="20"/>
                <w:szCs w:val="20"/>
              </w:rPr>
              <w:t>hinessh Kumar, 2025</w:t>
            </w:r>
            <w:r>
              <w:rPr>
                <w:sz w:val="24"/>
                <w:szCs w:val="24"/>
              </w:rPr>
              <w:t xml:space="preserve">). </w:t>
            </w:r>
          </w:p>
        </w:tc>
      </w:tr>
      <w:tr w14:paraId="243EAC38">
        <w:tblPrEx/>
        <w:trPr/>
        <w:tc>
          <w:tcPr>
            <w:tcW w:w="2375" w:type="dxa"/>
            <w:tcBorders/>
            <w:tcMar>
              <w:top w:w="60" w:type="dxa"/>
              <w:left w:w="80" w:type="dxa"/>
              <w:bottom w:w="60" w:type="dxa"/>
              <w:right w:w="80" w:type="dxa"/>
            </w:tcMar>
          </w:tcPr>
          <w:p w14:paraId="63F8DD9A">
            <w:pPr>
              <w:pStyle w:val="style0"/>
              <w:spacing w:after="60" w:lineRule="auto" w:line="360"/>
              <w:jc w:val="both"/>
              <w:rPr>
                <w:sz w:val="24"/>
                <w:szCs w:val="24"/>
              </w:rPr>
            </w:pPr>
            <w:r>
              <w:rPr>
                <w:sz w:val="24"/>
                <w:szCs w:val="24"/>
              </w:rPr>
              <w:t>Long-term Orientation</w:t>
            </w:r>
          </w:p>
        </w:tc>
        <w:tc>
          <w:tcPr>
            <w:tcW w:w="2375" w:type="dxa"/>
            <w:tcBorders/>
            <w:tcMar>
              <w:top w:w="60" w:type="dxa"/>
              <w:left w:w="80" w:type="dxa"/>
              <w:bottom w:w="60" w:type="dxa"/>
              <w:right w:w="80" w:type="dxa"/>
            </w:tcMar>
          </w:tcPr>
          <w:p w14:paraId="5D5A3941">
            <w:pPr>
              <w:pStyle w:val="style0"/>
              <w:spacing w:after="60" w:lineRule="auto" w:line="360"/>
              <w:jc w:val="both"/>
              <w:rPr>
                <w:sz w:val="24"/>
                <w:szCs w:val="24"/>
              </w:rPr>
            </w:pPr>
            <w:r>
              <w:rPr>
                <w:sz w:val="24"/>
                <w:szCs w:val="24"/>
              </w:rPr>
              <w:t>83</w:t>
            </w:r>
          </w:p>
        </w:tc>
        <w:tc>
          <w:tcPr>
            <w:tcW w:w="2375" w:type="dxa"/>
            <w:tcBorders/>
            <w:tcMar>
              <w:top w:w="60" w:type="dxa"/>
              <w:left w:w="80" w:type="dxa"/>
              <w:bottom w:w="60" w:type="dxa"/>
              <w:right w:w="80" w:type="dxa"/>
            </w:tcMar>
          </w:tcPr>
          <w:p w14:paraId="69536A6C">
            <w:pPr>
              <w:pStyle w:val="style0"/>
              <w:spacing w:after="60" w:lineRule="auto" w:line="360"/>
              <w:jc w:val="both"/>
              <w:rPr>
                <w:sz w:val="24"/>
                <w:szCs w:val="24"/>
              </w:rPr>
            </w:pPr>
            <w:r>
              <w:rPr>
                <w:sz w:val="24"/>
                <w:szCs w:val="24"/>
              </w:rPr>
              <w:t>26</w:t>
            </w:r>
          </w:p>
        </w:tc>
        <w:tc>
          <w:tcPr>
            <w:tcW w:w="2375" w:type="dxa"/>
            <w:tcBorders/>
            <w:tcMar>
              <w:top w:w="60" w:type="dxa"/>
              <w:left w:w="80" w:type="dxa"/>
              <w:bottom w:w="60" w:type="dxa"/>
              <w:right w:w="80" w:type="dxa"/>
            </w:tcMar>
          </w:tcPr>
          <w:p w14:paraId="40269C15">
            <w:pPr>
              <w:pStyle w:val="style0"/>
              <w:spacing w:after="60" w:lineRule="auto" w:line="360"/>
              <w:jc w:val="both"/>
              <w:rPr>
                <w:sz w:val="24"/>
                <w:szCs w:val="24"/>
              </w:rPr>
            </w:pPr>
            <w:r>
              <w:rPr>
                <w:sz w:val="24"/>
                <w:szCs w:val="24"/>
              </w:rPr>
              <w:t xml:space="preserve">Germany has a high LTO and there is an immense receptivity for sustainability storytelling and legacy brand narrative. US low LTO calls for short-term trend relevance and hype-driven limited releases. </w:t>
            </w:r>
          </w:p>
        </w:tc>
      </w:tr>
      <w:tr w14:paraId="48DB702A">
        <w:tblPrEx/>
        <w:trPr/>
        <w:tc>
          <w:tcPr>
            <w:tcW w:w="2375" w:type="dxa"/>
            <w:tcBorders/>
            <w:tcMar>
              <w:top w:w="60" w:type="dxa"/>
              <w:left w:w="80" w:type="dxa"/>
              <w:bottom w:w="60" w:type="dxa"/>
              <w:right w:w="80" w:type="dxa"/>
            </w:tcMar>
          </w:tcPr>
          <w:p w14:paraId="1361AAFA">
            <w:pPr>
              <w:pStyle w:val="style0"/>
              <w:spacing w:after="60" w:lineRule="auto" w:line="360"/>
              <w:jc w:val="both"/>
              <w:rPr>
                <w:sz w:val="24"/>
                <w:szCs w:val="24"/>
              </w:rPr>
            </w:pPr>
            <w:r>
              <w:rPr>
                <w:sz w:val="24"/>
                <w:szCs w:val="24"/>
              </w:rPr>
              <w:t>Indulgence</w:t>
            </w:r>
          </w:p>
        </w:tc>
        <w:tc>
          <w:tcPr>
            <w:tcW w:w="2375" w:type="dxa"/>
            <w:tcBorders/>
            <w:tcMar>
              <w:top w:w="60" w:type="dxa"/>
              <w:left w:w="80" w:type="dxa"/>
              <w:bottom w:w="60" w:type="dxa"/>
              <w:right w:w="80" w:type="dxa"/>
            </w:tcMar>
          </w:tcPr>
          <w:p w14:paraId="24E8E900">
            <w:pPr>
              <w:pStyle w:val="style0"/>
              <w:spacing w:after="60" w:lineRule="auto" w:line="360"/>
              <w:jc w:val="both"/>
              <w:rPr>
                <w:sz w:val="24"/>
                <w:szCs w:val="24"/>
              </w:rPr>
            </w:pPr>
            <w:r>
              <w:rPr>
                <w:sz w:val="24"/>
                <w:szCs w:val="24"/>
              </w:rPr>
              <w:t>40</w:t>
            </w:r>
          </w:p>
        </w:tc>
        <w:tc>
          <w:tcPr>
            <w:tcW w:w="2375" w:type="dxa"/>
            <w:tcBorders/>
            <w:tcMar>
              <w:top w:w="60" w:type="dxa"/>
              <w:left w:w="80" w:type="dxa"/>
              <w:bottom w:w="60" w:type="dxa"/>
              <w:right w:w="80" w:type="dxa"/>
            </w:tcMar>
          </w:tcPr>
          <w:p w14:paraId="163F76F9">
            <w:pPr>
              <w:pStyle w:val="style0"/>
              <w:spacing w:after="60" w:lineRule="auto" w:line="360"/>
              <w:jc w:val="both"/>
              <w:rPr>
                <w:sz w:val="24"/>
                <w:szCs w:val="24"/>
              </w:rPr>
            </w:pPr>
            <w:r>
              <w:rPr>
                <w:sz w:val="24"/>
                <w:szCs w:val="24"/>
              </w:rPr>
              <w:t>68</w:t>
            </w:r>
          </w:p>
        </w:tc>
        <w:tc>
          <w:tcPr>
            <w:tcW w:w="2375" w:type="dxa"/>
            <w:tcBorders/>
            <w:tcMar>
              <w:top w:w="60" w:type="dxa"/>
              <w:left w:w="80" w:type="dxa"/>
              <w:bottom w:w="60" w:type="dxa"/>
              <w:right w:w="80" w:type="dxa"/>
            </w:tcMar>
          </w:tcPr>
          <w:p w14:paraId="1BC3FD5C">
            <w:pPr>
              <w:pStyle w:val="style0"/>
              <w:spacing w:after="60" w:lineRule="auto" w:line="360"/>
              <w:jc w:val="both"/>
              <w:rPr>
                <w:sz w:val="24"/>
                <w:szCs w:val="24"/>
              </w:rPr>
            </w:pPr>
            <w:r>
              <w:rPr>
                <w:sz w:val="24"/>
                <w:szCs w:val="24"/>
              </w:rPr>
              <w:t xml:space="preserve">Indulgence marketing leads to premium lifestyle aspirations and luxury collaborations in the US. Adidas US marketing is more raunchy in using high-end looks than in more conservative Germany. </w:t>
            </w:r>
          </w:p>
        </w:tc>
      </w:tr>
    </w:tbl>
    <w:p w14:paraId="256AC883">
      <w:pPr>
        <w:pStyle w:val="style0"/>
        <w:spacing w:before="240" w:after="120" w:lineRule="auto" w:line="360"/>
        <w:jc w:val="both"/>
        <w:rPr>
          <w:sz w:val="24"/>
          <w:szCs w:val="24"/>
        </w:rPr>
      </w:pPr>
      <w:r>
        <w:rPr>
          <w:sz w:val="24"/>
          <w:szCs w:val="24"/>
        </w:rPr>
        <w:t xml:space="preserve">Table 3 (Hofstede Insights 2023) shows that there are meaningful differences between Germany and the USA in the cultural dimensions that are relevant to Adidas's marketing communications. Individualism score 67 is significantly lower than the score for the US with </w:t>
      </w:r>
      <w:r>
        <w:rPr>
          <w:sz w:val="24"/>
          <w:szCs w:val="24"/>
        </w:rPr>
        <w:t>91, showing a moderately collectivist attitude that is manifested in community. Adidas US campaigns, on the other hand, are clearly focused on individual empowerment stories in line with the individualistic culture in America, such as the 'Impossible is Nothing' revival (2021) or the 'You Got This' campaign (Adidas Annual Report, 2021).</w:t>
      </w:r>
    </w:p>
    <w:p w14:paraId="0C9B077C">
      <w:pPr>
        <w:pStyle w:val="style0"/>
        <w:spacing w:before="240" w:after="120" w:lineRule="auto" w:line="360"/>
        <w:jc w:val="both"/>
        <w:rPr>
          <w:sz w:val="24"/>
          <w:szCs w:val="24"/>
        </w:rPr>
      </w:pPr>
      <w:r>
        <w:rPr>
          <w:sz w:val="24"/>
          <w:szCs w:val="24"/>
        </w:rPr>
        <w:t>Germany has a high score of 65 on the Uncertainty Avoidance dimension, making customers in Germany more concerned about product quality, material composition and sustainability information prior to purchases. With comparatively low uncertainty avoidance, the United States encourages experimentation, which allows for limited-edition releases, like the so-called "drop" of the Adidas line, and for experimental collaborations, like the one with artists such as Beyonce (Ivy Park) or Bad Bunny (Forum shoe line) (Adidas Annual Report, 2021).</w:t>
      </w:r>
    </w:p>
    <w:bookmarkStart w:id="7" w:name="_Toc237268421"/>
    <w:p w14:paraId="327AD4DF">
      <w:pPr>
        <w:pStyle w:val="style2"/>
        <w:spacing w:before="240" w:after="120"/>
        <w:rPr>
          <w:szCs w:val="24"/>
        </w:rPr>
      </w:pPr>
      <w:r>
        <w:rPr>
          <w:szCs w:val="24"/>
        </w:rPr>
        <w:t>1.4 STP Analysis</w:t>
      </w:r>
      <w:bookmarkEnd w:id="7"/>
    </w:p>
    <w:p w14:paraId="2D454B06">
      <w:pPr>
        <w:pStyle w:val="style0"/>
        <w:rPr>
          <w:b/>
          <w:sz w:val="24"/>
          <w:szCs w:val="24"/>
        </w:rPr>
      </w:pPr>
      <w:r>
        <w:rPr>
          <w:b/>
          <w:sz w:val="24"/>
          <w:szCs w:val="24"/>
        </w:rPr>
        <w:t xml:space="preserve">Table 4: STP Analysis </w:t>
      </w:r>
      <w:r>
        <w:rPr>
          <w:b/>
          <w:sz w:val="24"/>
          <w:szCs w:val="24"/>
        </w:rPr>
        <w:t>–</w:t>
      </w:r>
      <w:r>
        <w:rPr>
          <w:b/>
          <w:sz w:val="24"/>
          <w:szCs w:val="24"/>
        </w:rPr>
        <w:t xml:space="preserve"> Germany</w:t>
      </w:r>
    </w:p>
    <w:p w14:paraId="6EE64A9A">
      <w:pPr>
        <w:pStyle w:val="style0"/>
        <w:rPr/>
      </w:pPr>
    </w:p>
    <w:tbl>
      <w:tblPr>
        <w:tblStyle w:val="style4104"/>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7CC50DBC">
        <w:trPr>
          <w:tblHeader/>
        </w:trPr>
        <w:tc>
          <w:tcPr>
            <w:tcW w:w="4750" w:type="dxa"/>
            <w:tcBorders/>
            <w:shd w:val="clear" w:color="auto" w:fill="ddeeff"/>
            <w:tcMar>
              <w:top w:w="60" w:type="dxa"/>
              <w:left w:w="80" w:type="dxa"/>
              <w:bottom w:w="60" w:type="dxa"/>
              <w:right w:w="80" w:type="dxa"/>
            </w:tcMar>
          </w:tcPr>
          <w:p w14:paraId="565C011E">
            <w:pPr>
              <w:pStyle w:val="style0"/>
              <w:spacing w:after="60" w:lineRule="auto" w:line="360"/>
              <w:jc w:val="both"/>
              <w:rPr>
                <w:sz w:val="24"/>
                <w:szCs w:val="24"/>
              </w:rPr>
            </w:pPr>
            <w:r>
              <w:rPr>
                <w:b/>
                <w:bCs/>
                <w:sz w:val="24"/>
                <w:szCs w:val="24"/>
              </w:rPr>
              <w:t>STP Element</w:t>
            </w:r>
          </w:p>
        </w:tc>
        <w:tc>
          <w:tcPr>
            <w:tcW w:w="4750" w:type="dxa"/>
            <w:tcBorders/>
            <w:shd w:val="clear" w:color="auto" w:fill="ddeeff"/>
            <w:tcMar>
              <w:top w:w="60" w:type="dxa"/>
              <w:left w:w="80" w:type="dxa"/>
              <w:bottom w:w="60" w:type="dxa"/>
              <w:right w:w="80" w:type="dxa"/>
            </w:tcMar>
          </w:tcPr>
          <w:p w14:paraId="22A3B0DF">
            <w:pPr>
              <w:pStyle w:val="style0"/>
              <w:spacing w:after="60" w:lineRule="auto" w:line="360"/>
              <w:jc w:val="both"/>
              <w:rPr>
                <w:sz w:val="24"/>
                <w:szCs w:val="24"/>
              </w:rPr>
            </w:pPr>
            <w:r>
              <w:rPr>
                <w:b/>
                <w:bCs/>
                <w:sz w:val="24"/>
                <w:szCs w:val="24"/>
              </w:rPr>
              <w:t>Detail - Germany</w:t>
            </w:r>
          </w:p>
        </w:tc>
      </w:tr>
      <w:tr w14:paraId="65640A03">
        <w:tblPrEx/>
        <w:trPr/>
        <w:tc>
          <w:tcPr>
            <w:tcW w:w="4750" w:type="dxa"/>
            <w:tcBorders/>
            <w:tcMar>
              <w:top w:w="60" w:type="dxa"/>
              <w:left w:w="80" w:type="dxa"/>
              <w:bottom w:w="60" w:type="dxa"/>
              <w:right w:w="80" w:type="dxa"/>
            </w:tcMar>
          </w:tcPr>
          <w:p w14:paraId="2EACE460">
            <w:pPr>
              <w:pStyle w:val="style0"/>
              <w:spacing w:after="60" w:lineRule="auto" w:line="360"/>
              <w:jc w:val="both"/>
              <w:rPr>
                <w:sz w:val="24"/>
                <w:szCs w:val="24"/>
              </w:rPr>
            </w:pPr>
            <w:r>
              <w:rPr>
                <w:sz w:val="24"/>
                <w:szCs w:val="24"/>
              </w:rPr>
              <w:t>Segmentation - Geographic</w:t>
            </w:r>
          </w:p>
        </w:tc>
        <w:tc>
          <w:tcPr>
            <w:tcW w:w="4750" w:type="dxa"/>
            <w:tcBorders/>
            <w:tcMar>
              <w:top w:w="60" w:type="dxa"/>
              <w:left w:w="80" w:type="dxa"/>
              <w:bottom w:w="60" w:type="dxa"/>
              <w:right w:w="80" w:type="dxa"/>
            </w:tcMar>
          </w:tcPr>
          <w:p w14:paraId="39C2131D">
            <w:pPr>
              <w:pStyle w:val="style0"/>
              <w:spacing w:after="60" w:lineRule="auto" w:line="360"/>
              <w:jc w:val="both"/>
              <w:rPr>
                <w:sz w:val="24"/>
                <w:szCs w:val="24"/>
              </w:rPr>
            </w:pPr>
            <w:r>
              <w:rPr>
                <w:sz w:val="24"/>
                <w:szCs w:val="24"/>
              </w:rPr>
              <w:t>Urban centres (Berlin, Munich, Hamburg, Frankfurt, Cologne); secondary cities; national online reach via adidas.de.</w:t>
            </w:r>
          </w:p>
        </w:tc>
      </w:tr>
      <w:tr w14:paraId="4AF880E8">
        <w:tblPrEx/>
        <w:trPr/>
        <w:tc>
          <w:tcPr>
            <w:tcW w:w="4750" w:type="dxa"/>
            <w:tcBorders/>
            <w:tcMar>
              <w:top w:w="60" w:type="dxa"/>
              <w:left w:w="80" w:type="dxa"/>
              <w:bottom w:w="60" w:type="dxa"/>
              <w:right w:w="80" w:type="dxa"/>
            </w:tcMar>
          </w:tcPr>
          <w:p w14:paraId="49E1040F">
            <w:pPr>
              <w:pStyle w:val="style0"/>
              <w:spacing w:after="60" w:lineRule="auto" w:line="360"/>
              <w:jc w:val="both"/>
              <w:rPr>
                <w:sz w:val="24"/>
                <w:szCs w:val="24"/>
              </w:rPr>
            </w:pPr>
            <w:r>
              <w:rPr>
                <w:sz w:val="24"/>
                <w:szCs w:val="24"/>
              </w:rPr>
              <w:t>Segmentation - Demographic</w:t>
            </w:r>
          </w:p>
        </w:tc>
        <w:tc>
          <w:tcPr>
            <w:tcW w:w="4750" w:type="dxa"/>
            <w:tcBorders/>
            <w:tcMar>
              <w:top w:w="60" w:type="dxa"/>
              <w:left w:w="80" w:type="dxa"/>
              <w:bottom w:w="60" w:type="dxa"/>
              <w:right w:w="80" w:type="dxa"/>
            </w:tcMar>
          </w:tcPr>
          <w:p w14:paraId="58658DA9">
            <w:pPr>
              <w:pStyle w:val="style0"/>
              <w:spacing w:after="60" w:lineRule="auto" w:line="360"/>
              <w:jc w:val="both"/>
              <w:rPr>
                <w:sz w:val="24"/>
                <w:szCs w:val="24"/>
              </w:rPr>
            </w:pPr>
            <w:r>
              <w:rPr>
                <w:sz w:val="24"/>
                <w:szCs w:val="24"/>
              </w:rPr>
              <w:t>Core: age 14-45; middle to upper-middle income (EUR 30,000-EUR 70,000 p.a.); sports participants and athletes; both genders; growing senior wellness segment.</w:t>
            </w:r>
          </w:p>
        </w:tc>
      </w:tr>
      <w:tr w14:paraId="0679A2F6">
        <w:tblPrEx/>
        <w:trPr/>
        <w:tc>
          <w:tcPr>
            <w:tcW w:w="4750" w:type="dxa"/>
            <w:tcBorders/>
            <w:tcMar>
              <w:top w:w="60" w:type="dxa"/>
              <w:left w:w="80" w:type="dxa"/>
              <w:bottom w:w="60" w:type="dxa"/>
              <w:right w:w="80" w:type="dxa"/>
            </w:tcMar>
          </w:tcPr>
          <w:p w14:paraId="3A762F6E">
            <w:pPr>
              <w:pStyle w:val="style0"/>
              <w:spacing w:after="60" w:lineRule="auto" w:line="360"/>
              <w:jc w:val="both"/>
              <w:rPr>
                <w:sz w:val="24"/>
                <w:szCs w:val="24"/>
              </w:rPr>
            </w:pPr>
            <w:r>
              <w:rPr>
                <w:sz w:val="24"/>
                <w:szCs w:val="24"/>
              </w:rPr>
              <w:t>Segmentation - Psychographic</w:t>
            </w:r>
          </w:p>
        </w:tc>
        <w:tc>
          <w:tcPr>
            <w:tcW w:w="4750" w:type="dxa"/>
            <w:tcBorders/>
            <w:tcMar>
              <w:top w:w="60" w:type="dxa"/>
              <w:left w:w="80" w:type="dxa"/>
              <w:bottom w:w="60" w:type="dxa"/>
              <w:right w:w="80" w:type="dxa"/>
            </w:tcMar>
          </w:tcPr>
          <w:p w14:paraId="63065F0F">
            <w:pPr>
              <w:pStyle w:val="style0"/>
              <w:spacing w:after="60" w:lineRule="auto" w:line="360"/>
              <w:jc w:val="both"/>
              <w:rPr>
                <w:sz w:val="24"/>
                <w:szCs w:val="24"/>
              </w:rPr>
            </w:pPr>
            <w:r>
              <w:rPr>
                <w:sz w:val="24"/>
                <w:szCs w:val="24"/>
              </w:rPr>
              <w:t>Health-conscious; environmentally aware; brand-heritage loyal; Bundesliga and DFB football culture; premium-quality seekers; outdoor lifestyle enthusiasts (‌adidas, 2025).</w:t>
            </w:r>
          </w:p>
        </w:tc>
      </w:tr>
      <w:tr w14:paraId="672CFB17">
        <w:tblPrEx/>
        <w:trPr/>
        <w:tc>
          <w:tcPr>
            <w:tcW w:w="4750" w:type="dxa"/>
            <w:tcBorders/>
            <w:tcMar>
              <w:top w:w="60" w:type="dxa"/>
              <w:left w:w="80" w:type="dxa"/>
              <w:bottom w:w="60" w:type="dxa"/>
              <w:right w:w="80" w:type="dxa"/>
            </w:tcMar>
          </w:tcPr>
          <w:p w14:paraId="036D690C">
            <w:pPr>
              <w:pStyle w:val="style0"/>
              <w:spacing w:after="60" w:lineRule="auto" w:line="360"/>
              <w:jc w:val="both"/>
              <w:rPr>
                <w:sz w:val="24"/>
                <w:szCs w:val="24"/>
              </w:rPr>
            </w:pPr>
            <w:r>
              <w:rPr>
                <w:sz w:val="24"/>
                <w:szCs w:val="24"/>
              </w:rPr>
              <w:t>Segmentation - Behavioural</w:t>
            </w:r>
          </w:p>
        </w:tc>
        <w:tc>
          <w:tcPr>
            <w:tcW w:w="4750" w:type="dxa"/>
            <w:tcBorders/>
            <w:tcMar>
              <w:top w:w="60" w:type="dxa"/>
              <w:left w:w="80" w:type="dxa"/>
              <w:bottom w:w="60" w:type="dxa"/>
              <w:right w:w="80" w:type="dxa"/>
            </w:tcMar>
          </w:tcPr>
          <w:p w14:paraId="1763B53F">
            <w:pPr>
              <w:pStyle w:val="style0"/>
              <w:spacing w:after="60" w:lineRule="auto" w:line="360"/>
              <w:jc w:val="both"/>
              <w:rPr>
                <w:sz w:val="24"/>
                <w:szCs w:val="24"/>
              </w:rPr>
            </w:pPr>
            <w:r>
              <w:rPr>
                <w:sz w:val="24"/>
                <w:szCs w:val="24"/>
              </w:rPr>
              <w:t>Regular and frequent buyers; buyers that are members of the adiClub loyalty programme; high priority on premium products.</w:t>
            </w:r>
          </w:p>
        </w:tc>
      </w:tr>
      <w:tr w14:paraId="11583939">
        <w:tblPrEx/>
        <w:trPr/>
        <w:tc>
          <w:tcPr>
            <w:tcW w:w="4750" w:type="dxa"/>
            <w:tcBorders/>
            <w:tcMar>
              <w:top w:w="60" w:type="dxa"/>
              <w:left w:w="80" w:type="dxa"/>
              <w:bottom w:w="60" w:type="dxa"/>
              <w:right w:w="80" w:type="dxa"/>
            </w:tcMar>
          </w:tcPr>
          <w:p w14:paraId="43A98CF4">
            <w:pPr>
              <w:pStyle w:val="style0"/>
              <w:spacing w:after="60" w:lineRule="auto" w:line="360"/>
              <w:jc w:val="both"/>
              <w:rPr>
                <w:sz w:val="24"/>
                <w:szCs w:val="24"/>
              </w:rPr>
            </w:pPr>
            <w:r>
              <w:rPr>
                <w:sz w:val="24"/>
                <w:szCs w:val="24"/>
              </w:rPr>
              <w:t>Targeting</w:t>
            </w:r>
          </w:p>
        </w:tc>
        <w:tc>
          <w:tcPr>
            <w:tcW w:w="4750" w:type="dxa"/>
            <w:tcBorders/>
            <w:tcMar>
              <w:top w:w="60" w:type="dxa"/>
              <w:left w:w="80" w:type="dxa"/>
              <w:bottom w:w="60" w:type="dxa"/>
              <w:right w:w="80" w:type="dxa"/>
            </w:tcMar>
          </w:tcPr>
          <w:p w14:paraId="5A91402F">
            <w:pPr>
              <w:pStyle w:val="style0"/>
              <w:spacing w:after="60" w:lineRule="auto" w:line="360"/>
              <w:jc w:val="both"/>
              <w:rPr>
                <w:sz w:val="24"/>
                <w:szCs w:val="24"/>
              </w:rPr>
            </w:pPr>
            <w:r>
              <w:rPr>
                <w:sz w:val="24"/>
                <w:szCs w:val="24"/>
              </w:rPr>
              <w:t xml:space="preserve">Primary: 18-35 young city dwelling professionals and amateur sportsmen. Secondary: fans of football, segment DFB/ Bundesliga. Tertiary: consumers of all ages with an interest in sustainability issues. </w:t>
            </w:r>
          </w:p>
        </w:tc>
      </w:tr>
      <w:tr w14:paraId="6C63AB1E">
        <w:tblPrEx/>
        <w:trPr/>
        <w:tc>
          <w:tcPr>
            <w:tcW w:w="4750" w:type="dxa"/>
            <w:tcBorders/>
            <w:tcMar>
              <w:top w:w="60" w:type="dxa"/>
              <w:left w:w="80" w:type="dxa"/>
              <w:bottom w:w="60" w:type="dxa"/>
              <w:right w:w="80" w:type="dxa"/>
            </w:tcMar>
          </w:tcPr>
          <w:p w14:paraId="0097F3A3">
            <w:pPr>
              <w:pStyle w:val="style0"/>
              <w:spacing w:after="60" w:lineRule="auto" w:line="360"/>
              <w:jc w:val="both"/>
              <w:rPr>
                <w:sz w:val="24"/>
                <w:szCs w:val="24"/>
              </w:rPr>
            </w:pPr>
            <w:r>
              <w:rPr>
                <w:sz w:val="24"/>
                <w:szCs w:val="24"/>
              </w:rPr>
              <w:t>Positioning</w:t>
            </w:r>
          </w:p>
        </w:tc>
        <w:tc>
          <w:tcPr>
            <w:tcW w:w="4750" w:type="dxa"/>
            <w:tcBorders/>
            <w:tcMar>
              <w:top w:w="60" w:type="dxa"/>
              <w:left w:w="80" w:type="dxa"/>
              <w:bottom w:w="60" w:type="dxa"/>
              <w:right w:w="80" w:type="dxa"/>
            </w:tcMar>
          </w:tcPr>
          <w:p w14:paraId="606A62F8">
            <w:pPr>
              <w:pStyle w:val="style0"/>
              <w:spacing w:after="60" w:lineRule="auto" w:line="360"/>
              <w:jc w:val="both"/>
              <w:rPr>
                <w:sz w:val="24"/>
                <w:szCs w:val="24"/>
              </w:rPr>
            </w:pPr>
            <w:r>
              <w:rPr>
                <w:sz w:val="24"/>
                <w:szCs w:val="24"/>
              </w:rPr>
              <w:t xml:space="preserve">Adidas the global champion of Germany, performance heritage </w:t>
            </w:r>
          </w:p>
        </w:tc>
      </w:tr>
      <w:bookmarkStart w:id="8" w:name="_Toc237268422"/>
    </w:tbl>
    <w:p w14:paraId="46A8A033">
      <w:pPr>
        <w:pStyle w:val="style3"/>
        <w:spacing w:before="180" w:after="80"/>
        <w:rPr/>
      </w:pPr>
      <w:r>
        <w:t>STP Analysis - Germany: Discussion</w:t>
      </w:r>
      <w:bookmarkEnd w:id="8"/>
    </w:p>
    <w:p w14:paraId="540E5619">
      <w:pPr>
        <w:pStyle w:val="style0"/>
        <w:rPr>
          <w:b/>
          <w:sz w:val="24"/>
          <w:szCs w:val="24"/>
        </w:rPr>
      </w:pPr>
      <w:r>
        <w:rPr>
          <w:b/>
          <w:sz w:val="24"/>
          <w:szCs w:val="24"/>
        </w:rPr>
        <w:t>Table 5: STP Analysis - United States</w:t>
      </w:r>
    </w:p>
    <w:p w14:paraId="264815A9">
      <w:pPr>
        <w:pStyle w:val="style0"/>
        <w:rPr/>
      </w:pPr>
    </w:p>
    <w:tbl>
      <w:tblPr>
        <w:tblStyle w:val="style4105"/>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1D0D93D4">
        <w:trPr>
          <w:tblHeader/>
        </w:trPr>
        <w:tc>
          <w:tcPr>
            <w:tcW w:w="4750" w:type="dxa"/>
            <w:tcBorders/>
            <w:shd w:val="clear" w:color="auto" w:fill="ddeeff"/>
            <w:tcMar>
              <w:top w:w="60" w:type="dxa"/>
              <w:left w:w="80" w:type="dxa"/>
              <w:bottom w:w="60" w:type="dxa"/>
              <w:right w:w="80" w:type="dxa"/>
            </w:tcMar>
          </w:tcPr>
          <w:p w14:paraId="4509D1AD">
            <w:pPr>
              <w:pStyle w:val="style0"/>
              <w:spacing w:after="60" w:lineRule="auto" w:line="360"/>
              <w:jc w:val="both"/>
              <w:rPr>
                <w:sz w:val="24"/>
                <w:szCs w:val="24"/>
              </w:rPr>
            </w:pPr>
            <w:r>
              <w:rPr>
                <w:b/>
                <w:bCs/>
                <w:sz w:val="24"/>
                <w:szCs w:val="24"/>
              </w:rPr>
              <w:t>STP Element</w:t>
            </w:r>
          </w:p>
        </w:tc>
        <w:tc>
          <w:tcPr>
            <w:tcW w:w="4750" w:type="dxa"/>
            <w:tcBorders/>
            <w:shd w:val="clear" w:color="auto" w:fill="ddeeff"/>
            <w:tcMar>
              <w:top w:w="60" w:type="dxa"/>
              <w:left w:w="80" w:type="dxa"/>
              <w:bottom w:w="60" w:type="dxa"/>
              <w:right w:w="80" w:type="dxa"/>
            </w:tcMar>
          </w:tcPr>
          <w:p w14:paraId="24BDB676">
            <w:pPr>
              <w:pStyle w:val="style0"/>
              <w:spacing w:after="60" w:lineRule="auto" w:line="360"/>
              <w:jc w:val="both"/>
              <w:rPr>
                <w:sz w:val="24"/>
                <w:szCs w:val="24"/>
              </w:rPr>
            </w:pPr>
            <w:r>
              <w:rPr>
                <w:b/>
                <w:bCs/>
                <w:sz w:val="24"/>
                <w:szCs w:val="24"/>
              </w:rPr>
              <w:t>Detail - USA</w:t>
            </w:r>
          </w:p>
        </w:tc>
      </w:tr>
      <w:tr w14:paraId="35BEF20A">
        <w:tblPrEx/>
        <w:trPr/>
        <w:tc>
          <w:tcPr>
            <w:tcW w:w="4750" w:type="dxa"/>
            <w:tcBorders/>
            <w:tcMar>
              <w:top w:w="60" w:type="dxa"/>
              <w:left w:w="80" w:type="dxa"/>
              <w:bottom w:w="60" w:type="dxa"/>
              <w:right w:w="80" w:type="dxa"/>
            </w:tcMar>
          </w:tcPr>
          <w:p w14:paraId="2CECE004">
            <w:pPr>
              <w:pStyle w:val="style0"/>
              <w:spacing w:after="60" w:lineRule="auto" w:line="360"/>
              <w:jc w:val="both"/>
              <w:rPr>
                <w:sz w:val="24"/>
                <w:szCs w:val="24"/>
              </w:rPr>
            </w:pPr>
            <w:r>
              <w:rPr>
                <w:sz w:val="24"/>
                <w:szCs w:val="24"/>
              </w:rPr>
              <w:t>Segmentation - Geographic</w:t>
            </w:r>
          </w:p>
        </w:tc>
        <w:tc>
          <w:tcPr>
            <w:tcW w:w="4750" w:type="dxa"/>
            <w:tcBorders/>
            <w:tcMar>
              <w:top w:w="60" w:type="dxa"/>
              <w:left w:w="80" w:type="dxa"/>
              <w:bottom w:w="60" w:type="dxa"/>
              <w:right w:w="80" w:type="dxa"/>
            </w:tcMar>
          </w:tcPr>
          <w:p w14:paraId="165AD58B">
            <w:pPr>
              <w:pStyle w:val="style0"/>
              <w:spacing w:after="60" w:lineRule="auto" w:line="360"/>
              <w:jc w:val="both"/>
              <w:rPr>
                <w:sz w:val="24"/>
                <w:szCs w:val="24"/>
              </w:rPr>
            </w:pPr>
            <w:r>
              <w:rPr>
                <w:sz w:val="24"/>
                <w:szCs w:val="24"/>
              </w:rPr>
              <w:t xml:space="preserve">Major metros (NY, LA, Chicago, Houston, Miami, Atlanta); Sunbelt growth markets; adidas.com/DTC e-commerce via ads and apps across the country. </w:t>
            </w:r>
          </w:p>
        </w:tc>
      </w:tr>
      <w:tr w14:paraId="49373926">
        <w:tblPrEx/>
        <w:trPr/>
        <w:tc>
          <w:tcPr>
            <w:tcW w:w="4750" w:type="dxa"/>
            <w:tcBorders/>
            <w:tcMar>
              <w:top w:w="60" w:type="dxa"/>
              <w:left w:w="80" w:type="dxa"/>
              <w:bottom w:w="60" w:type="dxa"/>
              <w:right w:w="80" w:type="dxa"/>
            </w:tcMar>
          </w:tcPr>
          <w:p w14:paraId="79583A7A">
            <w:pPr>
              <w:pStyle w:val="style0"/>
              <w:spacing w:after="60" w:lineRule="auto" w:line="360"/>
              <w:jc w:val="both"/>
              <w:rPr>
                <w:sz w:val="24"/>
                <w:szCs w:val="24"/>
              </w:rPr>
            </w:pPr>
            <w:r>
              <w:rPr>
                <w:sz w:val="24"/>
                <w:szCs w:val="24"/>
              </w:rPr>
              <w:t>Segmentation - Demographic</w:t>
            </w:r>
          </w:p>
        </w:tc>
        <w:tc>
          <w:tcPr>
            <w:tcW w:w="4750" w:type="dxa"/>
            <w:tcBorders/>
            <w:tcMar>
              <w:top w:w="60" w:type="dxa"/>
              <w:left w:w="80" w:type="dxa"/>
              <w:bottom w:w="60" w:type="dxa"/>
              <w:right w:w="80" w:type="dxa"/>
            </w:tcMar>
          </w:tcPr>
          <w:p w14:paraId="48C85A26">
            <w:pPr>
              <w:pStyle w:val="style0"/>
              <w:spacing w:after="60" w:lineRule="auto" w:line="360"/>
              <w:jc w:val="both"/>
              <w:rPr>
                <w:sz w:val="24"/>
                <w:szCs w:val="24"/>
              </w:rPr>
            </w:pPr>
            <w:r>
              <w:rPr>
                <w:sz w:val="24"/>
                <w:szCs w:val="24"/>
              </w:rPr>
              <w:t>Age 13-40; highly diverse ethnic communities (multicultural marketing imperative); household income $40,000-$120,000; gender-inclusive sizing strategy since 2021; women's segment fastest growing.</w:t>
            </w:r>
          </w:p>
        </w:tc>
      </w:tr>
      <w:tr w14:paraId="31868BA8">
        <w:tblPrEx/>
        <w:trPr/>
        <w:tc>
          <w:tcPr>
            <w:tcW w:w="4750" w:type="dxa"/>
            <w:tcBorders/>
            <w:tcMar>
              <w:top w:w="60" w:type="dxa"/>
              <w:left w:w="80" w:type="dxa"/>
              <w:bottom w:w="60" w:type="dxa"/>
              <w:right w:w="80" w:type="dxa"/>
            </w:tcMar>
          </w:tcPr>
          <w:p w14:paraId="66983C5F">
            <w:pPr>
              <w:pStyle w:val="style0"/>
              <w:spacing w:after="60" w:lineRule="auto" w:line="360"/>
              <w:jc w:val="both"/>
              <w:rPr>
                <w:sz w:val="24"/>
                <w:szCs w:val="24"/>
              </w:rPr>
            </w:pPr>
            <w:r>
              <w:rPr>
                <w:sz w:val="24"/>
                <w:szCs w:val="24"/>
              </w:rPr>
              <w:t>Segmentation - Psychographic</w:t>
            </w:r>
          </w:p>
        </w:tc>
        <w:tc>
          <w:tcPr>
            <w:tcW w:w="4750" w:type="dxa"/>
            <w:tcBorders/>
            <w:tcMar>
              <w:top w:w="60" w:type="dxa"/>
              <w:left w:w="80" w:type="dxa"/>
              <w:bottom w:w="60" w:type="dxa"/>
              <w:right w:w="80" w:type="dxa"/>
            </w:tcMar>
          </w:tcPr>
          <w:p w14:paraId="7950F2FB">
            <w:pPr>
              <w:pStyle w:val="style0"/>
              <w:spacing w:after="60" w:lineRule="auto" w:line="360"/>
              <w:jc w:val="both"/>
              <w:rPr>
                <w:sz w:val="24"/>
                <w:szCs w:val="24"/>
              </w:rPr>
            </w:pPr>
            <w:r>
              <w:rPr>
                <w:sz w:val="24"/>
                <w:szCs w:val="24"/>
              </w:rPr>
              <w:t xml:space="preserve">Consumer driven; celebrity obsessed; streetwear crazy; sports fan; Gen Z green; StockX / “GOAT” resale market </w:t>
            </w:r>
          </w:p>
        </w:tc>
      </w:tr>
      <w:tr w14:paraId="5E2A1417">
        <w:tblPrEx/>
        <w:trPr/>
        <w:tc>
          <w:tcPr>
            <w:tcW w:w="4750" w:type="dxa"/>
            <w:tcBorders/>
            <w:tcMar>
              <w:top w:w="60" w:type="dxa"/>
              <w:left w:w="80" w:type="dxa"/>
              <w:bottom w:w="60" w:type="dxa"/>
              <w:right w:w="80" w:type="dxa"/>
            </w:tcMar>
          </w:tcPr>
          <w:p w14:paraId="11A88B45">
            <w:pPr>
              <w:pStyle w:val="style0"/>
              <w:spacing w:after="60" w:lineRule="auto" w:line="360"/>
              <w:jc w:val="both"/>
              <w:rPr>
                <w:sz w:val="24"/>
                <w:szCs w:val="24"/>
              </w:rPr>
            </w:pPr>
            <w:r>
              <w:rPr>
                <w:sz w:val="24"/>
                <w:szCs w:val="24"/>
              </w:rPr>
              <w:t>Segmentation - Behavioural</w:t>
            </w:r>
          </w:p>
        </w:tc>
        <w:tc>
          <w:tcPr>
            <w:tcW w:w="4750" w:type="dxa"/>
            <w:tcBorders/>
            <w:tcMar>
              <w:top w:w="60" w:type="dxa"/>
              <w:left w:w="80" w:type="dxa"/>
              <w:bottom w:w="60" w:type="dxa"/>
              <w:right w:w="80" w:type="dxa"/>
            </w:tcMar>
          </w:tcPr>
          <w:p w14:paraId="09F38460">
            <w:pPr>
              <w:pStyle w:val="style0"/>
              <w:spacing w:after="60" w:lineRule="auto" w:line="360"/>
              <w:jc w:val="both"/>
              <w:rPr>
                <w:sz w:val="24"/>
                <w:szCs w:val="24"/>
              </w:rPr>
            </w:pPr>
            <w:r>
              <w:rPr>
                <w:sz w:val="24"/>
                <w:szCs w:val="24"/>
              </w:rPr>
              <w:t>Loyalty programme members, social-media-influenced purchasing decisions, frequent online shoppers (‌</w:t>
            </w:r>
            <w:r>
              <w:rPr>
                <w:rFonts w:ascii="Arial" w:cs="Arial" w:eastAsia="Arial" w:hAnsi="Arial"/>
                <w:color w:val="222222"/>
                <w:sz w:val="20"/>
                <w:szCs w:val="20"/>
              </w:rPr>
              <w:t>Dzreke and Dzreke, 2025</w:t>
            </w:r>
            <w:r>
              <w:rPr>
                <w:sz w:val="24"/>
                <w:szCs w:val="24"/>
              </w:rPr>
              <w:t xml:space="preserve">). </w:t>
            </w:r>
          </w:p>
        </w:tc>
      </w:tr>
      <w:tr w14:paraId="720479B7">
        <w:tblPrEx/>
        <w:trPr/>
        <w:tc>
          <w:tcPr>
            <w:tcW w:w="4750" w:type="dxa"/>
            <w:tcBorders/>
            <w:tcMar>
              <w:top w:w="60" w:type="dxa"/>
              <w:left w:w="80" w:type="dxa"/>
              <w:bottom w:w="60" w:type="dxa"/>
              <w:right w:w="80" w:type="dxa"/>
            </w:tcMar>
          </w:tcPr>
          <w:p w14:paraId="0F519F8F">
            <w:pPr>
              <w:pStyle w:val="style0"/>
              <w:spacing w:after="60" w:lineRule="auto" w:line="360"/>
              <w:jc w:val="both"/>
              <w:rPr>
                <w:sz w:val="24"/>
                <w:szCs w:val="24"/>
              </w:rPr>
            </w:pPr>
            <w:r>
              <w:rPr>
                <w:sz w:val="24"/>
                <w:szCs w:val="24"/>
              </w:rPr>
              <w:t>Targeting</w:t>
            </w:r>
          </w:p>
        </w:tc>
        <w:tc>
          <w:tcPr>
            <w:tcW w:w="4750" w:type="dxa"/>
            <w:tcBorders/>
            <w:tcMar>
              <w:top w:w="60" w:type="dxa"/>
              <w:left w:w="80" w:type="dxa"/>
              <w:bottom w:w="60" w:type="dxa"/>
              <w:right w:w="80" w:type="dxa"/>
            </w:tcMar>
          </w:tcPr>
          <w:p w14:paraId="4962E553">
            <w:pPr>
              <w:pStyle w:val="style0"/>
              <w:spacing w:after="60" w:lineRule="auto" w:line="360"/>
              <w:jc w:val="both"/>
              <w:rPr>
                <w:sz w:val="24"/>
                <w:szCs w:val="24"/>
              </w:rPr>
            </w:pPr>
            <w:r>
              <w:rPr>
                <w:sz w:val="24"/>
                <w:szCs w:val="24"/>
              </w:rPr>
              <w:t>Primary: 16-34 multicultural Gen Z/Millennial consumers. Secondary</w:t>
            </w:r>
          </w:p>
        </w:tc>
      </w:tr>
      <w:tr w14:paraId="1FA59EFD">
        <w:tblPrEx/>
        <w:trPr/>
        <w:tc>
          <w:tcPr>
            <w:tcW w:w="4750" w:type="dxa"/>
            <w:tcBorders/>
            <w:tcMar>
              <w:top w:w="60" w:type="dxa"/>
              <w:left w:w="80" w:type="dxa"/>
              <w:bottom w:w="60" w:type="dxa"/>
              <w:right w:w="80" w:type="dxa"/>
            </w:tcMar>
          </w:tcPr>
          <w:p w14:paraId="30BE5625">
            <w:pPr>
              <w:pStyle w:val="style0"/>
              <w:spacing w:after="60" w:lineRule="auto" w:line="360"/>
              <w:jc w:val="both"/>
              <w:rPr>
                <w:sz w:val="24"/>
                <w:szCs w:val="24"/>
              </w:rPr>
            </w:pPr>
            <w:r>
              <w:rPr>
                <w:sz w:val="24"/>
                <w:szCs w:val="24"/>
              </w:rPr>
              <w:t>Positioning</w:t>
            </w:r>
          </w:p>
        </w:tc>
        <w:tc>
          <w:tcPr>
            <w:tcW w:w="4750" w:type="dxa"/>
            <w:tcBorders/>
            <w:tcMar>
              <w:top w:w="60" w:type="dxa"/>
              <w:left w:w="80" w:type="dxa"/>
              <w:bottom w:w="60" w:type="dxa"/>
              <w:right w:w="80" w:type="dxa"/>
            </w:tcMar>
          </w:tcPr>
          <w:p w14:paraId="10FB9C3E">
            <w:pPr>
              <w:pStyle w:val="style0"/>
              <w:spacing w:after="60" w:lineRule="auto" w:line="360"/>
              <w:jc w:val="both"/>
              <w:rPr>
                <w:sz w:val="24"/>
                <w:szCs w:val="24"/>
              </w:rPr>
            </w:pPr>
            <w:r>
              <w:rPr>
                <w:sz w:val="24"/>
                <w:szCs w:val="24"/>
              </w:rPr>
              <w:t>Creativity and sport as a force for change - Adidas US as a challenger brand that is culturally relevant (</w:t>
            </w:r>
            <w:r>
              <w:rPr>
                <w:rFonts w:ascii="Arial" w:cs="Arial" w:eastAsia="Arial" w:hAnsi="Arial"/>
                <w:color w:val="222222"/>
                <w:sz w:val="20"/>
                <w:szCs w:val="20"/>
              </w:rPr>
              <w:t>Bhatnagar, 2026</w:t>
            </w:r>
            <w:r>
              <w:rPr>
                <w:sz w:val="24"/>
                <w:szCs w:val="24"/>
              </w:rPr>
              <w:t xml:space="preserve">), diverse and inclusive. Takes advantage of celebrity partnerships (Beyoncé, Bad Bunny, Pharrell Williams) and social justice pledges. </w:t>
            </w:r>
          </w:p>
        </w:tc>
      </w:tr>
    </w:tbl>
    <w:p w14:paraId="2FD106AF">
      <w:pPr>
        <w:pStyle w:val="style0"/>
        <w:spacing w:after="80" w:lineRule="auto" w:line="360"/>
        <w:jc w:val="both"/>
        <w:rPr>
          <w:sz w:val="24"/>
          <w:szCs w:val="24"/>
        </w:rPr>
      </w:pPr>
    </w:p>
    <w:bookmarkStart w:id="9" w:name="_Toc237268423"/>
    <w:p w14:paraId="00FA38F3">
      <w:pPr>
        <w:pStyle w:val="style3"/>
        <w:spacing w:before="180" w:after="80"/>
        <w:rPr/>
      </w:pPr>
      <w:r>
        <w:t>STP Analysis - United States: Discussion</w:t>
      </w:r>
      <w:bookmarkEnd w:id="9"/>
    </w:p>
    <w:p w14:paraId="1A677FCC">
      <w:pPr>
        <w:pStyle w:val="style0"/>
        <w:spacing w:after="80" w:lineRule="auto" w:line="360"/>
        <w:jc w:val="both"/>
        <w:rPr>
          <w:sz w:val="24"/>
          <w:szCs w:val="24"/>
        </w:rPr>
      </w:pPr>
      <w:r>
        <w:rPr>
          <w:sz w:val="24"/>
          <w:szCs w:val="24"/>
        </w:rPr>
        <w:t>The US market requires a more culturally sensitive segmentation strategy due to the country's deep demographic diversity, as the non-white population is expected to surpass 50% by 2045 (US Census Bureau, 2023). Adidas US has responded with planned multicultural marketing, such as promoting a variety of athletes and artists through various media. The women's segment is a fast-expanding strategic priority, with the successful partnership with Beyonce on the Ivy Park brand has proved effective at targeting women on lifestyle and sport occasions.</w:t>
      </w:r>
    </w:p>
    <w:p w14:paraId="0F9E6D76">
      <w:pPr>
        <w:pStyle w:val="style0"/>
        <w:spacing w:after="80" w:lineRule="auto" w:line="360"/>
        <w:jc w:val="center"/>
        <w:rPr>
          <w:sz w:val="24"/>
          <w:szCs w:val="24"/>
        </w:rPr>
      </w:pPr>
      <w:r>
        <w:rPr>
          <w:noProof/>
          <w:sz w:val="24"/>
          <w:szCs w:val="24"/>
          <w:lang w:val="en-AU" w:eastAsia="en-AU"/>
        </w:rPr>
        <w:drawing>
          <wp:inline distL="0" distT="0" distB="0" distR="0">
            <wp:extent cx="5648325" cy="3086100"/>
            <wp:effectExtent l="0" t="0" r="0" b="0"/>
            <wp:docPr id="1034" name="image6.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image6.png"/>
                    <pic:cNvPicPr/>
                  </pic:nvPicPr>
                  <pic:blipFill>
                    <a:blip r:embed="rId10" cstate="print"/>
                    <a:srcRect l="0" t="0" r="0" b="0"/>
                    <a:stretch/>
                  </pic:blipFill>
                  <pic:spPr>
                    <a:xfrm rot="0">
                      <a:off x="0" y="0"/>
                      <a:ext cx="5648325" cy="3086100"/>
                    </a:xfrm>
                    <a:prstGeom prst="rect"/>
                    <a:ln cmpd="sng" cap="flat" w="9525">
                      <a:solidFill>
                        <a:srgbClr val="000000"/>
                      </a:solidFill>
                      <a:prstDash val="solid"/>
                      <a:round/>
                      <a:headEnd len="med" w="med" type="none"/>
                      <a:tailEnd len="med" w="med" type="none"/>
                    </a:ln>
                  </pic:spPr>
                </pic:pic>
              </a:graphicData>
            </a:graphic>
          </wp:inline>
        </w:drawing>
      </w:r>
    </w:p>
    <w:p w14:paraId="4BD9F742">
      <w:pPr>
        <w:pStyle w:val="style0"/>
        <w:spacing w:after="80" w:lineRule="auto" w:line="360"/>
        <w:jc w:val="center"/>
        <w:rPr>
          <w:sz w:val="24"/>
          <w:szCs w:val="24"/>
        </w:rPr>
      </w:pPr>
      <w:r>
        <w:rPr>
          <w:b/>
          <w:bCs/>
          <w:sz w:val="24"/>
          <w:szCs w:val="24"/>
        </w:rPr>
        <w:t>Figure 7: USA athletic market</w:t>
      </w:r>
      <w:r>
        <w:rPr>
          <w:sz w:val="24"/>
          <w:szCs w:val="24"/>
        </w:rPr>
        <w:br/>
      </w:r>
      <w:r>
        <w:rPr>
          <w:sz w:val="24"/>
          <w:szCs w:val="24"/>
        </w:rPr>
        <w:t>(Source: Data Forecast, 2026)</w:t>
      </w:r>
    </w:p>
    <w:p w14:paraId="03EF87B1">
      <w:pPr>
        <w:pStyle w:val="style0"/>
        <w:spacing w:after="80" w:lineRule="auto" w:line="360"/>
        <w:jc w:val="both"/>
        <w:rPr>
          <w:sz w:val="24"/>
          <w:szCs w:val="24"/>
        </w:rPr>
      </w:pPr>
      <w:r>
        <w:rPr>
          <w:sz w:val="24"/>
          <w:szCs w:val="24"/>
        </w:rPr>
        <w:t xml:space="preserve">Positioning-wise, Adidas is up against a structural disadvantage with Nike, having lots of the US athletic footwear market (5.35 %) in 2026 to 2034. The most evident move that Adidas US has taken to position itself as different is to go with a ‘creativity first' approach, including the appointment of Human Race Creative Director Pharrell Williams in 2023 and the continued Ivy Park line featuring Beyonce. </w:t>
      </w:r>
    </w:p>
    <w:bookmarkStart w:id="10" w:name="_Toc237268424"/>
    <w:p w14:paraId="173551E4">
      <w:pPr>
        <w:pStyle w:val="style2"/>
        <w:spacing w:before="240" w:after="120"/>
        <w:rPr>
          <w:szCs w:val="24"/>
        </w:rPr>
      </w:pPr>
      <w:r>
        <w:rPr>
          <w:szCs w:val="24"/>
        </w:rPr>
        <w:t>1.5 International Marketing Mix (7Ps)</w:t>
      </w:r>
      <w:bookmarkEnd w:id="10"/>
    </w:p>
    <w:p w14:paraId="73936154">
      <w:pPr>
        <w:pStyle w:val="style0"/>
        <w:rPr>
          <w:b/>
          <w:sz w:val="24"/>
          <w:szCs w:val="24"/>
        </w:rPr>
      </w:pPr>
      <w:r>
        <w:rPr>
          <w:b/>
          <w:sz w:val="24"/>
          <w:szCs w:val="24"/>
        </w:rPr>
        <w:t xml:space="preserve">Table 6: 7Ps Marketing Mix </w:t>
      </w:r>
      <w:r>
        <w:rPr>
          <w:b/>
          <w:sz w:val="24"/>
          <w:szCs w:val="24"/>
        </w:rPr>
        <w:t>–</w:t>
      </w:r>
      <w:r>
        <w:rPr>
          <w:b/>
          <w:sz w:val="24"/>
          <w:szCs w:val="24"/>
        </w:rPr>
        <w:t xml:space="preserve"> Germany</w:t>
      </w:r>
    </w:p>
    <w:p w14:paraId="73B9CE62">
      <w:pPr>
        <w:pStyle w:val="style0"/>
        <w:rPr/>
      </w:pPr>
    </w:p>
    <w:tbl>
      <w:tblPr>
        <w:tblStyle w:val="style4106"/>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2DD0BFD0">
        <w:trPr>
          <w:tblHeader/>
        </w:trPr>
        <w:tc>
          <w:tcPr>
            <w:tcW w:w="4750" w:type="dxa"/>
            <w:tcBorders/>
            <w:shd w:val="clear" w:color="auto" w:fill="ddeeff"/>
            <w:tcMar>
              <w:top w:w="60" w:type="dxa"/>
              <w:left w:w="80" w:type="dxa"/>
              <w:bottom w:w="60" w:type="dxa"/>
              <w:right w:w="80" w:type="dxa"/>
            </w:tcMar>
          </w:tcPr>
          <w:p w14:paraId="7809DAFC">
            <w:pPr>
              <w:pStyle w:val="style0"/>
              <w:spacing w:after="60" w:lineRule="auto" w:line="360"/>
              <w:jc w:val="both"/>
              <w:rPr>
                <w:sz w:val="24"/>
                <w:szCs w:val="24"/>
              </w:rPr>
            </w:pPr>
            <w:r>
              <w:rPr>
                <w:b/>
                <w:bCs/>
                <w:sz w:val="24"/>
                <w:szCs w:val="24"/>
              </w:rPr>
              <w:t>7P Element</w:t>
            </w:r>
          </w:p>
        </w:tc>
        <w:tc>
          <w:tcPr>
            <w:tcW w:w="4750" w:type="dxa"/>
            <w:tcBorders/>
            <w:shd w:val="clear" w:color="auto" w:fill="ddeeff"/>
            <w:tcMar>
              <w:top w:w="60" w:type="dxa"/>
              <w:left w:w="80" w:type="dxa"/>
              <w:bottom w:w="60" w:type="dxa"/>
              <w:right w:w="80" w:type="dxa"/>
            </w:tcMar>
          </w:tcPr>
          <w:p w14:paraId="2D22DEF9">
            <w:pPr>
              <w:pStyle w:val="style0"/>
              <w:spacing w:after="60" w:lineRule="auto" w:line="360"/>
              <w:jc w:val="both"/>
              <w:rPr>
                <w:sz w:val="24"/>
                <w:szCs w:val="24"/>
              </w:rPr>
            </w:pPr>
            <w:r>
              <w:rPr>
                <w:b/>
                <w:bCs/>
                <w:sz w:val="24"/>
                <w:szCs w:val="24"/>
              </w:rPr>
              <w:t>Germany Strategy</w:t>
            </w:r>
          </w:p>
        </w:tc>
      </w:tr>
      <w:tr w14:paraId="470BC07A">
        <w:tblPrEx/>
        <w:trPr/>
        <w:tc>
          <w:tcPr>
            <w:tcW w:w="4750" w:type="dxa"/>
            <w:tcBorders/>
            <w:tcMar>
              <w:top w:w="60" w:type="dxa"/>
              <w:left w:w="80" w:type="dxa"/>
              <w:bottom w:w="60" w:type="dxa"/>
              <w:right w:w="80" w:type="dxa"/>
            </w:tcMar>
          </w:tcPr>
          <w:p w14:paraId="3C5B61BC">
            <w:pPr>
              <w:pStyle w:val="style0"/>
              <w:spacing w:after="60" w:lineRule="auto" w:line="360"/>
              <w:jc w:val="both"/>
              <w:rPr>
                <w:sz w:val="24"/>
                <w:szCs w:val="24"/>
              </w:rPr>
            </w:pPr>
            <w:r>
              <w:rPr>
                <w:sz w:val="24"/>
                <w:szCs w:val="24"/>
              </w:rPr>
              <w:t>Product</w:t>
            </w:r>
          </w:p>
        </w:tc>
        <w:tc>
          <w:tcPr>
            <w:tcW w:w="4750" w:type="dxa"/>
            <w:tcBorders/>
            <w:tcMar>
              <w:top w:w="60" w:type="dxa"/>
              <w:left w:w="80" w:type="dxa"/>
              <w:bottom w:w="60" w:type="dxa"/>
              <w:right w:w="80" w:type="dxa"/>
            </w:tcMar>
          </w:tcPr>
          <w:p w14:paraId="18C1349A">
            <w:pPr>
              <w:pStyle w:val="style0"/>
              <w:spacing w:after="60" w:lineRule="auto" w:line="360"/>
              <w:jc w:val="both"/>
              <w:rPr>
                <w:sz w:val="24"/>
                <w:szCs w:val="24"/>
              </w:rPr>
            </w:pPr>
            <w:r>
              <w:rPr>
                <w:sz w:val="24"/>
                <w:szCs w:val="24"/>
              </w:rPr>
              <w:t xml:space="preserve">Full portfolio: performance (Adizero, Ultraboost, Predator football boots), Originals (Superstar, Stan Smith, Gazelle) and sustainable collections (Parley for the Oceans, Stan Smith Mylo mushroom leather). German football heritage is at the centre, especially DFB national team kits. </w:t>
            </w:r>
          </w:p>
        </w:tc>
      </w:tr>
      <w:tr w14:paraId="501BFDB0">
        <w:tblPrEx/>
        <w:trPr/>
        <w:tc>
          <w:tcPr>
            <w:tcW w:w="4750" w:type="dxa"/>
            <w:tcBorders/>
            <w:tcMar>
              <w:top w:w="60" w:type="dxa"/>
              <w:left w:w="80" w:type="dxa"/>
              <w:bottom w:w="60" w:type="dxa"/>
              <w:right w:w="80" w:type="dxa"/>
            </w:tcMar>
          </w:tcPr>
          <w:p w14:paraId="28E3DB91">
            <w:pPr>
              <w:pStyle w:val="style0"/>
              <w:spacing w:after="60" w:lineRule="auto" w:line="360"/>
              <w:jc w:val="both"/>
              <w:rPr>
                <w:sz w:val="24"/>
                <w:szCs w:val="24"/>
              </w:rPr>
            </w:pPr>
            <w:r>
              <w:rPr>
                <w:sz w:val="24"/>
                <w:szCs w:val="24"/>
              </w:rPr>
              <w:t>Price</w:t>
            </w:r>
          </w:p>
        </w:tc>
        <w:tc>
          <w:tcPr>
            <w:tcW w:w="4750" w:type="dxa"/>
            <w:tcBorders/>
            <w:tcMar>
              <w:top w:w="60" w:type="dxa"/>
              <w:left w:w="80" w:type="dxa"/>
              <w:bottom w:w="60" w:type="dxa"/>
              <w:right w:w="80" w:type="dxa"/>
            </w:tcMar>
          </w:tcPr>
          <w:p w14:paraId="486B1BF2">
            <w:pPr>
              <w:pStyle w:val="style0"/>
              <w:spacing w:after="60" w:lineRule="auto" w:line="360"/>
              <w:jc w:val="both"/>
              <w:rPr>
                <w:sz w:val="24"/>
                <w:szCs w:val="24"/>
              </w:rPr>
            </w:pPr>
            <w:r>
              <w:rPr>
                <w:sz w:val="24"/>
                <w:szCs w:val="24"/>
              </w:rPr>
              <w:t xml:space="preserve">The Ultraboost range is priced at EUR 180-220, while the Originals range prices in at EUR 80-150. Prices are based on the perception of quality and include EU VAT 19% (‌Victoria, 2025). </w:t>
            </w:r>
          </w:p>
        </w:tc>
      </w:tr>
      <w:tr w14:paraId="50217132">
        <w:tblPrEx/>
        <w:trPr/>
        <w:tc>
          <w:tcPr>
            <w:tcW w:w="4750" w:type="dxa"/>
            <w:tcBorders/>
            <w:tcMar>
              <w:top w:w="60" w:type="dxa"/>
              <w:left w:w="80" w:type="dxa"/>
              <w:bottom w:w="60" w:type="dxa"/>
              <w:right w:w="80" w:type="dxa"/>
            </w:tcMar>
          </w:tcPr>
          <w:p w14:paraId="5CE01C8E">
            <w:pPr>
              <w:pStyle w:val="style0"/>
              <w:spacing w:after="60" w:lineRule="auto" w:line="360"/>
              <w:jc w:val="both"/>
              <w:rPr>
                <w:sz w:val="24"/>
                <w:szCs w:val="24"/>
              </w:rPr>
            </w:pPr>
            <w:r>
              <w:rPr>
                <w:sz w:val="24"/>
                <w:szCs w:val="24"/>
              </w:rPr>
              <w:t>Place</w:t>
            </w:r>
          </w:p>
        </w:tc>
        <w:tc>
          <w:tcPr>
            <w:tcW w:w="4750" w:type="dxa"/>
            <w:tcBorders/>
            <w:tcMar>
              <w:top w:w="60" w:type="dxa"/>
              <w:left w:w="80" w:type="dxa"/>
              <w:bottom w:w="60" w:type="dxa"/>
              <w:right w:w="80" w:type="dxa"/>
            </w:tcMar>
          </w:tcPr>
          <w:p w14:paraId="1CB468B4">
            <w:pPr>
              <w:pStyle w:val="style0"/>
              <w:spacing w:after="60" w:lineRule="auto" w:line="360"/>
              <w:jc w:val="both"/>
              <w:rPr>
                <w:sz w:val="24"/>
                <w:szCs w:val="24"/>
              </w:rPr>
            </w:pPr>
            <w:r>
              <w:rPr>
                <w:sz w:val="24"/>
                <w:szCs w:val="24"/>
              </w:rPr>
              <w:t>Approx. 100 own-retail stores throughout Germany; direct e-commerce via adidas.de; extensive presence in Europe through the SportScheck, Decathlon and Zalando wholesale chains</w:t>
            </w:r>
          </w:p>
        </w:tc>
      </w:tr>
      <w:tr w14:paraId="23809A01">
        <w:tblPrEx/>
        <w:trPr/>
        <w:tc>
          <w:tcPr>
            <w:tcW w:w="4750" w:type="dxa"/>
            <w:tcBorders/>
            <w:tcMar>
              <w:top w:w="60" w:type="dxa"/>
              <w:left w:w="80" w:type="dxa"/>
              <w:bottom w:w="60" w:type="dxa"/>
              <w:right w:w="80" w:type="dxa"/>
            </w:tcMar>
          </w:tcPr>
          <w:p w14:paraId="2E0060A9">
            <w:pPr>
              <w:pStyle w:val="style0"/>
              <w:spacing w:after="60" w:lineRule="auto" w:line="360"/>
              <w:jc w:val="both"/>
              <w:rPr>
                <w:sz w:val="24"/>
                <w:szCs w:val="24"/>
              </w:rPr>
            </w:pPr>
            <w:r>
              <w:rPr>
                <w:sz w:val="24"/>
                <w:szCs w:val="24"/>
              </w:rPr>
              <w:t>Promotion</w:t>
            </w:r>
          </w:p>
        </w:tc>
        <w:tc>
          <w:tcPr>
            <w:tcW w:w="4750" w:type="dxa"/>
            <w:tcBorders/>
            <w:tcMar>
              <w:top w:w="60" w:type="dxa"/>
              <w:left w:w="80" w:type="dxa"/>
              <w:bottom w:w="60" w:type="dxa"/>
              <w:right w:w="80" w:type="dxa"/>
            </w:tcMar>
          </w:tcPr>
          <w:p w14:paraId="5F88F089">
            <w:pPr>
              <w:pStyle w:val="style0"/>
              <w:spacing w:after="60" w:lineRule="auto" w:line="360"/>
              <w:jc w:val="both"/>
              <w:rPr>
                <w:sz w:val="24"/>
                <w:szCs w:val="24"/>
              </w:rPr>
            </w:pPr>
            <w:r>
              <w:rPr>
                <w:sz w:val="24"/>
                <w:szCs w:val="24"/>
              </w:rPr>
              <w:t>Sponsorships with the DFB national team (until 2030, DFB 2023); Bundesliga club sponsorships; digital-first communication through Instagram and YouTube</w:t>
            </w:r>
          </w:p>
        </w:tc>
      </w:tr>
      <w:tr w14:paraId="3E690A5B">
        <w:tblPrEx/>
        <w:trPr/>
        <w:tc>
          <w:tcPr>
            <w:tcW w:w="4750" w:type="dxa"/>
            <w:tcBorders/>
            <w:tcMar>
              <w:top w:w="60" w:type="dxa"/>
              <w:left w:w="80" w:type="dxa"/>
              <w:bottom w:w="60" w:type="dxa"/>
              <w:right w:w="80" w:type="dxa"/>
            </w:tcMar>
          </w:tcPr>
          <w:p w14:paraId="17A0D0DD">
            <w:pPr>
              <w:pStyle w:val="style0"/>
              <w:spacing w:after="60" w:lineRule="auto" w:line="360"/>
              <w:jc w:val="both"/>
              <w:rPr>
                <w:sz w:val="24"/>
                <w:szCs w:val="24"/>
              </w:rPr>
            </w:pPr>
            <w:r>
              <w:rPr>
                <w:sz w:val="24"/>
                <w:szCs w:val="24"/>
              </w:rPr>
              <w:t>People</w:t>
            </w:r>
          </w:p>
        </w:tc>
        <w:tc>
          <w:tcPr>
            <w:tcW w:w="4750" w:type="dxa"/>
            <w:tcBorders/>
            <w:tcMar>
              <w:top w:w="60" w:type="dxa"/>
              <w:left w:w="80" w:type="dxa"/>
              <w:bottom w:w="60" w:type="dxa"/>
              <w:right w:w="80" w:type="dxa"/>
            </w:tcMar>
          </w:tcPr>
          <w:p w14:paraId="0F79601E">
            <w:pPr>
              <w:pStyle w:val="style0"/>
              <w:spacing w:after="60" w:lineRule="auto" w:line="360"/>
              <w:jc w:val="both"/>
              <w:rPr>
                <w:sz w:val="24"/>
                <w:szCs w:val="24"/>
              </w:rPr>
            </w:pPr>
            <w:r>
              <w:rPr>
                <w:sz w:val="24"/>
                <w:szCs w:val="24"/>
              </w:rPr>
              <w:t xml:space="preserve">Approx. 6,500 employees in Germany (including headquarters staff); certified retail training programme ("Adidas Employee Experience"); customer service and aftersales support in German language; sustainability know-how in sales teams. </w:t>
            </w:r>
          </w:p>
        </w:tc>
      </w:tr>
      <w:tr w14:paraId="68D011C7">
        <w:tblPrEx/>
        <w:trPr/>
        <w:tc>
          <w:tcPr>
            <w:tcW w:w="4750" w:type="dxa"/>
            <w:tcBorders/>
            <w:tcMar>
              <w:top w:w="60" w:type="dxa"/>
              <w:left w:w="80" w:type="dxa"/>
              <w:bottom w:w="60" w:type="dxa"/>
              <w:right w:w="80" w:type="dxa"/>
            </w:tcMar>
          </w:tcPr>
          <w:p w14:paraId="5EBF2C62">
            <w:pPr>
              <w:pStyle w:val="style0"/>
              <w:spacing w:after="60" w:lineRule="auto" w:line="360"/>
              <w:jc w:val="both"/>
              <w:rPr>
                <w:sz w:val="24"/>
                <w:szCs w:val="24"/>
              </w:rPr>
            </w:pPr>
            <w:r>
              <w:rPr>
                <w:sz w:val="24"/>
                <w:szCs w:val="24"/>
              </w:rPr>
              <w:t>Process</w:t>
            </w:r>
          </w:p>
        </w:tc>
        <w:tc>
          <w:tcPr>
            <w:tcW w:w="4750" w:type="dxa"/>
            <w:tcBorders/>
            <w:tcMar>
              <w:top w:w="60" w:type="dxa"/>
              <w:left w:w="80" w:type="dxa"/>
              <w:bottom w:w="60" w:type="dxa"/>
              <w:right w:w="80" w:type="dxa"/>
            </w:tcMar>
          </w:tcPr>
          <w:p w14:paraId="671697F2">
            <w:pPr>
              <w:pStyle w:val="style0"/>
              <w:spacing w:after="60" w:lineRule="auto" w:line="360"/>
              <w:jc w:val="both"/>
              <w:rPr>
                <w:sz w:val="24"/>
                <w:szCs w:val="24"/>
              </w:rPr>
            </w:pPr>
            <w:r>
              <w:rPr>
                <w:sz w:val="24"/>
                <w:szCs w:val="24"/>
              </w:rPr>
              <w:t>Omnichannel integration (click and collect, single stock) (</w:t>
            </w:r>
            <w:r>
              <w:rPr>
                <w:rFonts w:ascii="Arial" w:cs="Arial" w:eastAsia="Arial" w:hAnsi="Arial"/>
                <w:color w:val="222222"/>
                <w:sz w:val="20"/>
                <w:szCs w:val="20"/>
              </w:rPr>
              <w:t>Fränzel, 2025</w:t>
            </w:r>
            <w:r>
              <w:rPr>
                <w:sz w:val="24"/>
                <w:szCs w:val="24"/>
              </w:rPr>
              <w:t>); RFID inventory management in flagship stores</w:t>
            </w:r>
          </w:p>
        </w:tc>
      </w:tr>
      <w:tr w14:paraId="3D378318">
        <w:tblPrEx/>
        <w:trPr/>
        <w:tc>
          <w:tcPr>
            <w:tcW w:w="4750" w:type="dxa"/>
            <w:tcBorders/>
            <w:tcMar>
              <w:top w:w="60" w:type="dxa"/>
              <w:left w:w="80" w:type="dxa"/>
              <w:bottom w:w="60" w:type="dxa"/>
              <w:right w:w="80" w:type="dxa"/>
            </w:tcMar>
          </w:tcPr>
          <w:p w14:paraId="1146EA98">
            <w:pPr>
              <w:pStyle w:val="style0"/>
              <w:spacing w:after="60" w:lineRule="auto" w:line="360"/>
              <w:jc w:val="both"/>
              <w:rPr>
                <w:sz w:val="24"/>
                <w:szCs w:val="24"/>
              </w:rPr>
            </w:pPr>
            <w:r>
              <w:rPr>
                <w:sz w:val="24"/>
                <w:szCs w:val="24"/>
              </w:rPr>
              <w:t>Physical Evidence</w:t>
            </w:r>
          </w:p>
        </w:tc>
        <w:tc>
          <w:tcPr>
            <w:tcW w:w="4750" w:type="dxa"/>
            <w:tcBorders/>
            <w:tcMar>
              <w:top w:w="60" w:type="dxa"/>
              <w:left w:w="80" w:type="dxa"/>
              <w:bottom w:w="60" w:type="dxa"/>
              <w:right w:w="80" w:type="dxa"/>
            </w:tcMar>
          </w:tcPr>
          <w:p w14:paraId="68A280E3">
            <w:pPr>
              <w:pStyle w:val="style0"/>
              <w:spacing w:after="60" w:lineRule="auto" w:line="360"/>
              <w:jc w:val="both"/>
              <w:rPr>
                <w:sz w:val="24"/>
                <w:szCs w:val="24"/>
              </w:rPr>
            </w:pPr>
            <w:r>
              <w:rPr>
                <w:sz w:val="24"/>
                <w:szCs w:val="24"/>
              </w:rPr>
              <w:t>Performance testing zones and customisation studios in the flagship "Arena" concept store in Berlin, premium recycled material packaging</w:t>
            </w:r>
          </w:p>
        </w:tc>
      </w:tr>
    </w:tbl>
    <w:p w14:paraId="15AD0883">
      <w:pPr>
        <w:pStyle w:val="style0"/>
        <w:spacing w:after="80" w:lineRule="auto" w:line="360"/>
        <w:jc w:val="both"/>
        <w:rPr>
          <w:sz w:val="24"/>
          <w:szCs w:val="24"/>
        </w:rPr>
      </w:pPr>
    </w:p>
    <w:bookmarkStart w:id="11" w:name="_Toc237268425"/>
    <w:p w14:paraId="2A2C466F">
      <w:pPr>
        <w:pStyle w:val="style3"/>
        <w:spacing w:before="180" w:after="80"/>
        <w:rPr/>
      </w:pPr>
      <w:r>
        <w:t>7Ps Analysis - Germany: Discussion</w:t>
      </w:r>
      <w:bookmarkEnd w:id="11"/>
    </w:p>
    <w:p w14:paraId="7F96D6AE">
      <w:pPr>
        <w:pStyle w:val="style0"/>
        <w:spacing w:after="80" w:lineRule="auto" w:line="360"/>
        <w:jc w:val="both"/>
        <w:rPr>
          <w:sz w:val="24"/>
          <w:szCs w:val="24"/>
        </w:rPr>
      </w:pPr>
      <w:r>
        <w:rPr>
          <w:sz w:val="24"/>
          <w:szCs w:val="24"/>
        </w:rPr>
        <w:t xml:space="preserve">Adidas product policy is in line with the consumers' demand in Germany for quality, authenticity and intrinsic origin. The DFB national football team kit is a category of flagship products, which is deeply rooted in German national culture and has a strong connection with the consumers' needs around the big tournaments, due to a partnership renewed until 2030 (DFB, 2023). Germany is the largest single European market for Adidas, with sales representing about 18% of the brand's total sales in Europe (Euromonitor, 2026). </w:t>
      </w:r>
    </w:p>
    <w:p w14:paraId="58B6C08E">
      <w:pPr>
        <w:pStyle w:val="style0"/>
        <w:spacing w:after="80" w:lineRule="auto" w:line="360"/>
        <w:jc w:val="both"/>
        <w:rPr>
          <w:sz w:val="24"/>
          <w:szCs w:val="24"/>
        </w:rPr>
      </w:pPr>
      <w:r>
        <w:rPr>
          <w:sz w:val="24"/>
          <w:szCs w:val="24"/>
        </w:rPr>
        <w:t xml:space="preserve">The price in Germany is market oriented and based on the economy. German consumers have a high Uncertainty Avoidance score of 65 (Hofstede Insights, 2023) and they will pay more for guaranteed quality and credibly verified sustainability. The Ultraboost running shoe is a </w:t>
      </w:r>
      <w:r>
        <w:rPr>
          <w:sz w:val="24"/>
          <w:szCs w:val="24"/>
        </w:rPr>
        <w:t>EUR 190 shoe with a high level of brand equity which allows premium positioning. The flagship "Arena" store concept in Berlin is a meaningful differentiation of the physical evidence, as it combines performance testing treadmill areas and customisation studios on-site with an immersive brand experience, thereby highlighting Adidas's positioning as a technically competent, heritage-rich and innovative German brand (‌</w:t>
      </w:r>
      <w:r>
        <w:rPr>
          <w:rFonts w:ascii="Arial" w:cs="Arial" w:eastAsia="Arial" w:hAnsi="Arial"/>
          <w:color w:val="222222"/>
          <w:sz w:val="20"/>
          <w:szCs w:val="20"/>
        </w:rPr>
        <w:t>Radaković et al., 2023</w:t>
      </w:r>
      <w:r>
        <w:rPr>
          <w:sz w:val="24"/>
          <w:szCs w:val="24"/>
        </w:rPr>
        <w:t>).</w:t>
      </w:r>
    </w:p>
    <w:p w14:paraId="7605DE6D">
      <w:pPr>
        <w:pStyle w:val="style0"/>
        <w:rPr>
          <w:sz w:val="24"/>
          <w:szCs w:val="24"/>
        </w:rPr>
      </w:pPr>
      <w:r>
        <w:rPr>
          <w:sz w:val="24"/>
          <w:szCs w:val="24"/>
        </w:rPr>
        <w:t>Table 7: 7Ps Marketing Mix - United States</w:t>
      </w:r>
    </w:p>
    <w:p w14:paraId="0A5C0807">
      <w:pPr>
        <w:pStyle w:val="style0"/>
        <w:rPr/>
      </w:pPr>
    </w:p>
    <w:tbl>
      <w:tblPr>
        <w:tblStyle w:val="style4107"/>
        <w:tblW w:w="950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50"/>
        <w:gridCol w:w="4750"/>
      </w:tblGrid>
      <w:tr w14:paraId="2158025D">
        <w:trPr>
          <w:tblHeader/>
        </w:trPr>
        <w:tc>
          <w:tcPr>
            <w:tcW w:w="4750" w:type="dxa"/>
            <w:tcBorders/>
            <w:shd w:val="clear" w:color="auto" w:fill="ddeeff"/>
            <w:tcMar>
              <w:top w:w="60" w:type="dxa"/>
              <w:left w:w="80" w:type="dxa"/>
              <w:bottom w:w="60" w:type="dxa"/>
              <w:right w:w="80" w:type="dxa"/>
            </w:tcMar>
          </w:tcPr>
          <w:p w14:paraId="5A32E971">
            <w:pPr>
              <w:pStyle w:val="style0"/>
              <w:spacing w:after="60" w:lineRule="auto" w:line="360"/>
              <w:jc w:val="both"/>
              <w:rPr>
                <w:sz w:val="24"/>
                <w:szCs w:val="24"/>
              </w:rPr>
            </w:pPr>
            <w:r>
              <w:rPr>
                <w:b/>
                <w:bCs/>
                <w:sz w:val="24"/>
                <w:szCs w:val="24"/>
              </w:rPr>
              <w:t>7P Element</w:t>
            </w:r>
          </w:p>
        </w:tc>
        <w:tc>
          <w:tcPr>
            <w:tcW w:w="4750" w:type="dxa"/>
            <w:tcBorders/>
            <w:shd w:val="clear" w:color="auto" w:fill="ddeeff"/>
            <w:tcMar>
              <w:top w:w="60" w:type="dxa"/>
              <w:left w:w="80" w:type="dxa"/>
              <w:bottom w:w="60" w:type="dxa"/>
              <w:right w:w="80" w:type="dxa"/>
            </w:tcMar>
          </w:tcPr>
          <w:p w14:paraId="6E3278FA">
            <w:pPr>
              <w:pStyle w:val="style0"/>
              <w:spacing w:after="60" w:lineRule="auto" w:line="360"/>
              <w:jc w:val="both"/>
              <w:rPr>
                <w:sz w:val="24"/>
                <w:szCs w:val="24"/>
              </w:rPr>
            </w:pPr>
            <w:r>
              <w:rPr>
                <w:b/>
                <w:bCs/>
                <w:sz w:val="24"/>
                <w:szCs w:val="24"/>
              </w:rPr>
              <w:t>USA Strategy</w:t>
            </w:r>
          </w:p>
        </w:tc>
      </w:tr>
      <w:tr w14:paraId="21C0183C">
        <w:tblPrEx/>
        <w:trPr/>
        <w:tc>
          <w:tcPr>
            <w:tcW w:w="4750" w:type="dxa"/>
            <w:tcBorders/>
            <w:tcMar>
              <w:top w:w="60" w:type="dxa"/>
              <w:left w:w="80" w:type="dxa"/>
              <w:bottom w:w="60" w:type="dxa"/>
              <w:right w:w="80" w:type="dxa"/>
            </w:tcMar>
          </w:tcPr>
          <w:p w14:paraId="485F60DB">
            <w:pPr>
              <w:pStyle w:val="style0"/>
              <w:spacing w:after="60" w:lineRule="auto" w:line="360"/>
              <w:jc w:val="both"/>
              <w:rPr>
                <w:sz w:val="24"/>
                <w:szCs w:val="24"/>
              </w:rPr>
            </w:pPr>
            <w:r>
              <w:rPr>
                <w:sz w:val="24"/>
                <w:szCs w:val="24"/>
              </w:rPr>
              <w:t>Product</w:t>
            </w:r>
          </w:p>
        </w:tc>
        <w:tc>
          <w:tcPr>
            <w:tcW w:w="4750" w:type="dxa"/>
            <w:tcBorders/>
            <w:tcMar>
              <w:top w:w="60" w:type="dxa"/>
              <w:left w:w="80" w:type="dxa"/>
              <w:bottom w:w="60" w:type="dxa"/>
              <w:right w:w="80" w:type="dxa"/>
            </w:tcMar>
          </w:tcPr>
          <w:p w14:paraId="0E139ECF">
            <w:pPr>
              <w:pStyle w:val="style0"/>
              <w:spacing w:after="60" w:lineRule="auto" w:line="360"/>
              <w:jc w:val="both"/>
              <w:rPr>
                <w:sz w:val="24"/>
                <w:szCs w:val="24"/>
              </w:rPr>
            </w:pPr>
            <w:r>
              <w:rPr>
                <w:sz w:val="24"/>
                <w:szCs w:val="24"/>
              </w:rPr>
              <w:t xml:space="preserve">Collaborations are at the heart of it, such as Ivy Park by Beyonce, Bad Bunny Forum, Pharrell Williams NMD/Human Race and Jeremy Scott. The rebranded releases are Yeezy replacement strategy.Rebranded releases are a Yeezy replacement strategy. Bring on the performance lines: Harden Vol.8, Damian Lillard NBA shoes, Adizero Boston marathon series. </w:t>
            </w:r>
          </w:p>
        </w:tc>
      </w:tr>
      <w:tr w14:paraId="5FD90B8A">
        <w:tblPrEx/>
        <w:trPr/>
        <w:tc>
          <w:tcPr>
            <w:tcW w:w="4750" w:type="dxa"/>
            <w:tcBorders/>
            <w:tcMar>
              <w:top w:w="60" w:type="dxa"/>
              <w:left w:w="80" w:type="dxa"/>
              <w:bottom w:w="60" w:type="dxa"/>
              <w:right w:w="80" w:type="dxa"/>
            </w:tcMar>
          </w:tcPr>
          <w:p w14:paraId="616E6FA4">
            <w:pPr>
              <w:pStyle w:val="style0"/>
              <w:spacing w:after="60" w:lineRule="auto" w:line="360"/>
              <w:jc w:val="both"/>
              <w:rPr>
                <w:sz w:val="24"/>
                <w:szCs w:val="24"/>
              </w:rPr>
            </w:pPr>
            <w:r>
              <w:rPr>
                <w:sz w:val="24"/>
                <w:szCs w:val="24"/>
              </w:rPr>
              <w:t>Price</w:t>
            </w:r>
          </w:p>
        </w:tc>
        <w:tc>
          <w:tcPr>
            <w:tcW w:w="4750" w:type="dxa"/>
            <w:tcBorders/>
            <w:tcMar>
              <w:top w:w="60" w:type="dxa"/>
              <w:left w:w="80" w:type="dxa"/>
              <w:bottom w:w="60" w:type="dxa"/>
              <w:right w:w="80" w:type="dxa"/>
            </w:tcMar>
          </w:tcPr>
          <w:p w14:paraId="64BDC91B">
            <w:pPr>
              <w:pStyle w:val="style0"/>
              <w:spacing w:after="60" w:lineRule="auto" w:line="360"/>
              <w:jc w:val="both"/>
              <w:rPr>
                <w:sz w:val="24"/>
                <w:szCs w:val="24"/>
              </w:rPr>
            </w:pPr>
            <w:r>
              <w:rPr>
                <w:sz w:val="24"/>
                <w:szCs w:val="24"/>
              </w:rPr>
              <w:t xml:space="preserve">Diverse pricing models: from mass accessible $60-$100 Pureboost to ultra-premium $250-$400+ limited-edition collaboration drops. This is dynamic pricing on resale platforms such as StockX (average) 30-120% premium). </w:t>
            </w:r>
          </w:p>
        </w:tc>
      </w:tr>
      <w:tr w14:paraId="036B09DC">
        <w:tblPrEx/>
        <w:trPr/>
        <w:tc>
          <w:tcPr>
            <w:tcW w:w="4750" w:type="dxa"/>
            <w:tcBorders/>
            <w:tcMar>
              <w:top w:w="60" w:type="dxa"/>
              <w:left w:w="80" w:type="dxa"/>
              <w:bottom w:w="60" w:type="dxa"/>
              <w:right w:w="80" w:type="dxa"/>
            </w:tcMar>
          </w:tcPr>
          <w:p w14:paraId="249C9B34">
            <w:pPr>
              <w:pStyle w:val="style0"/>
              <w:spacing w:after="60" w:lineRule="auto" w:line="360"/>
              <w:jc w:val="both"/>
              <w:rPr>
                <w:sz w:val="24"/>
                <w:szCs w:val="24"/>
              </w:rPr>
            </w:pPr>
            <w:r>
              <w:rPr>
                <w:sz w:val="24"/>
                <w:szCs w:val="24"/>
              </w:rPr>
              <w:t>Place</w:t>
            </w:r>
          </w:p>
        </w:tc>
        <w:tc>
          <w:tcPr>
            <w:tcW w:w="4750" w:type="dxa"/>
            <w:tcBorders/>
            <w:tcMar>
              <w:top w:w="60" w:type="dxa"/>
              <w:left w:w="80" w:type="dxa"/>
              <w:bottom w:w="60" w:type="dxa"/>
              <w:right w:w="80" w:type="dxa"/>
            </w:tcMar>
          </w:tcPr>
          <w:p w14:paraId="26FAED36">
            <w:pPr>
              <w:pStyle w:val="style0"/>
              <w:spacing w:after="60" w:lineRule="auto" w:line="360"/>
              <w:jc w:val="both"/>
              <w:rPr>
                <w:sz w:val="24"/>
                <w:szCs w:val="24"/>
              </w:rPr>
            </w:pPr>
            <w:r>
              <w:rPr>
                <w:sz w:val="24"/>
                <w:szCs w:val="24"/>
              </w:rPr>
              <w:t>The Adidas app offers personalized shopping journeys, over 50% of US revenues in 2023 from own stores, Foot Locker, Dick's Sporting Goods, JD Sports; adidas.com (Adidas Annual Report, 2021); Approx. 1,200 points of sale in the United States, including own stores, Foot Locker, Dick's Sporting Goods.</w:t>
            </w:r>
          </w:p>
        </w:tc>
      </w:tr>
      <w:tr w14:paraId="077C5644">
        <w:tblPrEx/>
        <w:trPr/>
        <w:tc>
          <w:tcPr>
            <w:tcW w:w="4750" w:type="dxa"/>
            <w:tcBorders/>
            <w:tcMar>
              <w:top w:w="60" w:type="dxa"/>
              <w:left w:w="80" w:type="dxa"/>
              <w:bottom w:w="60" w:type="dxa"/>
              <w:right w:w="80" w:type="dxa"/>
            </w:tcMar>
          </w:tcPr>
          <w:p w14:paraId="3C65FD36">
            <w:pPr>
              <w:pStyle w:val="style0"/>
              <w:spacing w:after="60" w:lineRule="auto" w:line="360"/>
              <w:jc w:val="both"/>
              <w:rPr>
                <w:sz w:val="24"/>
                <w:szCs w:val="24"/>
              </w:rPr>
            </w:pPr>
            <w:r>
              <w:rPr>
                <w:sz w:val="24"/>
                <w:szCs w:val="24"/>
              </w:rPr>
              <w:t>Promotion</w:t>
            </w:r>
          </w:p>
        </w:tc>
        <w:tc>
          <w:tcPr>
            <w:tcW w:w="4750" w:type="dxa"/>
            <w:tcBorders/>
            <w:tcMar>
              <w:top w:w="60" w:type="dxa"/>
              <w:left w:w="80" w:type="dxa"/>
              <w:bottom w:w="60" w:type="dxa"/>
              <w:right w:w="80" w:type="dxa"/>
            </w:tcMar>
          </w:tcPr>
          <w:p w14:paraId="2FAFD49D">
            <w:pPr>
              <w:pStyle w:val="style0"/>
              <w:spacing w:after="60" w:lineRule="auto" w:line="360"/>
              <w:jc w:val="both"/>
              <w:rPr>
                <w:sz w:val="24"/>
                <w:szCs w:val="24"/>
              </w:rPr>
            </w:pPr>
            <w:r>
              <w:rPr>
                <w:sz w:val="24"/>
                <w:szCs w:val="24"/>
              </w:rPr>
              <w:t>Influencer-led and celebrity digital campaigns; NBA, MLB, MLS official partnerships; Super Bowl advertising presence; social media product drops (TikTok, Instagram); creator economy partnerships; podcast sponsorships.</w:t>
            </w:r>
          </w:p>
        </w:tc>
      </w:tr>
      <w:tr w14:paraId="4BE91C6F">
        <w:tblPrEx/>
        <w:trPr/>
        <w:tc>
          <w:tcPr>
            <w:tcW w:w="4750" w:type="dxa"/>
            <w:tcBorders/>
            <w:tcMar>
              <w:top w:w="60" w:type="dxa"/>
              <w:left w:w="80" w:type="dxa"/>
              <w:bottom w:w="60" w:type="dxa"/>
              <w:right w:w="80" w:type="dxa"/>
            </w:tcMar>
          </w:tcPr>
          <w:p w14:paraId="48063044">
            <w:pPr>
              <w:pStyle w:val="style0"/>
              <w:spacing w:after="60" w:lineRule="auto" w:line="360"/>
              <w:jc w:val="both"/>
              <w:rPr>
                <w:sz w:val="24"/>
                <w:szCs w:val="24"/>
              </w:rPr>
            </w:pPr>
            <w:r>
              <w:rPr>
                <w:sz w:val="24"/>
                <w:szCs w:val="24"/>
              </w:rPr>
              <w:t>People</w:t>
            </w:r>
          </w:p>
        </w:tc>
        <w:tc>
          <w:tcPr>
            <w:tcW w:w="4750" w:type="dxa"/>
            <w:tcBorders/>
            <w:tcMar>
              <w:top w:w="60" w:type="dxa"/>
              <w:left w:w="80" w:type="dxa"/>
              <w:bottom w:w="60" w:type="dxa"/>
              <w:right w:w="80" w:type="dxa"/>
            </w:tcMar>
          </w:tcPr>
          <w:p w14:paraId="30767812">
            <w:pPr>
              <w:pStyle w:val="style0"/>
              <w:spacing w:after="60" w:lineRule="auto" w:line="360"/>
              <w:jc w:val="both"/>
              <w:rPr>
                <w:sz w:val="24"/>
                <w:szCs w:val="24"/>
              </w:rPr>
            </w:pPr>
            <w:r>
              <w:rPr>
                <w:sz w:val="24"/>
                <w:szCs w:val="24"/>
              </w:rPr>
              <w:t>Approx. 4,000 US employees at Portland North America HQ and retail network; DEI commitments (50% women in leadership target by 2025, Adidas Annual Report, 2021); staff trained on inclusive selling and cultural competency.</w:t>
            </w:r>
          </w:p>
        </w:tc>
      </w:tr>
      <w:tr w14:paraId="20808401">
        <w:tblPrEx/>
        <w:trPr/>
        <w:tc>
          <w:tcPr>
            <w:tcW w:w="4750" w:type="dxa"/>
            <w:tcBorders/>
            <w:tcMar>
              <w:top w:w="60" w:type="dxa"/>
              <w:left w:w="80" w:type="dxa"/>
              <w:bottom w:w="60" w:type="dxa"/>
              <w:right w:w="80" w:type="dxa"/>
            </w:tcMar>
          </w:tcPr>
          <w:p w14:paraId="48F4BC9E">
            <w:pPr>
              <w:pStyle w:val="style0"/>
              <w:spacing w:after="60" w:lineRule="auto" w:line="360"/>
              <w:jc w:val="both"/>
              <w:rPr>
                <w:sz w:val="24"/>
                <w:szCs w:val="24"/>
              </w:rPr>
            </w:pPr>
            <w:r>
              <w:rPr>
                <w:sz w:val="24"/>
                <w:szCs w:val="24"/>
              </w:rPr>
              <w:t>Process</w:t>
            </w:r>
          </w:p>
        </w:tc>
        <w:tc>
          <w:tcPr>
            <w:tcW w:w="4750" w:type="dxa"/>
            <w:tcBorders/>
            <w:tcMar>
              <w:top w:w="60" w:type="dxa"/>
              <w:left w:w="80" w:type="dxa"/>
              <w:bottom w:w="60" w:type="dxa"/>
              <w:right w:w="80" w:type="dxa"/>
            </w:tcMar>
          </w:tcPr>
          <w:p w14:paraId="6FF4E19F">
            <w:pPr>
              <w:pStyle w:val="style0"/>
              <w:spacing w:after="60" w:lineRule="auto" w:line="360"/>
              <w:jc w:val="both"/>
              <w:rPr>
                <w:sz w:val="24"/>
                <w:szCs w:val="24"/>
              </w:rPr>
            </w:pPr>
            <w:r>
              <w:rPr>
                <w:sz w:val="24"/>
                <w:szCs w:val="24"/>
              </w:rPr>
              <w:t>AI-powered personalisation on adidas app; augmented reality (AR) virtual try-on technology (Manalac, 2019); same-day delivery in major cities via Uber Eats partnership streamlined app checkout.</w:t>
            </w:r>
          </w:p>
        </w:tc>
      </w:tr>
      <w:tr w14:paraId="1B80A948">
        <w:tblPrEx/>
        <w:trPr/>
        <w:tc>
          <w:tcPr>
            <w:tcW w:w="4750" w:type="dxa"/>
            <w:tcBorders/>
            <w:tcMar>
              <w:top w:w="60" w:type="dxa"/>
              <w:left w:w="80" w:type="dxa"/>
              <w:bottom w:w="60" w:type="dxa"/>
              <w:right w:w="80" w:type="dxa"/>
            </w:tcMar>
          </w:tcPr>
          <w:p w14:paraId="7D54DBEC">
            <w:pPr>
              <w:pStyle w:val="style0"/>
              <w:spacing w:after="60" w:lineRule="auto" w:line="360"/>
              <w:jc w:val="both"/>
              <w:rPr>
                <w:sz w:val="24"/>
                <w:szCs w:val="24"/>
              </w:rPr>
            </w:pPr>
            <w:r>
              <w:rPr>
                <w:sz w:val="24"/>
                <w:szCs w:val="24"/>
              </w:rPr>
              <w:t>Physical Evidence</w:t>
            </w:r>
          </w:p>
        </w:tc>
        <w:tc>
          <w:tcPr>
            <w:tcW w:w="4750" w:type="dxa"/>
            <w:tcBorders/>
            <w:tcMar>
              <w:top w:w="60" w:type="dxa"/>
              <w:left w:w="80" w:type="dxa"/>
              <w:bottom w:w="60" w:type="dxa"/>
              <w:right w:w="80" w:type="dxa"/>
            </w:tcMar>
          </w:tcPr>
          <w:p w14:paraId="3B85EA77">
            <w:pPr>
              <w:pStyle w:val="style0"/>
              <w:spacing w:after="60" w:lineRule="auto" w:line="360"/>
              <w:jc w:val="both"/>
              <w:rPr>
                <w:sz w:val="24"/>
                <w:szCs w:val="24"/>
              </w:rPr>
            </w:pPr>
            <w:r>
              <w:rPr>
                <w:sz w:val="24"/>
                <w:szCs w:val="24"/>
              </w:rPr>
              <w:t>Digital try-on walls and interactive brand installations in flagship stores in New York City and Los Angeles; premium box packaging for collaboration drops (limited-edition); storytelling in the store with the brand's visuals and the stories of the athletes.</w:t>
            </w:r>
          </w:p>
        </w:tc>
      </w:tr>
    </w:tbl>
    <w:p w14:paraId="31EADEA9">
      <w:pPr>
        <w:pStyle w:val="style0"/>
        <w:spacing w:after="80" w:lineRule="auto" w:line="360"/>
        <w:jc w:val="both"/>
        <w:rPr>
          <w:sz w:val="24"/>
          <w:szCs w:val="24"/>
        </w:rPr>
      </w:pPr>
    </w:p>
    <w:bookmarkStart w:id="12" w:name="_Toc237268426"/>
    <w:p w14:paraId="1A6CD961">
      <w:pPr>
        <w:pStyle w:val="style3"/>
        <w:spacing w:before="180" w:after="80"/>
        <w:rPr/>
      </w:pPr>
      <w:r>
        <w:t>7Ps Analysis - United States: Discussion</w:t>
      </w:r>
      <w:bookmarkEnd w:id="12"/>
    </w:p>
    <w:p w14:paraId="5CDC2BDD">
      <w:pPr>
        <w:pStyle w:val="style0"/>
        <w:spacing w:after="80" w:lineRule="auto" w:line="360"/>
        <w:jc w:val="both"/>
        <w:rPr>
          <w:sz w:val="24"/>
          <w:szCs w:val="24"/>
        </w:rPr>
      </w:pPr>
      <w:r>
        <w:rPr>
          <w:sz w:val="24"/>
          <w:szCs w:val="24"/>
        </w:rPr>
        <w:t xml:space="preserve">In the U.S., Adidas's product strategy is based on culture, not technical performance alone, and is a key contributor to brand equity. In October 2022, the end of the partnership with Ye saw a significant gap in the product line, as Ye had provided about $1.5 billion in annual revenues </w:t>
      </w:r>
      <w:r>
        <w:rPr>
          <w:sz w:val="24"/>
          <w:szCs w:val="24"/>
        </w:rPr>
        <w:t xml:space="preserve">for the company (Reid and Golden, 2022). To counter this, Adidas repurposed the leftover Yeezy stock in the core “Adidas” brand, earning around EUR 750 million from it by the end of 2023, which was EUR 250 million donated to anti-discrimination charitable organisations (Adidas Annual Report, 2021). </w:t>
      </w:r>
    </w:p>
    <w:p w14:paraId="058B9E05">
      <w:pPr>
        <w:pStyle w:val="style0"/>
        <w:spacing w:after="80" w:lineRule="auto" w:line="360"/>
        <w:jc w:val="both"/>
        <w:rPr>
          <w:sz w:val="24"/>
          <w:szCs w:val="24"/>
        </w:rPr>
      </w:pPr>
      <w:r>
        <w:rPr>
          <w:sz w:val="24"/>
          <w:szCs w:val="24"/>
        </w:rPr>
        <w:t xml:space="preserve">The share of Direct-to-Consumer (DTC) channels in the US has also undergone a significant shift with adidas.com and the native Adidas mobile app accounting for more than 50% of the revenues generated in 2023. This comes as part of a trend in the retail sector across the United States: The direct-to-consumer model continues reshaping retail, with U.S. DTC ecommerce reaching $239.75 billion in 2025- accounting for 19.2% of total retail ecommerce (Swell.is, 2026). Social and influencer media dominate promotional strategy, and Adidas' US TikTok account has over 1.5 million followers, while campaign postings have an average engagement rate of 4.2% (Williams, 2025) compared to the industry average of 2.1% for apparel brands on the same platform. The process element is particularly innovative; the AR virtual try-on technology used in the US app in 2022 has clearly reduced product returns by around 8% </w:t>
      </w:r>
    </w:p>
    <w:bookmarkStart w:id="13" w:name="_Toc237268427"/>
    <w:p w14:paraId="5839EC66">
      <w:pPr>
        <w:pStyle w:val="style2"/>
        <w:spacing w:before="240" w:after="120"/>
        <w:rPr>
          <w:szCs w:val="24"/>
        </w:rPr>
      </w:pPr>
      <w:r>
        <w:rPr>
          <w:szCs w:val="24"/>
        </w:rPr>
        <w:t>1.6 Market Entry Strategy - United States</w:t>
      </w:r>
      <w:bookmarkEnd w:id="13"/>
    </w:p>
    <w:p w14:paraId="412EE2F1">
      <w:pPr>
        <w:pStyle w:val="style0"/>
        <w:spacing w:after="80" w:lineRule="auto" w:line="360"/>
        <w:jc w:val="both"/>
        <w:rPr>
          <w:sz w:val="24"/>
          <w:szCs w:val="24"/>
        </w:rPr>
      </w:pPr>
      <w:r>
        <w:rPr>
          <w:sz w:val="24"/>
          <w:szCs w:val="24"/>
        </w:rPr>
        <w:t xml:space="preserve">Adidas went to the U.S. market mostly by means of wholly owned subsidiaries (WOS), and gradually moved towards the Direct-to-Consumer (DTC) business model. In 1994, Adidas officially opened its North American headquarters in Portland, Oregon, taking a Greenfield investment strategy to create its own US distribution and retail network, as opposed to an existing American competitor (Adidas Annual Report, 2021). </w:t>
      </w:r>
    </w:p>
    <w:p w14:paraId="3EC501E1">
      <w:pPr>
        <w:pStyle w:val="style0"/>
        <w:spacing w:after="80" w:lineRule="auto" w:line="360"/>
        <w:jc w:val="both"/>
        <w:rPr>
          <w:sz w:val="24"/>
          <w:szCs w:val="24"/>
        </w:rPr>
      </w:pPr>
      <w:r>
        <w:rPr>
          <w:sz w:val="24"/>
          <w:szCs w:val="24"/>
        </w:rPr>
        <w:t>The most impactful strategic deepening in Adidas' US entry strategy came in 2006 when they acquired Reebok International for $3.8 billion, giving them instant access to Reebok's large network of more than 5,000 wholesale touchpoints and loyal fitness and aerobics consumers. The acquisition approach (horizontal integration with a proven US player) had a dramatic effect on Adidas's physical distribution presence and on US revenue growth in comparison to organic 'green field' growth. Reebok, however, continued to disappoint against the acquisition price and in 2022, Adidas eventually sold the brand for EUR 2.1 billion to Authentic Brands Group, a significant financial loss but a strategic shift of capital and management focus to the core Adidas brand in the United States.</w:t>
      </w:r>
    </w:p>
    <w:p w14:paraId="26E5F5C6">
      <w:pPr>
        <w:pStyle w:val="style0"/>
        <w:spacing w:after="80" w:lineRule="auto" w:line="360"/>
        <w:jc w:val="both"/>
        <w:rPr>
          <w:sz w:val="24"/>
          <w:szCs w:val="24"/>
        </w:rPr>
      </w:pPr>
      <w:r>
        <w:rPr>
          <w:sz w:val="24"/>
          <w:szCs w:val="24"/>
        </w:rPr>
        <w:t xml:space="preserve">Following Reebok, Adidas US has adopted a DTC-first approach as part of its five-year strategic plan "Own the Game", which will see DTC revenues account for 50% of the company's total net sales in the region (adidas-group.com, 2025). The strategic evolution involved moving away from wholesale intermediaries, such as Foot Locker, which accounted for about 8% of Adidas's global revenue in 2020, but was significantly reduced in importance from then on (Untaylored.com, 2026) and towards the direct connection with consumers, supported by the adhesion to the adiClub loyalty ecosystem, which, by 2023, had reached a total of around 40 million US members (Adidas Annual Report, 2021). Theoretically, this DTC market deepening approach fits into the Uppsala model's incremental commitment framework (Johanson and Vahlne, 2009), which assumes that companies gradually build psychic and resource commitment in foreign markets as their knowledge and understanding of them grow and uncertainty levels decline. </w:t>
      </w:r>
    </w:p>
    <w:bookmarkStart w:id="14" w:name="_Toc237268428"/>
    <w:p w14:paraId="5F126905">
      <w:pPr>
        <w:pStyle w:val="style2"/>
        <w:spacing w:before="240" w:after="120"/>
        <w:rPr>
          <w:szCs w:val="24"/>
        </w:rPr>
      </w:pPr>
      <w:r>
        <w:rPr>
          <w:szCs w:val="24"/>
        </w:rPr>
        <w:t>1.7 Ethical Issues in Marketing Mix - United States</w:t>
      </w:r>
      <w:bookmarkEnd w:id="14"/>
    </w:p>
    <w:p w14:paraId="6053D894">
      <w:pPr>
        <w:pStyle w:val="style0"/>
        <w:spacing w:after="160" w:lineRule="auto" w:line="360"/>
        <w:jc w:val="both"/>
        <w:rPr>
          <w:sz w:val="24"/>
          <w:szCs w:val="24"/>
        </w:rPr>
      </w:pPr>
      <w:r>
        <w:rPr>
          <w:sz w:val="24"/>
          <w:szCs w:val="24"/>
        </w:rPr>
        <w:t xml:space="preserve">The biggest ethical issue in Adidas' marketing plan for the United States is the handling of the Yeezy partnership and its subsequent demise. Despite Ye (Kanye West) making numerous well-publicised and antisemitic and racially offensive remarks in 2022, Adidas did not break up with him until end-of-October 2022 when there was significant public outcry and pressure from institutional investors (Butler et al., 2022). The slow implementation of the separation has left deep doubts in the minds of many consumers whether the company's promises were sincere or strong enough to warrant being bought by Adidas, especially younger, ethically conscious consumers in the United States, who are increasingly making buying decisions based on perceived corporate ethics. </w:t>
      </w:r>
    </w:p>
    <w:p w14:paraId="0BA897F6">
      <w:pPr>
        <w:pStyle w:val="style0"/>
        <w:spacing w:after="160" w:lineRule="auto" w:line="360"/>
        <w:jc w:val="both"/>
        <w:rPr>
          <w:sz w:val="24"/>
          <w:szCs w:val="24"/>
        </w:rPr>
      </w:pPr>
      <w:r>
        <w:rPr>
          <w:sz w:val="24"/>
          <w:szCs w:val="24"/>
        </w:rPr>
        <w:t>The second important ethical question is regarding the environmental marketing communications of Adidas being labelled greenwashing. Environmental advocacy organisations have challenged Adidas' green content claims arguing that they only refer to the materials used in products and do not capture the full lifecycle environmental impact of their products, such as the carbon embodied in their manufacture, or in long haul logistics, or at the end of life as waste. (Changing Markets Foundation, 2021). The Federal Trade Commission's (FTC) Green Guides offer guidance on environmental marketing claims, and the claims must be truthful, non-deceptive, and based on competent and reliable scientific evidence.</w:t>
      </w:r>
    </w:p>
    <w:p w14:paraId="5DDA64F3">
      <w:pPr>
        <w:pStyle w:val="style0"/>
        <w:spacing w:after="160" w:lineRule="auto" w:line="360"/>
        <w:jc w:val="both"/>
        <w:rPr>
          <w:sz w:val="24"/>
          <w:szCs w:val="24"/>
        </w:rPr>
      </w:pPr>
      <w:r>
        <w:rPr>
          <w:sz w:val="24"/>
          <w:szCs w:val="24"/>
        </w:rPr>
        <w:t xml:space="preserve">A third ethical angle relates to the US market, which is directly supplied by the global Adidas supply chain, in terms of the standards of labour they apply. In 2021, the Worker Rights Consortium (WRC) uncovered evidence of unsafe working conditions and wage theft at Adidas-contracted factories in Indonesia (workersrights.org, 2026). These practices are inconsistent with the reasonable expectations that can be derived from Adidas' published support for UN Guiding Principles on Business and Human Rights (UNGP) (Adidas Annual Report, 2021). The Bundesregierung, (2023) requires companies to audit and remedy such supply-chain issues, but meanwhile, the marketing statements on U.S. packaging do not always make it clear that the supply chain is not entirely compliant with the ethical standards set by the LkSG, leading to a misaligned impression that it is. </w:t>
      </w:r>
    </w:p>
    <w:bookmarkStart w:id="15" w:name="_Toc237268429"/>
    <w:p w14:paraId="1E5F9B0A">
      <w:pPr>
        <w:pStyle w:val="style2"/>
        <w:spacing w:before="240" w:after="120"/>
        <w:rPr>
          <w:szCs w:val="24"/>
        </w:rPr>
      </w:pPr>
      <w:r>
        <w:rPr>
          <w:szCs w:val="24"/>
        </w:rPr>
        <w:t>1.8 Recommendations for International Marketing Strategy</w:t>
      </w:r>
      <w:bookmarkEnd w:id="15"/>
    </w:p>
    <w:p w14:paraId="54CBA387">
      <w:pPr>
        <w:pStyle w:val="style0"/>
        <w:spacing w:after="160" w:lineRule="auto" w:line="360"/>
        <w:jc w:val="both"/>
        <w:rPr>
          <w:sz w:val="24"/>
          <w:szCs w:val="24"/>
        </w:rPr>
      </w:pPr>
      <w:r>
        <w:rPr>
          <w:b/>
          <w:bCs/>
          <w:sz w:val="24"/>
          <w:szCs w:val="24"/>
        </w:rPr>
        <w:t xml:space="preserve">1. Accelerate DTC and AI-driven personalisation: </w:t>
      </w:r>
      <w:r>
        <w:rPr>
          <w:sz w:val="24"/>
          <w:szCs w:val="24"/>
        </w:rPr>
        <w:t>the extent to which DTC and AI-driven personalisation are to be developed is to be considered deeply with investments in AdriClub infrastructure and AI-driven personalisation in Germany and in the United States. The support of localised sustainability dashboards in the app, that show the carbon footprint and material provenance of the products on an individual basis, would resonate well with t</w:t>
      </w:r>
      <w:r>
        <w:rPr>
          <w:sz w:val="24"/>
          <w:szCs w:val="24"/>
        </w:rPr>
        <w:t>he high Long-Term Orientation (</w:t>
      </w:r>
      <w:r>
        <w:rPr>
          <w:sz w:val="24"/>
          <w:szCs w:val="24"/>
        </w:rPr>
        <w:t>Hofstede Insights, 2023) and environmental sensitivity of the market in Germany in particular.</w:t>
      </w:r>
    </w:p>
    <w:p w14:paraId="234D442B">
      <w:pPr>
        <w:pStyle w:val="style0"/>
        <w:spacing w:after="160" w:lineRule="auto" w:line="360"/>
        <w:jc w:val="both"/>
        <w:rPr>
          <w:sz w:val="24"/>
          <w:szCs w:val="24"/>
        </w:rPr>
      </w:pPr>
      <w:r>
        <w:rPr>
          <w:b/>
          <w:bCs/>
          <w:sz w:val="24"/>
          <w:szCs w:val="24"/>
        </w:rPr>
        <w:t xml:space="preserve">2. Rebuild US brand credibility post-Yeezy: </w:t>
      </w:r>
      <w:r>
        <w:rPr>
          <w:sz w:val="24"/>
          <w:szCs w:val="24"/>
        </w:rPr>
        <w:t xml:space="preserve"> According to a 2023 Edelman Trust Barometer survey, 63% of US consumers are actively purchasing from, or boycotting, brands based on their social values, making the need for the restoration of credibility a commercially imperative and financially important issue.</w:t>
      </w:r>
      <w:r>
        <w:rPr>
          <w:b/>
          <w:bCs/>
          <w:sz w:val="24"/>
          <w:szCs w:val="24"/>
        </w:rPr>
        <w:t xml:space="preserve"> </w:t>
      </w:r>
    </w:p>
    <w:p w14:paraId="663CDC18">
      <w:pPr>
        <w:pStyle w:val="style0"/>
        <w:spacing w:after="160" w:lineRule="auto" w:line="360"/>
        <w:jc w:val="both"/>
        <w:rPr>
          <w:sz w:val="24"/>
          <w:szCs w:val="24"/>
        </w:rPr>
      </w:pPr>
      <w:r>
        <w:rPr>
          <w:b/>
          <w:bCs/>
          <w:sz w:val="24"/>
          <w:szCs w:val="24"/>
        </w:rPr>
        <w:t xml:space="preserve">3. Strengthen sustainability communications in Germany: </w:t>
      </w:r>
    </w:p>
    <w:p w14:paraId="47D46095">
      <w:pPr>
        <w:pStyle w:val="style0"/>
        <w:spacing w:after="160" w:lineRule="auto" w:line="360"/>
        <w:jc w:val="both"/>
        <w:rPr>
          <w:sz w:val="24"/>
          <w:szCs w:val="24"/>
        </w:rPr>
      </w:pPr>
      <w:r>
        <w:rPr>
          <w:sz w:val="24"/>
          <w:szCs w:val="24"/>
        </w:rPr>
        <w:t xml:space="preserve">As the regulatory framework in Germany is tightening with Bundesregierung (2021) and consumers have reported a preference for sustainability information in independently audited reports and on the product level, including carbon-footprint data, Adidas should make sustainability information available on their website adidas.de in German language and provide QR codes in stores. Strategic partnerships with legitimate German environmental groups, like Deutsche Umwelthilfe (DUH), would be valuable to boost the credibility of certifications, thus </w:t>
      </w:r>
      <w:r>
        <w:rPr>
          <w:sz w:val="24"/>
          <w:szCs w:val="24"/>
        </w:rPr>
        <w:t>satisfying the high level</w:t>
      </w:r>
      <w:r>
        <w:rPr>
          <w:sz w:val="24"/>
          <w:szCs w:val="24"/>
        </w:rPr>
        <w:t>s of Uncertainty Avoidance (</w:t>
      </w:r>
      <w:r>
        <w:rPr>
          <w:sz w:val="24"/>
          <w:szCs w:val="24"/>
        </w:rPr>
        <w:t>Hofstede Insights, 2023) among German consumers and delivering the necessary proof and detail before they make premium sustainable purchases.</w:t>
      </w:r>
    </w:p>
    <w:p w14:paraId="398A0221">
      <w:pPr>
        <w:pStyle w:val="style0"/>
        <w:spacing w:after="160" w:lineRule="auto" w:line="360"/>
        <w:jc w:val="both"/>
        <w:rPr>
          <w:sz w:val="24"/>
          <w:szCs w:val="24"/>
        </w:rPr>
      </w:pPr>
      <w:r>
        <w:rPr>
          <w:b/>
          <w:bCs/>
          <w:sz w:val="24"/>
          <w:szCs w:val="24"/>
        </w:rPr>
        <w:t xml:space="preserve">4. Diversify manufacturing to mitigate US tariff exposure: </w:t>
      </w:r>
      <w:r>
        <w:rPr>
          <w:sz w:val="24"/>
          <w:szCs w:val="24"/>
        </w:rPr>
        <w:t xml:space="preserve">In light of likely further tariff escalation on Chinese products under new proposals in the US trade policy (ustr.gov, 2026a), Adidas should urgently step up its manufacturing diversification from China to tariff-friendly countries, including Vietnam (as part of the EVFTA), Jordan and Morocco. In 2023, Adidas had around 94% of their footwear made in Asia (Adidas Annual Report, 2021). </w:t>
      </w:r>
    </w:p>
    <w:p w14:paraId="7E808932">
      <w:pPr>
        <w:pStyle w:val="style0"/>
        <w:spacing w:after="160" w:lineRule="auto" w:line="360"/>
        <w:jc w:val="both"/>
        <w:rPr>
          <w:sz w:val="24"/>
          <w:szCs w:val="24"/>
        </w:rPr>
      </w:pPr>
      <w:r>
        <w:rPr>
          <w:b/>
          <w:bCs/>
          <w:sz w:val="24"/>
          <w:szCs w:val="24"/>
        </w:rPr>
        <w:t>5. Strategically capture the women's sportswear opportunity in both markets:</w:t>
      </w:r>
      <w:r>
        <w:rPr>
          <w:sz w:val="24"/>
          <w:szCs w:val="24"/>
        </w:rPr>
        <w:t xml:space="preserve">The growth of women's sportswear is a fastest-growing segment in the global market, expected to grow at a CAGR of 6.8% till 2028. In the past, Adidas has lagged behind its biggest rival Nike in the innovation of women's performance products. A dedicated women's performance line, an expanded list of women athletes like Beyonce to wear their products as well as the endorsement of Olympic athletes, especially in Germany, and proactive inclusive sizing policies would create a huge unfulfilled market opportunity while adding to the DEI's credibility in both markets. </w:t>
      </w:r>
    </w:p>
    <w:p w14:paraId="241C41DF">
      <w:pPr>
        <w:pStyle w:val="style0"/>
        <w:spacing w:lineRule="auto" w:line="360"/>
        <w:jc w:val="both"/>
        <w:rPr>
          <w:sz w:val="24"/>
          <w:szCs w:val="24"/>
        </w:rPr>
      </w:pPr>
      <w:r>
        <w:br w:type="page"/>
      </w:r>
    </w:p>
    <w:bookmarkStart w:id="16" w:name="_Toc237268430"/>
    <w:p w14:paraId="6B17C17B">
      <w:pPr>
        <w:pStyle w:val="style1"/>
        <w:spacing w:before="320" w:after="160"/>
        <w:rPr>
          <w:szCs w:val="24"/>
        </w:rPr>
      </w:pPr>
      <w:r>
        <w:rPr>
          <w:color w:val="000000"/>
          <w:szCs w:val="24"/>
        </w:rPr>
        <w:t>SECTION 2: REFLECTIVE ACC</w:t>
      </w:r>
      <w:r>
        <w:rPr>
          <w:szCs w:val="24"/>
        </w:rPr>
        <w:t>OUNT</w:t>
      </w:r>
      <w:bookmarkEnd w:id="16"/>
      <w:r>
        <w:rPr>
          <w:szCs w:val="24"/>
        </w:rPr>
        <w:t xml:space="preserve"> </w:t>
      </w:r>
    </w:p>
    <w:bookmarkStart w:id="17" w:name="_Toc237268431"/>
    <w:p w14:paraId="096671BD">
      <w:pPr>
        <w:pStyle w:val="style2"/>
        <w:spacing w:before="240" w:after="120"/>
        <w:rPr>
          <w:szCs w:val="24"/>
        </w:rPr>
      </w:pPr>
      <w:r>
        <w:rPr>
          <w:szCs w:val="24"/>
        </w:rPr>
        <w:t>2.1 Description</w:t>
      </w:r>
      <w:bookmarkEnd w:id="17"/>
    </w:p>
    <w:p w14:paraId="3A26226C">
      <w:pPr>
        <w:pStyle w:val="style0"/>
        <w:spacing w:after="160" w:lineRule="auto" w:line="360"/>
        <w:jc w:val="both"/>
        <w:rPr>
          <w:sz w:val="24"/>
          <w:szCs w:val="24"/>
        </w:rPr>
      </w:pPr>
      <w:r>
        <w:rPr>
          <w:sz w:val="24"/>
          <w:szCs w:val="24"/>
        </w:rPr>
        <w:t xml:space="preserve">This reflective report outlines the research, analysis and compilation of the international marketing strategy for Adidas in Germany and the United States as covered in Section 1 of this assessment. Once the brief of the assignment had been received, I began a comprehensive theoretical literature search that would ensure that I had a sound foundation of the analytical tools I needed, namely PESTEL, Hofstede's Cultural Dimensions Model, the STP framework and the extended 7Ps of the Marketing Mix. Under assessment requirements, I used the university library database to access peer-reviewed academic journals. The overall research process was designed in about three weeks; the first week for familiarisation of the framework and data collection, the second week was for applying the analytical framework to the comparative data, the third week was to draft, verify the citations and revision. </w:t>
      </w:r>
    </w:p>
    <w:bookmarkStart w:id="18" w:name="_Toc237268432"/>
    <w:p w14:paraId="64035D01">
      <w:pPr>
        <w:pStyle w:val="style2"/>
        <w:spacing w:before="240" w:after="120"/>
        <w:rPr>
          <w:szCs w:val="24"/>
        </w:rPr>
      </w:pPr>
      <w:r>
        <w:rPr>
          <w:szCs w:val="24"/>
        </w:rPr>
        <w:t>2.2 Feelings</w:t>
      </w:r>
      <w:bookmarkEnd w:id="18"/>
    </w:p>
    <w:p w14:paraId="7013CC0C">
      <w:pPr>
        <w:pStyle w:val="style0"/>
        <w:spacing w:after="160" w:lineRule="auto" w:line="360"/>
        <w:jc w:val="both"/>
        <w:rPr>
          <w:sz w:val="24"/>
          <w:szCs w:val="24"/>
        </w:rPr>
      </w:pPr>
      <w:r>
        <w:rPr>
          <w:sz w:val="24"/>
          <w:szCs w:val="24"/>
        </w:rPr>
        <w:t xml:space="preserve">Initially, there was a great deal of doubt as to how best to combine several analytical approaches in one comprehensive comparative study without it becoming disjointed or superficial in the full scope of the work required. I was especially concerned about getting the right and recent statistical information and data that had undergone a proper process of research and was empirically credible, or at least critically assessed and, in some cases, discarded if no such data existed, so that I would have to be careful with the process of sourcing the information. As the research process unfolded, and frameworks were beginning to produce a clear and coherent structural framework, my confidence in the research process increased significantly. The Annual Report 2023, published by Adidas AG, contained exceptionally detailed, granular first-party information on revenues by market, strategic initiatives, and sustainability commitments, making it a powerful source of information and an authoritative evidentiary anchor which significantly decreased the need for relying on secondary interpretations. </w:t>
      </w:r>
    </w:p>
    <w:bookmarkStart w:id="19" w:name="_Toc237268433"/>
    <w:p w14:paraId="4287DCA6">
      <w:pPr>
        <w:pStyle w:val="style2"/>
        <w:spacing w:before="240" w:after="120"/>
        <w:rPr>
          <w:szCs w:val="24"/>
        </w:rPr>
      </w:pPr>
      <w:r>
        <w:rPr>
          <w:szCs w:val="24"/>
        </w:rPr>
        <w:t>2.3 Evaluation</w:t>
      </w:r>
      <w:bookmarkEnd w:id="19"/>
    </w:p>
    <w:p w14:paraId="7128A28B">
      <w:pPr>
        <w:pStyle w:val="style0"/>
        <w:spacing w:after="160" w:lineRule="auto" w:line="360"/>
        <w:jc w:val="both"/>
        <w:rPr>
          <w:sz w:val="24"/>
          <w:szCs w:val="24"/>
        </w:rPr>
      </w:pPr>
      <w:r>
        <w:rPr>
          <w:sz w:val="24"/>
          <w:szCs w:val="24"/>
        </w:rPr>
        <w:t xml:space="preserve">There were a number of aspects of the research and analysis process that worked well. The comparative analysis started with Adidas' own key Annual Reports and only branched into </w:t>
      </w:r>
      <w:r>
        <w:rPr>
          <w:sz w:val="24"/>
          <w:szCs w:val="24"/>
        </w:rPr>
        <w:t xml:space="preserve">secondary sources from outside the company as a last resort, allowing me to base the analysis in business realities, rather than falling into the common trap of relying on theoretical analysis and generalisations that may not be accurate representations of the actual choices made by the company. </w:t>
      </w:r>
    </w:p>
    <w:p w14:paraId="3EF0B152">
      <w:pPr>
        <w:pStyle w:val="style0"/>
        <w:spacing w:after="160" w:lineRule="auto" w:line="360"/>
        <w:jc w:val="both"/>
        <w:rPr>
          <w:sz w:val="24"/>
          <w:szCs w:val="24"/>
        </w:rPr>
      </w:pPr>
      <w:r>
        <w:rPr>
          <w:sz w:val="24"/>
          <w:szCs w:val="24"/>
        </w:rPr>
        <w:t xml:space="preserve">But there were certain issues that needed to be honestly assessed. In the period between 2020 and 2026, there was not much literature available that was directly relevant to Adidas's DTC strategy in Germany and so depended more heavily on credible industry sources such as Euromonitor and Statista, which had an inherent bias of course. </w:t>
      </w:r>
    </w:p>
    <w:bookmarkStart w:id="20" w:name="_Toc237268434"/>
    <w:p w14:paraId="32CF7653">
      <w:pPr>
        <w:pStyle w:val="style2"/>
        <w:spacing w:before="240" w:after="120"/>
        <w:rPr>
          <w:szCs w:val="24"/>
        </w:rPr>
      </w:pPr>
      <w:r>
        <w:rPr>
          <w:szCs w:val="24"/>
        </w:rPr>
        <w:t>2.4 Analysis</w:t>
      </w:r>
      <w:bookmarkEnd w:id="20"/>
    </w:p>
    <w:p w14:paraId="5BFB1854">
      <w:pPr>
        <w:pStyle w:val="style0"/>
        <w:spacing w:after="160" w:lineRule="auto" w:line="360"/>
        <w:jc w:val="both"/>
        <w:rPr>
          <w:sz w:val="24"/>
          <w:szCs w:val="24"/>
        </w:rPr>
      </w:pPr>
      <w:r>
        <w:rPr>
          <w:sz w:val="24"/>
          <w:szCs w:val="24"/>
        </w:rPr>
        <w:t>As I was drafting my PESTEL analysis during the initial stages, I noticed that my business analysis of Germany seemed to be a lot more thorough and had more evidence than my analysis of the USA, which was probably due to my prior experience in Germany, compared to the USA. Once I identified this structural and analytical imbalance, I revisited and updated the US PESTEL analysis in a systematic way to create a relevant analytical balance, which uncovered key trends I had been skirting around, such as the importance of the Section 301 tariff environment and the new SEC climate disclosure requirements. In creating this section I found the Gibbs Reflective Cycle (Gibbs, 1988) useful in a structured and disciplined way of undertaking systematic reflection on my learning rather than superficial reflection.</w:t>
      </w:r>
    </w:p>
    <w:p w14:paraId="4AE147F9">
      <w:pPr>
        <w:pStyle w:val="style0"/>
        <w:spacing w:after="160" w:lineRule="auto" w:line="360"/>
        <w:jc w:val="both"/>
        <w:rPr>
          <w:sz w:val="24"/>
          <w:szCs w:val="24"/>
        </w:rPr>
      </w:pPr>
      <w:r>
        <w:rPr>
          <w:sz w:val="24"/>
          <w:szCs w:val="24"/>
        </w:rPr>
        <w:t xml:space="preserve">One section of the entire assessment was the most intellectually challenging: the ethical issues section. As a theoretical basis for my work, I have adopted the framework Business Ethics of Crane and Matten (2020) and the UN Guiding Principles on Business and Human Rights, to set up an appropriate and credible theoretical framework. This analytical underpinning, I think, took the ethical assessment of the level of a surface description of journalistic reporting to a more critically informed academic assessment. </w:t>
      </w:r>
    </w:p>
    <w:bookmarkStart w:id="21" w:name="_Toc237268435"/>
    <w:p w14:paraId="3F930628">
      <w:pPr>
        <w:pStyle w:val="style2"/>
        <w:spacing w:before="240" w:after="120"/>
        <w:rPr>
          <w:szCs w:val="24"/>
        </w:rPr>
      </w:pPr>
      <w:r>
        <w:rPr>
          <w:szCs w:val="24"/>
        </w:rPr>
        <w:t>2.5 Conclusion</w:t>
      </w:r>
      <w:bookmarkEnd w:id="21"/>
    </w:p>
    <w:p w14:paraId="065FF930">
      <w:pPr>
        <w:pStyle w:val="style0"/>
        <w:spacing w:after="160" w:lineRule="auto" w:line="360"/>
        <w:jc w:val="both"/>
        <w:rPr>
          <w:sz w:val="24"/>
          <w:szCs w:val="24"/>
        </w:rPr>
      </w:pPr>
      <w:r>
        <w:rPr>
          <w:sz w:val="24"/>
          <w:szCs w:val="24"/>
        </w:rPr>
        <w:t xml:space="preserve">This assignment has helped me to gain a deeper understanding of the need for the globally established and recognised brand to tailor their products and especially their marketing strategies to the vastly different national contexts, even in the seemingly common ground of two western developed market economies. I now understand more deeply than I ever really did </w:t>
      </w:r>
      <w:r>
        <w:rPr>
          <w:sz w:val="24"/>
          <w:szCs w:val="24"/>
        </w:rPr>
        <w:t xml:space="preserve">before that international marketing is far from a translation or adaptation process. The Adidas case study clearly demonstrated how a single strategic occurrence - the Yeezy partnership and its abrupt termination - can have multi-faceted repercussions. I have also gained a much deeper understanding of the increasing importance of environmental, social and governance (ESG) concerns in today's international marketing practice: sustainability more and more is not seen as a “bonus” to be added to the communication of marketing, but rather as a central element of marketing strategy and a possible source of authentic competitive advantages, especially in markets with high environmental consciousness among consumers and growing regulatory demands like for example Germany. </w:t>
      </w:r>
    </w:p>
    <w:bookmarkStart w:id="22" w:name="_Toc237268436"/>
    <w:p w14:paraId="2AE752F2">
      <w:pPr>
        <w:pStyle w:val="style2"/>
        <w:spacing w:before="240" w:after="120"/>
        <w:rPr>
          <w:szCs w:val="24"/>
        </w:rPr>
      </w:pPr>
      <w:r>
        <w:rPr>
          <w:szCs w:val="24"/>
        </w:rPr>
        <w:t>2.6 Action Plan</w:t>
      </w:r>
      <w:bookmarkEnd w:id="22"/>
    </w:p>
    <w:p w14:paraId="0765E3B6">
      <w:pPr>
        <w:pStyle w:val="style0"/>
        <w:spacing w:after="160" w:lineRule="auto" w:line="360"/>
        <w:jc w:val="both"/>
        <w:rPr>
          <w:sz w:val="24"/>
          <w:szCs w:val="24"/>
        </w:rPr>
      </w:pPr>
      <w:r>
        <w:rPr>
          <w:sz w:val="24"/>
          <w:szCs w:val="24"/>
        </w:rPr>
        <w:t xml:space="preserve">After examining the strengths and weaknesses of this research and analytical process, I have come up with the following steps that I believe will be beneficial for future assignments of similar complexity and scope. To obtain more granular, market-specific and company-specific marketing data, I will be exploring Mintel, IBISWorld and WARC databases, as a first step to future research assignments, to lessen reliance on publicly available aggregated marketing data. Secondly, I will start the comparative analysis from the first draft stage onwards in a completely parallel fashion: I will develop analytical framework tables for both countries so that for both countries there will be a structural and evidential equivalence, avoiding the imbalance that was present in the first PESTEL drafting. Third, I plan to devote more conscious time and thought to the ethical evaluation aspects of future marketing strategy evaluations, as business ethics is an area that has been studied, is relevant to business practice, and is academically rigorous. Fourth, and most importantly, I will make use of the Gibbs Reflective Cycle in mid-project phases instead of at the end and this will allow me to make adjustments in the middle of the project and to adapt the research method as the analysis progresses. </w:t>
      </w:r>
    </w:p>
    <w:p w14:paraId="6ADD6FC4">
      <w:pPr>
        <w:pStyle w:val="style0"/>
        <w:spacing w:lineRule="auto" w:line="360"/>
        <w:jc w:val="both"/>
        <w:rPr>
          <w:sz w:val="24"/>
          <w:szCs w:val="24"/>
        </w:rPr>
      </w:pPr>
      <w:r>
        <w:br w:type="page"/>
      </w:r>
    </w:p>
    <w:bookmarkStart w:id="23" w:name="_Toc237268437"/>
    <w:p w14:paraId="4C15AA50">
      <w:pPr>
        <w:pStyle w:val="style1"/>
        <w:spacing w:before="320" w:after="160"/>
        <w:rPr>
          <w:szCs w:val="24"/>
        </w:rPr>
      </w:pPr>
      <w:r>
        <w:rPr>
          <w:szCs w:val="24"/>
        </w:rPr>
        <w:t>REFERENCES</w:t>
      </w:r>
      <w:bookmarkEnd w:id="23"/>
    </w:p>
    <w:p w14:paraId="534978AF">
      <w:pPr>
        <w:pStyle w:val="style0"/>
        <w:spacing w:after="160" w:lineRule="auto" w:line="360"/>
        <w:jc w:val="both"/>
        <w:rPr>
          <w:sz w:val="24"/>
          <w:szCs w:val="24"/>
        </w:rPr>
      </w:pPr>
      <w:r>
        <w:rPr>
          <w:sz w:val="24"/>
          <w:szCs w:val="24"/>
        </w:rPr>
        <w:t xml:space="preserve">Adidas AG (2024) Annual Report 2023. Herzogenaurach: Adidas AG. Available at: </w:t>
      </w:r>
      <w:r>
        <w:rPr/>
        <w:fldChar w:fldCharType="begin"/>
      </w:r>
      <w:r>
        <w:instrText xml:space="preserve"> HYPERLINK "https://www.adidas-group.com/en/investors/annual-report/" </w:instrText>
      </w:r>
      <w:r>
        <w:rPr/>
        <w:fldChar w:fldCharType="separate"/>
      </w:r>
      <w:r>
        <w:rPr>
          <w:rStyle w:val="style85"/>
          <w:sz w:val="24"/>
          <w:szCs w:val="24"/>
        </w:rPr>
        <w:t>https://www.adidas-group.com/en/investors/annual-report/</w:t>
      </w:r>
      <w:r>
        <w:rPr/>
        <w:fldChar w:fldCharType="end"/>
      </w:r>
      <w:r>
        <w:rPr>
          <w:sz w:val="24"/>
          <w:szCs w:val="24"/>
        </w:rPr>
        <w:t>  [Accessed 10 Aug. 2026].</w:t>
      </w:r>
    </w:p>
    <w:p w14:paraId="44A7B0E2">
      <w:pPr>
        <w:pStyle w:val="style0"/>
        <w:spacing w:after="160" w:lineRule="auto" w:line="360"/>
        <w:jc w:val="both"/>
        <w:rPr>
          <w:sz w:val="24"/>
          <w:szCs w:val="24"/>
        </w:rPr>
      </w:pPr>
      <w:r>
        <w:rPr>
          <w:sz w:val="24"/>
          <w:szCs w:val="24"/>
        </w:rPr>
        <w:t xml:space="preserve">Adidas Annual Report. (2021). </w:t>
      </w:r>
      <w:r>
        <w:rPr>
          <w:i/>
          <w:iCs/>
          <w:sz w:val="24"/>
          <w:szCs w:val="24"/>
        </w:rPr>
        <w:t>Impossible is nothing - adidas Annual Report 2021</w:t>
      </w:r>
      <w:r>
        <w:rPr>
          <w:sz w:val="24"/>
          <w:szCs w:val="24"/>
        </w:rPr>
        <w:t xml:space="preserve">. [online] Available at: </w:t>
      </w:r>
      <w:r>
        <w:rPr/>
        <w:fldChar w:fldCharType="begin"/>
      </w:r>
      <w:r>
        <w:instrText xml:space="preserve"> HYPERLINK "https://report.adidas-group.com/2021/en/at-a-glance/2021-stories/impossible-is-nothing.html" </w:instrText>
      </w:r>
      <w:r>
        <w:rPr/>
        <w:fldChar w:fldCharType="separate"/>
      </w:r>
      <w:r>
        <w:rPr>
          <w:rStyle w:val="style85"/>
          <w:sz w:val="24"/>
          <w:szCs w:val="24"/>
        </w:rPr>
        <w:t>https://report.adidas-group.com/2021/en/at-a-glance/2021-stories/impossible-is-nothing.html</w:t>
      </w:r>
      <w:r>
        <w:rPr/>
        <w:fldChar w:fldCharType="end"/>
      </w:r>
      <w:r>
        <w:rPr>
          <w:sz w:val="24"/>
          <w:szCs w:val="24"/>
        </w:rPr>
        <w:t xml:space="preserve"> [Accessed 10 Aug. 2026].</w:t>
      </w:r>
    </w:p>
    <w:p w14:paraId="7039A9BC">
      <w:pPr>
        <w:pStyle w:val="style0"/>
        <w:spacing w:after="160" w:lineRule="auto" w:line="360"/>
        <w:jc w:val="both"/>
        <w:rPr>
          <w:sz w:val="24"/>
          <w:szCs w:val="24"/>
        </w:rPr>
      </w:pPr>
      <w:r>
        <w:rPr>
          <w:sz w:val="24"/>
          <w:szCs w:val="24"/>
        </w:rPr>
        <w:t xml:space="preserve">adidas. (2018). </w:t>
      </w:r>
      <w:r>
        <w:rPr>
          <w:i/>
          <w:iCs/>
          <w:sz w:val="24"/>
          <w:szCs w:val="24"/>
        </w:rPr>
        <w:t>adidas Group</w:t>
      </w:r>
      <w:r>
        <w:rPr>
          <w:sz w:val="24"/>
          <w:szCs w:val="24"/>
        </w:rPr>
        <w:t xml:space="preserve">. [online] Available at: </w:t>
      </w:r>
      <w:r>
        <w:rPr/>
        <w:fldChar w:fldCharType="begin"/>
      </w:r>
      <w:r>
        <w:instrText xml:space="preserve"> HYPERLINK "https://www.adidas-group.com/en/media/press-releases/adidas-unveils-industrys-first-application-of-digital-light-synthesis-with-futurecraft-4d" </w:instrText>
      </w:r>
      <w:r>
        <w:rPr/>
        <w:fldChar w:fldCharType="separate"/>
      </w:r>
      <w:r>
        <w:rPr>
          <w:rStyle w:val="style85"/>
          <w:sz w:val="24"/>
          <w:szCs w:val="24"/>
        </w:rPr>
        <w:t>https://www.adidas-group.com/en/media/press-releases/adidas-unveils-industrys-first-application-of-digital-light-synthesis-with-futurecraft-4d</w:t>
      </w:r>
      <w:r>
        <w:rPr/>
        <w:fldChar w:fldCharType="end"/>
      </w:r>
      <w:r>
        <w:rPr>
          <w:sz w:val="24"/>
          <w:szCs w:val="24"/>
        </w:rPr>
        <w:t>  [Accessed 10 Aug. 2026].</w:t>
      </w:r>
    </w:p>
    <w:p w14:paraId="6F31971E">
      <w:pPr>
        <w:pStyle w:val="style0"/>
        <w:spacing w:after="160" w:lineRule="auto" w:line="360"/>
        <w:jc w:val="both"/>
        <w:rPr>
          <w:sz w:val="24"/>
          <w:szCs w:val="24"/>
        </w:rPr>
      </w:pPr>
      <w:r>
        <w:rPr>
          <w:sz w:val="24"/>
          <w:szCs w:val="24"/>
        </w:rPr>
        <w:t xml:space="preserve">‌adidas. (2025). </w:t>
      </w:r>
      <w:r>
        <w:rPr>
          <w:i/>
          <w:iCs/>
          <w:sz w:val="24"/>
          <w:szCs w:val="24"/>
        </w:rPr>
        <w:t>adidas Group</w:t>
      </w:r>
      <w:r>
        <w:rPr>
          <w:sz w:val="24"/>
          <w:szCs w:val="24"/>
        </w:rPr>
        <w:t xml:space="preserve">. [online] Available at: </w:t>
      </w:r>
      <w:r>
        <w:rPr/>
        <w:fldChar w:fldCharType="begin"/>
      </w:r>
      <w:r>
        <w:instrText xml:space="preserve"> HYPERLINK "https://www.adidas-group.com/en/sustainability/planet/nature" </w:instrText>
      </w:r>
      <w:r>
        <w:rPr/>
        <w:fldChar w:fldCharType="separate"/>
      </w:r>
      <w:r>
        <w:rPr>
          <w:rStyle w:val="style85"/>
          <w:sz w:val="24"/>
          <w:szCs w:val="24"/>
        </w:rPr>
        <w:t>https://www.adidas-group.com/en/sustainability/planet/nature</w:t>
      </w:r>
      <w:r>
        <w:rPr/>
        <w:fldChar w:fldCharType="end"/>
      </w:r>
      <w:r>
        <w:rPr>
          <w:sz w:val="24"/>
          <w:szCs w:val="24"/>
        </w:rPr>
        <w:t xml:space="preserve"> [Accessed 10 Aug. 2026].</w:t>
      </w:r>
    </w:p>
    <w:p w14:paraId="5C7F439F">
      <w:pPr>
        <w:pStyle w:val="style0"/>
        <w:spacing w:after="160" w:lineRule="auto" w:line="360"/>
        <w:jc w:val="both"/>
        <w:rPr>
          <w:sz w:val="24"/>
          <w:szCs w:val="24"/>
        </w:rPr>
      </w:pPr>
      <w:r>
        <w:rPr>
          <w:sz w:val="24"/>
          <w:szCs w:val="24"/>
        </w:rPr>
        <w:t xml:space="preserve">‌Adidas.group (2023). </w:t>
      </w:r>
      <w:r>
        <w:rPr>
          <w:i/>
          <w:iCs/>
          <w:sz w:val="24"/>
          <w:szCs w:val="24"/>
        </w:rPr>
        <w:t>Employee Population - adidas Annual Report 2023</w:t>
      </w:r>
      <w:r>
        <w:rPr>
          <w:sz w:val="24"/>
          <w:szCs w:val="24"/>
        </w:rPr>
        <w:t xml:space="preserve">. [online] Available at: </w:t>
      </w:r>
      <w:r>
        <w:rPr/>
        <w:fldChar w:fldCharType="begin"/>
      </w:r>
      <w:r>
        <w:instrText xml:space="preserve"> HYPERLINK "https://report.adidas-group.com/2023/en/group-management-report-our-company/our-people/employee-population.html" </w:instrText>
      </w:r>
      <w:r>
        <w:rPr/>
        <w:fldChar w:fldCharType="separate"/>
      </w:r>
      <w:r>
        <w:rPr>
          <w:rStyle w:val="style85"/>
          <w:sz w:val="24"/>
          <w:szCs w:val="24"/>
        </w:rPr>
        <w:t>https://report.adidas-group.com/2023/en/group-management-report-our-company/our-people/employee-population.html</w:t>
      </w:r>
      <w:r>
        <w:rPr/>
        <w:fldChar w:fldCharType="end"/>
      </w:r>
      <w:r>
        <w:rPr>
          <w:sz w:val="24"/>
          <w:szCs w:val="24"/>
        </w:rPr>
        <w:t xml:space="preserve"> [Accessed 10 Aug. 2026].</w:t>
      </w:r>
    </w:p>
    <w:p w14:paraId="19520FFE">
      <w:pPr>
        <w:pStyle w:val="style0"/>
        <w:spacing w:after="160" w:lineRule="auto" w:line="360"/>
        <w:jc w:val="both"/>
        <w:rPr>
          <w:sz w:val="24"/>
          <w:szCs w:val="24"/>
        </w:rPr>
      </w:pPr>
      <w:r>
        <w:rPr>
          <w:sz w:val="24"/>
          <w:szCs w:val="24"/>
        </w:rPr>
        <w:t xml:space="preserve">adidas.group (2024). </w:t>
      </w:r>
      <w:r>
        <w:rPr>
          <w:i/>
          <w:iCs/>
          <w:sz w:val="24"/>
          <w:szCs w:val="24"/>
        </w:rPr>
        <w:t>Group management report</w:t>
      </w:r>
      <w:r>
        <w:rPr>
          <w:sz w:val="24"/>
          <w:szCs w:val="24"/>
        </w:rPr>
        <w:t xml:space="preserve"> [online] Available at: ‌</w:t>
      </w:r>
      <w:r>
        <w:rPr/>
        <w:fldChar w:fldCharType="begin"/>
      </w:r>
      <w:r>
        <w:instrText xml:space="preserve"> HYPERLINK "https://report.adidas-group.com/2024/en/_assets/downloads/sustainability-statement-adidas-ar24.pdf" </w:instrText>
      </w:r>
      <w:r>
        <w:rPr/>
        <w:fldChar w:fldCharType="separate"/>
      </w:r>
      <w:r>
        <w:rPr>
          <w:rStyle w:val="style85"/>
          <w:sz w:val="24"/>
          <w:szCs w:val="24"/>
        </w:rPr>
        <w:t>https://report.adidas-group.com/2024/en/_assets/downloads/sustainability-statement-adidas-ar24.pdf</w:t>
      </w:r>
      <w:r>
        <w:rPr/>
        <w:fldChar w:fldCharType="end"/>
      </w:r>
      <w:r>
        <w:rPr>
          <w:sz w:val="24"/>
          <w:szCs w:val="24"/>
        </w:rPr>
        <w:t>  [Accessed 10 Aug. 2026].</w:t>
      </w:r>
    </w:p>
    <w:p w14:paraId="7C3C45F5">
      <w:pPr>
        <w:pStyle w:val="style0"/>
        <w:spacing w:after="160" w:lineRule="auto" w:line="360"/>
        <w:jc w:val="both"/>
        <w:rPr>
          <w:sz w:val="24"/>
          <w:szCs w:val="24"/>
        </w:rPr>
      </w:pPr>
      <w:r>
        <w:rPr>
          <w:sz w:val="24"/>
          <w:szCs w:val="24"/>
        </w:rPr>
        <w:t xml:space="preserve">adidas-group.com. (2025). </w:t>
      </w:r>
      <w:r>
        <w:rPr>
          <w:i/>
          <w:iCs/>
          <w:sz w:val="24"/>
          <w:szCs w:val="24"/>
        </w:rPr>
        <w:t>adidas Group</w:t>
      </w:r>
      <w:r>
        <w:rPr>
          <w:sz w:val="24"/>
          <w:szCs w:val="24"/>
        </w:rPr>
        <w:t xml:space="preserve">. [online] Available at: </w:t>
      </w:r>
      <w:r>
        <w:rPr/>
        <w:fldChar w:fldCharType="begin"/>
      </w:r>
      <w:r>
        <w:instrText xml:space="preserve"> HYPERLINK "https://www.adidas-group.com/en/media/press-releases/adidas-presents-growth-strategy-own-the-game-until-2025" </w:instrText>
      </w:r>
      <w:r>
        <w:rPr/>
        <w:fldChar w:fldCharType="separate"/>
      </w:r>
      <w:r>
        <w:rPr>
          <w:rStyle w:val="style85"/>
          <w:sz w:val="24"/>
          <w:szCs w:val="24"/>
        </w:rPr>
        <w:t>https://www.adidas-group.com/en/media/press-releases/adidas-presents-growth-strategy-own-the-game-until-2025</w:t>
      </w:r>
      <w:r>
        <w:rPr/>
        <w:fldChar w:fldCharType="end"/>
      </w:r>
      <w:r>
        <w:rPr>
          <w:sz w:val="24"/>
          <w:szCs w:val="24"/>
        </w:rPr>
        <w:t xml:space="preserve"> [Accessed 10 Aug. 2026].</w:t>
      </w:r>
    </w:p>
    <w:p w14:paraId="2F54BB2C">
      <w:pPr>
        <w:pStyle w:val="style0"/>
        <w:spacing w:after="160" w:lineRule="auto" w:line="360"/>
        <w:jc w:val="both"/>
        <w:rPr>
          <w:sz w:val="24"/>
          <w:szCs w:val="24"/>
        </w:rPr>
      </w:pPr>
      <w:r>
        <w:rPr>
          <w:sz w:val="24"/>
          <w:szCs w:val="24"/>
        </w:rPr>
        <w:t xml:space="preserve">Barr, C. (2026). </w:t>
      </w:r>
      <w:r>
        <w:rPr>
          <w:i/>
          <w:iCs/>
          <w:sz w:val="24"/>
          <w:szCs w:val="24"/>
        </w:rPr>
        <w:t>The Ultimate Guide to adidas adiClub</w:t>
      </w:r>
      <w:r>
        <w:rPr>
          <w:sz w:val="24"/>
          <w:szCs w:val="24"/>
        </w:rPr>
        <w:t xml:space="preserve">. [online] Loyalty &amp; Reward Co. Available at: </w:t>
      </w:r>
      <w:r>
        <w:rPr/>
        <w:fldChar w:fldCharType="begin"/>
      </w:r>
      <w:r>
        <w:instrText xml:space="preserve"> HYPERLINK "https://loyaltyrewardco.com/the-ultimate-guide-to-adidas-adiclub/" </w:instrText>
      </w:r>
      <w:r>
        <w:rPr/>
        <w:fldChar w:fldCharType="separate"/>
      </w:r>
      <w:r>
        <w:rPr>
          <w:rStyle w:val="style85"/>
          <w:sz w:val="24"/>
          <w:szCs w:val="24"/>
        </w:rPr>
        <w:t>https://loyaltyrewardco.com/the-ultimate-guide-to-adidas-adiclub/</w:t>
      </w:r>
      <w:r>
        <w:rPr/>
        <w:fldChar w:fldCharType="end"/>
      </w:r>
      <w:r>
        <w:rPr>
          <w:sz w:val="24"/>
          <w:szCs w:val="24"/>
        </w:rPr>
        <w:t xml:space="preserve"> </w:t>
      </w:r>
      <w:r>
        <w:rPr>
          <w:sz w:val="24"/>
          <w:szCs w:val="24"/>
        </w:rPr>
        <w:t>[Accessed 10 Aug. 2026].</w:t>
      </w:r>
    </w:p>
    <w:p w14:paraId="609D4180">
      <w:pPr>
        <w:pStyle w:val="style0"/>
        <w:spacing w:after="160" w:lineRule="auto" w:line="360"/>
        <w:jc w:val="both"/>
        <w:rPr>
          <w:sz w:val="24"/>
          <w:szCs w:val="24"/>
        </w:rPr>
      </w:pPr>
      <w:r>
        <w:rPr>
          <w:sz w:val="24"/>
          <w:szCs w:val="24"/>
        </w:rPr>
        <w:t xml:space="preserve">Bhatnagar, T., 2026. ANALYSIS OF CONSUMER BEHAVIOUR: A COMPARATIVE RESEARCH STUDY OF NIKE AND ADIDAS. </w:t>
      </w:r>
      <w:r>
        <w:rPr>
          <w:i/>
          <w:iCs/>
          <w:sz w:val="24"/>
          <w:szCs w:val="24"/>
        </w:rPr>
        <w:t>Available at SSRN 6371178</w:t>
      </w:r>
      <w:r>
        <w:rPr>
          <w:sz w:val="24"/>
          <w:szCs w:val="24"/>
        </w:rPr>
        <w:t xml:space="preserve">. </w:t>
      </w:r>
      <w:r>
        <w:rPr/>
        <w:fldChar w:fldCharType="begin"/>
      </w:r>
      <w:r>
        <w:instrText xml:space="preserve"> HYPERLINK "https://papers.ssrn.com/sol3/papers.cfm?abstract_id=6371178" </w:instrText>
      </w:r>
      <w:r>
        <w:rPr/>
        <w:fldChar w:fldCharType="separate"/>
      </w:r>
      <w:r>
        <w:rPr>
          <w:rStyle w:val="style85"/>
          <w:sz w:val="24"/>
          <w:szCs w:val="24"/>
        </w:rPr>
        <w:t>https://papers.ssrn.com/sol3/papers.cfm?abstract_id=6371178</w:t>
      </w:r>
      <w:r>
        <w:rPr/>
        <w:fldChar w:fldCharType="end"/>
      </w:r>
      <w:r>
        <w:rPr>
          <w:sz w:val="24"/>
          <w:szCs w:val="24"/>
        </w:rPr>
        <w:t> </w:t>
      </w:r>
    </w:p>
    <w:p w14:paraId="0BE6C663">
      <w:pPr>
        <w:pStyle w:val="style0"/>
        <w:spacing w:after="160" w:lineRule="auto" w:line="360"/>
        <w:jc w:val="both"/>
        <w:rPr>
          <w:sz w:val="24"/>
          <w:szCs w:val="24"/>
        </w:rPr>
      </w:pPr>
      <w:r>
        <w:rPr>
          <w:sz w:val="24"/>
          <w:szCs w:val="24"/>
        </w:rPr>
        <w:t xml:space="preserve">Bundesregierung. (2021). </w:t>
      </w:r>
      <w:r>
        <w:rPr>
          <w:i/>
          <w:iCs/>
          <w:sz w:val="24"/>
          <w:szCs w:val="24"/>
        </w:rPr>
        <w:t>The new Supply Chain Act</w:t>
      </w:r>
      <w:r>
        <w:rPr>
          <w:sz w:val="24"/>
          <w:szCs w:val="24"/>
        </w:rPr>
        <w:t xml:space="preserve">. [online] Available at: </w:t>
      </w:r>
      <w:r>
        <w:rPr/>
        <w:fldChar w:fldCharType="begin"/>
      </w:r>
      <w:r>
        <w:instrText xml:space="preserve"> HYPERLINK "https://www.bundesregierung.de/breg-en/service/archive/supply-chain-act-1872076" </w:instrText>
      </w:r>
      <w:r>
        <w:rPr/>
        <w:fldChar w:fldCharType="separate"/>
      </w:r>
      <w:r>
        <w:rPr>
          <w:rStyle w:val="style85"/>
          <w:sz w:val="24"/>
          <w:szCs w:val="24"/>
        </w:rPr>
        <w:t>https://www.bundesregierung.de/breg-en/service/archive/supply-chain-act-1872076</w:t>
      </w:r>
      <w:r>
        <w:rPr/>
        <w:fldChar w:fldCharType="end"/>
      </w:r>
      <w:r>
        <w:rPr>
          <w:sz w:val="24"/>
          <w:szCs w:val="24"/>
        </w:rPr>
        <w:t xml:space="preserve"> [Accessed 10 Aug. 2026].</w:t>
      </w:r>
    </w:p>
    <w:p w14:paraId="2F55733F">
      <w:pPr>
        <w:pStyle w:val="style0"/>
        <w:spacing w:after="160" w:lineRule="auto" w:line="360"/>
        <w:jc w:val="both"/>
        <w:rPr>
          <w:sz w:val="24"/>
          <w:szCs w:val="24"/>
        </w:rPr>
      </w:pPr>
      <w:r>
        <w:rPr>
          <w:sz w:val="24"/>
          <w:szCs w:val="24"/>
        </w:rPr>
        <w:t xml:space="preserve">Butler, S., Oltermann, P. and Ferrier, M. (2022). </w:t>
      </w:r>
      <w:r>
        <w:rPr>
          <w:i/>
          <w:iCs/>
          <w:sz w:val="24"/>
          <w:szCs w:val="24"/>
        </w:rPr>
        <w:t>Adidas cuts ties with Kanye West over antisemitic comments</w:t>
      </w:r>
      <w:r>
        <w:rPr>
          <w:sz w:val="24"/>
          <w:szCs w:val="24"/>
        </w:rPr>
        <w:t xml:space="preserve">. [online] the Guardian. Available at: </w:t>
      </w:r>
      <w:r>
        <w:rPr/>
        <w:fldChar w:fldCharType="begin"/>
      </w:r>
      <w:r>
        <w:instrText xml:space="preserve"> HYPERLINK "https://www.theguardian.com/music/2022/oct/25/adidas-cuts-ties-with-kanye-west-over-antisemitic-comments" </w:instrText>
      </w:r>
      <w:r>
        <w:rPr/>
        <w:fldChar w:fldCharType="separate"/>
      </w:r>
      <w:r>
        <w:rPr>
          <w:rStyle w:val="style85"/>
          <w:sz w:val="24"/>
          <w:szCs w:val="24"/>
        </w:rPr>
        <w:t>https://www.theguardian.com/music/2022/oct/25/adidas-cuts-ties-with-kanye-west-over-antisemitic-comments</w:t>
      </w:r>
      <w:r>
        <w:rPr/>
        <w:fldChar w:fldCharType="end"/>
      </w:r>
      <w:r>
        <w:rPr>
          <w:sz w:val="24"/>
          <w:szCs w:val="24"/>
        </w:rPr>
        <w:t xml:space="preserve"> </w:t>
      </w:r>
      <w:r>
        <w:rPr>
          <w:sz w:val="24"/>
          <w:szCs w:val="24"/>
        </w:rPr>
        <w:t>[Accessed 10 Aug. 2026].</w:t>
      </w:r>
    </w:p>
    <w:p w14:paraId="7C3302F6">
      <w:pPr>
        <w:pStyle w:val="style0"/>
        <w:spacing w:after="160" w:lineRule="auto" w:line="360"/>
        <w:jc w:val="both"/>
        <w:rPr>
          <w:sz w:val="24"/>
          <w:szCs w:val="24"/>
        </w:rPr>
      </w:pPr>
      <w:r>
        <w:rPr>
          <w:sz w:val="24"/>
          <w:szCs w:val="24"/>
        </w:rPr>
        <w:t xml:space="preserve">Changing Markets Foundation (2021) Synthetics Anonymous: Fashion Brands' Addiction to Fossil Fuels. Utrecht: Changing Markets Foundation. Available at: </w:t>
      </w:r>
      <w:r>
        <w:rPr/>
        <w:fldChar w:fldCharType="begin"/>
      </w:r>
      <w:r>
        <w:instrText xml:space="preserve"> HYPERLINK "https://changingmarkets.org/report/synthetics-anonymous/" </w:instrText>
      </w:r>
      <w:r>
        <w:rPr/>
        <w:fldChar w:fldCharType="separate"/>
      </w:r>
      <w:r>
        <w:rPr>
          <w:rStyle w:val="style85"/>
          <w:sz w:val="24"/>
          <w:szCs w:val="24"/>
        </w:rPr>
        <w:t>https://changingmarkets.org/report/synthetics-anonymous/</w:t>
      </w:r>
      <w:r>
        <w:rPr/>
        <w:fldChar w:fldCharType="end"/>
      </w:r>
      <w:r>
        <w:rPr>
          <w:sz w:val="24"/>
          <w:szCs w:val="24"/>
        </w:rPr>
        <w:t xml:space="preserve"> [Accessed 10 Aug. 2026].</w:t>
      </w:r>
    </w:p>
    <w:p w14:paraId="4C0597B8">
      <w:pPr>
        <w:pStyle w:val="style0"/>
        <w:spacing w:after="160" w:lineRule="auto" w:line="360"/>
        <w:jc w:val="both"/>
        <w:rPr>
          <w:sz w:val="24"/>
          <w:szCs w:val="24"/>
        </w:rPr>
      </w:pPr>
      <w:r>
        <w:rPr>
          <w:sz w:val="24"/>
          <w:szCs w:val="24"/>
        </w:rPr>
        <w:t xml:space="preserve">Crane, A., Matten, D., Glozer, S. and Spence, L.J., 2019. </w:t>
      </w:r>
      <w:r>
        <w:rPr>
          <w:i/>
          <w:iCs/>
          <w:sz w:val="24"/>
          <w:szCs w:val="24"/>
        </w:rPr>
        <w:t>Business ethics: Managing corporate citizenship and sustainability in the age of globalization</w:t>
      </w:r>
      <w:r>
        <w:rPr>
          <w:sz w:val="24"/>
          <w:szCs w:val="24"/>
        </w:rPr>
        <w:t xml:space="preserve">. Oxford university press. </w:t>
      </w:r>
      <w:r>
        <w:rPr/>
        <w:fldChar w:fldCharType="begin"/>
      </w:r>
      <w:r>
        <w:instrText xml:space="preserve"> HYPERLINK "https://books.google.com/books?hl=en&amp;lr=&amp;id=fcSbDwAAQBAJ&amp;oi=fnd&amp;pg=PP1&amp;dq=Crane,+A.+and+Matten,+D.+(2020)+Business+Ethics:+Managing+Corporate+Citizenship+and+Sustainability+in+the+Age+of+Globalisation.+5th+edn.+Oxford:+Oxford+University+Press.&amp;ots=MtjhfulZOu&amp;sig=Akt1Qp0Ir0iR8XvzFWDcgWmILHE" </w:instrText>
      </w:r>
      <w:r>
        <w:rPr/>
        <w:fldChar w:fldCharType="separate"/>
      </w:r>
      <w:r>
        <w:rPr>
          <w:rStyle w:val="style85"/>
          <w:sz w:val="24"/>
          <w:szCs w:val="24"/>
        </w:rPr>
        <w:t>https://books.google.com/books?hl=en&amp;lr=&amp;id=fcSbDwAAQBAJ&amp;oi=fnd&amp;pg=PP1&amp;dq=Crane,+A.+and+Matten,+D.+(2020)+Business+Ethics:+Managing+Corporate+Citizenship+and+Sustainability+in+the+Age+of+Globalisation.+5th+edn.+Oxford:+Oxford+University+Press.&amp;ots=MtjhfulZOu&amp;sig=Akt1Qp0Ir0iR8XvzFWDcgWmILHE</w:t>
      </w:r>
      <w:r>
        <w:rPr/>
        <w:fldChar w:fldCharType="end"/>
      </w:r>
    </w:p>
    <w:p w14:paraId="0D9A4D88">
      <w:pPr>
        <w:pStyle w:val="style0"/>
        <w:spacing w:after="160" w:lineRule="auto" w:line="360"/>
        <w:jc w:val="both"/>
        <w:rPr>
          <w:sz w:val="24"/>
          <w:szCs w:val="24"/>
        </w:rPr>
      </w:pPr>
      <w:r>
        <w:rPr>
          <w:sz w:val="24"/>
          <w:szCs w:val="24"/>
        </w:rPr>
        <w:t xml:space="preserve">Data Forecast, M. (2026). </w:t>
      </w:r>
      <w:r>
        <w:rPr>
          <w:i/>
          <w:iCs/>
          <w:sz w:val="24"/>
          <w:szCs w:val="24"/>
        </w:rPr>
        <w:t>U.S Athletic Footwear Market Report</w:t>
      </w:r>
      <w:r>
        <w:rPr>
          <w:sz w:val="24"/>
          <w:szCs w:val="24"/>
        </w:rPr>
        <w:t xml:space="preserve">. [online] Market Data Forecast. Available at: </w:t>
      </w:r>
      <w:r>
        <w:rPr/>
        <w:fldChar w:fldCharType="begin"/>
      </w:r>
      <w:r>
        <w:instrText xml:space="preserve"> HYPERLINK "https://www.marketdataforecast.com/market-reports/united-states-athletic-footwear-market" </w:instrText>
      </w:r>
      <w:r>
        <w:rPr/>
        <w:fldChar w:fldCharType="separate"/>
      </w:r>
      <w:r>
        <w:rPr>
          <w:rStyle w:val="style85"/>
          <w:sz w:val="24"/>
          <w:szCs w:val="24"/>
        </w:rPr>
        <w:t>https://www.marketdataforecast.com/market-reports/united-states-athletic-footwear-market</w:t>
      </w:r>
      <w:r>
        <w:rPr/>
        <w:fldChar w:fldCharType="end"/>
      </w:r>
      <w:r>
        <w:rPr>
          <w:sz w:val="24"/>
          <w:szCs w:val="24"/>
        </w:rPr>
        <w:t xml:space="preserve"> [Accessed 10 Aug. 2026].</w:t>
      </w:r>
    </w:p>
    <w:p w14:paraId="739D0C28">
      <w:pPr>
        <w:pStyle w:val="style0"/>
        <w:spacing w:after="160" w:lineRule="auto" w:line="360"/>
        <w:jc w:val="both"/>
        <w:rPr>
          <w:sz w:val="24"/>
          <w:szCs w:val="24"/>
        </w:rPr>
      </w:pPr>
      <w:r>
        <w:rPr>
          <w:sz w:val="24"/>
          <w:szCs w:val="24"/>
        </w:rPr>
        <w:t xml:space="preserve">‌DFB (2023) DFB Partnership with Adidas Extended to 2030. Frankfurt: Deutscher Fussball-Bund. Available at: </w:t>
      </w:r>
      <w:r>
        <w:rPr/>
        <w:fldChar w:fldCharType="begin"/>
      </w:r>
      <w:r>
        <w:instrText xml:space="preserve"> HYPERLINK "https://www.dfb.de" </w:instrText>
      </w:r>
      <w:r>
        <w:rPr/>
        <w:fldChar w:fldCharType="separate"/>
      </w:r>
      <w:r>
        <w:rPr>
          <w:rStyle w:val="style85"/>
          <w:sz w:val="24"/>
          <w:szCs w:val="24"/>
        </w:rPr>
        <w:t>https://www.dfb.de</w:t>
      </w:r>
      <w:r>
        <w:rPr/>
        <w:fldChar w:fldCharType="end"/>
      </w:r>
      <w:r>
        <w:rPr>
          <w:sz w:val="24"/>
          <w:szCs w:val="24"/>
        </w:rPr>
        <w:t>  [Accessed 10 Aug. 2026].</w:t>
      </w:r>
    </w:p>
    <w:p w14:paraId="6AE84BBF">
      <w:pPr>
        <w:pStyle w:val="style0"/>
        <w:spacing w:after="160" w:lineRule="auto" w:line="360"/>
        <w:jc w:val="both"/>
        <w:rPr>
          <w:sz w:val="24"/>
          <w:szCs w:val="24"/>
        </w:rPr>
      </w:pPr>
      <w:r>
        <w:rPr>
          <w:sz w:val="24"/>
          <w:szCs w:val="24"/>
        </w:rPr>
        <w:t xml:space="preserve">Dhinessh Kumar, A., (2025) Factors that Influence Customer Intention to Buy Adidas Product. </w:t>
      </w:r>
      <w:r>
        <w:rPr/>
        <w:fldChar w:fldCharType="begin"/>
      </w:r>
      <w:r>
        <w:instrText xml:space="preserve"> HYPERLINK "https://bsq.cultechpub.com/index.php/bsq/article/view/2" </w:instrText>
      </w:r>
      <w:r>
        <w:rPr/>
        <w:fldChar w:fldCharType="separate"/>
      </w:r>
      <w:r>
        <w:rPr>
          <w:rStyle w:val="style85"/>
          <w:sz w:val="24"/>
          <w:szCs w:val="24"/>
        </w:rPr>
        <w:t>https://bsq.cultechpub.com/index.php/bsq/article/view/2</w:t>
      </w:r>
      <w:r>
        <w:rPr/>
        <w:fldChar w:fldCharType="end"/>
      </w:r>
      <w:r>
        <w:rPr>
          <w:sz w:val="24"/>
          <w:szCs w:val="24"/>
        </w:rPr>
        <w:t> </w:t>
      </w:r>
    </w:p>
    <w:p w14:paraId="6CAEC9E8">
      <w:pPr>
        <w:pStyle w:val="style0"/>
        <w:spacing w:after="160" w:lineRule="auto" w:line="360"/>
        <w:jc w:val="both"/>
        <w:rPr>
          <w:sz w:val="24"/>
          <w:szCs w:val="24"/>
        </w:rPr>
      </w:pPr>
      <w:r>
        <w:rPr>
          <w:sz w:val="24"/>
          <w:szCs w:val="24"/>
        </w:rPr>
        <w:t xml:space="preserve">‌Dzreke, S.S. and Dzreke, S., 2025. Influence of social media on consumer behavior: Investigating how social media platforms shape consumer purchasing decisions and loyalty. </w:t>
      </w:r>
      <w:r>
        <w:rPr>
          <w:i/>
          <w:iCs/>
          <w:sz w:val="24"/>
          <w:szCs w:val="24"/>
        </w:rPr>
        <w:t>Open Journal of Business and Management</w:t>
      </w:r>
      <w:r>
        <w:rPr>
          <w:sz w:val="24"/>
          <w:szCs w:val="24"/>
        </w:rPr>
        <w:t xml:space="preserve">, </w:t>
      </w:r>
      <w:r>
        <w:rPr>
          <w:i/>
          <w:iCs/>
          <w:sz w:val="24"/>
          <w:szCs w:val="24"/>
        </w:rPr>
        <w:t>13</w:t>
      </w:r>
      <w:r>
        <w:rPr>
          <w:sz w:val="24"/>
          <w:szCs w:val="24"/>
        </w:rPr>
        <w:t xml:space="preserve">(2), pp.1154-1175. </w:t>
      </w:r>
      <w:r>
        <w:rPr/>
        <w:fldChar w:fldCharType="begin"/>
      </w:r>
      <w:r>
        <w:instrText xml:space="preserve"> HYPERLINK "https://www.scirp.net/journal/paperinformation?paperid=141251" </w:instrText>
      </w:r>
      <w:r>
        <w:rPr/>
        <w:fldChar w:fldCharType="separate"/>
      </w:r>
      <w:r>
        <w:rPr>
          <w:rStyle w:val="style85"/>
          <w:sz w:val="24"/>
          <w:szCs w:val="24"/>
        </w:rPr>
        <w:t>https://www.scirp.net/journal/paperinformation?paperid=141251</w:t>
      </w:r>
      <w:r>
        <w:rPr/>
        <w:fldChar w:fldCharType="end"/>
      </w:r>
      <w:r>
        <w:rPr>
          <w:sz w:val="24"/>
          <w:szCs w:val="24"/>
        </w:rPr>
        <w:t> </w:t>
      </w:r>
    </w:p>
    <w:p w14:paraId="0884BC4D">
      <w:pPr>
        <w:pStyle w:val="style0"/>
        <w:spacing w:after="160" w:lineRule="auto" w:line="360"/>
        <w:jc w:val="both"/>
        <w:rPr>
          <w:sz w:val="24"/>
          <w:szCs w:val="24"/>
        </w:rPr>
      </w:pPr>
      <w:r>
        <w:rPr>
          <w:sz w:val="24"/>
          <w:szCs w:val="24"/>
        </w:rPr>
        <w:t xml:space="preserve">Edelman (2023) Edelman Trust Barometer 2023. New York: Edelman. Available at: </w:t>
      </w:r>
      <w:r>
        <w:rPr/>
        <w:fldChar w:fldCharType="begin"/>
      </w:r>
      <w:r>
        <w:instrText xml:space="preserve"> HYPERLINK "https://www.edelman.com/trust/2023/trust-barometer" </w:instrText>
      </w:r>
      <w:r>
        <w:rPr/>
        <w:fldChar w:fldCharType="separate"/>
      </w:r>
      <w:r>
        <w:rPr>
          <w:rStyle w:val="style85"/>
          <w:sz w:val="24"/>
          <w:szCs w:val="24"/>
        </w:rPr>
        <w:t>https://www.edelman.com/trust/2023/trust-barometer</w:t>
      </w:r>
      <w:r>
        <w:rPr/>
        <w:fldChar w:fldCharType="end"/>
      </w:r>
      <w:r>
        <w:rPr>
          <w:sz w:val="24"/>
          <w:szCs w:val="24"/>
        </w:rPr>
        <w:t>  [Accessed 10 Aug. 2026].</w:t>
      </w:r>
    </w:p>
    <w:p w14:paraId="6738828E">
      <w:pPr>
        <w:pStyle w:val="style0"/>
        <w:spacing w:after="160" w:lineRule="auto" w:line="360"/>
        <w:jc w:val="both"/>
        <w:rPr>
          <w:sz w:val="24"/>
          <w:szCs w:val="24"/>
        </w:rPr>
      </w:pPr>
      <w:r>
        <w:rPr>
          <w:sz w:val="24"/>
          <w:szCs w:val="24"/>
          <w:lang w:val="de-DE"/>
        </w:rPr>
        <w:t xml:space="preserve">Euromonitor. (2026). </w:t>
      </w:r>
      <w:r>
        <w:rPr>
          <w:i/>
          <w:iCs/>
          <w:sz w:val="24"/>
          <w:szCs w:val="24"/>
          <w:lang w:val="de-DE"/>
        </w:rPr>
        <w:t>Euromonitor International</w:t>
      </w:r>
      <w:r>
        <w:rPr>
          <w:sz w:val="24"/>
          <w:szCs w:val="24"/>
          <w:lang w:val="de-DE"/>
        </w:rPr>
        <w:t xml:space="preserve">. </w:t>
      </w:r>
      <w:r>
        <w:rPr>
          <w:sz w:val="24"/>
          <w:szCs w:val="24"/>
        </w:rPr>
        <w:t xml:space="preserve">[online] Available at: </w:t>
      </w:r>
      <w:r>
        <w:rPr/>
        <w:fldChar w:fldCharType="begin"/>
      </w:r>
      <w:r>
        <w:instrText xml:space="preserve"> HYPERLINK "https://www.euromonitor.com/sportswear-in-western-europe/report" </w:instrText>
      </w:r>
      <w:r>
        <w:rPr/>
        <w:fldChar w:fldCharType="separate"/>
      </w:r>
      <w:r>
        <w:rPr>
          <w:rStyle w:val="style85"/>
          <w:sz w:val="24"/>
          <w:szCs w:val="24"/>
        </w:rPr>
        <w:t>https://www.euromonitor.com/sportswear-in-western-europe/report</w:t>
      </w:r>
      <w:r>
        <w:rPr/>
        <w:fldChar w:fldCharType="end"/>
      </w:r>
      <w:r>
        <w:rPr>
          <w:sz w:val="24"/>
          <w:szCs w:val="24"/>
        </w:rPr>
        <w:t xml:space="preserve"> [Accessed 10 Aug. 2026].</w:t>
      </w:r>
    </w:p>
    <w:p w14:paraId="7DF55E58">
      <w:pPr>
        <w:pStyle w:val="style0"/>
        <w:spacing w:after="160" w:lineRule="auto" w:line="360"/>
        <w:jc w:val="both"/>
        <w:rPr>
          <w:sz w:val="24"/>
          <w:szCs w:val="24"/>
        </w:rPr>
      </w:pPr>
      <w:r>
        <w:rPr>
          <w:sz w:val="24"/>
          <w:szCs w:val="24"/>
        </w:rPr>
        <w:t xml:space="preserve">European Commission (2023) The European Union Single Market. Brussels: European Commission. Available at: </w:t>
      </w:r>
      <w:r>
        <w:rPr/>
        <w:fldChar w:fldCharType="begin"/>
      </w:r>
      <w:r>
        <w:instrText xml:space="preserve"> HYPERLINK "https://ec.europa.eu/internal_market" </w:instrText>
      </w:r>
      <w:r>
        <w:rPr/>
        <w:fldChar w:fldCharType="separate"/>
      </w:r>
      <w:r>
        <w:rPr>
          <w:rStyle w:val="style85"/>
          <w:sz w:val="24"/>
          <w:szCs w:val="24"/>
        </w:rPr>
        <w:t>https://ec.europa .eu/internal_market</w:t>
      </w:r>
      <w:r>
        <w:rPr/>
        <w:fldChar w:fldCharType="end"/>
      </w:r>
      <w:r>
        <w:rPr>
          <w:sz w:val="24"/>
          <w:szCs w:val="24"/>
        </w:rPr>
        <w:t xml:space="preserve"> [Accessed 10 Aug. 2026].</w:t>
      </w:r>
    </w:p>
    <w:p w14:paraId="4931513A">
      <w:pPr>
        <w:pStyle w:val="style0"/>
        <w:spacing w:after="160" w:lineRule="auto" w:line="360"/>
        <w:jc w:val="both"/>
        <w:rPr>
          <w:sz w:val="24"/>
          <w:szCs w:val="24"/>
        </w:rPr>
      </w:pPr>
      <w:r>
        <w:rPr>
          <w:sz w:val="24"/>
          <w:szCs w:val="24"/>
        </w:rPr>
        <w:t xml:space="preserve">‌Eurostat (2023) R&amp;D Expenditure Statistics in Europe. Luxembourg: Eurostat. Available at: </w:t>
      </w:r>
      <w:r>
        <w:rPr/>
        <w:fldChar w:fldCharType="begin"/>
      </w:r>
      <w:r>
        <w:instrText xml:space="preserve"> HYPERLINK "https://ec.europa.eu/eurostat/statistics-explained/index.php/R%26D_expenditure" </w:instrText>
      </w:r>
      <w:r>
        <w:rPr/>
        <w:fldChar w:fldCharType="separate"/>
      </w:r>
      <w:r>
        <w:rPr>
          <w:rStyle w:val="style85"/>
          <w:sz w:val="24"/>
          <w:szCs w:val="24"/>
        </w:rPr>
        <w:t>https://ec.europa.eu/eurostat/statistics-explained/index.php/R%26D_expenditure</w:t>
      </w:r>
      <w:r>
        <w:rPr/>
        <w:fldChar w:fldCharType="end"/>
      </w:r>
      <w:r>
        <w:rPr>
          <w:sz w:val="24"/>
          <w:szCs w:val="24"/>
        </w:rPr>
        <w:t xml:space="preserve"> </w:t>
      </w:r>
    </w:p>
    <w:p w14:paraId="0405F045">
      <w:pPr>
        <w:pStyle w:val="style0"/>
        <w:spacing w:after="160" w:lineRule="auto" w:line="360"/>
        <w:jc w:val="both"/>
        <w:rPr>
          <w:sz w:val="24"/>
          <w:szCs w:val="24"/>
        </w:rPr>
      </w:pPr>
      <w:r>
        <w:rPr>
          <w:sz w:val="24"/>
          <w:szCs w:val="24"/>
        </w:rPr>
        <w:t xml:space="preserve">Fisch, J. and Miazad, A., 2026. Sustainable Finance and Corporate Law: Lessons from the US. </w:t>
      </w:r>
      <w:r>
        <w:rPr/>
        <w:fldChar w:fldCharType="begin"/>
      </w:r>
      <w:r>
        <w:instrText xml:space="preserve"> HYPERLINK "https://www.ecgi.global/publications/working-papers/sustainable-finance-and-corporate-law-lessons-from-the-us" </w:instrText>
      </w:r>
      <w:r>
        <w:rPr/>
        <w:fldChar w:fldCharType="separate"/>
      </w:r>
      <w:r>
        <w:rPr>
          <w:rStyle w:val="style85"/>
          <w:sz w:val="24"/>
          <w:szCs w:val="24"/>
        </w:rPr>
        <w:t>https://www.ecgi.global/publications/working-papers/sustainable-finance-and-corporate-law-lessons-from-the-us</w:t>
      </w:r>
      <w:r>
        <w:rPr/>
        <w:fldChar w:fldCharType="end"/>
      </w:r>
      <w:r>
        <w:rPr>
          <w:sz w:val="24"/>
          <w:szCs w:val="24"/>
        </w:rPr>
        <w:t> </w:t>
      </w:r>
    </w:p>
    <w:p w14:paraId="72DF4481">
      <w:pPr>
        <w:pStyle w:val="style0"/>
        <w:spacing w:after="160" w:lineRule="auto" w:line="360"/>
        <w:jc w:val="both"/>
        <w:rPr>
          <w:sz w:val="24"/>
          <w:szCs w:val="24"/>
          <w:lang w:val="de-DE"/>
        </w:rPr>
      </w:pPr>
      <w:r>
        <w:rPr>
          <w:sz w:val="24"/>
          <w:szCs w:val="24"/>
        </w:rPr>
        <w:t xml:space="preserve">Fränzel, N., 2025. </w:t>
      </w:r>
      <w:r>
        <w:rPr>
          <w:i/>
          <w:iCs/>
          <w:sz w:val="24"/>
          <w:szCs w:val="24"/>
        </w:rPr>
        <w:t>Customer Experience in the Context of Omnichannel Retailing</w:t>
      </w:r>
      <w:r>
        <w:rPr>
          <w:sz w:val="24"/>
          <w:szCs w:val="24"/>
        </w:rPr>
        <w:t xml:space="preserve">. </w:t>
      </w:r>
      <w:r>
        <w:rPr>
          <w:sz w:val="24"/>
          <w:szCs w:val="24"/>
          <w:lang w:val="de-DE"/>
        </w:rPr>
        <w:t xml:space="preserve">Handel. </w:t>
      </w:r>
      <w:r>
        <w:rPr/>
        <w:fldChar w:fldCharType="begin"/>
      </w:r>
      <w:r>
        <w:instrText xml:space="preserve"> HYPERLINK "https://link.springer.com/content/pdf/10.1007/978-3-658-47568-0.pdf" </w:instrText>
      </w:r>
      <w:r>
        <w:rPr/>
        <w:fldChar w:fldCharType="separate"/>
      </w:r>
      <w:r>
        <w:rPr>
          <w:rStyle w:val="style85"/>
          <w:sz w:val="24"/>
          <w:szCs w:val="24"/>
          <w:lang w:val="de-DE"/>
        </w:rPr>
        <w:t>https://link.springer.com/content/pdf/10.1007/978-3-658-47568-0.pdf</w:t>
      </w:r>
      <w:r>
        <w:rPr/>
        <w:fldChar w:fldCharType="end"/>
      </w:r>
      <w:r>
        <w:rPr>
          <w:sz w:val="24"/>
          <w:szCs w:val="24"/>
          <w:lang w:val="de-DE"/>
        </w:rPr>
        <w:t> </w:t>
      </w:r>
    </w:p>
    <w:p w14:paraId="7A5406F7">
      <w:pPr>
        <w:pStyle w:val="style0"/>
        <w:spacing w:after="160" w:lineRule="auto" w:line="360"/>
        <w:jc w:val="both"/>
        <w:rPr>
          <w:sz w:val="24"/>
          <w:szCs w:val="24"/>
        </w:rPr>
      </w:pPr>
      <w:r>
        <w:rPr>
          <w:sz w:val="24"/>
          <w:szCs w:val="24"/>
        </w:rPr>
        <w:t xml:space="preserve">Gaius Ufondu (2025). </w:t>
      </w:r>
      <w:r>
        <w:rPr>
          <w:i/>
          <w:iCs/>
          <w:sz w:val="24"/>
          <w:szCs w:val="24"/>
        </w:rPr>
        <w:t>Adidas US Sales Analysis (2020–2021)</w:t>
      </w:r>
      <w:r>
        <w:rPr>
          <w:sz w:val="24"/>
          <w:szCs w:val="24"/>
        </w:rPr>
        <w:t xml:space="preserve">. [online] Medium. Available at: </w:t>
      </w:r>
      <w:r>
        <w:rPr/>
        <w:fldChar w:fldCharType="begin"/>
      </w:r>
      <w:r>
        <w:instrText xml:space="preserve"> HYPERLINK "https://medium.com/@gaiusufondu/adidas-us-sales-analysis-2020-2021-08c7bc3ac497" </w:instrText>
      </w:r>
      <w:r>
        <w:rPr/>
        <w:fldChar w:fldCharType="separate"/>
      </w:r>
      <w:r>
        <w:rPr>
          <w:rStyle w:val="style85"/>
          <w:sz w:val="24"/>
          <w:szCs w:val="24"/>
        </w:rPr>
        <w:t>https://medium.com/@gaiusufondu/adidas-us-sales-analysis-2020-2021-08c7bc3ac497</w:t>
      </w:r>
      <w:r>
        <w:rPr/>
        <w:fldChar w:fldCharType="end"/>
      </w:r>
      <w:r>
        <w:rPr>
          <w:sz w:val="24"/>
          <w:szCs w:val="24"/>
        </w:rPr>
        <w:t xml:space="preserve"> [Accessed 10 Aug. 2026].</w:t>
      </w:r>
    </w:p>
    <w:p w14:paraId="049C268C">
      <w:pPr>
        <w:pStyle w:val="style0"/>
        <w:spacing w:after="160" w:lineRule="auto" w:line="360"/>
        <w:jc w:val="both"/>
        <w:rPr>
          <w:sz w:val="24"/>
          <w:szCs w:val="24"/>
        </w:rPr>
      </w:pPr>
      <w:r>
        <w:rPr>
          <w:sz w:val="24"/>
          <w:szCs w:val="24"/>
        </w:rPr>
        <w:t xml:space="preserve">Gibbs, G. (1988) Learning by Doing: A Guide to Teaching and Learning Methods. Oxford: Oxford Polytechnic. Available at: </w:t>
      </w:r>
      <w:r>
        <w:rPr/>
        <w:fldChar w:fldCharType="begin"/>
      </w:r>
      <w:r>
        <w:instrText xml:space="preserve"> HYPERLINK "https://thoughtsmostlyaboutlearning.files.wordpress.com/2015/12/learning-by-doing-graham-gibbs.pdf" </w:instrText>
      </w:r>
      <w:r>
        <w:rPr/>
        <w:fldChar w:fldCharType="separate"/>
      </w:r>
      <w:r>
        <w:rPr>
          <w:rStyle w:val="style85"/>
          <w:sz w:val="24"/>
          <w:szCs w:val="24"/>
        </w:rPr>
        <w:t>https://thoughtsmostlyaboutlearning.files.wordpress.com/2015/12/learning-by-doing-graham-gibbs.pdf</w:t>
      </w:r>
      <w:r>
        <w:rPr/>
        <w:fldChar w:fldCharType="end"/>
      </w:r>
      <w:r>
        <w:rPr>
          <w:sz w:val="24"/>
          <w:szCs w:val="24"/>
        </w:rPr>
        <w:t>  [Accessed 10 Aug. 2026].</w:t>
      </w:r>
    </w:p>
    <w:p w14:paraId="757F833A">
      <w:pPr>
        <w:pStyle w:val="style0"/>
        <w:spacing w:after="160" w:lineRule="auto" w:line="360"/>
        <w:jc w:val="both"/>
        <w:rPr>
          <w:sz w:val="24"/>
          <w:szCs w:val="24"/>
        </w:rPr>
      </w:pPr>
      <w:r>
        <w:rPr>
          <w:sz w:val="24"/>
          <w:szCs w:val="24"/>
        </w:rPr>
        <w:t xml:space="preserve">Hofstede Insights (2023) Country Comparison Tool: Germany and USA. Available at: </w:t>
      </w:r>
      <w:r>
        <w:rPr/>
        <w:fldChar w:fldCharType="begin"/>
      </w:r>
      <w:r>
        <w:instrText xml:space="preserve"> HYPERLINK "https://www.hofstede-insights.com/country-comparison/germany,the-usa/" </w:instrText>
      </w:r>
      <w:r>
        <w:rPr/>
        <w:fldChar w:fldCharType="separate"/>
      </w:r>
      <w:r>
        <w:rPr>
          <w:rStyle w:val="style85"/>
          <w:sz w:val="24"/>
          <w:szCs w:val="24"/>
        </w:rPr>
        <w:t>https://www.hofstede-insights.com/country-comparison/germany,the-usa/</w:t>
      </w:r>
      <w:r>
        <w:rPr/>
        <w:fldChar w:fldCharType="end"/>
      </w:r>
      <w:r>
        <w:rPr>
          <w:sz w:val="24"/>
          <w:szCs w:val="24"/>
        </w:rPr>
        <w:t xml:space="preserve"> [Accessed 10 Aug. 2026].</w:t>
      </w:r>
    </w:p>
    <w:p w14:paraId="37DA3504">
      <w:pPr>
        <w:pStyle w:val="style0"/>
        <w:spacing w:after="160" w:lineRule="auto" w:line="360"/>
        <w:jc w:val="both"/>
        <w:rPr>
          <w:sz w:val="24"/>
          <w:szCs w:val="24"/>
        </w:rPr>
      </w:pPr>
      <w:r>
        <w:rPr>
          <w:sz w:val="24"/>
          <w:szCs w:val="24"/>
        </w:rPr>
        <w:t xml:space="preserve">‌Johanson, J. and Vahlne, J.E., 2009. The Uppsala internationalization process model revisited: From liability of foreignness to liability of outsidership. </w:t>
      </w:r>
      <w:r>
        <w:rPr>
          <w:i/>
          <w:iCs/>
          <w:sz w:val="24"/>
          <w:szCs w:val="24"/>
        </w:rPr>
        <w:t>Journal of international business studies</w:t>
      </w:r>
      <w:r>
        <w:rPr>
          <w:sz w:val="24"/>
          <w:szCs w:val="24"/>
        </w:rPr>
        <w:t xml:space="preserve">, </w:t>
      </w:r>
      <w:r>
        <w:rPr>
          <w:i/>
          <w:iCs/>
          <w:sz w:val="24"/>
          <w:szCs w:val="24"/>
        </w:rPr>
        <w:t>40</w:t>
      </w:r>
      <w:r>
        <w:rPr>
          <w:sz w:val="24"/>
          <w:szCs w:val="24"/>
        </w:rPr>
        <w:t xml:space="preserve">(9), pp.1411-1431. </w:t>
      </w:r>
      <w:r>
        <w:rPr/>
        <w:fldChar w:fldCharType="begin"/>
      </w:r>
      <w:r>
        <w:instrText xml:space="preserve"> HYPERLINK "https://link.springer.com/article/10.1057/jibs.2009.24" </w:instrText>
      </w:r>
      <w:r>
        <w:rPr/>
        <w:fldChar w:fldCharType="separate"/>
      </w:r>
      <w:r>
        <w:rPr>
          <w:rStyle w:val="style85"/>
          <w:sz w:val="24"/>
          <w:szCs w:val="24"/>
        </w:rPr>
        <w:t>https://link.springer.com/article/10.1057/jibs.2009.24</w:t>
      </w:r>
      <w:r>
        <w:rPr/>
        <w:fldChar w:fldCharType="end"/>
      </w:r>
      <w:r>
        <w:rPr>
          <w:sz w:val="24"/>
          <w:szCs w:val="24"/>
        </w:rPr>
        <w:t> </w:t>
      </w:r>
    </w:p>
    <w:p w14:paraId="4930B87D">
      <w:pPr>
        <w:pStyle w:val="style0"/>
        <w:spacing w:after="160" w:lineRule="auto" w:line="360"/>
        <w:jc w:val="both"/>
        <w:rPr>
          <w:sz w:val="24"/>
          <w:szCs w:val="24"/>
        </w:rPr>
      </w:pPr>
      <w:r>
        <w:rPr>
          <w:sz w:val="24"/>
          <w:szCs w:val="24"/>
        </w:rPr>
        <w:t xml:space="preserve">Manalac, A. (2019). </w:t>
      </w:r>
      <w:r>
        <w:rPr>
          <w:i/>
          <w:iCs/>
          <w:sz w:val="24"/>
          <w:szCs w:val="24"/>
        </w:rPr>
        <w:t>Adidas AR Sneakers Try-On App</w:t>
      </w:r>
      <w:r>
        <w:rPr>
          <w:sz w:val="24"/>
          <w:szCs w:val="24"/>
        </w:rPr>
        <w:t xml:space="preserve">. [online] Virtual Reality Marketing. Available at: </w:t>
      </w:r>
      <w:r>
        <w:rPr/>
        <w:fldChar w:fldCharType="begin"/>
      </w:r>
      <w:r>
        <w:instrText xml:space="preserve"> HYPERLINK "https://www.virtualrealitymarketing.com/case-studies/adidas-ar-sneakers-try-on-app-2/" </w:instrText>
      </w:r>
      <w:r>
        <w:rPr/>
        <w:fldChar w:fldCharType="separate"/>
      </w:r>
      <w:r>
        <w:rPr>
          <w:rStyle w:val="style85"/>
          <w:sz w:val="24"/>
          <w:szCs w:val="24"/>
        </w:rPr>
        <w:t>https://www.virtualrealitymarketing.com/case-studies/adidas-ar-sneakers-try-on-app-2/</w:t>
      </w:r>
      <w:r>
        <w:rPr/>
        <w:fldChar w:fldCharType="end"/>
      </w:r>
      <w:r>
        <w:rPr>
          <w:sz w:val="24"/>
          <w:szCs w:val="24"/>
        </w:rPr>
        <w:t>  [Accessed 10 Aug. 2026].</w:t>
      </w:r>
    </w:p>
    <w:p w14:paraId="6D226BAC">
      <w:pPr>
        <w:pStyle w:val="style0"/>
        <w:spacing w:after="160" w:lineRule="auto" w:line="360"/>
        <w:jc w:val="both"/>
        <w:rPr>
          <w:sz w:val="24"/>
          <w:szCs w:val="24"/>
        </w:rPr>
      </w:pPr>
      <w:r>
        <w:rPr>
          <w:sz w:val="24"/>
          <w:szCs w:val="24"/>
        </w:rPr>
        <w:t xml:space="preserve">‌Nielsen (2023) Sustainability and the Premium Consumer: European Report 2023. New York: Nielsen. Available at: </w:t>
      </w:r>
      <w:r>
        <w:rPr/>
        <w:fldChar w:fldCharType="begin"/>
      </w:r>
      <w:r>
        <w:instrText xml:space="preserve"> HYPERLINK "https://www.nielsen.com" </w:instrText>
      </w:r>
      <w:r>
        <w:rPr/>
        <w:fldChar w:fldCharType="separate"/>
      </w:r>
      <w:r>
        <w:rPr>
          <w:rStyle w:val="style85"/>
          <w:sz w:val="24"/>
          <w:szCs w:val="24"/>
        </w:rPr>
        <w:t>https://www.nielsen.com</w:t>
      </w:r>
      <w:r>
        <w:rPr/>
        <w:fldChar w:fldCharType="end"/>
      </w:r>
      <w:r>
        <w:rPr>
          <w:sz w:val="24"/>
          <w:szCs w:val="24"/>
        </w:rPr>
        <w:t>  [Accessed 10 Aug. 2026].</w:t>
      </w:r>
    </w:p>
    <w:p w14:paraId="5C89A4A3">
      <w:pPr>
        <w:pStyle w:val="style0"/>
        <w:spacing w:after="160" w:lineRule="auto" w:line="360"/>
        <w:jc w:val="both"/>
        <w:rPr>
          <w:sz w:val="24"/>
          <w:szCs w:val="24"/>
        </w:rPr>
      </w:pPr>
      <w:r>
        <w:rPr>
          <w:sz w:val="24"/>
          <w:szCs w:val="24"/>
        </w:rPr>
        <w:t xml:space="preserve">profit.org (2026). </w:t>
      </w:r>
      <w:r>
        <w:rPr>
          <w:i/>
          <w:iCs/>
          <w:sz w:val="24"/>
          <w:szCs w:val="24"/>
        </w:rPr>
        <w:t>TakeProfit</w:t>
      </w:r>
      <w:r>
        <w:rPr>
          <w:sz w:val="24"/>
          <w:szCs w:val="24"/>
        </w:rPr>
        <w:t xml:space="preserve">. [online] Take-Profit. Available at: </w:t>
      </w:r>
      <w:r>
        <w:rPr/>
        <w:fldChar w:fldCharType="begin"/>
      </w:r>
      <w:r>
        <w:instrText xml:space="preserve"> HYPERLINK "https://take-profit.org/en/statistics/unemployment-rate/germany/" </w:instrText>
      </w:r>
      <w:r>
        <w:rPr/>
        <w:fldChar w:fldCharType="separate"/>
      </w:r>
      <w:r>
        <w:rPr>
          <w:rStyle w:val="style85"/>
          <w:sz w:val="24"/>
          <w:szCs w:val="24"/>
        </w:rPr>
        <w:t>https://take-profit.org/en/statistics/unemployment-rate/germany/</w:t>
      </w:r>
      <w:r>
        <w:rPr/>
        <w:fldChar w:fldCharType="end"/>
      </w:r>
      <w:r>
        <w:rPr>
          <w:sz w:val="24"/>
          <w:szCs w:val="24"/>
        </w:rPr>
        <w:t xml:space="preserve"> [Accessed 10 Aug. 2026].</w:t>
      </w:r>
    </w:p>
    <w:p w14:paraId="277DE47F">
      <w:pPr>
        <w:pStyle w:val="style0"/>
        <w:spacing w:after="160" w:lineRule="auto" w:line="360"/>
        <w:jc w:val="both"/>
        <w:rPr>
          <w:sz w:val="24"/>
          <w:szCs w:val="24"/>
        </w:rPr>
      </w:pPr>
      <w:r>
        <w:rPr>
          <w:sz w:val="24"/>
          <w:szCs w:val="24"/>
        </w:rPr>
        <w:t xml:space="preserve">‌Radaković, M., Turčinović, Ž. and Gavrilović, A., 2023. Brand management on the example of “adidas AG “. </w:t>
      </w:r>
      <w:r>
        <w:rPr>
          <w:i/>
          <w:iCs/>
          <w:sz w:val="24"/>
          <w:szCs w:val="24"/>
        </w:rPr>
        <w:t>SPORTICOPEDIA-SMB</w:t>
      </w:r>
      <w:r>
        <w:rPr>
          <w:sz w:val="24"/>
          <w:szCs w:val="24"/>
        </w:rPr>
        <w:t xml:space="preserve">, </w:t>
      </w:r>
      <w:r>
        <w:rPr>
          <w:i/>
          <w:iCs/>
          <w:sz w:val="24"/>
          <w:szCs w:val="24"/>
        </w:rPr>
        <w:t>1</w:t>
      </w:r>
      <w:r>
        <w:rPr>
          <w:sz w:val="24"/>
          <w:szCs w:val="24"/>
        </w:rPr>
        <w:t xml:space="preserve">(1), pp.199-216. </w:t>
      </w:r>
      <w:r>
        <w:rPr/>
        <w:fldChar w:fldCharType="begin"/>
      </w:r>
      <w:r>
        <w:instrText xml:space="preserve"> HYPERLINK "https://www.ceeol.com/search/article-detail?id=1215074" </w:instrText>
      </w:r>
      <w:r>
        <w:rPr/>
        <w:fldChar w:fldCharType="separate"/>
      </w:r>
      <w:r>
        <w:rPr>
          <w:rStyle w:val="style85"/>
          <w:sz w:val="24"/>
          <w:szCs w:val="24"/>
        </w:rPr>
        <w:t>https://www.ceeol.com/search/article-detail?id=1215074</w:t>
      </w:r>
      <w:r>
        <w:rPr/>
        <w:fldChar w:fldCharType="end"/>
      </w:r>
      <w:r>
        <w:rPr>
          <w:sz w:val="24"/>
          <w:szCs w:val="24"/>
        </w:rPr>
        <w:t> </w:t>
      </w:r>
    </w:p>
    <w:p w14:paraId="23B3A977">
      <w:pPr>
        <w:pStyle w:val="style0"/>
        <w:spacing w:after="160" w:lineRule="auto" w:line="360"/>
        <w:jc w:val="both"/>
        <w:rPr>
          <w:sz w:val="24"/>
          <w:szCs w:val="24"/>
        </w:rPr>
      </w:pPr>
      <w:r>
        <w:rPr>
          <w:sz w:val="24"/>
          <w:szCs w:val="24"/>
        </w:rPr>
        <w:t xml:space="preserve">Raj Shrivastav (2024). </w:t>
      </w:r>
      <w:r>
        <w:rPr>
          <w:i/>
          <w:iCs/>
          <w:sz w:val="24"/>
          <w:szCs w:val="24"/>
        </w:rPr>
        <w:t>Germany Athleisure Market Overview, 2029</w:t>
      </w:r>
      <w:r>
        <w:rPr>
          <w:sz w:val="24"/>
          <w:szCs w:val="24"/>
        </w:rPr>
        <w:t xml:space="preserve">. [online] Bonafide Research. Available at: </w:t>
      </w:r>
      <w:r>
        <w:rPr/>
        <w:fldChar w:fldCharType="begin"/>
      </w:r>
      <w:r>
        <w:instrText xml:space="preserve"> HYPERLINK "https://www.bonafideresearch.com/product/6410160503/germany-athleisure-market" </w:instrText>
      </w:r>
      <w:r>
        <w:rPr/>
        <w:fldChar w:fldCharType="separate"/>
      </w:r>
      <w:r>
        <w:rPr>
          <w:rStyle w:val="style85"/>
          <w:sz w:val="24"/>
          <w:szCs w:val="24"/>
        </w:rPr>
        <w:t>https://www.bonafideresearch.com/product/6410160503/germany-athleisure-market</w:t>
      </w:r>
      <w:r>
        <w:rPr/>
        <w:fldChar w:fldCharType="end"/>
      </w:r>
      <w:r>
        <w:rPr>
          <w:sz w:val="24"/>
          <w:szCs w:val="24"/>
        </w:rPr>
        <w:t xml:space="preserve"> [Accessed 10 Aug. 2026].</w:t>
      </w:r>
    </w:p>
    <w:p w14:paraId="3E78FF17">
      <w:pPr>
        <w:pStyle w:val="style0"/>
        <w:spacing w:after="160" w:lineRule="auto" w:line="360"/>
        <w:jc w:val="both"/>
        <w:rPr>
          <w:sz w:val="24"/>
          <w:szCs w:val="24"/>
        </w:rPr>
      </w:pPr>
      <w:r>
        <w:rPr>
          <w:sz w:val="24"/>
          <w:szCs w:val="24"/>
        </w:rPr>
        <w:t xml:space="preserve">Reid, J. and Golden, J. (2022). </w:t>
      </w:r>
      <w:r>
        <w:rPr>
          <w:i/>
          <w:iCs/>
          <w:sz w:val="24"/>
          <w:szCs w:val="24"/>
        </w:rPr>
        <w:t>Adidas terminates Ye partnership, Gap removes Yeezy items over rapper’s antisemitic remarks</w:t>
      </w:r>
      <w:r>
        <w:rPr>
          <w:sz w:val="24"/>
          <w:szCs w:val="24"/>
        </w:rPr>
        <w:t xml:space="preserve">. [online] CNBC. Available at: </w:t>
      </w:r>
      <w:r>
        <w:rPr/>
        <w:fldChar w:fldCharType="begin"/>
      </w:r>
      <w:r>
        <w:instrText xml:space="preserve"> HYPERLINK "https://www.cnbc.com/2022/10/25/adidas-terminates-partnership-with-ye-following-rappers-antisemitic-remarks.html" </w:instrText>
      </w:r>
      <w:r>
        <w:rPr/>
        <w:fldChar w:fldCharType="separate"/>
      </w:r>
      <w:r>
        <w:rPr>
          <w:rStyle w:val="style85"/>
          <w:sz w:val="24"/>
          <w:szCs w:val="24"/>
        </w:rPr>
        <w:t>https://www.cnbc.com/2022/10/25/adidas-terminates-partnership-with-ye-following-rappers-antisemitic-remarks.html</w:t>
      </w:r>
      <w:r>
        <w:rPr/>
        <w:fldChar w:fldCharType="end"/>
      </w:r>
      <w:r>
        <w:rPr>
          <w:sz w:val="24"/>
          <w:szCs w:val="24"/>
        </w:rPr>
        <w:t>  [Accessed 10 Aug. 2026].</w:t>
      </w:r>
    </w:p>
    <w:p w14:paraId="42DEEC6C">
      <w:pPr>
        <w:pStyle w:val="style0"/>
        <w:spacing w:after="160" w:lineRule="auto" w:line="360"/>
        <w:jc w:val="both"/>
        <w:rPr>
          <w:sz w:val="24"/>
          <w:szCs w:val="24"/>
        </w:rPr>
      </w:pPr>
      <w:r>
        <w:rPr>
          <w:sz w:val="24"/>
          <w:szCs w:val="24"/>
        </w:rPr>
        <w:t xml:space="preserve">‌Slepičková, I., 2026. Sport and citizenship–thinking about contemporary trends and problems. </w:t>
      </w:r>
      <w:r>
        <w:rPr>
          <w:i/>
          <w:iCs/>
          <w:sz w:val="24"/>
          <w:szCs w:val="24"/>
        </w:rPr>
        <w:t>AUC KINANTHROPOLOGICA</w:t>
      </w:r>
      <w:r>
        <w:rPr>
          <w:sz w:val="24"/>
          <w:szCs w:val="24"/>
        </w:rPr>
        <w:t xml:space="preserve">, </w:t>
      </w:r>
      <w:r>
        <w:rPr>
          <w:i/>
          <w:iCs/>
          <w:sz w:val="24"/>
          <w:szCs w:val="24"/>
        </w:rPr>
        <w:t>61</w:t>
      </w:r>
      <w:r>
        <w:rPr>
          <w:sz w:val="24"/>
          <w:szCs w:val="24"/>
        </w:rPr>
        <w:t xml:space="preserve">(2), pp.96-111. </w:t>
      </w:r>
      <w:r>
        <w:rPr/>
        <w:fldChar w:fldCharType="begin"/>
      </w:r>
      <w:r>
        <w:instrText xml:space="preserve"> HYPERLINK "https://karolinum.cz/en/journal/auc-kinanthropologica/year-61/issue-2/issue-year-2025/article-16431" </w:instrText>
      </w:r>
      <w:r>
        <w:rPr/>
        <w:fldChar w:fldCharType="separate"/>
      </w:r>
      <w:r>
        <w:rPr>
          <w:rStyle w:val="style85"/>
          <w:sz w:val="24"/>
          <w:szCs w:val="24"/>
        </w:rPr>
        <w:t>https://karolinum.cz/en/journal/auc-kinanthropologica/year-61/issue-2/issue-year-2025/article-16431</w:t>
      </w:r>
      <w:r>
        <w:rPr/>
        <w:fldChar w:fldCharType="end"/>
      </w:r>
      <w:r>
        <w:rPr>
          <w:sz w:val="24"/>
          <w:szCs w:val="24"/>
        </w:rPr>
        <w:t> </w:t>
      </w:r>
    </w:p>
    <w:p w14:paraId="7D20C79E">
      <w:pPr>
        <w:pStyle w:val="style0"/>
        <w:spacing w:after="160" w:lineRule="auto" w:line="360"/>
        <w:jc w:val="both"/>
        <w:rPr>
          <w:sz w:val="24"/>
          <w:szCs w:val="24"/>
        </w:rPr>
      </w:pPr>
      <w:r>
        <w:rPr>
          <w:sz w:val="24"/>
          <w:szCs w:val="24"/>
        </w:rPr>
        <w:t xml:space="preserve">‌Statista (2024) Sportswear Market in Germany: Revenue and CAGR Forecast 2024-2028. Hamburg: Statista. Available at: </w:t>
      </w:r>
      <w:r>
        <w:rPr/>
        <w:fldChar w:fldCharType="begin"/>
      </w:r>
      <w:r>
        <w:instrText xml:space="preserve"> HYPERLINK "https://www.statista.com/outlook/cmo/apparel/sportswear/germany" </w:instrText>
      </w:r>
      <w:r>
        <w:rPr/>
        <w:fldChar w:fldCharType="separate"/>
      </w:r>
      <w:r>
        <w:rPr>
          <w:rStyle w:val="style85"/>
          <w:sz w:val="24"/>
          <w:szCs w:val="24"/>
        </w:rPr>
        <w:t>https://www.statista.com/outlook/cmo/apparel/sportswear/germany</w:t>
      </w:r>
      <w:r>
        <w:rPr/>
        <w:fldChar w:fldCharType="end"/>
      </w:r>
      <w:r>
        <w:rPr>
          <w:sz w:val="24"/>
          <w:szCs w:val="24"/>
        </w:rPr>
        <w:t>  [Accessed 10 Aug. 2026].</w:t>
      </w:r>
    </w:p>
    <w:p w14:paraId="6D96F72D">
      <w:pPr>
        <w:pStyle w:val="style0"/>
        <w:spacing w:after="160" w:lineRule="auto" w:line="360"/>
        <w:jc w:val="both"/>
        <w:rPr>
          <w:sz w:val="24"/>
          <w:szCs w:val="24"/>
        </w:rPr>
      </w:pPr>
      <w:r>
        <w:rPr>
          <w:sz w:val="24"/>
          <w:szCs w:val="24"/>
        </w:rPr>
        <w:t xml:space="preserve">Statista. (2020). </w:t>
      </w:r>
      <w:r>
        <w:rPr>
          <w:i/>
          <w:iCs/>
          <w:sz w:val="24"/>
          <w:szCs w:val="24"/>
        </w:rPr>
        <w:t>Gross domestic product (GDP) in current prices in the United States 1980-2031</w:t>
      </w:r>
      <w:r>
        <w:rPr>
          <w:sz w:val="24"/>
          <w:szCs w:val="24"/>
        </w:rPr>
        <w:t xml:space="preserve">. [online] Available at: </w:t>
      </w:r>
      <w:r>
        <w:rPr/>
        <w:fldChar w:fldCharType="begin"/>
      </w:r>
      <w:r>
        <w:instrText xml:space="preserve"> HYPERLINK "https://www.statista.com/statistics/263591/gross-domestic-product-gdp-of-the-united-states/?srsltid=AfmBOoqRYWZP2awcJGr752-mzsSI4BhsVwqKj1BbQYSJZ2UqZetoG5XU" </w:instrText>
      </w:r>
      <w:r>
        <w:rPr/>
        <w:fldChar w:fldCharType="separate"/>
      </w:r>
      <w:r>
        <w:rPr>
          <w:rStyle w:val="style85"/>
          <w:sz w:val="24"/>
          <w:szCs w:val="24"/>
        </w:rPr>
        <w:t>https://www.statista.com/statistics/263591/gross-domestic-product-gdp-of-the-united-states/?srsltid=AfmBOoqRYWZP2awcJGr752-mzsSI4BhsVwqKj1BbQYSJZ2UqZetoG5XU</w:t>
      </w:r>
      <w:r>
        <w:rPr/>
        <w:fldChar w:fldCharType="end"/>
      </w:r>
      <w:r>
        <w:rPr>
          <w:sz w:val="24"/>
          <w:szCs w:val="24"/>
        </w:rPr>
        <w:t xml:space="preserve"> [Accessed 10 Aug. 2026].</w:t>
      </w:r>
    </w:p>
    <w:p w14:paraId="53956013">
      <w:pPr>
        <w:pStyle w:val="style0"/>
        <w:spacing w:after="160" w:lineRule="auto" w:line="360"/>
        <w:jc w:val="both"/>
        <w:rPr>
          <w:sz w:val="24"/>
          <w:szCs w:val="24"/>
        </w:rPr>
      </w:pPr>
      <w:r>
        <w:rPr>
          <w:sz w:val="24"/>
          <w:szCs w:val="24"/>
        </w:rPr>
        <w:t xml:space="preserve">Statista. (2025). </w:t>
      </w:r>
      <w:r>
        <w:rPr>
          <w:i/>
          <w:iCs/>
          <w:sz w:val="24"/>
          <w:szCs w:val="24"/>
        </w:rPr>
        <w:t>The adidas Group global net sales by product category 2025| Statista</w:t>
      </w:r>
      <w:r>
        <w:rPr>
          <w:sz w:val="24"/>
          <w:szCs w:val="24"/>
        </w:rPr>
        <w:t xml:space="preserve">. [online] Available at: </w:t>
      </w:r>
      <w:r>
        <w:rPr/>
        <w:fldChar w:fldCharType="begin"/>
      </w:r>
      <w:r>
        <w:instrText xml:space="preserve"> HYPERLINK "https://www.statista.com/statistics/250740/net-sales-of-the-adidas-group-worldwide-by-product-category/?srsltid=AfmBOoo3WTnETNza7ufT-L6vBmazJdyd7gZ4sshCoYu5jlaQJ59HfEZw" </w:instrText>
      </w:r>
      <w:r>
        <w:rPr/>
        <w:fldChar w:fldCharType="separate"/>
      </w:r>
      <w:r>
        <w:rPr>
          <w:rStyle w:val="style85"/>
          <w:sz w:val="24"/>
          <w:szCs w:val="24"/>
        </w:rPr>
        <w:t>https://www.statista.com/statistics/250740/net-sales-of-the-adidas-group-worldwide-by-product-category/?srsltid=AfmBOoo3WTnETNza7ufT-L6vBmazJdyd7gZ4sshCoYu5jlaQJ59HfEZw</w:t>
      </w:r>
      <w:r>
        <w:rPr/>
        <w:fldChar w:fldCharType="end"/>
      </w:r>
      <w:r>
        <w:rPr>
          <w:sz w:val="24"/>
          <w:szCs w:val="24"/>
        </w:rPr>
        <w:t xml:space="preserve"> [Accessed 10 Aug. 2026].</w:t>
      </w:r>
    </w:p>
    <w:p w14:paraId="249393F1">
      <w:pPr>
        <w:pStyle w:val="style0"/>
        <w:spacing w:after="160" w:lineRule="auto" w:line="360"/>
        <w:jc w:val="both"/>
        <w:rPr>
          <w:sz w:val="24"/>
          <w:szCs w:val="24"/>
        </w:rPr>
      </w:pPr>
      <w:r>
        <w:rPr>
          <w:sz w:val="24"/>
          <w:szCs w:val="24"/>
        </w:rPr>
        <w:t xml:space="preserve">Swell.is. (2026). 30 DTC Ecommerce Statistics for 2026: Growth, CAC, Retention &amp; Trends | Swell. [online] Available at: </w:t>
      </w:r>
      <w:r>
        <w:rPr/>
        <w:fldChar w:fldCharType="begin"/>
      </w:r>
      <w:r>
        <w:instrText xml:space="preserve"> HYPERLINK "https://www.swell.is/content/dtc-ecommerce-statistics" </w:instrText>
      </w:r>
      <w:r>
        <w:rPr/>
        <w:fldChar w:fldCharType="separate"/>
      </w:r>
      <w:r>
        <w:rPr>
          <w:rStyle w:val="style85"/>
          <w:sz w:val="24"/>
          <w:szCs w:val="24"/>
        </w:rPr>
        <w:t>https://www.swell.is/content/dtc-ecommerce-statistics</w:t>
      </w:r>
      <w:r>
        <w:rPr/>
        <w:fldChar w:fldCharType="end"/>
      </w:r>
      <w:r>
        <w:rPr>
          <w:sz w:val="24"/>
          <w:szCs w:val="24"/>
        </w:rPr>
        <w:t>  [Accessed 10 Aug. 2026].</w:t>
      </w:r>
      <w:r>
        <w:rPr>
          <w:sz w:val="24"/>
          <w:szCs w:val="24"/>
        </w:rPr>
        <w:t xml:space="preserve"> </w:t>
      </w:r>
    </w:p>
    <w:p w14:paraId="4C9F52A0">
      <w:pPr>
        <w:pStyle w:val="style0"/>
        <w:spacing w:after="160" w:lineRule="auto" w:line="360"/>
        <w:jc w:val="both"/>
        <w:rPr>
          <w:sz w:val="24"/>
          <w:szCs w:val="24"/>
        </w:rPr>
      </w:pPr>
      <w:r>
        <w:rPr>
          <w:sz w:val="24"/>
          <w:szCs w:val="24"/>
        </w:rPr>
        <w:t xml:space="preserve">Technavio (2025). </w:t>
      </w:r>
      <w:r>
        <w:rPr>
          <w:i/>
          <w:iCs/>
          <w:sz w:val="24"/>
          <w:szCs w:val="24"/>
        </w:rPr>
        <w:t>Germany Sportswear Market Growth Analysis - Size and Forecast 2025-2029</w:t>
      </w:r>
      <w:r>
        <w:rPr>
          <w:sz w:val="24"/>
          <w:szCs w:val="24"/>
        </w:rPr>
        <w:t xml:space="preserve">. [online] Technavio.com. Available at: </w:t>
      </w:r>
      <w:r>
        <w:rPr/>
        <w:fldChar w:fldCharType="begin"/>
      </w:r>
      <w:r>
        <w:instrText xml:space="preserve"> HYPERLINK "https://www.technavio.com/report/sportswear-market-industry-in-germany-analysis" </w:instrText>
      </w:r>
      <w:r>
        <w:rPr/>
        <w:fldChar w:fldCharType="separate"/>
      </w:r>
      <w:r>
        <w:rPr>
          <w:rStyle w:val="style85"/>
          <w:sz w:val="24"/>
          <w:szCs w:val="24"/>
        </w:rPr>
        <w:t>https://www.technavio.com/report/sportswear-market-industry-in-germany-analysis</w:t>
      </w:r>
      <w:r>
        <w:rPr/>
        <w:fldChar w:fldCharType="end"/>
      </w:r>
      <w:r>
        <w:rPr>
          <w:sz w:val="24"/>
          <w:szCs w:val="24"/>
        </w:rPr>
        <w:t xml:space="preserve"> [Accessed 10 Aug. 2026].</w:t>
      </w:r>
    </w:p>
    <w:p w14:paraId="1731A84F">
      <w:pPr>
        <w:pStyle w:val="style0"/>
        <w:spacing w:after="160" w:lineRule="auto" w:line="360"/>
        <w:jc w:val="both"/>
        <w:rPr>
          <w:sz w:val="24"/>
          <w:szCs w:val="24"/>
        </w:rPr>
      </w:pPr>
      <w:r>
        <w:rPr>
          <w:sz w:val="24"/>
          <w:szCs w:val="24"/>
        </w:rPr>
        <w:t xml:space="preserve">trade.gov  (2025). </w:t>
      </w:r>
      <w:r>
        <w:rPr>
          <w:i/>
          <w:iCs/>
          <w:sz w:val="24"/>
          <w:szCs w:val="24"/>
        </w:rPr>
        <w:t>Country Commercial Guides</w:t>
      </w:r>
      <w:r>
        <w:rPr>
          <w:sz w:val="24"/>
          <w:szCs w:val="24"/>
        </w:rPr>
        <w:t xml:space="preserve">. [online] International Trade Administration | Trade.gov. Available at: </w:t>
      </w:r>
      <w:r>
        <w:rPr/>
        <w:fldChar w:fldCharType="begin"/>
      </w:r>
      <w:r>
        <w:instrText xml:space="preserve"> HYPERLINK "https://www.trade.gov/country-commercial-guides/germany-standards-trade" </w:instrText>
      </w:r>
      <w:r>
        <w:rPr/>
        <w:fldChar w:fldCharType="separate"/>
      </w:r>
      <w:r>
        <w:rPr>
          <w:rStyle w:val="style85"/>
          <w:sz w:val="24"/>
          <w:szCs w:val="24"/>
        </w:rPr>
        <w:t>https://www.trade.gov/country-commercial-guides/germany-standards-trade</w:t>
      </w:r>
      <w:r>
        <w:rPr/>
        <w:fldChar w:fldCharType="end"/>
      </w:r>
      <w:r>
        <w:rPr>
          <w:sz w:val="24"/>
          <w:szCs w:val="24"/>
        </w:rPr>
        <w:t xml:space="preserve"> [Accessed 10 Aug. 2026].</w:t>
      </w:r>
    </w:p>
    <w:p w14:paraId="67128C8E">
      <w:pPr>
        <w:pStyle w:val="style0"/>
        <w:spacing w:after="160" w:lineRule="auto" w:line="360"/>
        <w:jc w:val="both"/>
        <w:rPr>
          <w:sz w:val="24"/>
          <w:szCs w:val="24"/>
        </w:rPr>
      </w:pPr>
      <w:r>
        <w:rPr>
          <w:sz w:val="24"/>
          <w:szCs w:val="24"/>
        </w:rPr>
        <w:t xml:space="preserve">‌United States Census Bureau (2023) National Population Projections: Summary Tables. Washington, DC: US Census Bureau. Available at: </w:t>
      </w:r>
      <w:r>
        <w:rPr/>
        <w:fldChar w:fldCharType="begin"/>
      </w:r>
      <w:r>
        <w:instrText xml:space="preserve"> HYPERLINK "https://www.census.gov/programs-surveys/popproj.html" </w:instrText>
      </w:r>
      <w:r>
        <w:rPr/>
        <w:fldChar w:fldCharType="separate"/>
      </w:r>
      <w:r>
        <w:rPr>
          <w:rStyle w:val="style85"/>
          <w:sz w:val="24"/>
          <w:szCs w:val="24"/>
        </w:rPr>
        <w:t>https://www.census.gov/programs-surveys/popproj.html</w:t>
      </w:r>
      <w:r>
        <w:rPr/>
        <w:fldChar w:fldCharType="end"/>
      </w:r>
      <w:r>
        <w:rPr>
          <w:sz w:val="24"/>
          <w:szCs w:val="24"/>
        </w:rPr>
        <w:t xml:space="preserve"> [Accessed 10 Aug. 2026]. </w:t>
      </w:r>
    </w:p>
    <w:p w14:paraId="4DA703B8">
      <w:pPr>
        <w:pStyle w:val="style0"/>
        <w:spacing w:after="160" w:lineRule="auto" w:line="360"/>
        <w:jc w:val="both"/>
        <w:rPr>
          <w:sz w:val="24"/>
          <w:szCs w:val="24"/>
        </w:rPr>
      </w:pPr>
      <w:r>
        <w:rPr>
          <w:sz w:val="24"/>
          <w:szCs w:val="24"/>
        </w:rPr>
        <w:t xml:space="preserve">United States Patent and Trademark Office (USPTO) (2023) Trademark Registration and Dispute Case Data 2023. Washington, DC: USPTO. Available at: </w:t>
      </w:r>
      <w:r>
        <w:rPr/>
        <w:fldChar w:fldCharType="begin"/>
      </w:r>
      <w:r>
        <w:instrText xml:space="preserve"> HYPERLINK "https://www.uspto.gov" </w:instrText>
      </w:r>
      <w:r>
        <w:rPr/>
        <w:fldChar w:fldCharType="separate"/>
      </w:r>
      <w:r>
        <w:rPr>
          <w:rStyle w:val="style85"/>
          <w:sz w:val="24"/>
          <w:szCs w:val="24"/>
        </w:rPr>
        <w:t>https://www.uspto.gov</w:t>
      </w:r>
      <w:r>
        <w:rPr/>
        <w:fldChar w:fldCharType="end"/>
      </w:r>
      <w:r>
        <w:rPr>
          <w:sz w:val="24"/>
          <w:szCs w:val="24"/>
        </w:rPr>
        <w:t xml:space="preserve"> [Accessed 10 Aug. 2026]. </w:t>
      </w:r>
    </w:p>
    <w:p w14:paraId="1B468569">
      <w:pPr>
        <w:pStyle w:val="style0"/>
        <w:spacing w:after="160" w:lineRule="auto" w:line="360"/>
        <w:jc w:val="both"/>
        <w:rPr>
          <w:sz w:val="24"/>
          <w:szCs w:val="24"/>
        </w:rPr>
      </w:pPr>
      <w:r>
        <w:rPr>
          <w:sz w:val="24"/>
          <w:szCs w:val="24"/>
        </w:rPr>
        <w:t xml:space="preserve">United States Trade Representative. (2026). </w:t>
      </w:r>
      <w:r>
        <w:rPr>
          <w:i/>
          <w:iCs/>
          <w:sz w:val="24"/>
          <w:szCs w:val="24"/>
        </w:rPr>
        <w:t>USTR Makes Findings and Proposes Action in 60 Section 301 Investigations Relating to Failures to Take Action on Trade in Forced Labor Goods</w:t>
      </w:r>
      <w:r>
        <w:rPr>
          <w:sz w:val="24"/>
          <w:szCs w:val="24"/>
        </w:rPr>
        <w:t xml:space="preserve">. [online] Available at: </w:t>
      </w:r>
      <w:r>
        <w:rPr/>
        <w:fldChar w:fldCharType="begin"/>
      </w:r>
      <w:r>
        <w:instrText xml:space="preserve"> HYPERLINK "https://ustr.gov/about/policy-offices/press-office/press-releases/2026/june/ustr-makes-findings-and-proposes-action-60-section-301-investigations-relating-failures-take-action" </w:instrText>
      </w:r>
      <w:r>
        <w:rPr/>
        <w:fldChar w:fldCharType="separate"/>
      </w:r>
      <w:r>
        <w:rPr>
          <w:rStyle w:val="style85"/>
          <w:sz w:val="24"/>
          <w:szCs w:val="24"/>
        </w:rPr>
        <w:t>https://ustr.gov/about/policy-offices/press-office/press-releases/2026/june/ustr-makes-findings-and-proposes-action-60-section-301-investigations-relating-failures-take-action</w:t>
      </w:r>
      <w:r>
        <w:rPr/>
        <w:fldChar w:fldCharType="end"/>
      </w:r>
      <w:r>
        <w:rPr>
          <w:sz w:val="24"/>
          <w:szCs w:val="24"/>
        </w:rPr>
        <w:t xml:space="preserve"> [Accessed 10 Aug. 2026].</w:t>
      </w:r>
    </w:p>
    <w:p w14:paraId="7B78BF45">
      <w:pPr>
        <w:pStyle w:val="style0"/>
        <w:spacing w:after="160" w:lineRule="auto" w:line="360"/>
        <w:jc w:val="both"/>
        <w:rPr>
          <w:sz w:val="24"/>
          <w:szCs w:val="24"/>
        </w:rPr>
      </w:pPr>
      <w:r>
        <w:rPr>
          <w:sz w:val="24"/>
          <w:szCs w:val="24"/>
        </w:rPr>
        <w:t xml:space="preserve">Untaylored.com. (2026). </w:t>
      </w:r>
      <w:r>
        <w:rPr>
          <w:i/>
          <w:iCs/>
          <w:sz w:val="24"/>
          <w:szCs w:val="24"/>
        </w:rPr>
        <w:t>How Adidas Makes Money: The Adidas Business Model and Revenue Streams Explained</w:t>
      </w:r>
      <w:r>
        <w:rPr>
          <w:sz w:val="24"/>
          <w:szCs w:val="24"/>
        </w:rPr>
        <w:t xml:space="preserve">. [online] Available at: </w:t>
      </w:r>
      <w:r>
        <w:rPr/>
        <w:fldChar w:fldCharType="begin"/>
      </w:r>
      <w:r>
        <w:instrText xml:space="preserve"> HYPERLINK "https://www.untaylored.com/post/how-adidas-makes-money-business-model-explained" </w:instrText>
      </w:r>
      <w:r>
        <w:rPr/>
        <w:fldChar w:fldCharType="separate"/>
      </w:r>
      <w:r>
        <w:rPr>
          <w:rStyle w:val="style85"/>
          <w:sz w:val="24"/>
          <w:szCs w:val="24"/>
        </w:rPr>
        <w:t>https://www.untaylored.com/post/how-adidas-makes-money-business-model-explained</w:t>
      </w:r>
      <w:r>
        <w:rPr/>
        <w:fldChar w:fldCharType="end"/>
      </w:r>
      <w:r>
        <w:rPr>
          <w:sz w:val="24"/>
          <w:szCs w:val="24"/>
        </w:rPr>
        <w:t>  [Accessed 10 Aug. 2026].</w:t>
      </w:r>
    </w:p>
    <w:p w14:paraId="624EA7C2">
      <w:pPr>
        <w:pStyle w:val="style0"/>
        <w:spacing w:after="160" w:lineRule="auto" w:line="360"/>
        <w:jc w:val="both"/>
        <w:rPr>
          <w:sz w:val="24"/>
          <w:szCs w:val="24"/>
        </w:rPr>
      </w:pPr>
      <w:r>
        <w:rPr>
          <w:sz w:val="24"/>
          <w:szCs w:val="24"/>
        </w:rPr>
        <w:t xml:space="preserve">ustr.gov (2026a). America First. Available at: </w:t>
      </w:r>
      <w:r>
        <w:rPr/>
        <w:fldChar w:fldCharType="begin"/>
      </w:r>
      <w:r>
        <w:instrText xml:space="preserve"> HYPERLINK "https://ustr.gov/" </w:instrText>
      </w:r>
      <w:r>
        <w:rPr/>
        <w:fldChar w:fldCharType="separate"/>
      </w:r>
      <w:r>
        <w:rPr>
          <w:rStyle w:val="style85"/>
          <w:sz w:val="24"/>
          <w:szCs w:val="24"/>
        </w:rPr>
        <w:t>https://ustr.gov/</w:t>
      </w:r>
      <w:r>
        <w:rPr/>
        <w:fldChar w:fldCharType="end"/>
      </w:r>
      <w:r>
        <w:rPr>
          <w:sz w:val="24"/>
          <w:szCs w:val="24"/>
        </w:rPr>
        <w:t>  [Accessed 10 Aug. 2026].</w:t>
      </w:r>
    </w:p>
    <w:p w14:paraId="7E86BAAE">
      <w:pPr>
        <w:pStyle w:val="style0"/>
        <w:spacing w:after="160" w:lineRule="auto" w:line="360"/>
        <w:jc w:val="both"/>
        <w:rPr>
          <w:sz w:val="24"/>
          <w:szCs w:val="24"/>
        </w:rPr>
      </w:pPr>
      <w:r>
        <w:rPr>
          <w:sz w:val="24"/>
          <w:szCs w:val="24"/>
        </w:rPr>
        <w:t xml:space="preserve">ustr.gov (2026b) Section 301 Tariff Actions and Exclusion Process. Washington, DC: USTR. Available at: </w:t>
      </w:r>
      <w:r>
        <w:rPr/>
        <w:fldChar w:fldCharType="begin"/>
      </w:r>
      <w:r>
        <w:instrText xml:space="preserve"> HYPERLINK "https://ustr.gov/issue-areas/enforcement/section-301-investigations" </w:instrText>
      </w:r>
      <w:r>
        <w:rPr/>
        <w:fldChar w:fldCharType="separate"/>
      </w:r>
      <w:r>
        <w:rPr>
          <w:rStyle w:val="style85"/>
          <w:sz w:val="24"/>
          <w:szCs w:val="24"/>
        </w:rPr>
        <w:t>https://ustr.gov/issue-areas/enforcement/section-301-investigations</w:t>
      </w:r>
      <w:r>
        <w:rPr/>
        <w:fldChar w:fldCharType="end"/>
      </w:r>
      <w:r>
        <w:rPr>
          <w:sz w:val="24"/>
          <w:szCs w:val="24"/>
        </w:rPr>
        <w:t>  [Accessed 10 Aug. 2026].</w:t>
      </w:r>
    </w:p>
    <w:p w14:paraId="11B4930F">
      <w:pPr>
        <w:pStyle w:val="style0"/>
        <w:spacing w:after="160" w:lineRule="auto" w:line="360"/>
        <w:jc w:val="both"/>
        <w:rPr>
          <w:sz w:val="24"/>
          <w:szCs w:val="24"/>
        </w:rPr>
      </w:pPr>
      <w:r>
        <w:rPr>
          <w:sz w:val="24"/>
          <w:szCs w:val="24"/>
        </w:rPr>
        <w:t xml:space="preserve">‌Victoria (2025). </w:t>
      </w:r>
      <w:r>
        <w:rPr>
          <w:i/>
          <w:iCs/>
          <w:sz w:val="24"/>
          <w:szCs w:val="24"/>
        </w:rPr>
        <w:t>VAT Rates in Europe 2026</w:t>
      </w:r>
      <w:r>
        <w:rPr>
          <w:sz w:val="24"/>
          <w:szCs w:val="24"/>
        </w:rPr>
        <w:t xml:space="preserve">. [online] Global VAT Compliance. Available at: </w:t>
      </w:r>
      <w:r>
        <w:rPr/>
        <w:fldChar w:fldCharType="begin"/>
      </w:r>
      <w:r>
        <w:instrText xml:space="preserve"> HYPERLINK "https://www.globalvatcompliance.com/globalvatnews/vat-rates-in-europe-2021/" </w:instrText>
      </w:r>
      <w:r>
        <w:rPr/>
        <w:fldChar w:fldCharType="separate"/>
      </w:r>
      <w:r>
        <w:rPr>
          <w:rStyle w:val="style85"/>
          <w:sz w:val="24"/>
          <w:szCs w:val="24"/>
        </w:rPr>
        <w:t>https://www.globalvatcompliance.com/globalvatnews/vat-rates-in-europe-2021/</w:t>
      </w:r>
      <w:r>
        <w:rPr/>
        <w:fldChar w:fldCharType="end"/>
      </w:r>
      <w:r>
        <w:rPr>
          <w:sz w:val="24"/>
          <w:szCs w:val="24"/>
        </w:rPr>
        <w:t xml:space="preserve"> [Accessed 10 Aug. 2026].</w:t>
      </w:r>
    </w:p>
    <w:p w14:paraId="577A6503">
      <w:pPr>
        <w:pStyle w:val="style0"/>
        <w:spacing w:after="160" w:lineRule="auto" w:line="360"/>
        <w:jc w:val="both"/>
        <w:rPr>
          <w:sz w:val="24"/>
          <w:szCs w:val="24"/>
        </w:rPr>
      </w:pPr>
      <w:r>
        <w:rPr>
          <w:sz w:val="24"/>
          <w:szCs w:val="24"/>
        </w:rPr>
        <w:t xml:space="preserve">Williams, J. (2025). </w:t>
      </w:r>
      <w:r>
        <w:rPr>
          <w:i/>
          <w:iCs/>
          <w:sz w:val="24"/>
          <w:szCs w:val="24"/>
        </w:rPr>
        <w:t>Social media benchmarks by industry in 2025</w:t>
      </w:r>
      <w:r>
        <w:rPr>
          <w:sz w:val="24"/>
          <w:szCs w:val="24"/>
        </w:rPr>
        <w:t xml:space="preserve">. [online] Sprout Social. Available at: </w:t>
      </w:r>
      <w:r>
        <w:rPr/>
        <w:fldChar w:fldCharType="begin"/>
      </w:r>
      <w:r>
        <w:instrText xml:space="preserve"> HYPERLINK "https://sproutsocial.com/insights/social-media-benchmarks-by-industry/" </w:instrText>
      </w:r>
      <w:r>
        <w:rPr/>
        <w:fldChar w:fldCharType="separate"/>
      </w:r>
      <w:r>
        <w:rPr>
          <w:rStyle w:val="style85"/>
          <w:sz w:val="24"/>
          <w:szCs w:val="24"/>
        </w:rPr>
        <w:t>https://sproutsocial.com/insights/social-media-benchmarks-by-industry/</w:t>
      </w:r>
      <w:r>
        <w:rPr/>
        <w:fldChar w:fldCharType="end"/>
      </w:r>
      <w:r>
        <w:rPr>
          <w:sz w:val="24"/>
          <w:szCs w:val="24"/>
        </w:rPr>
        <w:t>  [Accessed 10 Aug. 2026].</w:t>
      </w:r>
    </w:p>
    <w:p w14:paraId="0D8217A2">
      <w:pPr>
        <w:pStyle w:val="style0"/>
        <w:spacing w:after="160" w:lineRule="auto" w:line="360"/>
        <w:jc w:val="both"/>
        <w:rPr>
          <w:sz w:val="24"/>
          <w:szCs w:val="24"/>
        </w:rPr>
      </w:pPr>
      <w:r>
        <w:rPr>
          <w:sz w:val="24"/>
          <w:szCs w:val="24"/>
        </w:rPr>
        <w:t xml:space="preserve">workersrights.org (2026). </w:t>
      </w:r>
      <w:r>
        <w:rPr>
          <w:i/>
          <w:iCs/>
          <w:sz w:val="24"/>
          <w:szCs w:val="24"/>
        </w:rPr>
        <w:t>Worker Rights Consortium - Protecting Worker Rights</w:t>
      </w:r>
      <w:r>
        <w:rPr>
          <w:sz w:val="24"/>
          <w:szCs w:val="24"/>
        </w:rPr>
        <w:t xml:space="preserve">. [online] Worker Rights Consortium. Available at: </w:t>
      </w:r>
      <w:r>
        <w:rPr/>
        <w:fldChar w:fldCharType="begin"/>
      </w:r>
      <w:r>
        <w:instrText xml:space="preserve"> HYPERLINK "https://www.workersrights.org/" </w:instrText>
      </w:r>
      <w:r>
        <w:rPr/>
        <w:fldChar w:fldCharType="separate"/>
      </w:r>
      <w:r>
        <w:rPr>
          <w:rStyle w:val="style85"/>
          <w:sz w:val="24"/>
          <w:szCs w:val="24"/>
        </w:rPr>
        <w:t>https://www.workersrights.org/</w:t>
      </w:r>
      <w:r>
        <w:rPr/>
        <w:fldChar w:fldCharType="end"/>
      </w:r>
      <w:r>
        <w:rPr>
          <w:sz w:val="24"/>
          <w:szCs w:val="24"/>
        </w:rPr>
        <w:t>  [Accessed 10 Aug. 2026].</w:t>
      </w:r>
    </w:p>
    <w:p w14:paraId="52D158C6">
      <w:pPr>
        <w:pStyle w:val="style0"/>
        <w:spacing w:after="160" w:lineRule="auto" w:line="360"/>
        <w:jc w:val="both"/>
        <w:rPr>
          <w:sz w:val="24"/>
          <w:szCs w:val="24"/>
        </w:rPr>
      </w:pPr>
      <w:r>
        <w:rPr>
          <w:sz w:val="24"/>
          <w:szCs w:val="24"/>
        </w:rPr>
        <w:t xml:space="preserve">worldbank.org (2024) World Development Indicators 2024: GDP per Capita. Washington, DC: World Bank. Available at: </w:t>
      </w:r>
      <w:r>
        <w:rPr/>
        <w:fldChar w:fldCharType="begin"/>
      </w:r>
      <w:r>
        <w:instrText xml:space="preserve"> HYPERLINK "https://data.worldbank.org/indicator/NY.GDP.PCAP.CD" </w:instrText>
      </w:r>
      <w:r>
        <w:rPr/>
        <w:fldChar w:fldCharType="separate"/>
      </w:r>
      <w:r>
        <w:rPr>
          <w:rStyle w:val="style85"/>
          <w:sz w:val="24"/>
          <w:szCs w:val="24"/>
        </w:rPr>
        <w:t>https://data.worldbank.org/indicator/NY.GDP.PCAP.CD</w:t>
      </w:r>
      <w:r>
        <w:rPr/>
        <w:fldChar w:fldCharType="end"/>
      </w:r>
      <w:r>
        <w:rPr>
          <w:sz w:val="24"/>
          <w:szCs w:val="24"/>
        </w:rPr>
        <w:t>  [Accessed 10 Aug. 2026].</w:t>
      </w:r>
    </w:p>
    <w:p w14:paraId="4359F04F">
      <w:pPr>
        <w:pStyle w:val="style0"/>
        <w:spacing w:after="160" w:lineRule="auto" w:line="360"/>
        <w:jc w:val="both"/>
        <w:rPr>
          <w:sz w:val="24"/>
          <w:szCs w:val="24"/>
        </w:rPr>
      </w:pPr>
      <w:r>
        <w:rPr>
          <w:sz w:val="24"/>
          <w:szCs w:val="24"/>
        </w:rPr>
        <w:br/>
      </w:r>
      <w:r>
        <w:rPr>
          <w:sz w:val="24"/>
          <w:szCs w:val="24"/>
        </w:rPr>
        <w:br/>
      </w:r>
    </w:p>
    <w:p w14:paraId="76339F7E">
      <w:pPr>
        <w:pStyle w:val="style0"/>
        <w:spacing w:after="160" w:lineRule="auto" w:line="360"/>
        <w:jc w:val="both"/>
        <w:rPr>
          <w:sz w:val="24"/>
          <w:szCs w:val="24"/>
        </w:rPr>
      </w:pPr>
      <w:r>
        <w:rPr>
          <w:sz w:val="24"/>
          <w:szCs w:val="24"/>
        </w:rPr>
        <w:br/>
      </w:r>
      <w:r>
        <w:rPr>
          <w:sz w:val="24"/>
          <w:szCs w:val="24"/>
        </w:rPr>
        <w:br/>
      </w:r>
      <w:r>
        <w:rPr>
          <w:sz w:val="24"/>
          <w:szCs w:val="24"/>
        </w:rPr>
        <w:br/>
      </w:r>
      <w:r>
        <w:rPr>
          <w:sz w:val="24"/>
          <w:szCs w:val="24"/>
        </w:rPr>
        <w:br/>
      </w:r>
      <w:r>
        <w:rPr>
          <w:sz w:val="24"/>
          <w:szCs w:val="24"/>
        </w:rPr>
        <w:br/>
      </w:r>
      <w:r>
        <w:rPr>
          <w:sz w:val="24"/>
          <w:szCs w:val="24"/>
        </w:rPr>
        <w:br/>
      </w:r>
      <w:r>
        <w:rPr>
          <w:sz w:val="24"/>
          <w:szCs w:val="24"/>
        </w:rPr>
        <w:br/>
      </w:r>
    </w:p>
    <w:sectPr>
      <w:footerReference w:type="default" r:id="rId11"/>
      <w:pgSz w:w="12240" w:h="15840" w:orient="portrait"/>
      <w:pgMar w:top="1440" w:right="1440" w:bottom="1440" w:left="1800" w:header="708" w:footer="708" w:gutter="0"/>
      <w:pgBorders w:zOrder="front" w:display="allPage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rebuchet MS">
    <w:altName w:val="Trebuchet MS"/>
    <w:panose1 w:val="020b0603020000020204"/>
    <w:charset w:val="00"/>
    <w:family w:val="swiss"/>
    <w:pitch w:val="variable"/>
    <w:sig w:usb0="00000687" w:usb1="00000000" w:usb2="00000000" w:usb3="00000000" w:csb0="0000009F" w:csb1="00000000"/>
  </w:font>
  <w:font w:name="Times New Roman">
    <w:altName w:val="Times New Roman"/>
    <w:panose1 w:val="02020603050000020304"/>
    <w:charset w:val="00"/>
    <w:family w:val="roman"/>
    <w:pitch w:val="variable"/>
    <w:sig w:usb0="E0002AFF" w:usb1="C0007843" w:usb2="00000009" w:usb3="00000000" w:csb0="000001FF" w:csb1="00000000"/>
  </w:font>
  <w:font w:name="Georgia">
    <w:altName w:val="Georgia"/>
    <w:panose1 w:val="02040502050000020303"/>
    <w:charset w:val="00"/>
    <w:family w:val="roman"/>
    <w:pitch w:val="variable"/>
    <w:sig w:usb0="00000287" w:usb1="00000000" w:usb2="00000000" w:usb3="00000000" w:csb0="0000009F" w:csb1="00000000"/>
  </w:font>
  <w:font w:name="Calibri">
    <w:altName w:val="Calibri"/>
    <w:panose1 w:val="020f0502020000030204"/>
    <w:charset w:val="00"/>
    <w:family w:val="swiss"/>
    <w:pitch w:val="variable"/>
    <w:sig w:usb0="E4002EFF" w:usb1="C000247B" w:usb2="00000009" w:usb3="00000000" w:csb0="000001FF" w:csb1="00000000"/>
  </w:font>
  <w:font w:name="Helvetica">
    <w:altName w:val="Helvetica"/>
    <w:panose1 w:val="020b0604020000020204"/>
    <w:charset w:val="00"/>
    <w:family w:val="swiss"/>
    <w:pitch w:val="variable"/>
    <w:sig w:usb0="E0002EFF" w:usb1="C000785B" w:usb2="00000009" w:usb3="00000000" w:csb0="000001FF" w:csb1="00000000"/>
  </w:font>
  <w:font w:name="Cambria">
    <w:altName w:val="Cambria"/>
    <w:panose1 w:val="02040503050000030204"/>
    <w:charset w:val="00"/>
    <w:family w:val="roman"/>
    <w:pitch w:val="variable"/>
    <w:sig w:usb0="E00006FF" w:usb1="420024FF" w:usb2="02000000" w:usb3="00000000" w:csb0="0000019F" w:csb1="00000000"/>
  </w:font>
  <w:font w:name="Arial">
    <w:altName w:val="Arial"/>
    <w:panose1 w:val="020b0604020000020204"/>
    <w:charset w:val="00"/>
    <w:family w:val="swiss"/>
    <w:pitch w:val="variable"/>
    <w:sig w:usb0="E0002AFF" w:usb1="C0007843" w:usb2="00000009" w:usb3="00000000" w:csb0="000001FF" w:csb1="00000000"/>
  </w:font>
  <w:font w:name="宋体">
    <w:altName w:val="宋体"/>
    <w:panose1 w:val="02010600030000010101"/>
    <w:charset w:val="7a"/>
    <w:family w:val="auto"/>
    <w:pitch w:val="default"/>
    <w:sig w:usb0="00000003" w:usb1="080E0000" w:usb2="00000000" w:usb3="00000000" w:csb0="00040001"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1BC9F54A">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14:paraId="3F40DB9E">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C26AE958"/>
    <w:lvl w:ilvl="0" w:tplc="9B742996">
      <w:start w:val="1"/>
      <w:numFmt w:val="decimal"/>
      <w:lvlText w:val="%1."/>
      <w:lvlJc w:val="left"/>
      <w:pPr>
        <w:ind w:left="272" w:hanging="250"/>
      </w:pPr>
      <w:rPr>
        <w:rFonts w:ascii="Trebuchet MS" w:cs="Trebuchet MS" w:eastAsia="Trebuchet MS" w:hAnsi="Trebuchet MS" w:hint="default"/>
        <w:b w:val="false"/>
        <w:bCs w:val="false"/>
        <w:i w:val="false"/>
        <w:iCs w:val="false"/>
        <w:spacing w:val="0"/>
        <w:w w:val="77"/>
        <w:sz w:val="24"/>
        <w:szCs w:val="24"/>
        <w:lang w:val="en-US" w:bidi="ar-SA" w:eastAsia="en-US"/>
      </w:rPr>
    </w:lvl>
    <w:lvl w:ilvl="1" w:tplc="EC02B32C">
      <w:start w:val="1"/>
      <w:numFmt w:val="bullet"/>
      <w:lvlText w:val="•"/>
      <w:lvlJc w:val="left"/>
      <w:pPr>
        <w:ind w:left="1159" w:hanging="250"/>
      </w:pPr>
      <w:rPr>
        <w:rFonts w:hint="default"/>
        <w:lang w:val="en-US" w:bidi="ar-SA" w:eastAsia="en-US"/>
      </w:rPr>
    </w:lvl>
    <w:lvl w:ilvl="2" w:tplc="3F7250E8">
      <w:start w:val="1"/>
      <w:numFmt w:val="bullet"/>
      <w:lvlText w:val="•"/>
      <w:lvlJc w:val="left"/>
      <w:pPr>
        <w:ind w:left="2038" w:hanging="250"/>
      </w:pPr>
      <w:rPr>
        <w:rFonts w:hint="default"/>
        <w:lang w:val="en-US" w:bidi="ar-SA" w:eastAsia="en-US"/>
      </w:rPr>
    </w:lvl>
    <w:lvl w:ilvl="3" w:tplc="28386E06">
      <w:start w:val="1"/>
      <w:numFmt w:val="bullet"/>
      <w:lvlText w:val="•"/>
      <w:lvlJc w:val="left"/>
      <w:pPr>
        <w:ind w:left="2917" w:hanging="250"/>
      </w:pPr>
      <w:rPr>
        <w:rFonts w:hint="default"/>
        <w:lang w:val="en-US" w:bidi="ar-SA" w:eastAsia="en-US"/>
      </w:rPr>
    </w:lvl>
    <w:lvl w:ilvl="4" w:tplc="78D02BBC">
      <w:start w:val="1"/>
      <w:numFmt w:val="bullet"/>
      <w:lvlText w:val="•"/>
      <w:lvlJc w:val="left"/>
      <w:pPr>
        <w:ind w:left="3796" w:hanging="250"/>
      </w:pPr>
      <w:rPr>
        <w:rFonts w:hint="default"/>
        <w:lang w:val="en-US" w:bidi="ar-SA" w:eastAsia="en-US"/>
      </w:rPr>
    </w:lvl>
    <w:lvl w:ilvl="5" w:tplc="166A457C">
      <w:start w:val="1"/>
      <w:numFmt w:val="bullet"/>
      <w:lvlText w:val="•"/>
      <w:lvlJc w:val="left"/>
      <w:pPr>
        <w:ind w:left="4675" w:hanging="250"/>
      </w:pPr>
      <w:rPr>
        <w:rFonts w:hint="default"/>
        <w:lang w:val="en-US" w:bidi="ar-SA" w:eastAsia="en-US"/>
      </w:rPr>
    </w:lvl>
    <w:lvl w:ilvl="6" w:tplc="32E862D8">
      <w:start w:val="1"/>
      <w:numFmt w:val="bullet"/>
      <w:lvlText w:val="•"/>
      <w:lvlJc w:val="left"/>
      <w:pPr>
        <w:ind w:left="5554" w:hanging="250"/>
      </w:pPr>
      <w:rPr>
        <w:rFonts w:hint="default"/>
        <w:lang w:val="en-US" w:bidi="ar-SA" w:eastAsia="en-US"/>
      </w:rPr>
    </w:lvl>
    <w:lvl w:ilvl="7" w:tplc="90BE47C2">
      <w:start w:val="1"/>
      <w:numFmt w:val="bullet"/>
      <w:lvlText w:val="•"/>
      <w:lvlJc w:val="left"/>
      <w:pPr>
        <w:ind w:left="6433" w:hanging="250"/>
      </w:pPr>
      <w:rPr>
        <w:rFonts w:hint="default"/>
        <w:lang w:val="en-US" w:bidi="ar-SA" w:eastAsia="en-US"/>
      </w:rPr>
    </w:lvl>
    <w:lvl w:ilvl="8" w:tplc="69A2D974">
      <w:start w:val="1"/>
      <w:numFmt w:val="bullet"/>
      <w:lvlText w:val="•"/>
      <w:lvlJc w:val="left"/>
      <w:pPr>
        <w:ind w:left="7312" w:hanging="250"/>
      </w:pPr>
      <w:rPr>
        <w:rFonts w:hint="default"/>
        <w:lang w:val="en-US" w:bidi="ar-SA" w:eastAsia="en-US"/>
      </w:rPr>
    </w:lvl>
  </w:abstractNum>
  <w:num w:numId="1">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00"/>
  <w:embedTrueTypeFonts/>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sz w:val="22"/>
        <w:szCs w:val="22"/>
        <w:lang w:val="en-US" w:bidi="ar-SA" w:eastAsia="en-US"/>
      </w:rPr>
    </w:rPrDefault>
    <w:pPrDefault>
      <w:pPr/>
    </w:pPrDefault>
  </w:docDefaults>
  <w:style w:type="paragraph" w:default="1" w:styleId="style0">
    <w:name w:val="Normal"/>
    <w:next w:val="style0"/>
    <w:qFormat/>
    <w:pPr/>
  </w:style>
  <w:style w:type="paragraph" w:styleId="style1">
    <w:name w:val="heading 1"/>
    <w:basedOn w:val="style0"/>
    <w:next w:val="style0"/>
    <w:qFormat/>
    <w:uiPriority w:val="9"/>
    <w:pPr>
      <w:pBdr>
        <w:left w:val="nil"/>
        <w:right w:val="nil"/>
        <w:top w:val="nil"/>
        <w:bottom w:val="nil"/>
        <w:between w:val="nil"/>
      </w:pBdr>
      <w:spacing w:lineRule="auto" w:line="360"/>
      <w:jc w:val="both"/>
      <w:outlineLvl w:val="0"/>
    </w:pPr>
    <w:rPr>
      <w:b/>
      <w:sz w:val="24"/>
      <w:szCs w:val="32"/>
    </w:rPr>
  </w:style>
  <w:style w:type="paragraph" w:styleId="style2">
    <w:name w:val="heading 2"/>
    <w:basedOn w:val="style0"/>
    <w:next w:val="style0"/>
    <w:qFormat/>
    <w:uiPriority w:val="9"/>
    <w:pPr>
      <w:pBdr>
        <w:left w:val="nil"/>
        <w:right w:val="nil"/>
        <w:top w:val="nil"/>
        <w:bottom w:val="nil"/>
        <w:between w:val="nil"/>
      </w:pBdr>
      <w:spacing w:lineRule="auto" w:line="360"/>
      <w:jc w:val="both"/>
      <w:outlineLvl w:val="1"/>
    </w:pPr>
    <w:rPr>
      <w:b/>
      <w:sz w:val="24"/>
      <w:szCs w:val="26"/>
    </w:rPr>
  </w:style>
  <w:style w:type="paragraph" w:styleId="style3">
    <w:name w:val="heading 3"/>
    <w:basedOn w:val="style0"/>
    <w:next w:val="style0"/>
    <w:qFormat/>
    <w:uiPriority w:val="9"/>
    <w:pPr>
      <w:pBdr>
        <w:left w:val="nil"/>
        <w:right w:val="nil"/>
        <w:top w:val="nil"/>
        <w:bottom w:val="nil"/>
        <w:between w:val="nil"/>
      </w:pBdr>
      <w:spacing w:lineRule="auto" w:line="360"/>
      <w:jc w:val="both"/>
      <w:outlineLvl w:val="2"/>
    </w:pPr>
    <w:rPr>
      <w:b/>
      <w:sz w:val="24"/>
      <w:szCs w:val="24"/>
    </w:rPr>
  </w:style>
  <w:style w:type="paragraph" w:styleId="style4">
    <w:name w:val="heading 4"/>
    <w:basedOn w:val="style0"/>
    <w:next w:val="style0"/>
    <w:qFormat/>
    <w:uiPriority w:val="9"/>
    <w:pPr>
      <w:pBdr>
        <w:left w:val="nil"/>
        <w:right w:val="nil"/>
        <w:top w:val="nil"/>
        <w:bottom w:val="nil"/>
        <w:between w:val="nil"/>
      </w:pBdr>
      <w:outlineLvl w:val="3"/>
    </w:pPr>
    <w:rPr>
      <w:i/>
      <w:iCs/>
      <w:color w:val="2e74b5"/>
    </w:rPr>
  </w:style>
  <w:style w:type="paragraph" w:styleId="style5">
    <w:name w:val="heading 5"/>
    <w:basedOn w:val="style0"/>
    <w:next w:val="style0"/>
    <w:qFormat/>
    <w:uiPriority w:val="9"/>
    <w:pPr>
      <w:pBdr>
        <w:left w:val="nil"/>
        <w:right w:val="nil"/>
        <w:top w:val="nil"/>
        <w:bottom w:val="nil"/>
        <w:between w:val="nil"/>
      </w:pBdr>
      <w:outlineLvl w:val="4"/>
    </w:pPr>
    <w:rPr>
      <w:color w:val="2e74b5"/>
    </w:rPr>
  </w:style>
  <w:style w:type="paragraph" w:styleId="style6">
    <w:name w:val="heading 6"/>
    <w:basedOn w:val="style0"/>
    <w:next w:val="style0"/>
    <w:qFormat/>
    <w:uiPriority w:val="9"/>
    <w:pPr>
      <w:pBdr>
        <w:left w:val="nil"/>
        <w:right w:val="nil"/>
        <w:top w:val="nil"/>
        <w:bottom w:val="nil"/>
        <w:between w:val="nil"/>
      </w:pBdr>
      <w:outlineLvl w:val="5"/>
    </w:pPr>
    <w:rPr>
      <w:color w:val="1f4d7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pBdr>
        <w:left w:val="nil"/>
        <w:right w:val="nil"/>
        <w:top w:val="nil"/>
        <w:bottom w:val="nil"/>
        <w:between w:val="nil"/>
      </w:pBdr>
    </w:pPr>
    <w:rPr>
      <w:color w:val="000000"/>
      <w:sz w:val="56"/>
      <w:szCs w:val="56"/>
    </w:rPr>
  </w:style>
  <w:style w:type="paragraph" w:customStyle="1" w:styleId="style4098">
    <w:name w:val="Strong1"/>
    <w:basedOn w:val="style0"/>
    <w:next w:val="style0"/>
    <w:qFormat/>
    <w:pPr/>
    <w:rPr>
      <w:b/>
      <w:bCs/>
    </w:rPr>
  </w:style>
  <w:style w:type="paragraph" w:styleId="style179">
    <w:name w:val="List Paragraph"/>
    <w:basedOn w:val="style0"/>
    <w:next w:val="style179"/>
    <w:qFormat/>
    <w:pPr/>
  </w:style>
  <w:style w:type="character" w:styleId="style85">
    <w:name w:val="Hyperlink"/>
    <w:next w:val="style85"/>
    <w:uiPriority w:val="99"/>
    <w:rPr>
      <w:color w:val="0563c1"/>
      <w:u w:val="single"/>
    </w:rPr>
  </w:style>
  <w:style w:type="character" w:styleId="style38">
    <w:name w:val="footnote reference"/>
    <w:next w:val="style38"/>
    <w:uiPriority w:val="99"/>
    <w:rPr>
      <w:vertAlign w:val="superscript"/>
    </w:rPr>
  </w:style>
  <w:style w:type="paragraph" w:styleId="style29">
    <w:name w:val="footnote text"/>
    <w:basedOn w:val="style0"/>
    <w:next w:val="style29"/>
    <w:link w:val="style4099"/>
    <w:uiPriority w:val="99"/>
    <w:pPr/>
    <w:rPr>
      <w:sz w:val="20"/>
      <w:szCs w:val="20"/>
    </w:rPr>
  </w:style>
  <w:style w:type="character" w:customStyle="1" w:styleId="style4099">
    <w:name w:val="Footnote Text Char"/>
    <w:next w:val="style4099"/>
    <w:link w:val="style29"/>
    <w:uiPriority w:val="99"/>
    <w:rPr>
      <w:sz w:val="20"/>
      <w:szCs w:val="20"/>
    </w:rPr>
  </w:style>
  <w:style w:type="character" w:styleId="style42">
    <w:name w:val="endnote reference"/>
    <w:next w:val="style42"/>
    <w:uiPriority w:val="99"/>
    <w:rPr>
      <w:vertAlign w:val="superscript"/>
    </w:rPr>
  </w:style>
  <w:style w:type="paragraph" w:styleId="style43">
    <w:name w:val="endnote text"/>
    <w:basedOn w:val="style0"/>
    <w:next w:val="style43"/>
    <w:link w:val="style4100"/>
    <w:uiPriority w:val="99"/>
    <w:pPr/>
    <w:rPr>
      <w:sz w:val="20"/>
      <w:szCs w:val="20"/>
    </w:rPr>
  </w:style>
  <w:style w:type="character" w:customStyle="1" w:styleId="style4100">
    <w:name w:val="Endnote Text Char"/>
    <w:next w:val="style4100"/>
    <w:link w:val="style43"/>
    <w:uiPriority w:val="99"/>
    <w:rPr>
      <w:sz w:val="20"/>
      <w:szCs w:val="20"/>
    </w:rPr>
  </w:style>
  <w:style w:type="paragraph" w:styleId="style74">
    <w:name w:val="Subtitle"/>
    <w:basedOn w:val="style0"/>
    <w:next w:val="style0"/>
    <w:qFormat/>
    <w:uiPriority w:val="11"/>
    <w:pPr>
      <w:keepNext/>
      <w:keepLines/>
      <w:spacing w:before="360" w:after="80"/>
    </w:pPr>
    <w:rPr>
      <w:rFonts w:ascii="Georgia" w:cs="Georgia" w:eastAsia="Georgia" w:hAnsi="Georgia"/>
      <w:i/>
      <w:iCs/>
      <w:color w:val="666666"/>
      <w:sz w:val="48"/>
      <w:szCs w:val="48"/>
    </w:rPr>
  </w:style>
  <w:style w:type="table" w:customStyle="1" w:styleId="style4101">
    <w:basedOn w:val="style4097"/>
    <w:next w:val="style4101"/>
    <w:pPr/>
    <w:rPr/>
    <w:tblPr>
      <w:tblStyleRowBandSize w:val="1"/>
      <w:tblStyleColBandSize w:val="1"/>
      <w:tblCellMar>
        <w:top w:w="0" w:type="dxa"/>
        <w:left w:w="115" w:type="dxa"/>
        <w:bottom w:w="0" w:type="dxa"/>
        <w:right w:w="115" w:type="dxa"/>
      </w:tblCellMar>
    </w:tblPr>
    <w:tcPr>
      <w:tcBorders/>
    </w:tcPr>
  </w:style>
  <w:style w:type="table" w:customStyle="1" w:styleId="style4102">
    <w:basedOn w:val="style4097"/>
    <w:next w:val="style4102"/>
    <w:pPr/>
    <w:rPr/>
    <w:tblPr>
      <w:tblStyleRowBandSize w:val="1"/>
      <w:tblStyleColBandSize w:val="1"/>
      <w:tblCellMar>
        <w:top w:w="0" w:type="dxa"/>
        <w:left w:w="115" w:type="dxa"/>
        <w:bottom w:w="0" w:type="dxa"/>
        <w:right w:w="115" w:type="dxa"/>
      </w:tblCellMar>
    </w:tblPr>
    <w:tcPr>
      <w:tcBorders/>
    </w:tcPr>
  </w:style>
  <w:style w:type="table" w:customStyle="1" w:styleId="style4103">
    <w:basedOn w:val="style4097"/>
    <w:next w:val="style4103"/>
    <w:pPr/>
    <w:rPr/>
    <w:tblPr>
      <w:tblStyleRowBandSize w:val="1"/>
      <w:tblStyleColBandSize w:val="1"/>
      <w:tblCellMar>
        <w:top w:w="0" w:type="dxa"/>
        <w:left w:w="115" w:type="dxa"/>
        <w:bottom w:w="0" w:type="dxa"/>
        <w:right w:w="115" w:type="dxa"/>
      </w:tblCellMar>
    </w:tblPr>
    <w:tcPr>
      <w:tcBorders/>
    </w:tcPr>
  </w:style>
  <w:style w:type="table" w:customStyle="1" w:styleId="style4104">
    <w:basedOn w:val="style4097"/>
    <w:next w:val="style4104"/>
    <w:pPr/>
    <w:rPr/>
    <w:tblPr>
      <w:tblStyleRowBandSize w:val="1"/>
      <w:tblStyleColBandSize w:val="1"/>
      <w:tblCellMar>
        <w:top w:w="0" w:type="dxa"/>
        <w:left w:w="115" w:type="dxa"/>
        <w:bottom w:w="0" w:type="dxa"/>
        <w:right w:w="115" w:type="dxa"/>
      </w:tblCellMar>
    </w:tblPr>
    <w:tcPr>
      <w:tcBorders/>
    </w:tcPr>
  </w:style>
  <w:style w:type="table" w:customStyle="1" w:styleId="style4105">
    <w:basedOn w:val="style4097"/>
    <w:next w:val="style4105"/>
    <w:pPr/>
    <w:rPr/>
    <w:tblPr>
      <w:tblStyleRowBandSize w:val="1"/>
      <w:tblStyleColBandSize w:val="1"/>
      <w:tblCellMar>
        <w:top w:w="0" w:type="dxa"/>
        <w:left w:w="115" w:type="dxa"/>
        <w:bottom w:w="0" w:type="dxa"/>
        <w:right w:w="115" w:type="dxa"/>
      </w:tblCellMar>
    </w:tblPr>
    <w:tcPr>
      <w:tcBorders/>
    </w:tcPr>
  </w:style>
  <w:style w:type="table" w:customStyle="1" w:styleId="style4106">
    <w:basedOn w:val="style4097"/>
    <w:next w:val="style4106"/>
    <w:pPr/>
    <w:rPr/>
    <w:tblPr>
      <w:tblStyleRowBandSize w:val="1"/>
      <w:tblStyleColBandSize w:val="1"/>
      <w:tblCellMar>
        <w:top w:w="0" w:type="dxa"/>
        <w:left w:w="115" w:type="dxa"/>
        <w:bottom w:w="0" w:type="dxa"/>
        <w:right w:w="115" w:type="dxa"/>
      </w:tblCellMar>
    </w:tblPr>
    <w:tcPr>
      <w:tcBorders/>
    </w:tcPr>
  </w:style>
  <w:style w:type="table" w:customStyle="1" w:styleId="style4107">
    <w:basedOn w:val="style4097"/>
    <w:next w:val="style4107"/>
    <w:pPr/>
    <w:rPr/>
    <w:tblPr>
      <w:tblStyleRowBandSize w:val="1"/>
      <w:tblStyleColBandSize w:val="1"/>
      <w:tblCellMar>
        <w:top w:w="0" w:type="dxa"/>
        <w:left w:w="115" w:type="dxa"/>
        <w:bottom w:w="0" w:type="dxa"/>
        <w:right w:w="115" w:type="dxa"/>
      </w:tblCellMar>
    </w:tblPr>
    <w:tcPr>
      <w:tcBorders/>
    </w:tcPr>
  </w:style>
  <w:style w:type="paragraph" w:styleId="style266">
    <w:name w:val="TOC Heading"/>
    <w:basedOn w:val="style1"/>
    <w:next w:val="style0"/>
    <w:qFormat/>
    <w:uiPriority w:val="39"/>
    <w:pPr>
      <w:keepNext/>
      <w:keepLines/>
      <w:pBdr>
        <w:left w:val="none" w:sz="0" w:space="0" w:color="auto"/>
        <w:right w:val="none" w:sz="0" w:space="0" w:color="auto"/>
        <w:top w:val="none" w:sz="0" w:space="0" w:color="auto"/>
        <w:bottom w:val="none" w:sz="0" w:space="0" w:color="auto"/>
        <w:between w:val="none" w:sz="0" w:space="0" w:color="auto"/>
      </w:pBdr>
      <w:spacing w:before="240" w:lineRule="auto" w:line="259"/>
      <w:outlineLvl w:val="9"/>
    </w:pPr>
    <w:rPr>
      <w:rFonts w:ascii="Calibri" w:cs="宋体" w:eastAsia="宋体" w:hAnsi="Calibri"/>
      <w:color w:val="365f91"/>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20"/>
    </w:pPr>
    <w:rPr/>
  </w:style>
  <w:style w:type="paragraph" w:styleId="style21">
    <w:name w:val="toc 3"/>
    <w:basedOn w:val="style0"/>
    <w:next w:val="style0"/>
    <w:uiPriority w:val="39"/>
    <w:pPr>
      <w:spacing w:after="100"/>
      <w:ind w:left="440"/>
    </w:pPr>
    <w:rPr/>
  </w:style>
  <w:style w:type="paragraph" w:styleId="style31">
    <w:name w:val="header"/>
    <w:basedOn w:val="style0"/>
    <w:next w:val="style31"/>
    <w:link w:val="style4108"/>
    <w:uiPriority w:val="99"/>
    <w:pPr>
      <w:tabs>
        <w:tab w:val="center" w:leader="none" w:pos="4680"/>
        <w:tab w:val="right" w:leader="none" w:pos="9360"/>
      </w:tabs>
    </w:pPr>
    <w:rPr/>
  </w:style>
  <w:style w:type="character" w:customStyle="1" w:styleId="style4108">
    <w:name w:val="Header Char_1088cb67-0a00-4750-9cbb-991110ab3dc7"/>
    <w:basedOn w:val="style65"/>
    <w:next w:val="style4108"/>
    <w:link w:val="style31"/>
    <w:uiPriority w:val="99"/>
  </w:style>
  <w:style w:type="paragraph" w:styleId="style32">
    <w:name w:val="footer"/>
    <w:basedOn w:val="style0"/>
    <w:next w:val="style32"/>
    <w:link w:val="style4109"/>
    <w:uiPriority w:val="99"/>
    <w:pPr>
      <w:tabs>
        <w:tab w:val="center" w:leader="none" w:pos="4680"/>
        <w:tab w:val="right" w:leader="none" w:pos="9360"/>
      </w:tabs>
    </w:pPr>
    <w:rPr/>
  </w:style>
  <w:style w:type="character" w:customStyle="1" w:styleId="style4109">
    <w:name w:val="Footer Char_312f984e-6991-400d-abd3-4821086144dd"/>
    <w:basedOn w:val="style65"/>
    <w:next w:val="style4109"/>
    <w:link w:val="style32"/>
    <w:uiPriority w:val="99"/>
  </w:style>
  <w:style w:type="character" w:customStyle="1" w:styleId="style4110">
    <w:name w:val="Unresolved Mention"/>
    <w:basedOn w:val="style65"/>
    <w:next w:val="style4110"/>
    <w:uiPriority w:val="99"/>
    <w:rPr>
      <w:color w:val="605e5c"/>
      <w:shd w:val="clear" w:color="auto" w:fill="e1dfdd"/>
    </w:rPr>
  </w:style>
  <w:style w:type="paragraph" w:styleId="style94">
    <w:name w:val="Normal (Web)"/>
    <w:basedOn w:val="style0"/>
    <w:next w:val="style94"/>
    <w:uiPriority w:val="99"/>
    <w:pPr>
      <w:spacing w:before="100" w:beforeAutospacing="true" w:after="100" w:afterAutospacing="true"/>
    </w:pPr>
    <w:rPr>
      <w:sz w:val="24"/>
      <w:szCs w:val="24"/>
      <w:lang w:val="en-AU" w:eastAsia="en-AU"/>
    </w:rPr>
  </w:style>
  <w:style w:type="paragraph" w:styleId="style66">
    <w:name w:val="Body Text"/>
    <w:basedOn w:val="style0"/>
    <w:next w:val="style66"/>
    <w:qFormat/>
    <w:pPr>
      <w:widowControl w:val="false"/>
      <w:autoSpaceDE w:val="false"/>
      <w:autoSpaceDN w:val="false"/>
      <w:spacing w:before="0" w:after="0" w:lineRule="auto" w:line="240"/>
      <w:ind w:left="0" w:right="0"/>
      <w:jc w:val="left"/>
    </w:pPr>
    <w:rPr>
      <w:rFonts w:ascii="Trebuchet MS" w:cs="Trebuchet MS" w:eastAsia="Trebuchet MS" w:hAnsi="Trebuchet MS"/>
      <w:kern w:val="0"/>
      <w:sz w:val="21"/>
      <w:szCs w:val="24"/>
      <w:lang w:val="en-US" w:eastAsia="en-US"/>
    </w:rPr>
  </w:style>
  <w:style w:type="character" w:styleId="style88">
    <w:name w:val="Emphasis"/>
    <w:basedOn w:val="style65"/>
    <w:next w:val="style88"/>
    <w:qFormat/>
    <w:rPr>
      <w:rFonts w:ascii="Times New Roman" w:cs="Times New Roman" w:eastAsia="宋体" w:hAnsi="Times New Roman"/>
      <w:i/>
      <w:sz w:val="21"/>
    </w:rPr>
  </w:style>
  <w:style w:type="paragraph" w:styleId="style34">
    <w:name w:val="caption"/>
    <w:basedOn w:val="style0"/>
    <w:next w:val="style34"/>
    <w:qFormat/>
    <w:pPr>
      <w:spacing w:before="0" w:after="200" w:lineRule="auto" w:line="240"/>
      <w:ind w:left="0" w:right="0"/>
      <w:jc w:val="both"/>
    </w:pPr>
    <w:rPr>
      <w:rFonts w:ascii="Arial" w:cs="Arial" w:eastAsia="宋体" w:hAnsi="Arial"/>
      <w:i/>
      <w:color w:val="44546a"/>
      <w:kern w:val="0"/>
      <w:sz w:val="18"/>
      <w:szCs w:val="18"/>
      <w:lang w:val="en-AU" w:eastAsia="zh-CN"/>
    </w:rPr>
  </w:style>
  <w:style w:type="paragraph" w:styleId="style35">
    <w:name w:val="table of figures"/>
    <w:basedOn w:val="style0"/>
    <w:next w:val="style35"/>
    <w:pPr>
      <w:spacing w:before="0" w:after="0" w:lineRule="auto" w:line="360"/>
      <w:ind w:left="0" w:right="0"/>
      <w:jc w:val="both"/>
    </w:pPr>
    <w:rPr>
      <w:rFonts w:ascii="Arial" w:cs="Arial" w:eastAsia="宋体" w:hAnsi="Arial"/>
      <w:kern w:val="0"/>
      <w:sz w:val="21"/>
      <w:szCs w:val="22"/>
      <w:lang w:val="en-AU" w:eastAsia="zh-CN"/>
    </w:rPr>
  </w:style>
  <w:style w:type="character" w:styleId="style41">
    <w:name w:val="page number"/>
    <w:basedOn w:val="style65"/>
    <w:next w:val="style41"/>
  </w:style>
  <w:style w:type="character" w:styleId="style87">
    <w:name w:val="Strong"/>
    <w:basedOn w:val="style65"/>
    <w:next w:val="style87"/>
    <w:qFormat/>
    <w:rPr>
      <w:rFonts w:ascii="Times New Roman" w:cs="Times New Roman" w:eastAsia="宋体" w:hAnsi="Times New Roman"/>
      <w:b/>
      <w:sz w:val="21"/>
    </w:rPr>
  </w:style>
</w:styles>
</file>

<file path=word/_rels/document.xml.rels><?xml version="1.0" encoding="UTF-8"?>
<Relationships xmlns="http://schemas.openxmlformats.org/package/2006/relationships"><Relationship Id="rId11" Type="http://schemas.openxmlformats.org/officeDocument/2006/relationships/footer" Target="footer1.xml"/><Relationship Id="rId10" Type="http://schemas.openxmlformats.org/officeDocument/2006/relationships/image" Target="media/image8.png"/><Relationship Id="rId13" Type="http://schemas.openxmlformats.org/officeDocument/2006/relationships/fontTable" Target="fontTable.xml"/><Relationship Id="rId12" Type="http://schemas.openxmlformats.org/officeDocument/2006/relationships/styles" Target="styles.xml"/><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9" Type="http://schemas.openxmlformats.org/officeDocument/2006/relationships/image" Target="media/image7.png"/><Relationship Id="rId15" Type="http://schemas.openxmlformats.org/officeDocument/2006/relationships/theme" Target="theme/theme1.xml"/><Relationship Id="rId14" Type="http://schemas.openxmlformats.org/officeDocument/2006/relationships/settings" Target="settings.xml"/><Relationship Id="rId17" Type="http://schemas.openxmlformats.org/officeDocument/2006/relationships/customXml" Target="../customXml/item2.xml"/><Relationship Id="rId16" Type="http://schemas.openxmlformats.org/officeDocument/2006/relationships/customXml" Target="../customXml/item1.xml"/><Relationship Id="rId5" Type="http://schemas.openxmlformats.org/officeDocument/2006/relationships/image" Target="media/image3.png"/><Relationship Id="rId6" Type="http://schemas.openxmlformats.org/officeDocument/2006/relationships/image" Target="media/image4.png"/><Relationship Id="rId7" Type="http://schemas.openxmlformats.org/officeDocument/2006/relationships/image" Target="media/image5.png"/><Relationship Id="rId8"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UjVGjaa5gsumj+eO3N3dtM5GKlQ==">CgMxLjA4AHIhMUZ3aWpRdTdwaG5taTEyQTgyRTdSWjRqR3h2bzY2NFFl</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ACD1F394-6ACE-4AC2-916F-579C550BD5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Words>6261</Words>
  <Pages>33</Pages>
  <Characters>40423</Characters>
  <Application>WPS Office</Application>
  <DocSecurity>0</DocSecurity>
  <Paragraphs>372</Paragraphs>
  <ScaleCrop>false</ScaleCrop>
  <LinksUpToDate>false</LinksUpToDate>
  <CharactersWithSpaces>46481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2026-08-13T12:24:00Z</dcterms:created>
  <dc:creator>Student</dc:creator>
  <lastModifiedBy>CPH2569</lastModifiedBy>
  <dcterms:modified xsi:type="dcterms:W3CDTF">2026-08-13T12:40:30Z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4f45414ff14640358564e7bff6f871a4_23</vt:lpwstr>
  </property>
</Properties>
</file>