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CF0FCC" w14:textId="77777777" w:rsidR="00F547CA" w:rsidRDefault="00A27701">
      <w:pPr>
        <w:rPr>
          <w:lang w:val="en-IE"/>
        </w:rPr>
      </w:pPr>
      <w:r>
        <w:rPr>
          <w:lang w:val="en-IE"/>
        </w:rPr>
        <w:t>Are there any similarities between the community rule present in the dead Sea Scrolls and the sixth century rule of St Benedict.</w:t>
      </w:r>
    </w:p>
    <w:p w14:paraId="5E9E0157" w14:textId="77777777" w:rsidR="00F547CA" w:rsidRDefault="00A27701">
      <w:pPr>
        <w:rPr>
          <w:lang w:val="en-IE"/>
        </w:rPr>
      </w:pPr>
      <w:r>
        <w:rPr>
          <w:lang w:val="en-IE"/>
        </w:rPr>
        <w:t>Introduction</w:t>
      </w:r>
    </w:p>
    <w:p w14:paraId="6EA64696" w14:textId="77777777" w:rsidR="00F547CA" w:rsidRDefault="00F547CA">
      <w:pPr>
        <w:rPr>
          <w:lang w:val="en-IE"/>
        </w:rPr>
      </w:pPr>
    </w:p>
    <w:p w14:paraId="7BEEDC7A" w14:textId="77777777" w:rsidR="00F547CA" w:rsidRDefault="00A27701">
      <w:r>
        <w:rPr>
          <w:lang w:val="en-IE"/>
        </w:rPr>
        <w:t>The Rule of the Community 1QS or The Manual of Discipline (Serekh ha-Yahad) belonging to the Essenes</w:t>
      </w:r>
      <w:r>
        <w:rPr>
          <w:rStyle w:val="FootnoteReference"/>
          <w:lang w:val="en-IE"/>
        </w:rPr>
        <w:footnoteReference w:id="1"/>
      </w:r>
      <w:r>
        <w:rPr>
          <w:lang w:val="en-IE"/>
        </w:rPr>
        <w:t>, who existed from the first century before Christ until the first century after Christ and the Rule of St Benedict of the Sixth Century AD are both from very different religious traditions. The Dead Sea Scrolls originate from second Temple Judaism present in the Holy Land whereas the Rule of St Benedict is from the western tradition of Italian Catholicism in Europe. They appear at first hand to have many similarities. They both seek to form stable, disciplined and pious communities which seek to set themselves apart from the wider community and seek a life of perfection. In order to do this both rules have set down guidelines in order to facilitate for the members of the community a lifestyle which would lead them to greater purity and holiness. There are strict rules which are set down in order to maintain the goal of unity with God through self-discipline and asceticism.</w:t>
      </w:r>
      <w:r>
        <w:rPr>
          <w:rStyle w:val="FootnoteReference"/>
          <w:lang w:val="en-IE"/>
        </w:rPr>
        <w:footnoteReference w:id="2"/>
      </w:r>
    </w:p>
    <w:p w14:paraId="158D3B6B" w14:textId="77777777" w:rsidR="00F547CA" w:rsidRDefault="00F547CA">
      <w:pPr>
        <w:rPr>
          <w:lang w:val="en-IE"/>
        </w:rPr>
      </w:pPr>
    </w:p>
    <w:p w14:paraId="662D3E87" w14:textId="77777777" w:rsidR="00F547CA" w:rsidRDefault="00A27701">
      <w:pPr>
        <w:rPr>
          <w:lang w:val="en-IE"/>
        </w:rPr>
      </w:pPr>
      <w:r>
        <w:rPr>
          <w:lang w:val="en-IE"/>
        </w:rPr>
        <w:t>Backgrounds</w:t>
      </w:r>
    </w:p>
    <w:p w14:paraId="70C4A5E5" w14:textId="77777777" w:rsidR="00F547CA" w:rsidRDefault="00A27701">
      <w:pPr>
        <w:rPr>
          <w:lang w:val="en-IE"/>
        </w:rPr>
      </w:pPr>
      <w:r>
        <w:rPr>
          <w:lang w:val="en-IE"/>
        </w:rPr>
        <w:t xml:space="preserve">Both rules of life are communal in their conception and include elements which are similar. For example, there is an emphasis on moral purity and cohesion amongst members of their communities. They both live in walls monasteries far away from cities and the hustle and bustle of everyday life in order to maintain a separation from the elements which they feel would tarnish their way of life and their aims as a group. They both have a system of probation. In the Benedictine way of life this is known as the novitiate and is a time of preparation and self-discipline in order to make the aspirant ready to assume the life of the </w:t>
      </w:r>
      <w:r>
        <w:rPr>
          <w:lang w:val="en-IE"/>
        </w:rPr>
        <w:lastRenderedPageBreak/>
        <w:t>community before taking vows. Amongst the Essenes this initiation would take at least one year whereas with the Benedictines this would usually take two years.</w:t>
      </w:r>
    </w:p>
    <w:p w14:paraId="431D2EC3" w14:textId="77777777" w:rsidR="00F547CA" w:rsidRDefault="00A27701">
      <w:r>
        <w:rPr>
          <w:lang w:val="en-IE"/>
        </w:rPr>
        <w:t>Another similarity between the Qumran Essenes and the Benedictine communities is that they have a superior. The Essenes are governed by the community Council as well as the Guardian (Mebaqqer). The scenes seem to have had a democratic governance where members of the community make joint decisions. This is also true of a Benedictine Monastery which is ruled by an Abbot, prior and sub- prior but also has the community chapter which allows members of the community to voice their opinions on certain issues, although the superior has the last say. This means that both communities have a hierarchical structure which requires obedience and leadership whilst also maintaining a certain level of democracy.</w:t>
      </w:r>
      <w:r>
        <w:rPr>
          <w:rStyle w:val="FootnoteReference"/>
          <w:lang w:val="en-IE"/>
        </w:rPr>
        <w:footnoteReference w:id="3"/>
      </w:r>
    </w:p>
    <w:p w14:paraId="5197D052" w14:textId="77777777" w:rsidR="00F547CA" w:rsidRDefault="00A27701">
      <w:pPr>
        <w:rPr>
          <w:lang w:val="en-IE"/>
        </w:rPr>
      </w:pPr>
      <w:r>
        <w:rPr>
          <w:lang w:val="en-IE"/>
        </w:rPr>
        <w:t>Within this structure of community there is also the sharing of common goods, living quarters and daily life. There are no owners of personal property, land or wealth. The communities share this amongst themselves. There are strict rules which govern the sharing of goods and things are shared in common amongst each other. In the rule of St Benedict from the sixth century A.D. no monk may own any possession without the permission of the abbot. He may use the goods of the Monastery for his own work or to help another member of the community, but he may not own it this includes clothing, bedding, utensils, tools or buildings. This detachment from belongings common in both the rule of the Essenes and the rule of St Benedict strives towards detachment from worldly belongings and therefore a concentration on the things of the spirit.</w:t>
      </w:r>
    </w:p>
    <w:p w14:paraId="481FBFB1" w14:textId="77777777" w:rsidR="00F547CA" w:rsidRDefault="00A27701">
      <w:pPr>
        <w:rPr>
          <w:lang w:val="en-IE"/>
        </w:rPr>
      </w:pPr>
      <w:r>
        <w:rPr>
          <w:lang w:val="en-IE"/>
        </w:rPr>
        <w:t xml:space="preserve">One aspect which immediately strikes the reader of both rules of life is that they are both devoted to spirituality. There are structures of daily living which include prayer, study of Scripture and communal meals. St Benedict in his rule calls this “ora et labora” or prayer and work. This phrase is central to the monastic life of Christians. They devote their lives to prayer, study and work. The similarities between the Essenes and the Benedictines are perhaps more than coincidental. The Essenes would spend many hours a day reciting the Psalms. This would be true also of the Benedictine monks who would recite all 150 Psalms of the Old Testament in one week. This is true even today amongst many Catholic monasteries throughout the world. The practice of Lectio Divina or sacred reading is a named tradition in the Christian West but has been practised by all major religions throughout the world. It is the concentrated reading of sacred texts in order to gain insight into the spiritual realm. This rhythm of life which involves communal sleeping, eating, </w:t>
      </w:r>
      <w:r>
        <w:rPr>
          <w:lang w:val="en-IE"/>
        </w:rPr>
        <w:lastRenderedPageBreak/>
        <w:t>prayer and work is an obvious similarity between the community rule of the Essenes and the rule of St Benedict.</w:t>
      </w:r>
    </w:p>
    <w:p w14:paraId="0509C458" w14:textId="77777777" w:rsidR="00F547CA" w:rsidRDefault="00A27701">
      <w:r>
        <w:rPr>
          <w:lang w:val="en-IE"/>
        </w:rPr>
        <w:t xml:space="preserve">One aspect of the communities which is a necessary evil is punishment for transgressions or infractions of the rule. Both rules contain penalties for bad behaviour. As with any community there needs to be some sort of leadership, guidance and discipline. When these guidelines are not being adhered to it is incumbent upon the leaders of that community to take action for the good of all. Sometimes this unfortunately means punishing those who have stepped out of line. Examples of such behaviour could be missing meals, immoral behaviour, improper speech, stealing, violence or disobedience. </w:t>
      </w:r>
      <w:r>
        <w:rPr>
          <w:rStyle w:val="FootnoteReference"/>
          <w:lang w:val="en-IE"/>
        </w:rPr>
        <w:footnoteReference w:id="4"/>
      </w:r>
      <w:r>
        <w:rPr>
          <w:lang w:val="en-IE"/>
        </w:rPr>
        <w:t>The punishments vary but very often it involves the negation of food, extra work or some type of humiliation. It may also include expulsion from the community if the faults are deemed to be very serious indeed. These punishments are not necessarily punitive or maleficent in nature but are there to safeguard the members of the community, its goals and its survival for the future.</w:t>
      </w:r>
      <w:r>
        <w:rPr>
          <w:rStyle w:val="FootnoteReference"/>
          <w:lang w:val="en-IE"/>
        </w:rPr>
        <w:footnoteReference w:id="5"/>
      </w:r>
    </w:p>
    <w:p w14:paraId="62BE0BAE" w14:textId="77777777" w:rsidR="00F547CA" w:rsidRDefault="00A27701">
      <w:pPr>
        <w:rPr>
          <w:lang w:val="en-IE"/>
        </w:rPr>
      </w:pPr>
      <w:r>
        <w:rPr>
          <w:lang w:val="en-IE"/>
        </w:rPr>
        <w:t>Similarities</w:t>
      </w:r>
    </w:p>
    <w:p w14:paraId="2FD2F664" w14:textId="77777777" w:rsidR="00F547CA" w:rsidRDefault="00A27701">
      <w:pPr>
        <w:rPr>
          <w:lang w:val="en-IE"/>
        </w:rPr>
      </w:pPr>
      <w:r>
        <w:rPr>
          <w:lang w:val="en-IE"/>
        </w:rPr>
        <w:t>One aspect of these monastic lives which would be very much at odds with the secular world around them is the concentration on purity. Their desire to reach moral and physical purity sets them apart from the world around them and is the most striking element of both rules. Meals and eating are highly ritualised and have strict guidelines as to how they should be observed. Amongst the Benedictines in Chapter 41of the Rule of Saint Benedict there is silence at meals which is interspersed with sacred readings from the rule of St Benedict and other spiritual writings. There is also the blessing of food prayers before and after meals and in essence a communal harmony which makes the eating of food more connected to their spiritual lives.</w:t>
      </w:r>
    </w:p>
    <w:p w14:paraId="4B432E8C" w14:textId="77777777" w:rsidR="00F547CA" w:rsidRDefault="00A27701">
      <w:r>
        <w:rPr>
          <w:lang w:val="en-IE"/>
        </w:rPr>
        <w:t>Moral purity is also very important in both traditions all members of the community are expected to be chased in accordance with their religious tradition and in the rule of St Benedict it is expected that the monks are celibate. As with both rules there are exceptions and some of the Essenes was said to be married.</w:t>
      </w:r>
      <w:r>
        <w:rPr>
          <w:rStyle w:val="FootnoteReference"/>
          <w:lang w:val="en-IE"/>
        </w:rPr>
        <w:footnoteReference w:id="6"/>
      </w:r>
      <w:r>
        <w:rPr>
          <w:lang w:val="en-IE"/>
        </w:rPr>
        <w:t xml:space="preserve"> Benedictine monasteries would </w:t>
      </w:r>
      <w:r>
        <w:rPr>
          <w:lang w:val="en-IE"/>
        </w:rPr>
        <w:lastRenderedPageBreak/>
        <w:t>sometimes have workers and families attached to the Monastery. Immoral sexual behaviour was not tolerated by either community, and strict punishments or exclusion were dealt out to those who broke the rule in Chapter 23.</w:t>
      </w:r>
    </w:p>
    <w:p w14:paraId="6B5D90FD" w14:textId="77777777" w:rsidR="00F547CA" w:rsidRDefault="00F547CA">
      <w:pPr>
        <w:pStyle w:val="Heading1"/>
        <w:rPr>
          <w:color w:val="auto"/>
          <w:sz w:val="24"/>
          <w:szCs w:val="24"/>
          <w:lang w:val="en-IE"/>
        </w:rPr>
      </w:pPr>
    </w:p>
    <w:p w14:paraId="7F903BD5" w14:textId="77777777" w:rsidR="00F547CA" w:rsidRDefault="00A27701">
      <w:pPr>
        <w:pStyle w:val="Heading1"/>
        <w:rPr>
          <w:color w:val="auto"/>
          <w:sz w:val="24"/>
          <w:szCs w:val="24"/>
          <w:lang w:val="en-IE"/>
        </w:rPr>
      </w:pPr>
      <w:r>
        <w:rPr>
          <w:color w:val="auto"/>
          <w:sz w:val="24"/>
          <w:szCs w:val="24"/>
          <w:lang w:val="en-IE"/>
        </w:rPr>
        <w:t>Differences</w:t>
      </w:r>
    </w:p>
    <w:p w14:paraId="5B54593B" w14:textId="77777777" w:rsidR="00F547CA" w:rsidRDefault="00A27701">
      <w:pPr>
        <w:pStyle w:val="Heading1"/>
      </w:pPr>
      <w:r>
        <w:rPr>
          <w:color w:val="auto"/>
          <w:sz w:val="24"/>
          <w:szCs w:val="24"/>
          <w:lang w:val="en-IE"/>
        </w:rPr>
        <w:t xml:space="preserve">There are some major differences between the community rule of the Essenes and the rule of St Benedict. We must take into account the religious backgrounds of both communities. The Essenes at Qumran or a Jewish sect which had separated itself from the temple in Jerusalem. </w:t>
      </w:r>
      <w:r>
        <w:rPr>
          <w:rStyle w:val="FootnoteReference"/>
          <w:color w:val="auto"/>
          <w:sz w:val="24"/>
          <w:szCs w:val="24"/>
          <w:lang w:val="en-IE"/>
        </w:rPr>
        <w:footnoteReference w:id="7"/>
      </w:r>
      <w:r>
        <w:rPr>
          <w:color w:val="auto"/>
          <w:sz w:val="24"/>
          <w:szCs w:val="24"/>
          <w:lang w:val="en-IE"/>
        </w:rPr>
        <w:t xml:space="preserve">They saw themselves as not only the chosen people but also the chosen people amongst the chosen people. They had a distinct dislike for what they called the sons of darkness whilst referring to themselves as the sons of light. Benedictines on the other hand would welcome all visitors of goodwill and had a reputation for helping the sick, the poor and the elderly. The Benedictines emphasised hospitality within their rule and would daily offer food and alms to the poor as they still do today. Benedictines also have a tradition of running schools and St Benedict in his rule. It could be said that the rule of St Benedict is a lot more inclusive in comparison to the rule of the community. </w:t>
      </w:r>
      <w:r>
        <w:rPr>
          <w:rStyle w:val="FootnoteReference"/>
          <w:color w:val="auto"/>
          <w:sz w:val="24"/>
          <w:szCs w:val="24"/>
          <w:lang w:val="en-IE"/>
        </w:rPr>
        <w:footnoteReference w:id="8"/>
      </w:r>
      <w:r>
        <w:rPr>
          <w:color w:val="auto"/>
          <w:sz w:val="24"/>
          <w:szCs w:val="24"/>
          <w:lang w:val="en-IE"/>
        </w:rPr>
        <w:t>Amongst the scene community there seems to be a lot less compassion and instead of nurturing and guiding the members of the community towards spiritual growth the leaders were far more punitive and strict.</w:t>
      </w:r>
      <w:r>
        <w:rPr>
          <w:rStyle w:val="FootnoteReference"/>
          <w:color w:val="auto"/>
          <w:sz w:val="24"/>
          <w:szCs w:val="24"/>
          <w:lang w:val="en-IE"/>
        </w:rPr>
        <w:footnoteReference w:id="9"/>
      </w:r>
    </w:p>
    <w:p w14:paraId="4DF01A34" w14:textId="77777777" w:rsidR="00F547CA" w:rsidRDefault="00A27701">
      <w:r>
        <w:rPr>
          <w:lang w:val="en-IE"/>
        </w:rPr>
        <w:t>One thing which would strike any visitor to Qumran and anyone reading the community rule is the ritual bathing. The Essenes placed a lot of emphasis on physical washing in order to wash away spiritual imperfections whereas in the rule of St Benedict washing is primarily a practical exercise in hygiene.</w:t>
      </w:r>
      <w:r>
        <w:rPr>
          <w:rStyle w:val="FootnoteReference"/>
          <w:lang w:val="en-IE"/>
        </w:rPr>
        <w:footnoteReference w:id="10"/>
      </w:r>
    </w:p>
    <w:p w14:paraId="0F2A1AB4" w14:textId="77777777" w:rsidR="00F547CA" w:rsidRDefault="00A27701">
      <w:pPr>
        <w:rPr>
          <w:lang w:val="en-IE"/>
        </w:rPr>
      </w:pPr>
      <w:r>
        <w:rPr>
          <w:lang w:val="en-IE"/>
        </w:rPr>
        <w:lastRenderedPageBreak/>
        <w:t>In conclusion I would argue that there are both similarities and differences in both rules but whether it could be argued that the earlier rule influenced the later rule through perhaps the Rule of St Pachomius (292-348 AD) is a matter for further research and debate.</w:t>
      </w:r>
    </w:p>
    <w:p w14:paraId="5D4F2EC0" w14:textId="77777777" w:rsidR="00F547CA" w:rsidRDefault="00F547CA">
      <w:pPr>
        <w:rPr>
          <w:lang w:val="en-IE"/>
        </w:rPr>
      </w:pPr>
    </w:p>
    <w:p w14:paraId="41C160E7" w14:textId="77777777" w:rsidR="00F547CA" w:rsidRDefault="00F547CA">
      <w:pPr>
        <w:rPr>
          <w:lang w:val="en-IE"/>
        </w:rPr>
      </w:pPr>
    </w:p>
    <w:p w14:paraId="32AF6000" w14:textId="77777777" w:rsidR="00F547CA" w:rsidRDefault="00F547CA">
      <w:pPr>
        <w:rPr>
          <w:lang w:val="en-IE"/>
        </w:rPr>
      </w:pPr>
    </w:p>
    <w:p w14:paraId="0D02B0ED" w14:textId="77777777" w:rsidR="00F547CA" w:rsidRDefault="00F547CA">
      <w:pPr>
        <w:rPr>
          <w:lang w:val="en-IE"/>
        </w:rPr>
      </w:pPr>
    </w:p>
    <w:p w14:paraId="3B4A2E2B" w14:textId="77777777" w:rsidR="00F547CA" w:rsidRDefault="00F547CA">
      <w:pPr>
        <w:rPr>
          <w:lang w:val="en-IE"/>
        </w:rPr>
      </w:pPr>
    </w:p>
    <w:p w14:paraId="27D9F8B2" w14:textId="77777777" w:rsidR="00F547CA" w:rsidRDefault="00F547CA">
      <w:pPr>
        <w:rPr>
          <w:lang w:val="en-IE"/>
        </w:rPr>
      </w:pPr>
    </w:p>
    <w:p w14:paraId="70268CAB" w14:textId="77777777" w:rsidR="00F547CA" w:rsidRDefault="00F547CA">
      <w:pPr>
        <w:rPr>
          <w:lang w:val="en-IE"/>
        </w:rPr>
      </w:pPr>
    </w:p>
    <w:p w14:paraId="11EF6B51" w14:textId="77777777" w:rsidR="00F547CA" w:rsidRDefault="00A27701">
      <w:pPr>
        <w:rPr>
          <w:lang w:val="en-IE"/>
        </w:rPr>
      </w:pPr>
      <w:r>
        <w:rPr>
          <w:lang w:val="en-IE"/>
        </w:rPr>
        <w:t>Bibliography</w:t>
      </w:r>
    </w:p>
    <w:p w14:paraId="28F4CB2F" w14:textId="77777777" w:rsidR="00F547CA" w:rsidRDefault="00F547CA">
      <w:pPr>
        <w:rPr>
          <w:lang w:val="en-IE"/>
        </w:rPr>
      </w:pPr>
    </w:p>
    <w:p w14:paraId="52238BDC" w14:textId="77777777" w:rsidR="00F547CA" w:rsidRDefault="00A27701">
      <w:pPr>
        <w:rPr>
          <w:lang w:val="en-IE"/>
        </w:rPr>
      </w:pPr>
      <w:r>
        <w:rPr>
          <w:lang w:val="en-IE"/>
        </w:rPr>
        <w:t xml:space="preserve">Amihay, Aryeh, Theory and Practice in Essene Law, 1st edn (New York: Oxford University Press, 2016) </w:t>
      </w:r>
    </w:p>
    <w:p w14:paraId="38B96332" w14:textId="77777777" w:rsidR="00F547CA" w:rsidRDefault="00A27701">
      <w:pPr>
        <w:rPr>
          <w:lang w:val="en-IE"/>
        </w:rPr>
      </w:pPr>
      <w:r>
        <w:rPr>
          <w:lang w:val="en-IE"/>
        </w:rPr>
        <w:t>Joseph A. Fitzmyer, Responses to 101 Questions on the Dead Sea Scrolls (New York: Paulist Press, 1992).</w:t>
      </w:r>
    </w:p>
    <w:p w14:paraId="3B1F3AB3" w14:textId="77777777" w:rsidR="00F547CA" w:rsidRDefault="00A27701">
      <w:pPr>
        <w:rPr>
          <w:lang w:val="en-IE"/>
        </w:rPr>
      </w:pPr>
      <w:r>
        <w:rPr>
          <w:lang w:val="en-IE"/>
        </w:rPr>
        <w:t>Campbell, JG. Deciphering the Dead Sea Scrolls. Blackwell Publishers. (2002).</w:t>
      </w:r>
    </w:p>
    <w:p w14:paraId="381BAE15" w14:textId="77777777" w:rsidR="00F547CA" w:rsidRDefault="00A27701">
      <w:pPr>
        <w:rPr>
          <w:lang w:val="en-IE"/>
        </w:rPr>
      </w:pPr>
      <w:r>
        <w:rPr>
          <w:lang w:val="en-IE"/>
        </w:rPr>
        <w:t>Hempel, C.  The Community Rules from Qumran: A Commentary. United States: Augsburg Fortress Publishers. (2023).</w:t>
      </w:r>
    </w:p>
    <w:p w14:paraId="18F2394B" w14:textId="77777777" w:rsidR="00F547CA" w:rsidRDefault="00A27701">
      <w:r>
        <w:rPr>
          <w:lang w:val="en-IE"/>
        </w:rPr>
        <w:t>Jones, Robert Edward, Priesthood, Cult, and Temple in the Aramaic Scrolls from Qumran</w:t>
      </w:r>
      <w:r>
        <w:rPr>
          <w:rFonts w:ascii="Arial" w:hAnsi="Arial" w:cs="Arial"/>
          <w:lang w:val="en-IE"/>
        </w:rPr>
        <w:t>:</w:t>
      </w:r>
      <w:r>
        <w:rPr>
          <w:lang w:val="en-IE"/>
        </w:rPr>
        <w:t xml:space="preserve"> Analyzing a Pre-Hasmonean Jewish Literary Tradition, 1st edn (Leiden: Brill, 2023)</w:t>
      </w:r>
    </w:p>
    <w:p w14:paraId="1F8CA7AC" w14:textId="77777777" w:rsidR="00F547CA" w:rsidRDefault="00A27701">
      <w:pPr>
        <w:rPr>
          <w:lang w:val="en-IE"/>
        </w:rPr>
      </w:pPr>
      <w:bookmarkStart w:id="0" w:name="_Hlk216978979"/>
      <w:r>
        <w:rPr>
          <w:lang w:val="en-IE"/>
        </w:rPr>
        <w:t>Taylor, Joan E. The Essenes, the Scrolls, and the Dead Sea. United Kingdom, (Oxford University Press Oxford, 2012)</w:t>
      </w:r>
    </w:p>
    <w:p w14:paraId="72093883" w14:textId="77777777" w:rsidR="00F547CA" w:rsidRDefault="00A27701">
      <w:pPr>
        <w:rPr>
          <w:lang w:val="en-IE"/>
        </w:rPr>
      </w:pPr>
      <w:bookmarkStart w:id="1" w:name="_Hlk216979020"/>
      <w:bookmarkEnd w:id="0"/>
      <w:r>
        <w:rPr>
          <w:lang w:val="en-IE"/>
        </w:rPr>
        <w:t>Benedict, Saint, The Rule of ... Saint Benedict, Ed., with an Engl. In Lat. and Engl. (England, 1886)</w:t>
      </w:r>
    </w:p>
    <w:bookmarkEnd w:id="1"/>
    <w:p w14:paraId="66CA0148" w14:textId="77777777" w:rsidR="00F547CA" w:rsidRDefault="00A27701">
      <w:r>
        <w:t>Benedict, Saint, The Rule of Saint Benedict / Edited &amp; Translated by Justin McCann (Maryland: Newman Press, 1952, 1952)</w:t>
      </w:r>
    </w:p>
    <w:p w14:paraId="6EA0258F" w14:textId="77777777" w:rsidR="00F547CA" w:rsidRDefault="00A27701">
      <w:pPr>
        <w:rPr>
          <w:lang w:val="en-IE"/>
        </w:rPr>
      </w:pPr>
      <w:r>
        <w:rPr>
          <w:lang w:val="en-IE"/>
        </w:rPr>
        <w:t>Vermès, Géza, The Complete Dead Sea Scrolls in English, Rev. ed. (London: Penguin, 2011)</w:t>
      </w:r>
    </w:p>
    <w:p w14:paraId="10CDC933" w14:textId="77777777" w:rsidR="00F547CA" w:rsidRDefault="00A27701">
      <w:r>
        <w:rPr>
          <w:lang w:val="en-IE"/>
        </w:rPr>
        <w:lastRenderedPageBreak/>
        <w:t>Wise, Michael Owen, Robert H Eisenman, The Dead Sea Scrolls Uncovered</w:t>
      </w:r>
      <w:r>
        <w:rPr>
          <w:rFonts w:ascii="Arial" w:hAnsi="Arial" w:cs="Arial"/>
          <w:lang w:val="en-IE"/>
        </w:rPr>
        <w:t> </w:t>
      </w:r>
      <w:r>
        <w:rPr>
          <w:lang w:val="en-IE"/>
        </w:rPr>
        <w:t>: The First Complete Translation and Interpretation of 50 Key Documents Withheld for over 35 Years (Shaftesbury, Dorset</w:t>
      </w:r>
      <w:r>
        <w:rPr>
          <w:rFonts w:ascii="Arial" w:hAnsi="Arial" w:cs="Arial"/>
          <w:lang w:val="en-IE"/>
        </w:rPr>
        <w:t> </w:t>
      </w:r>
      <w:r>
        <w:rPr>
          <w:lang w:val="en-IE"/>
        </w:rPr>
        <w:t>; Element, 1992)</w:t>
      </w:r>
    </w:p>
    <w:sectPr w:rsidR="00F547CA">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F9A23" w14:textId="77777777" w:rsidR="00A27701" w:rsidRDefault="00A27701">
      <w:pPr>
        <w:spacing w:after="0" w:line="240" w:lineRule="auto"/>
      </w:pPr>
      <w:r>
        <w:separator/>
      </w:r>
    </w:p>
  </w:endnote>
  <w:endnote w:type="continuationSeparator" w:id="0">
    <w:p w14:paraId="377F6B6D" w14:textId="77777777" w:rsidR="00A27701" w:rsidRDefault="00A27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643F3" w14:textId="77777777" w:rsidR="00A27701" w:rsidRDefault="00A27701">
      <w:pPr>
        <w:spacing w:after="0" w:line="240" w:lineRule="auto"/>
      </w:pPr>
      <w:r>
        <w:rPr>
          <w:color w:val="000000"/>
        </w:rPr>
        <w:separator/>
      </w:r>
    </w:p>
  </w:footnote>
  <w:footnote w:type="continuationSeparator" w:id="0">
    <w:p w14:paraId="524B9C86" w14:textId="77777777" w:rsidR="00A27701" w:rsidRDefault="00A27701">
      <w:pPr>
        <w:spacing w:after="0" w:line="240" w:lineRule="auto"/>
      </w:pPr>
      <w:r>
        <w:continuationSeparator/>
      </w:r>
    </w:p>
  </w:footnote>
  <w:footnote w:id="1">
    <w:p w14:paraId="462BE581" w14:textId="77777777" w:rsidR="00F547CA" w:rsidRDefault="00A27701">
      <w:pPr>
        <w:pStyle w:val="FootnoteText"/>
      </w:pPr>
      <w:r>
        <w:rPr>
          <w:rStyle w:val="FootnoteReference"/>
        </w:rPr>
        <w:footnoteRef/>
      </w:r>
      <w:r>
        <w:t xml:space="preserve"> Taylor, Joan E.. The Essenes, the Scrolls, and the Dead Sea. United Kingdom, (Oxford University Press Oxford, 2012) p12</w:t>
      </w:r>
    </w:p>
    <w:p w14:paraId="1D10572A" w14:textId="77777777" w:rsidR="00F547CA" w:rsidRDefault="00F547CA">
      <w:pPr>
        <w:pStyle w:val="FootnoteText"/>
      </w:pPr>
    </w:p>
    <w:p w14:paraId="16EC9CCF" w14:textId="77777777" w:rsidR="00F547CA" w:rsidRDefault="00F547CA">
      <w:pPr>
        <w:pStyle w:val="FootnoteText"/>
      </w:pPr>
    </w:p>
    <w:p w14:paraId="0E486DAB" w14:textId="77777777" w:rsidR="00F547CA" w:rsidRDefault="00F547CA">
      <w:pPr>
        <w:pStyle w:val="FootnoteText"/>
        <w:rPr>
          <w:lang w:val="en-IE"/>
        </w:rPr>
      </w:pPr>
    </w:p>
    <w:p w14:paraId="0BA40301" w14:textId="77777777" w:rsidR="00A27701" w:rsidRDefault="00A27701"/>
  </w:footnote>
  <w:footnote w:id="2">
    <w:p w14:paraId="2E13F496" w14:textId="77777777" w:rsidR="00F547CA" w:rsidRDefault="00A27701">
      <w:pPr>
        <w:pStyle w:val="FootnoteText"/>
      </w:pPr>
      <w:r>
        <w:rPr>
          <w:rStyle w:val="FootnoteReference"/>
        </w:rPr>
        <w:footnoteRef/>
      </w:r>
      <w:r>
        <w:t xml:space="preserve"> Benedict, Saint, The Rule of ... Saint Benedict, Ed., with an Engl. In Lat. and Engl. (England, 1886) p3</w:t>
      </w:r>
    </w:p>
    <w:p w14:paraId="4E9AF34F" w14:textId="77777777" w:rsidR="00A27701" w:rsidRDefault="00A27701"/>
  </w:footnote>
  <w:footnote w:id="3">
    <w:p w14:paraId="29750F38" w14:textId="77777777" w:rsidR="00F547CA" w:rsidRDefault="00A27701">
      <w:pPr>
        <w:pStyle w:val="FootnoteText"/>
      </w:pPr>
      <w:r>
        <w:rPr>
          <w:rStyle w:val="FootnoteReference"/>
        </w:rPr>
        <w:footnoteRef/>
      </w:r>
      <w:r>
        <w:t xml:space="preserve"> Benedict, Saint, The Rule of ... Saint Benedict, Ed., with an Engl. In Lat. and Engl. (England, 1886) p5</w:t>
      </w:r>
    </w:p>
    <w:p w14:paraId="0AD591F1" w14:textId="77777777" w:rsidR="00A27701" w:rsidRDefault="00A27701"/>
  </w:footnote>
  <w:footnote w:id="4">
    <w:p w14:paraId="3E4C7FAD" w14:textId="77777777" w:rsidR="00F547CA" w:rsidRDefault="00A27701">
      <w:pPr>
        <w:pStyle w:val="FootnoteText"/>
      </w:pPr>
      <w:r>
        <w:rPr>
          <w:rStyle w:val="FootnoteReference"/>
        </w:rPr>
        <w:footnoteRef/>
      </w:r>
      <w:r>
        <w:t xml:space="preserve"> Benedict, Saint, The Rule of ... Saint Benedict, Ed., with an Engl. In Lat. and Engl. (England, 1886) p94</w:t>
      </w:r>
    </w:p>
    <w:p w14:paraId="17CAE15F" w14:textId="77777777" w:rsidR="00A27701" w:rsidRDefault="00A27701"/>
  </w:footnote>
  <w:footnote w:id="5">
    <w:p w14:paraId="5D34C4F7" w14:textId="77777777" w:rsidR="00F547CA" w:rsidRDefault="00A27701">
      <w:pPr>
        <w:pStyle w:val="FootnoteText"/>
      </w:pPr>
      <w:r>
        <w:rPr>
          <w:rStyle w:val="FootnoteReference"/>
        </w:rPr>
        <w:footnoteRef/>
      </w:r>
      <w:r>
        <w:t xml:space="preserve"> Benedict, Saint, The Rule of ... Saint Benedict, Ed., with an Engl. In Lat. and Engl. (England, 1886) p23</w:t>
      </w:r>
    </w:p>
    <w:p w14:paraId="4C750E33" w14:textId="77777777" w:rsidR="00A27701" w:rsidRDefault="00A27701"/>
  </w:footnote>
  <w:footnote w:id="6">
    <w:p w14:paraId="41AE8588" w14:textId="77777777" w:rsidR="00F547CA" w:rsidRDefault="00A27701">
      <w:pPr>
        <w:pStyle w:val="FootnoteText"/>
      </w:pPr>
      <w:r>
        <w:rPr>
          <w:rStyle w:val="FootnoteReference"/>
        </w:rPr>
        <w:footnoteRef/>
      </w:r>
      <w:r>
        <w:t xml:space="preserve"> Taylor, Joan E.. The Essenes, the Scrolls, and the Dead Sea. United Kingdom, (Oxford University Press Oxford, 2012) p72</w:t>
      </w:r>
    </w:p>
    <w:p w14:paraId="5F45856D" w14:textId="77777777" w:rsidR="00A27701" w:rsidRDefault="00A27701"/>
  </w:footnote>
  <w:footnote w:id="7">
    <w:p w14:paraId="091C8A55" w14:textId="77777777" w:rsidR="00F547CA" w:rsidRDefault="00A27701">
      <w:pPr>
        <w:pStyle w:val="FootnoteText"/>
      </w:pPr>
      <w:r>
        <w:rPr>
          <w:rStyle w:val="FootnoteReference"/>
        </w:rPr>
        <w:footnoteRef/>
      </w:r>
      <w:r>
        <w:t xml:space="preserve"> Taylor, Joan E.. The Essenes, the Scrolls, and the Dead Sea. United Kingdom, (Oxford University Press Oxford, 2012) p30</w:t>
      </w:r>
    </w:p>
    <w:p w14:paraId="26F3894A" w14:textId="77777777" w:rsidR="00A27701" w:rsidRDefault="00A27701"/>
  </w:footnote>
  <w:footnote w:id="8">
    <w:p w14:paraId="67E6AE60" w14:textId="77777777" w:rsidR="00F547CA" w:rsidRDefault="00A27701">
      <w:pPr>
        <w:pStyle w:val="FootnoteText"/>
      </w:pPr>
      <w:r>
        <w:rPr>
          <w:rStyle w:val="FootnoteReference"/>
        </w:rPr>
        <w:footnoteRef/>
      </w:r>
      <w:r>
        <w:t xml:space="preserve"> </w:t>
      </w:r>
    </w:p>
    <w:p w14:paraId="17BC988E" w14:textId="77777777" w:rsidR="00A27701" w:rsidRDefault="00A27701"/>
  </w:footnote>
  <w:footnote w:id="9">
    <w:p w14:paraId="393546D8" w14:textId="77777777" w:rsidR="00F547CA" w:rsidRDefault="00A27701">
      <w:pPr>
        <w:pStyle w:val="FootnoteText"/>
      </w:pPr>
      <w:r>
        <w:rPr>
          <w:rStyle w:val="FootnoteReference"/>
        </w:rPr>
        <w:footnoteRef/>
      </w:r>
      <w:r>
        <w:t xml:space="preserve"> Benedict, Saint, The Rule of ... Saint Benedict, Ed., with an Engl. In Lat. and Engl. (England, 1886) p11</w:t>
      </w:r>
    </w:p>
    <w:p w14:paraId="4BEB9C58" w14:textId="77777777" w:rsidR="00A27701" w:rsidRDefault="00A27701"/>
  </w:footnote>
  <w:footnote w:id="10">
    <w:p w14:paraId="28D9A793" w14:textId="77777777" w:rsidR="00F547CA" w:rsidRDefault="00A27701">
      <w:pPr>
        <w:pStyle w:val="FootnoteText"/>
      </w:pPr>
      <w:r>
        <w:rPr>
          <w:rStyle w:val="FootnoteReference"/>
        </w:rPr>
        <w:footnoteRef/>
      </w:r>
      <w:r>
        <w:t xml:space="preserve"> Taylor, Joan E.. The Essenes, the Scrolls, and the Dead Sea. United Kingdom, (Oxford University Press Oxford, 2012) p72</w:t>
      </w:r>
    </w:p>
    <w:p w14:paraId="40FE7071" w14:textId="77777777" w:rsidR="00A27701" w:rsidRDefault="00A27701"/>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7CA"/>
    <w:rsid w:val="00172830"/>
    <w:rsid w:val="0022419D"/>
    <w:rsid w:val="00A27701"/>
    <w:rsid w:val="00F547CA"/>
    <w:rsid w:val="00FD2E2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BF25C1E"/>
  <w15:docId w15:val="{1359CA72-EF34-4936-B951-1A28201F3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US"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FootnoteText">
    <w:name w:val="footnote text"/>
    <w:basedOn w:val="Normal"/>
    <w:pPr>
      <w:spacing w:after="0" w:line="240" w:lineRule="auto"/>
    </w:pPr>
    <w:rPr>
      <w:sz w:val="20"/>
      <w:szCs w:val="20"/>
    </w:rPr>
  </w:style>
  <w:style w:type="character" w:customStyle="1" w:styleId="FootnoteTextChar">
    <w:name w:val="Footnote Text Char"/>
    <w:basedOn w:val="DefaultParagraphFont"/>
    <w:rPr>
      <w:sz w:val="20"/>
      <w:szCs w:val="20"/>
    </w:rPr>
  </w:style>
  <w:style w:type="character" w:styleId="FootnoteReference">
    <w:name w:val="footnote reference"/>
    <w:basedOn w:val="DefaultParagraphFont"/>
    <w:rPr>
      <w:position w:val="0"/>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1484</Words>
  <Characters>8461</Characters>
  <Application>Microsoft Office Word</Application>
  <DocSecurity>0</DocSecurity>
  <Lines>70</Lines>
  <Paragraphs>19</Paragraphs>
  <ScaleCrop>false</ScaleCrop>
  <Company/>
  <LinksUpToDate>false</LinksUpToDate>
  <CharactersWithSpaces>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Columbanus O'Duinneacha (2517770)</dc:creator>
  <dc:description/>
  <cp:lastModifiedBy>Columbanus O'Duinneacha (2517770)</cp:lastModifiedBy>
  <cp:revision>2</cp:revision>
  <dcterms:created xsi:type="dcterms:W3CDTF">2025-12-24T21:51:00Z</dcterms:created>
  <dcterms:modified xsi:type="dcterms:W3CDTF">2025-12-24T21:51:00Z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8c4a1103-20c1-4ea3-b200-581104dbfdb4</vt:lpwstr>
  </property>
</Properties>
</file>